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12E255">
      <w:pPr>
        <w:pStyle w:val="6"/>
        <w:spacing w:line="360" w:lineRule="auto"/>
        <w:rPr>
          <w:color w:val="auto"/>
          <w:highlight w:val="none"/>
        </w:rPr>
      </w:pPr>
    </w:p>
    <w:p w14:paraId="367B707C">
      <w:pPr>
        <w:adjustRightInd w:val="0"/>
        <w:snapToGrid w:val="0"/>
        <w:spacing w:line="360" w:lineRule="auto"/>
        <w:jc w:val="center"/>
        <w:rPr>
          <w:rFonts w:hint="eastAsia" w:ascii="宋体" w:hAnsi="宋体" w:eastAsia="宋体" w:cs="宋体"/>
          <w:b/>
          <w:bCs/>
          <w:color w:val="auto"/>
          <w:sz w:val="112"/>
          <w:szCs w:val="32"/>
          <w:highlight w:val="none"/>
          <w:lang w:eastAsia="zh-CN"/>
        </w:rPr>
      </w:pPr>
      <w:r>
        <w:rPr>
          <w:rFonts w:hint="eastAsia" w:ascii="宋体" w:hAnsi="宋体" w:cs="宋体"/>
          <w:b/>
          <w:bCs/>
          <w:color w:val="auto"/>
          <w:sz w:val="48"/>
          <w:szCs w:val="48"/>
          <w:highlight w:val="none"/>
          <w:lang w:eastAsia="zh-CN"/>
        </w:rPr>
        <w:t>昆明市公安局交通管理支队警用无人机装备采购</w:t>
      </w:r>
    </w:p>
    <w:p w14:paraId="54448D02">
      <w:pPr>
        <w:adjustRightInd w:val="0"/>
        <w:snapToGrid w:val="0"/>
        <w:spacing w:line="360" w:lineRule="auto"/>
        <w:jc w:val="center"/>
        <w:rPr>
          <w:rFonts w:ascii="宋体" w:hAnsi="宋体" w:cs="宋体"/>
          <w:color w:val="auto"/>
          <w:highlight w:val="none"/>
        </w:rPr>
      </w:pPr>
    </w:p>
    <w:p w14:paraId="6DA4FF80">
      <w:pPr>
        <w:adjustRightInd w:val="0"/>
        <w:snapToGrid w:val="0"/>
        <w:spacing w:line="360" w:lineRule="auto"/>
        <w:jc w:val="center"/>
        <w:rPr>
          <w:rFonts w:ascii="宋体" w:hAnsi="宋体" w:cs="宋体"/>
          <w:color w:val="auto"/>
          <w:highlight w:val="none"/>
        </w:rPr>
      </w:pPr>
    </w:p>
    <w:p w14:paraId="736E9B01">
      <w:pPr>
        <w:adjustRightInd w:val="0"/>
        <w:snapToGrid w:val="0"/>
        <w:spacing w:line="360" w:lineRule="auto"/>
        <w:jc w:val="center"/>
        <w:rPr>
          <w:rFonts w:ascii="宋体" w:hAnsi="宋体" w:cs="宋体"/>
          <w:color w:val="auto"/>
          <w:highlight w:val="none"/>
        </w:rPr>
      </w:pPr>
    </w:p>
    <w:p w14:paraId="6D044119">
      <w:pPr>
        <w:adjustRightInd w:val="0"/>
        <w:snapToGrid w:val="0"/>
        <w:spacing w:line="360" w:lineRule="auto"/>
        <w:jc w:val="center"/>
        <w:rPr>
          <w:rFonts w:ascii="宋体" w:hAnsi="宋体" w:cs="宋体"/>
          <w:color w:val="auto"/>
          <w:highlight w:val="none"/>
        </w:rPr>
      </w:pPr>
    </w:p>
    <w:p w14:paraId="6D03E150">
      <w:pPr>
        <w:adjustRightInd w:val="0"/>
        <w:snapToGrid w:val="0"/>
        <w:spacing w:line="360" w:lineRule="auto"/>
        <w:jc w:val="center"/>
        <w:rPr>
          <w:rFonts w:ascii="宋体" w:hAnsi="宋体" w:cs="宋体"/>
          <w:color w:val="auto"/>
          <w:highlight w:val="none"/>
        </w:rPr>
      </w:pPr>
    </w:p>
    <w:p w14:paraId="28523508">
      <w:pPr>
        <w:adjustRightInd w:val="0"/>
        <w:snapToGrid w:val="0"/>
        <w:spacing w:line="360" w:lineRule="auto"/>
        <w:jc w:val="center"/>
        <w:rPr>
          <w:rFonts w:ascii="宋体" w:hAnsi="宋体" w:cs="宋体"/>
          <w:color w:val="auto"/>
          <w:highlight w:val="none"/>
        </w:rPr>
      </w:pPr>
    </w:p>
    <w:p w14:paraId="4C0D240A">
      <w:pPr>
        <w:pStyle w:val="21"/>
        <w:snapToGrid w:val="0"/>
        <w:spacing w:line="360" w:lineRule="auto"/>
        <w:jc w:val="center"/>
        <w:rPr>
          <w:rFonts w:hAnsi="宋体" w:cs="宋体"/>
          <w:b/>
          <w:bCs/>
          <w:color w:val="auto"/>
          <w:sz w:val="96"/>
          <w:szCs w:val="96"/>
          <w:highlight w:val="none"/>
        </w:rPr>
      </w:pPr>
      <w:r>
        <w:rPr>
          <w:rFonts w:hint="eastAsia" w:hAnsi="宋体" w:cs="宋体"/>
          <w:b/>
          <w:bCs/>
          <w:color w:val="auto"/>
          <w:sz w:val="96"/>
          <w:szCs w:val="96"/>
          <w:highlight w:val="none"/>
        </w:rPr>
        <w:t>竞争性谈判文件</w:t>
      </w:r>
    </w:p>
    <w:p w14:paraId="655333D7">
      <w:pPr>
        <w:pStyle w:val="21"/>
        <w:snapToGrid w:val="0"/>
        <w:spacing w:line="360" w:lineRule="auto"/>
        <w:jc w:val="center"/>
        <w:rPr>
          <w:rFonts w:hAnsi="宋体" w:cs="宋体"/>
          <w:color w:val="auto"/>
          <w:highlight w:val="none"/>
        </w:rPr>
      </w:pPr>
    </w:p>
    <w:p w14:paraId="119B2724">
      <w:pPr>
        <w:pStyle w:val="21"/>
        <w:snapToGrid w:val="0"/>
        <w:spacing w:line="360" w:lineRule="auto"/>
        <w:jc w:val="center"/>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KMZC2025-J1-02769-YNGR-0337</w:t>
      </w:r>
    </w:p>
    <w:p w14:paraId="0EA065BF">
      <w:pPr>
        <w:pStyle w:val="21"/>
        <w:snapToGrid w:val="0"/>
        <w:spacing w:line="360" w:lineRule="auto"/>
        <w:jc w:val="center"/>
        <w:rPr>
          <w:rFonts w:hAnsi="宋体" w:cs="宋体"/>
          <w:color w:val="auto"/>
          <w:highlight w:val="none"/>
        </w:rPr>
      </w:pPr>
    </w:p>
    <w:p w14:paraId="6DFB0F5B">
      <w:pPr>
        <w:pStyle w:val="21"/>
        <w:snapToGrid w:val="0"/>
        <w:spacing w:line="360" w:lineRule="auto"/>
        <w:jc w:val="center"/>
        <w:rPr>
          <w:rFonts w:hAnsi="宋体" w:cs="宋体"/>
          <w:color w:val="auto"/>
          <w:highlight w:val="none"/>
        </w:rPr>
      </w:pPr>
    </w:p>
    <w:p w14:paraId="663C8112">
      <w:pPr>
        <w:pStyle w:val="21"/>
        <w:snapToGrid w:val="0"/>
        <w:spacing w:line="360" w:lineRule="auto"/>
        <w:jc w:val="center"/>
        <w:rPr>
          <w:rFonts w:hAnsi="宋体" w:cs="宋体"/>
          <w:b/>
          <w:bCs/>
          <w:color w:val="auto"/>
          <w:sz w:val="32"/>
          <w:highlight w:val="none"/>
        </w:rPr>
      </w:pPr>
    </w:p>
    <w:p w14:paraId="67951219">
      <w:pPr>
        <w:adjustRightInd w:val="0"/>
        <w:snapToGrid w:val="0"/>
        <w:spacing w:line="360" w:lineRule="auto"/>
        <w:jc w:val="center"/>
        <w:rPr>
          <w:rFonts w:ascii="宋体" w:hAnsi="宋体" w:cs="宋体"/>
          <w:b/>
          <w:bCs/>
          <w:color w:val="auto"/>
          <w:sz w:val="32"/>
          <w:highlight w:val="none"/>
        </w:rPr>
      </w:pPr>
    </w:p>
    <w:p w14:paraId="14CE304E">
      <w:pPr>
        <w:adjustRightInd w:val="0"/>
        <w:snapToGrid w:val="0"/>
        <w:spacing w:line="360" w:lineRule="auto"/>
        <w:jc w:val="center"/>
        <w:rPr>
          <w:rFonts w:ascii="宋体" w:hAnsi="宋体" w:cs="宋体"/>
          <w:color w:val="auto"/>
          <w:highlight w:val="none"/>
        </w:rPr>
      </w:pPr>
    </w:p>
    <w:p w14:paraId="1CEA9441">
      <w:pPr>
        <w:pStyle w:val="21"/>
        <w:snapToGrid w:val="0"/>
        <w:spacing w:line="360" w:lineRule="auto"/>
        <w:jc w:val="center"/>
        <w:rPr>
          <w:rFonts w:hAnsi="宋体" w:cs="宋体"/>
          <w:b/>
          <w:bCs/>
          <w:color w:val="auto"/>
          <w:sz w:val="32"/>
          <w:szCs w:val="32"/>
          <w:highlight w:val="none"/>
        </w:rPr>
      </w:pPr>
    </w:p>
    <w:p w14:paraId="3A647360">
      <w:pPr>
        <w:pStyle w:val="21"/>
        <w:snapToGrid w:val="0"/>
        <w:spacing w:line="360" w:lineRule="auto"/>
        <w:jc w:val="center"/>
        <w:rPr>
          <w:rFonts w:hAnsi="宋体" w:cs="宋体"/>
          <w:b/>
          <w:bCs/>
          <w:color w:val="auto"/>
          <w:sz w:val="32"/>
          <w:szCs w:val="32"/>
          <w:highlight w:val="none"/>
        </w:rPr>
      </w:pPr>
    </w:p>
    <w:p w14:paraId="46231BC7">
      <w:pPr>
        <w:pStyle w:val="21"/>
        <w:snapToGrid w:val="0"/>
        <w:spacing w:line="360" w:lineRule="auto"/>
        <w:jc w:val="center"/>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采购人：</w:t>
      </w:r>
      <w:r>
        <w:rPr>
          <w:rFonts w:hint="eastAsia" w:hAnsi="宋体" w:cs="宋体"/>
          <w:b/>
          <w:bCs/>
          <w:color w:val="auto"/>
          <w:sz w:val="32"/>
          <w:szCs w:val="32"/>
          <w:highlight w:val="none"/>
          <w:lang w:eastAsia="zh-CN"/>
        </w:rPr>
        <w:t>昆明市公安局交通管理支队</w:t>
      </w:r>
    </w:p>
    <w:p w14:paraId="13D11803">
      <w:pPr>
        <w:pStyle w:val="21"/>
        <w:snapToGrid w:val="0"/>
        <w:spacing w:line="360" w:lineRule="auto"/>
        <w:jc w:val="center"/>
        <w:rPr>
          <w:rFonts w:hAnsi="宋体" w:cs="宋体"/>
          <w:b/>
          <w:bCs/>
          <w:color w:val="auto"/>
          <w:sz w:val="32"/>
          <w:szCs w:val="32"/>
          <w:highlight w:val="none"/>
        </w:rPr>
      </w:pPr>
      <w:r>
        <w:rPr>
          <w:rFonts w:hint="eastAsia" w:hAnsi="宋体" w:cs="宋体"/>
          <w:b/>
          <w:bCs/>
          <w:color w:val="auto"/>
          <w:sz w:val="32"/>
          <w:szCs w:val="32"/>
          <w:highlight w:val="none"/>
        </w:rPr>
        <w:t>采购代理机构：云南冠睿咨询有限公司</w:t>
      </w:r>
    </w:p>
    <w:p w14:paraId="35F80A85">
      <w:pPr>
        <w:pStyle w:val="21"/>
        <w:snapToGrid w:val="0"/>
        <w:spacing w:line="360" w:lineRule="auto"/>
        <w:jc w:val="center"/>
        <w:rPr>
          <w:rFonts w:hAnsi="宋体" w:cs="宋体"/>
          <w:b/>
          <w:bCs/>
          <w:color w:val="auto"/>
          <w:sz w:val="32"/>
          <w:szCs w:val="32"/>
          <w:highlight w:val="none"/>
        </w:rPr>
      </w:pPr>
      <w:r>
        <w:rPr>
          <w:rFonts w:hint="eastAsia" w:hAnsi="宋体" w:cs="宋体"/>
          <w:b/>
          <w:bCs/>
          <w:color w:val="auto"/>
          <w:sz w:val="32"/>
          <w:szCs w:val="32"/>
          <w:highlight w:val="none"/>
        </w:rPr>
        <w:t>2025年</w:t>
      </w:r>
      <w:r>
        <w:rPr>
          <w:rFonts w:hint="eastAsia" w:hAnsi="宋体" w:cs="宋体"/>
          <w:b/>
          <w:bCs/>
          <w:color w:val="auto"/>
          <w:sz w:val="32"/>
          <w:szCs w:val="32"/>
          <w:highlight w:val="none"/>
          <w:lang w:val="en-US" w:eastAsia="zh-CN"/>
        </w:rPr>
        <w:t>10</w:t>
      </w:r>
      <w:r>
        <w:rPr>
          <w:rFonts w:hint="eastAsia" w:hAnsi="宋体" w:cs="宋体"/>
          <w:b/>
          <w:bCs/>
          <w:color w:val="auto"/>
          <w:sz w:val="32"/>
          <w:szCs w:val="32"/>
          <w:highlight w:val="none"/>
        </w:rPr>
        <w:t>月</w:t>
      </w:r>
    </w:p>
    <w:p w14:paraId="5136A346">
      <w:pPr>
        <w:adjustRightInd w:val="0"/>
        <w:snapToGrid w:val="0"/>
        <w:spacing w:line="360" w:lineRule="auto"/>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r>
    </w:p>
    <w:p w14:paraId="5AE41A8A">
      <w:pPr>
        <w:pStyle w:val="18"/>
        <w:adjustRightInd w:val="0"/>
        <w:snapToGrid w:val="0"/>
        <w:spacing w:line="360" w:lineRule="auto"/>
        <w:ind w:firstLine="0" w:firstLineChars="0"/>
        <w:jc w:val="center"/>
        <w:rPr>
          <w:rFonts w:hint="eastAsia" w:ascii="宋体" w:hAnsi="宋体" w:eastAsia="宋体" w:cs="宋体"/>
          <w:b/>
          <w:bCs/>
          <w:color w:val="auto"/>
          <w:sz w:val="32"/>
          <w:szCs w:val="32"/>
          <w:highlight w:val="none"/>
        </w:rPr>
      </w:pPr>
    </w:p>
    <w:p w14:paraId="5CD04450">
      <w:pPr>
        <w:pStyle w:val="18"/>
        <w:adjustRightInd w:val="0"/>
        <w:snapToGrid w:val="0"/>
        <w:spacing w:line="360" w:lineRule="auto"/>
        <w:ind w:firstLine="0" w:firstLineChars="0"/>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目 录</w:t>
      </w:r>
    </w:p>
    <w:p w14:paraId="1C508F9C">
      <w:pPr>
        <w:pStyle w:val="28"/>
        <w:tabs>
          <w:tab w:val="right" w:leader="dot" w:pos="8306"/>
        </w:tabs>
        <w:spacing w:line="360" w:lineRule="auto"/>
        <w:rPr>
          <w:b/>
          <w:bCs/>
          <w:sz w:val="22"/>
          <w:szCs w:val="28"/>
          <w:highlight w:val="none"/>
        </w:rPr>
      </w:pPr>
      <w:r>
        <w:rPr>
          <w:rStyle w:val="48"/>
          <w:rFonts w:hint="eastAsia"/>
          <w:caps/>
          <w:snapToGrid w:val="0"/>
          <w:color w:val="auto"/>
          <w:kern w:val="21"/>
          <w:sz w:val="24"/>
          <w:szCs w:val="32"/>
          <w:highlight w:val="none"/>
        </w:rPr>
        <w:fldChar w:fldCharType="begin"/>
      </w:r>
      <w:r>
        <w:rPr>
          <w:rStyle w:val="48"/>
          <w:rFonts w:hint="eastAsia" w:ascii="宋体" w:hAnsi="宋体" w:cs="宋体"/>
          <w:b/>
          <w:bCs/>
          <w:caps/>
          <w:snapToGrid w:val="0"/>
          <w:color w:val="auto"/>
          <w:kern w:val="21"/>
          <w:sz w:val="24"/>
          <w:szCs w:val="32"/>
          <w:highlight w:val="none"/>
        </w:rPr>
        <w:instrText xml:space="preserve"> TOC \o "1-3" \h \z </w:instrText>
      </w:r>
      <w:r>
        <w:rPr>
          <w:rStyle w:val="48"/>
          <w:rFonts w:hint="eastAsia"/>
          <w:caps/>
          <w:snapToGrid w:val="0"/>
          <w:color w:val="auto"/>
          <w:kern w:val="21"/>
          <w:sz w:val="24"/>
          <w:szCs w:val="32"/>
          <w:highlight w:val="none"/>
        </w:rPr>
        <w:fldChar w:fldCharType="separate"/>
      </w:r>
      <w:r>
        <w:rPr>
          <w:rFonts w:hint="eastAsia"/>
          <w:b/>
          <w:bCs/>
          <w:caps/>
          <w:snapToGrid w:val="0"/>
          <w:color w:val="auto"/>
          <w:kern w:val="21"/>
          <w:sz w:val="22"/>
          <w:szCs w:val="32"/>
          <w:highlight w:val="none"/>
        </w:rPr>
        <w:fldChar w:fldCharType="begin"/>
      </w:r>
      <w:r>
        <w:rPr>
          <w:rFonts w:hint="eastAsia"/>
          <w:b/>
          <w:bCs/>
          <w:caps/>
          <w:snapToGrid w:val="0"/>
          <w:kern w:val="21"/>
          <w:sz w:val="22"/>
          <w:szCs w:val="32"/>
          <w:highlight w:val="none"/>
        </w:rPr>
        <w:instrText xml:space="preserve"> HYPERLINK \l _Toc24120 </w:instrText>
      </w:r>
      <w:r>
        <w:rPr>
          <w:rFonts w:hint="eastAsia"/>
          <w:b/>
          <w:bCs/>
          <w:caps/>
          <w:snapToGrid w:val="0"/>
          <w:kern w:val="21"/>
          <w:sz w:val="22"/>
          <w:szCs w:val="32"/>
          <w:highlight w:val="none"/>
        </w:rPr>
        <w:fldChar w:fldCharType="separate"/>
      </w:r>
      <w:r>
        <w:rPr>
          <w:rFonts w:hint="eastAsia" w:ascii="宋体" w:hAnsi="宋体" w:eastAsia="宋体" w:cs="宋体"/>
          <w:b/>
          <w:bCs/>
          <w:sz w:val="22"/>
          <w:szCs w:val="28"/>
          <w:highlight w:val="none"/>
        </w:rPr>
        <w:t>第一章  竞争性谈判公告</w:t>
      </w:r>
      <w:r>
        <w:rPr>
          <w:b/>
          <w:bCs/>
          <w:sz w:val="22"/>
          <w:szCs w:val="28"/>
          <w:highlight w:val="none"/>
        </w:rPr>
        <w:tab/>
      </w:r>
      <w:r>
        <w:rPr>
          <w:b/>
          <w:bCs/>
          <w:sz w:val="22"/>
          <w:szCs w:val="28"/>
          <w:highlight w:val="none"/>
        </w:rPr>
        <w:fldChar w:fldCharType="begin"/>
      </w:r>
      <w:r>
        <w:rPr>
          <w:b/>
          <w:bCs/>
          <w:sz w:val="22"/>
          <w:szCs w:val="28"/>
          <w:highlight w:val="none"/>
        </w:rPr>
        <w:instrText xml:space="preserve"> PAGEREF _Toc24120 \h </w:instrText>
      </w:r>
      <w:r>
        <w:rPr>
          <w:b/>
          <w:bCs/>
          <w:sz w:val="22"/>
          <w:szCs w:val="28"/>
          <w:highlight w:val="none"/>
        </w:rPr>
        <w:fldChar w:fldCharType="separate"/>
      </w:r>
      <w:r>
        <w:rPr>
          <w:b/>
          <w:bCs/>
          <w:sz w:val="22"/>
          <w:szCs w:val="28"/>
          <w:highlight w:val="none"/>
        </w:rPr>
        <w:t>1</w:t>
      </w:r>
      <w:r>
        <w:rPr>
          <w:b/>
          <w:bCs/>
          <w:sz w:val="22"/>
          <w:szCs w:val="28"/>
          <w:highlight w:val="none"/>
        </w:rPr>
        <w:fldChar w:fldCharType="end"/>
      </w:r>
      <w:r>
        <w:rPr>
          <w:rFonts w:hint="eastAsia"/>
          <w:b/>
          <w:bCs/>
          <w:caps/>
          <w:snapToGrid w:val="0"/>
          <w:color w:val="auto"/>
          <w:kern w:val="21"/>
          <w:sz w:val="22"/>
          <w:szCs w:val="32"/>
          <w:highlight w:val="none"/>
        </w:rPr>
        <w:fldChar w:fldCharType="end"/>
      </w:r>
    </w:p>
    <w:p w14:paraId="6F47C928">
      <w:pPr>
        <w:pStyle w:val="28"/>
        <w:tabs>
          <w:tab w:val="right" w:leader="dot" w:pos="8306"/>
        </w:tabs>
        <w:spacing w:line="360" w:lineRule="auto"/>
        <w:rPr>
          <w:sz w:val="22"/>
          <w:szCs w:val="28"/>
          <w:highlight w:val="none"/>
        </w:rPr>
      </w:pPr>
      <w:r>
        <w:rPr>
          <w:rFonts w:hint="eastAsia" w:ascii="宋体" w:hAnsi="宋体" w:cs="宋体"/>
          <w:b/>
          <w:bCs/>
          <w:color w:val="auto"/>
          <w:sz w:val="22"/>
          <w:szCs w:val="24"/>
          <w:highlight w:val="none"/>
        </w:rPr>
        <w:fldChar w:fldCharType="begin"/>
      </w:r>
      <w:r>
        <w:rPr>
          <w:rFonts w:hint="eastAsia" w:ascii="宋体" w:hAnsi="宋体" w:cs="宋体"/>
          <w:b/>
          <w:bCs/>
          <w:sz w:val="22"/>
          <w:szCs w:val="24"/>
          <w:highlight w:val="none"/>
        </w:rPr>
        <w:instrText xml:space="preserve"> HYPERLINK \l _Toc13817 </w:instrText>
      </w:r>
      <w:r>
        <w:rPr>
          <w:rFonts w:hint="eastAsia" w:ascii="宋体" w:hAnsi="宋体" w:cs="宋体"/>
          <w:b/>
          <w:bCs/>
          <w:sz w:val="22"/>
          <w:szCs w:val="24"/>
          <w:highlight w:val="none"/>
        </w:rPr>
        <w:fldChar w:fldCharType="separate"/>
      </w:r>
      <w:r>
        <w:rPr>
          <w:rFonts w:hint="eastAsia" w:ascii="宋体" w:hAnsi="宋体" w:eastAsia="宋体" w:cs="宋体"/>
          <w:b/>
          <w:bCs/>
          <w:sz w:val="22"/>
          <w:szCs w:val="28"/>
          <w:highlight w:val="none"/>
        </w:rPr>
        <w:t>第二章  供应商须知</w:t>
      </w:r>
      <w:r>
        <w:rPr>
          <w:b/>
          <w:bCs/>
          <w:sz w:val="22"/>
          <w:szCs w:val="28"/>
          <w:highlight w:val="none"/>
        </w:rPr>
        <w:tab/>
      </w:r>
      <w:r>
        <w:rPr>
          <w:b/>
          <w:bCs/>
          <w:sz w:val="22"/>
          <w:szCs w:val="28"/>
          <w:highlight w:val="none"/>
        </w:rPr>
        <w:fldChar w:fldCharType="begin"/>
      </w:r>
      <w:r>
        <w:rPr>
          <w:b/>
          <w:bCs/>
          <w:sz w:val="22"/>
          <w:szCs w:val="28"/>
          <w:highlight w:val="none"/>
        </w:rPr>
        <w:instrText xml:space="preserve"> PAGEREF _Toc13817 \h </w:instrText>
      </w:r>
      <w:r>
        <w:rPr>
          <w:b/>
          <w:bCs/>
          <w:sz w:val="22"/>
          <w:szCs w:val="28"/>
          <w:highlight w:val="none"/>
        </w:rPr>
        <w:fldChar w:fldCharType="separate"/>
      </w:r>
      <w:r>
        <w:rPr>
          <w:b/>
          <w:bCs/>
          <w:sz w:val="22"/>
          <w:szCs w:val="28"/>
          <w:highlight w:val="none"/>
        </w:rPr>
        <w:t>5</w:t>
      </w:r>
      <w:r>
        <w:rPr>
          <w:b/>
          <w:bCs/>
          <w:sz w:val="22"/>
          <w:szCs w:val="28"/>
          <w:highlight w:val="none"/>
        </w:rPr>
        <w:fldChar w:fldCharType="end"/>
      </w:r>
      <w:r>
        <w:rPr>
          <w:rFonts w:hint="eastAsia" w:ascii="宋体" w:hAnsi="宋体" w:cs="宋体"/>
          <w:b/>
          <w:bCs/>
          <w:color w:val="auto"/>
          <w:sz w:val="22"/>
          <w:szCs w:val="24"/>
          <w:highlight w:val="none"/>
        </w:rPr>
        <w:fldChar w:fldCharType="end"/>
      </w:r>
    </w:p>
    <w:p w14:paraId="68879F58">
      <w:pPr>
        <w:pStyle w:val="34"/>
        <w:tabs>
          <w:tab w:val="right" w:leader="dot" w:pos="8306"/>
          <w:tab w:val="clear" w:pos="9515"/>
        </w:tabs>
        <w:spacing w:line="360" w:lineRule="auto"/>
        <w:rPr>
          <w:sz w:val="22"/>
          <w:szCs w:val="28"/>
          <w:highlight w:val="none"/>
        </w:rPr>
      </w:pPr>
      <w:r>
        <w:rPr>
          <w:rFonts w:hint="eastAsia" w:ascii="宋体" w:hAnsi="宋体" w:cs="宋体"/>
          <w:bCs/>
          <w:color w:val="auto"/>
          <w:sz w:val="22"/>
          <w:szCs w:val="24"/>
          <w:highlight w:val="none"/>
        </w:rPr>
        <w:fldChar w:fldCharType="begin"/>
      </w:r>
      <w:r>
        <w:rPr>
          <w:rFonts w:hint="eastAsia" w:ascii="宋体" w:hAnsi="宋体" w:cs="宋体"/>
          <w:bCs/>
          <w:sz w:val="22"/>
          <w:szCs w:val="24"/>
          <w:highlight w:val="none"/>
        </w:rPr>
        <w:instrText xml:space="preserve"> HYPERLINK \l _Toc15360 </w:instrText>
      </w:r>
      <w:r>
        <w:rPr>
          <w:rFonts w:hint="eastAsia" w:ascii="宋体" w:hAnsi="宋体" w:cs="宋体"/>
          <w:bCs/>
          <w:sz w:val="22"/>
          <w:szCs w:val="24"/>
          <w:highlight w:val="none"/>
        </w:rPr>
        <w:fldChar w:fldCharType="separate"/>
      </w:r>
      <w:r>
        <w:rPr>
          <w:rFonts w:hint="eastAsia" w:ascii="宋体" w:hAnsi="宋体" w:cs="宋体"/>
          <w:sz w:val="22"/>
          <w:szCs w:val="32"/>
          <w:highlight w:val="none"/>
        </w:rPr>
        <w:t>供应商须知前附表</w:t>
      </w:r>
      <w:r>
        <w:rPr>
          <w:sz w:val="22"/>
          <w:szCs w:val="28"/>
          <w:highlight w:val="none"/>
        </w:rPr>
        <w:tab/>
      </w:r>
      <w:r>
        <w:rPr>
          <w:sz w:val="22"/>
          <w:szCs w:val="28"/>
          <w:highlight w:val="none"/>
        </w:rPr>
        <w:fldChar w:fldCharType="begin"/>
      </w:r>
      <w:r>
        <w:rPr>
          <w:sz w:val="22"/>
          <w:szCs w:val="28"/>
          <w:highlight w:val="none"/>
        </w:rPr>
        <w:instrText xml:space="preserve"> PAGEREF _Toc15360 \h </w:instrText>
      </w:r>
      <w:r>
        <w:rPr>
          <w:sz w:val="22"/>
          <w:szCs w:val="28"/>
          <w:highlight w:val="none"/>
        </w:rPr>
        <w:fldChar w:fldCharType="separate"/>
      </w:r>
      <w:r>
        <w:rPr>
          <w:sz w:val="22"/>
          <w:szCs w:val="28"/>
          <w:highlight w:val="none"/>
        </w:rPr>
        <w:t>5</w:t>
      </w:r>
      <w:r>
        <w:rPr>
          <w:sz w:val="22"/>
          <w:szCs w:val="28"/>
          <w:highlight w:val="none"/>
        </w:rPr>
        <w:fldChar w:fldCharType="end"/>
      </w:r>
      <w:r>
        <w:rPr>
          <w:rFonts w:hint="eastAsia" w:ascii="宋体" w:hAnsi="宋体" w:cs="宋体"/>
          <w:bCs/>
          <w:color w:val="auto"/>
          <w:sz w:val="22"/>
          <w:szCs w:val="24"/>
          <w:highlight w:val="none"/>
        </w:rPr>
        <w:fldChar w:fldCharType="end"/>
      </w:r>
    </w:p>
    <w:p w14:paraId="7658A268">
      <w:pPr>
        <w:pStyle w:val="28"/>
        <w:tabs>
          <w:tab w:val="right" w:leader="dot" w:pos="8306"/>
        </w:tabs>
        <w:spacing w:line="360" w:lineRule="auto"/>
        <w:rPr>
          <w:b/>
          <w:bCs/>
          <w:sz w:val="22"/>
          <w:szCs w:val="28"/>
          <w:highlight w:val="none"/>
        </w:rPr>
      </w:pPr>
      <w:r>
        <w:rPr>
          <w:rFonts w:hint="eastAsia" w:ascii="宋体" w:hAnsi="宋体" w:cs="宋体"/>
          <w:b/>
          <w:bCs/>
          <w:color w:val="auto"/>
          <w:sz w:val="22"/>
          <w:szCs w:val="24"/>
          <w:highlight w:val="none"/>
        </w:rPr>
        <w:fldChar w:fldCharType="begin"/>
      </w:r>
      <w:r>
        <w:rPr>
          <w:rFonts w:hint="eastAsia" w:ascii="宋体" w:hAnsi="宋体" w:cs="宋体"/>
          <w:b/>
          <w:bCs/>
          <w:sz w:val="22"/>
          <w:szCs w:val="24"/>
          <w:highlight w:val="none"/>
        </w:rPr>
        <w:instrText xml:space="preserve"> HYPERLINK \l _Toc7546 </w:instrText>
      </w:r>
      <w:r>
        <w:rPr>
          <w:rFonts w:hint="eastAsia" w:ascii="宋体" w:hAnsi="宋体" w:cs="宋体"/>
          <w:b/>
          <w:bCs/>
          <w:sz w:val="22"/>
          <w:szCs w:val="24"/>
          <w:highlight w:val="none"/>
        </w:rPr>
        <w:fldChar w:fldCharType="separate"/>
      </w:r>
      <w:r>
        <w:rPr>
          <w:rFonts w:hint="eastAsia" w:ascii="宋体" w:hAnsi="宋体" w:eastAsia="宋体" w:cs="宋体"/>
          <w:b/>
          <w:bCs/>
          <w:sz w:val="22"/>
          <w:szCs w:val="36"/>
          <w:highlight w:val="none"/>
        </w:rPr>
        <w:t xml:space="preserve">第三章  </w:t>
      </w:r>
      <w:r>
        <w:rPr>
          <w:rFonts w:hint="eastAsia" w:ascii="宋体" w:hAnsi="宋体" w:eastAsia="宋体" w:cs="宋体"/>
          <w:b/>
          <w:bCs/>
          <w:sz w:val="22"/>
          <w:szCs w:val="36"/>
          <w:highlight w:val="none"/>
          <w:lang w:eastAsia="zh-CN"/>
        </w:rPr>
        <w:t>合同书样式及政府采购合同专用条款</w:t>
      </w:r>
      <w:r>
        <w:rPr>
          <w:b/>
          <w:bCs/>
          <w:sz w:val="22"/>
          <w:szCs w:val="28"/>
          <w:highlight w:val="none"/>
        </w:rPr>
        <w:tab/>
      </w:r>
      <w:r>
        <w:rPr>
          <w:b/>
          <w:bCs/>
          <w:sz w:val="22"/>
          <w:szCs w:val="28"/>
          <w:highlight w:val="none"/>
        </w:rPr>
        <w:fldChar w:fldCharType="begin"/>
      </w:r>
      <w:r>
        <w:rPr>
          <w:b/>
          <w:bCs/>
          <w:sz w:val="22"/>
          <w:szCs w:val="28"/>
          <w:highlight w:val="none"/>
        </w:rPr>
        <w:instrText xml:space="preserve"> PAGEREF _Toc7546 \h </w:instrText>
      </w:r>
      <w:r>
        <w:rPr>
          <w:b/>
          <w:bCs/>
          <w:sz w:val="22"/>
          <w:szCs w:val="28"/>
          <w:highlight w:val="none"/>
        </w:rPr>
        <w:fldChar w:fldCharType="separate"/>
      </w:r>
      <w:r>
        <w:rPr>
          <w:b/>
          <w:bCs/>
          <w:sz w:val="22"/>
          <w:szCs w:val="28"/>
          <w:highlight w:val="none"/>
        </w:rPr>
        <w:t>24</w:t>
      </w:r>
      <w:r>
        <w:rPr>
          <w:b/>
          <w:bCs/>
          <w:sz w:val="22"/>
          <w:szCs w:val="28"/>
          <w:highlight w:val="none"/>
        </w:rPr>
        <w:fldChar w:fldCharType="end"/>
      </w:r>
      <w:r>
        <w:rPr>
          <w:rFonts w:hint="eastAsia" w:ascii="宋体" w:hAnsi="宋体" w:cs="宋体"/>
          <w:b/>
          <w:bCs/>
          <w:color w:val="auto"/>
          <w:sz w:val="22"/>
          <w:szCs w:val="24"/>
          <w:highlight w:val="none"/>
        </w:rPr>
        <w:fldChar w:fldCharType="end"/>
      </w:r>
    </w:p>
    <w:p w14:paraId="585C403E">
      <w:pPr>
        <w:pStyle w:val="34"/>
        <w:tabs>
          <w:tab w:val="right" w:leader="dot" w:pos="8306"/>
          <w:tab w:val="clear" w:pos="9515"/>
        </w:tabs>
        <w:spacing w:line="360" w:lineRule="auto"/>
        <w:rPr>
          <w:sz w:val="22"/>
          <w:szCs w:val="28"/>
          <w:highlight w:val="none"/>
        </w:rPr>
      </w:pPr>
      <w:r>
        <w:rPr>
          <w:rFonts w:hint="eastAsia" w:ascii="宋体" w:hAnsi="宋体" w:cs="宋体"/>
          <w:bCs/>
          <w:color w:val="auto"/>
          <w:sz w:val="22"/>
          <w:szCs w:val="24"/>
          <w:highlight w:val="none"/>
        </w:rPr>
        <w:fldChar w:fldCharType="begin"/>
      </w:r>
      <w:r>
        <w:rPr>
          <w:rFonts w:hint="eastAsia" w:ascii="宋体" w:hAnsi="宋体" w:cs="宋体"/>
          <w:bCs/>
          <w:sz w:val="22"/>
          <w:szCs w:val="24"/>
          <w:highlight w:val="none"/>
        </w:rPr>
        <w:instrText xml:space="preserve"> HYPERLINK \l _Toc25991 </w:instrText>
      </w:r>
      <w:r>
        <w:rPr>
          <w:rFonts w:hint="eastAsia" w:ascii="宋体" w:hAnsi="宋体" w:cs="宋体"/>
          <w:bCs/>
          <w:sz w:val="22"/>
          <w:szCs w:val="24"/>
          <w:highlight w:val="none"/>
        </w:rPr>
        <w:fldChar w:fldCharType="separate"/>
      </w:r>
      <w:r>
        <w:rPr>
          <w:rFonts w:hint="eastAsia" w:ascii="宋体" w:hAnsi="宋体" w:eastAsia="宋体" w:cs="宋体"/>
          <w:bCs/>
          <w:sz w:val="22"/>
          <w:szCs w:val="32"/>
          <w:highlight w:val="none"/>
          <w:lang w:val="en-US" w:eastAsia="zh-CN"/>
        </w:rPr>
        <w:t>★</w:t>
      </w:r>
      <w:r>
        <w:rPr>
          <w:rFonts w:hint="eastAsia" w:ascii="宋体" w:hAnsi="宋体" w:cs="宋体"/>
          <w:bCs/>
          <w:sz w:val="22"/>
          <w:szCs w:val="32"/>
          <w:highlight w:val="none"/>
          <w:lang w:val="en-US" w:eastAsia="zh-CN"/>
        </w:rPr>
        <w:t xml:space="preserve">第三节 </w:t>
      </w:r>
      <w:r>
        <w:rPr>
          <w:rFonts w:hint="eastAsia" w:ascii="宋体" w:hAnsi="宋体" w:eastAsia="宋体" w:cs="宋体"/>
          <w:bCs/>
          <w:sz w:val="22"/>
          <w:szCs w:val="32"/>
          <w:highlight w:val="none"/>
          <w:lang w:val="en-US" w:eastAsia="zh-CN"/>
        </w:rPr>
        <w:t>政府采购合同专用条款</w:t>
      </w:r>
      <w:r>
        <w:rPr>
          <w:sz w:val="22"/>
          <w:szCs w:val="28"/>
          <w:highlight w:val="none"/>
        </w:rPr>
        <w:tab/>
      </w:r>
      <w:r>
        <w:rPr>
          <w:sz w:val="22"/>
          <w:szCs w:val="28"/>
          <w:highlight w:val="none"/>
        </w:rPr>
        <w:fldChar w:fldCharType="begin"/>
      </w:r>
      <w:r>
        <w:rPr>
          <w:sz w:val="22"/>
          <w:szCs w:val="28"/>
          <w:highlight w:val="none"/>
        </w:rPr>
        <w:instrText xml:space="preserve"> PAGEREF _Toc25991 \h </w:instrText>
      </w:r>
      <w:r>
        <w:rPr>
          <w:sz w:val="22"/>
          <w:szCs w:val="28"/>
          <w:highlight w:val="none"/>
        </w:rPr>
        <w:fldChar w:fldCharType="separate"/>
      </w:r>
      <w:r>
        <w:rPr>
          <w:sz w:val="22"/>
          <w:szCs w:val="28"/>
          <w:highlight w:val="none"/>
        </w:rPr>
        <w:t>38</w:t>
      </w:r>
      <w:r>
        <w:rPr>
          <w:sz w:val="22"/>
          <w:szCs w:val="28"/>
          <w:highlight w:val="none"/>
        </w:rPr>
        <w:fldChar w:fldCharType="end"/>
      </w:r>
      <w:r>
        <w:rPr>
          <w:rFonts w:hint="eastAsia" w:ascii="宋体" w:hAnsi="宋体" w:cs="宋体"/>
          <w:bCs/>
          <w:color w:val="auto"/>
          <w:sz w:val="22"/>
          <w:szCs w:val="24"/>
          <w:highlight w:val="none"/>
        </w:rPr>
        <w:fldChar w:fldCharType="end"/>
      </w:r>
    </w:p>
    <w:p w14:paraId="3371C2F7">
      <w:pPr>
        <w:pStyle w:val="28"/>
        <w:tabs>
          <w:tab w:val="right" w:leader="dot" w:pos="8306"/>
        </w:tabs>
        <w:spacing w:line="360" w:lineRule="auto"/>
        <w:rPr>
          <w:b/>
          <w:bCs/>
          <w:sz w:val="22"/>
          <w:szCs w:val="28"/>
          <w:highlight w:val="none"/>
        </w:rPr>
      </w:pPr>
      <w:r>
        <w:rPr>
          <w:rFonts w:hint="eastAsia" w:ascii="宋体" w:hAnsi="宋体" w:cs="宋体"/>
          <w:b/>
          <w:bCs/>
          <w:color w:val="auto"/>
          <w:sz w:val="22"/>
          <w:szCs w:val="24"/>
          <w:highlight w:val="none"/>
        </w:rPr>
        <w:fldChar w:fldCharType="begin"/>
      </w:r>
      <w:r>
        <w:rPr>
          <w:rFonts w:hint="eastAsia" w:ascii="宋体" w:hAnsi="宋体" w:cs="宋体"/>
          <w:b/>
          <w:bCs/>
          <w:sz w:val="22"/>
          <w:szCs w:val="24"/>
          <w:highlight w:val="none"/>
        </w:rPr>
        <w:instrText xml:space="preserve"> HYPERLINK \l _Toc27373 </w:instrText>
      </w:r>
      <w:r>
        <w:rPr>
          <w:rFonts w:hint="eastAsia" w:ascii="宋体" w:hAnsi="宋体" w:cs="宋体"/>
          <w:b/>
          <w:bCs/>
          <w:sz w:val="22"/>
          <w:szCs w:val="24"/>
          <w:highlight w:val="none"/>
        </w:rPr>
        <w:fldChar w:fldCharType="separate"/>
      </w:r>
      <w:r>
        <w:rPr>
          <w:rFonts w:hint="eastAsia" w:ascii="宋体" w:hAnsi="宋体" w:eastAsia="宋体" w:cs="宋体"/>
          <w:b/>
          <w:bCs/>
          <w:sz w:val="22"/>
          <w:szCs w:val="36"/>
          <w:highlight w:val="none"/>
        </w:rPr>
        <w:t>第四章  响应文件格式</w:t>
      </w:r>
      <w:r>
        <w:rPr>
          <w:b/>
          <w:bCs/>
          <w:sz w:val="22"/>
          <w:szCs w:val="28"/>
          <w:highlight w:val="none"/>
        </w:rPr>
        <w:tab/>
      </w:r>
      <w:r>
        <w:rPr>
          <w:b/>
          <w:bCs/>
          <w:sz w:val="22"/>
          <w:szCs w:val="28"/>
          <w:highlight w:val="none"/>
        </w:rPr>
        <w:fldChar w:fldCharType="begin"/>
      </w:r>
      <w:r>
        <w:rPr>
          <w:b/>
          <w:bCs/>
          <w:sz w:val="22"/>
          <w:szCs w:val="28"/>
          <w:highlight w:val="none"/>
        </w:rPr>
        <w:instrText xml:space="preserve"> PAGEREF _Toc27373 \h </w:instrText>
      </w:r>
      <w:r>
        <w:rPr>
          <w:b/>
          <w:bCs/>
          <w:sz w:val="22"/>
          <w:szCs w:val="28"/>
          <w:highlight w:val="none"/>
        </w:rPr>
        <w:fldChar w:fldCharType="separate"/>
      </w:r>
      <w:r>
        <w:rPr>
          <w:b/>
          <w:bCs/>
          <w:sz w:val="22"/>
          <w:szCs w:val="28"/>
          <w:highlight w:val="none"/>
        </w:rPr>
        <w:t>42</w:t>
      </w:r>
      <w:r>
        <w:rPr>
          <w:b/>
          <w:bCs/>
          <w:sz w:val="22"/>
          <w:szCs w:val="28"/>
          <w:highlight w:val="none"/>
        </w:rPr>
        <w:fldChar w:fldCharType="end"/>
      </w:r>
      <w:r>
        <w:rPr>
          <w:rFonts w:hint="eastAsia" w:ascii="宋体" w:hAnsi="宋体" w:cs="宋体"/>
          <w:b/>
          <w:bCs/>
          <w:color w:val="auto"/>
          <w:sz w:val="22"/>
          <w:szCs w:val="24"/>
          <w:highlight w:val="none"/>
        </w:rPr>
        <w:fldChar w:fldCharType="end"/>
      </w:r>
    </w:p>
    <w:p w14:paraId="3001A6BE">
      <w:pPr>
        <w:pStyle w:val="28"/>
        <w:tabs>
          <w:tab w:val="right" w:leader="dot" w:pos="8306"/>
        </w:tabs>
        <w:spacing w:line="360" w:lineRule="auto"/>
        <w:rPr>
          <w:b/>
          <w:bCs/>
          <w:sz w:val="22"/>
          <w:szCs w:val="28"/>
          <w:highlight w:val="none"/>
        </w:rPr>
      </w:pPr>
      <w:r>
        <w:rPr>
          <w:rFonts w:hint="eastAsia" w:ascii="宋体" w:hAnsi="宋体" w:cs="宋体"/>
          <w:b/>
          <w:bCs/>
          <w:color w:val="auto"/>
          <w:sz w:val="22"/>
          <w:szCs w:val="24"/>
          <w:highlight w:val="none"/>
        </w:rPr>
        <w:fldChar w:fldCharType="begin"/>
      </w:r>
      <w:r>
        <w:rPr>
          <w:rFonts w:hint="eastAsia" w:ascii="宋体" w:hAnsi="宋体" w:cs="宋体"/>
          <w:b/>
          <w:bCs/>
          <w:sz w:val="22"/>
          <w:szCs w:val="24"/>
          <w:highlight w:val="none"/>
        </w:rPr>
        <w:instrText xml:space="preserve"> HYPERLINK \l _Toc26511 </w:instrText>
      </w:r>
      <w:r>
        <w:rPr>
          <w:rFonts w:hint="eastAsia" w:ascii="宋体" w:hAnsi="宋体" w:cs="宋体"/>
          <w:b/>
          <w:bCs/>
          <w:sz w:val="22"/>
          <w:szCs w:val="24"/>
          <w:highlight w:val="none"/>
        </w:rPr>
        <w:fldChar w:fldCharType="separate"/>
      </w:r>
      <w:r>
        <w:rPr>
          <w:rFonts w:hint="eastAsia" w:ascii="宋体" w:hAnsi="宋体" w:eastAsia="宋体" w:cs="宋体"/>
          <w:b/>
          <w:bCs/>
          <w:sz w:val="22"/>
          <w:szCs w:val="36"/>
          <w:highlight w:val="none"/>
        </w:rPr>
        <w:t>第五章  采购需求</w:t>
      </w:r>
      <w:r>
        <w:rPr>
          <w:b/>
          <w:bCs/>
          <w:sz w:val="22"/>
          <w:szCs w:val="28"/>
          <w:highlight w:val="none"/>
        </w:rPr>
        <w:tab/>
      </w:r>
      <w:r>
        <w:rPr>
          <w:b/>
          <w:bCs/>
          <w:sz w:val="22"/>
          <w:szCs w:val="28"/>
          <w:highlight w:val="none"/>
        </w:rPr>
        <w:fldChar w:fldCharType="begin"/>
      </w:r>
      <w:r>
        <w:rPr>
          <w:b/>
          <w:bCs/>
          <w:sz w:val="22"/>
          <w:szCs w:val="28"/>
          <w:highlight w:val="none"/>
        </w:rPr>
        <w:instrText xml:space="preserve"> PAGEREF _Toc26511 \h </w:instrText>
      </w:r>
      <w:r>
        <w:rPr>
          <w:b/>
          <w:bCs/>
          <w:sz w:val="22"/>
          <w:szCs w:val="28"/>
          <w:highlight w:val="none"/>
        </w:rPr>
        <w:fldChar w:fldCharType="separate"/>
      </w:r>
      <w:r>
        <w:rPr>
          <w:b/>
          <w:bCs/>
          <w:sz w:val="22"/>
          <w:szCs w:val="28"/>
          <w:highlight w:val="none"/>
        </w:rPr>
        <w:t>72</w:t>
      </w:r>
      <w:r>
        <w:rPr>
          <w:b/>
          <w:bCs/>
          <w:sz w:val="22"/>
          <w:szCs w:val="28"/>
          <w:highlight w:val="none"/>
        </w:rPr>
        <w:fldChar w:fldCharType="end"/>
      </w:r>
      <w:r>
        <w:rPr>
          <w:rFonts w:hint="eastAsia" w:ascii="宋体" w:hAnsi="宋体" w:cs="宋体"/>
          <w:b/>
          <w:bCs/>
          <w:color w:val="auto"/>
          <w:sz w:val="22"/>
          <w:szCs w:val="24"/>
          <w:highlight w:val="none"/>
        </w:rPr>
        <w:fldChar w:fldCharType="end"/>
      </w:r>
    </w:p>
    <w:p w14:paraId="0A0E72C2">
      <w:pPr>
        <w:pStyle w:val="28"/>
        <w:tabs>
          <w:tab w:val="right" w:leader="dot" w:pos="8306"/>
        </w:tabs>
        <w:spacing w:line="360" w:lineRule="auto"/>
        <w:rPr>
          <w:b/>
          <w:bCs/>
          <w:sz w:val="22"/>
          <w:szCs w:val="28"/>
          <w:highlight w:val="none"/>
        </w:rPr>
      </w:pPr>
      <w:r>
        <w:rPr>
          <w:rFonts w:hint="eastAsia" w:ascii="宋体" w:hAnsi="宋体" w:cs="宋体"/>
          <w:b/>
          <w:bCs/>
          <w:color w:val="auto"/>
          <w:sz w:val="22"/>
          <w:szCs w:val="24"/>
          <w:highlight w:val="none"/>
        </w:rPr>
        <w:fldChar w:fldCharType="begin"/>
      </w:r>
      <w:r>
        <w:rPr>
          <w:rFonts w:hint="eastAsia" w:ascii="宋体" w:hAnsi="宋体" w:cs="宋体"/>
          <w:b/>
          <w:bCs/>
          <w:sz w:val="22"/>
          <w:szCs w:val="24"/>
          <w:highlight w:val="none"/>
        </w:rPr>
        <w:instrText xml:space="preserve"> HYPERLINK \l _Toc7893 </w:instrText>
      </w:r>
      <w:r>
        <w:rPr>
          <w:rFonts w:hint="eastAsia" w:ascii="宋体" w:hAnsi="宋体" w:cs="宋体"/>
          <w:b/>
          <w:bCs/>
          <w:sz w:val="22"/>
          <w:szCs w:val="24"/>
          <w:highlight w:val="none"/>
        </w:rPr>
        <w:fldChar w:fldCharType="separate"/>
      </w:r>
      <w:r>
        <w:rPr>
          <w:rFonts w:hint="eastAsia" w:ascii="宋体" w:hAnsi="宋体" w:eastAsia="宋体" w:cs="宋体"/>
          <w:b/>
          <w:bCs/>
          <w:sz w:val="22"/>
          <w:szCs w:val="36"/>
          <w:highlight w:val="none"/>
        </w:rPr>
        <w:t>第六章  谈判程序和方法</w:t>
      </w:r>
      <w:r>
        <w:rPr>
          <w:b/>
          <w:bCs/>
          <w:sz w:val="22"/>
          <w:szCs w:val="28"/>
          <w:highlight w:val="none"/>
        </w:rPr>
        <w:tab/>
      </w:r>
      <w:r>
        <w:rPr>
          <w:b/>
          <w:bCs/>
          <w:sz w:val="22"/>
          <w:szCs w:val="28"/>
          <w:highlight w:val="none"/>
        </w:rPr>
        <w:fldChar w:fldCharType="begin"/>
      </w:r>
      <w:r>
        <w:rPr>
          <w:b/>
          <w:bCs/>
          <w:sz w:val="22"/>
          <w:szCs w:val="28"/>
          <w:highlight w:val="none"/>
        </w:rPr>
        <w:instrText xml:space="preserve"> PAGEREF _Toc7893 \h </w:instrText>
      </w:r>
      <w:r>
        <w:rPr>
          <w:b/>
          <w:bCs/>
          <w:sz w:val="22"/>
          <w:szCs w:val="28"/>
          <w:highlight w:val="none"/>
        </w:rPr>
        <w:fldChar w:fldCharType="separate"/>
      </w:r>
      <w:r>
        <w:rPr>
          <w:b/>
          <w:bCs/>
          <w:sz w:val="22"/>
          <w:szCs w:val="28"/>
          <w:highlight w:val="none"/>
        </w:rPr>
        <w:t>93</w:t>
      </w:r>
      <w:r>
        <w:rPr>
          <w:b/>
          <w:bCs/>
          <w:sz w:val="22"/>
          <w:szCs w:val="28"/>
          <w:highlight w:val="none"/>
        </w:rPr>
        <w:fldChar w:fldCharType="end"/>
      </w:r>
      <w:r>
        <w:rPr>
          <w:rFonts w:hint="eastAsia" w:ascii="宋体" w:hAnsi="宋体" w:cs="宋体"/>
          <w:b/>
          <w:bCs/>
          <w:color w:val="auto"/>
          <w:sz w:val="22"/>
          <w:szCs w:val="24"/>
          <w:highlight w:val="none"/>
        </w:rPr>
        <w:fldChar w:fldCharType="end"/>
      </w:r>
    </w:p>
    <w:p w14:paraId="22FDCEC4">
      <w:pPr>
        <w:pStyle w:val="34"/>
        <w:tabs>
          <w:tab w:val="right" w:leader="dot" w:pos="8306"/>
          <w:tab w:val="clear" w:pos="9515"/>
        </w:tabs>
        <w:spacing w:line="360" w:lineRule="auto"/>
        <w:rPr>
          <w:sz w:val="22"/>
          <w:szCs w:val="28"/>
          <w:highlight w:val="none"/>
        </w:rPr>
      </w:pPr>
      <w:r>
        <w:rPr>
          <w:rFonts w:hint="eastAsia" w:ascii="宋体" w:hAnsi="宋体" w:cs="宋体"/>
          <w:bCs/>
          <w:color w:val="auto"/>
          <w:sz w:val="22"/>
          <w:szCs w:val="24"/>
          <w:highlight w:val="none"/>
        </w:rPr>
        <w:fldChar w:fldCharType="begin"/>
      </w:r>
      <w:r>
        <w:rPr>
          <w:rFonts w:hint="eastAsia" w:ascii="宋体" w:hAnsi="宋体" w:cs="宋体"/>
          <w:bCs/>
          <w:sz w:val="22"/>
          <w:szCs w:val="24"/>
          <w:highlight w:val="none"/>
        </w:rPr>
        <w:instrText xml:space="preserve"> HYPERLINK \l _Toc14809 </w:instrText>
      </w:r>
      <w:r>
        <w:rPr>
          <w:rFonts w:hint="eastAsia" w:ascii="宋体" w:hAnsi="宋体" w:cs="宋体"/>
          <w:bCs/>
          <w:sz w:val="22"/>
          <w:szCs w:val="24"/>
          <w:highlight w:val="none"/>
        </w:rPr>
        <w:fldChar w:fldCharType="separate"/>
      </w:r>
      <w:r>
        <w:rPr>
          <w:rFonts w:hint="eastAsia" w:ascii="宋体" w:hAnsi="宋体" w:cs="宋体"/>
          <w:sz w:val="22"/>
          <w:szCs w:val="32"/>
          <w:highlight w:val="none"/>
        </w:rPr>
        <w:t>谈判程序和方法前附表</w:t>
      </w:r>
      <w:r>
        <w:rPr>
          <w:sz w:val="22"/>
          <w:szCs w:val="28"/>
          <w:highlight w:val="none"/>
        </w:rPr>
        <w:tab/>
      </w:r>
      <w:r>
        <w:rPr>
          <w:sz w:val="22"/>
          <w:szCs w:val="28"/>
          <w:highlight w:val="none"/>
        </w:rPr>
        <w:fldChar w:fldCharType="begin"/>
      </w:r>
      <w:r>
        <w:rPr>
          <w:sz w:val="22"/>
          <w:szCs w:val="28"/>
          <w:highlight w:val="none"/>
        </w:rPr>
        <w:instrText xml:space="preserve"> PAGEREF _Toc14809 \h </w:instrText>
      </w:r>
      <w:r>
        <w:rPr>
          <w:sz w:val="22"/>
          <w:szCs w:val="28"/>
          <w:highlight w:val="none"/>
        </w:rPr>
        <w:fldChar w:fldCharType="separate"/>
      </w:r>
      <w:r>
        <w:rPr>
          <w:sz w:val="22"/>
          <w:szCs w:val="28"/>
          <w:highlight w:val="none"/>
        </w:rPr>
        <w:t>93</w:t>
      </w:r>
      <w:r>
        <w:rPr>
          <w:sz w:val="22"/>
          <w:szCs w:val="28"/>
          <w:highlight w:val="none"/>
        </w:rPr>
        <w:fldChar w:fldCharType="end"/>
      </w:r>
      <w:r>
        <w:rPr>
          <w:rFonts w:hint="eastAsia" w:ascii="宋体" w:hAnsi="宋体" w:cs="宋体"/>
          <w:bCs/>
          <w:color w:val="auto"/>
          <w:sz w:val="22"/>
          <w:szCs w:val="24"/>
          <w:highlight w:val="none"/>
        </w:rPr>
        <w:fldChar w:fldCharType="end"/>
      </w:r>
    </w:p>
    <w:p w14:paraId="0A3B1A1F">
      <w:pPr>
        <w:pStyle w:val="20"/>
        <w:tabs>
          <w:tab w:val="right" w:leader="dot" w:pos="9525"/>
          <w:tab w:val="clear" w:pos="9515"/>
        </w:tabs>
        <w:adjustRightInd w:val="0"/>
        <w:snapToGrid w:val="0"/>
        <w:spacing w:line="360" w:lineRule="auto"/>
        <w:ind w:left="0" w:leftChars="0"/>
        <w:rPr>
          <w:rFonts w:ascii="宋体" w:hAnsi="宋体" w:cs="宋体"/>
          <w:color w:val="auto"/>
          <w:szCs w:val="21"/>
          <w:highlight w:val="none"/>
        </w:rPr>
      </w:pPr>
      <w:r>
        <w:rPr>
          <w:rFonts w:hint="eastAsia" w:ascii="宋体" w:hAnsi="宋体" w:cs="宋体"/>
          <w:bCs/>
          <w:color w:val="auto"/>
          <w:sz w:val="22"/>
          <w:szCs w:val="24"/>
          <w:highlight w:val="none"/>
        </w:rPr>
        <w:fldChar w:fldCharType="end"/>
      </w:r>
    </w:p>
    <w:p w14:paraId="6E125416">
      <w:pPr>
        <w:pStyle w:val="6"/>
        <w:snapToGrid w:val="0"/>
        <w:spacing w:line="360" w:lineRule="auto"/>
        <w:jc w:val="center"/>
        <w:rPr>
          <w:rFonts w:ascii="宋体" w:hAnsi="宋体" w:eastAsia="宋体" w:cs="宋体"/>
          <w:color w:val="auto"/>
          <w:sz w:val="32"/>
          <w:highlight w:val="none"/>
        </w:rPr>
        <w:sectPr>
          <w:headerReference r:id="rId4" w:type="first"/>
          <w:footerReference r:id="rId6" w:type="first"/>
          <w:headerReference r:id="rId3" w:type="default"/>
          <w:footerReference r:id="rId5" w:type="default"/>
          <w:pgSz w:w="11906" w:h="16838"/>
          <w:pgMar w:top="1440" w:right="1800" w:bottom="1440" w:left="1800" w:header="964" w:footer="680" w:gutter="0"/>
          <w:pgNumType w:start="0"/>
          <w:cols w:space="0" w:num="1"/>
          <w:titlePg/>
          <w:docGrid w:type="lines" w:linePitch="312" w:charSpace="0"/>
        </w:sectPr>
      </w:pPr>
    </w:p>
    <w:p w14:paraId="7449B19A">
      <w:pPr>
        <w:pStyle w:val="6"/>
        <w:snapToGrid w:val="0"/>
        <w:spacing w:line="360" w:lineRule="auto"/>
        <w:jc w:val="center"/>
        <w:rPr>
          <w:rFonts w:ascii="宋体" w:hAnsi="宋体" w:eastAsia="宋体" w:cs="宋体"/>
          <w:color w:val="auto"/>
          <w:sz w:val="32"/>
          <w:highlight w:val="none"/>
        </w:rPr>
      </w:pPr>
      <w:bookmarkStart w:id="0" w:name="_Toc24120"/>
      <w:r>
        <w:rPr>
          <w:rFonts w:hint="eastAsia" w:ascii="宋体" w:hAnsi="宋体" w:eastAsia="宋体" w:cs="宋体"/>
          <w:color w:val="auto"/>
          <w:sz w:val="32"/>
          <w:highlight w:val="none"/>
        </w:rPr>
        <w:t>第一章  竞争性谈判公告</w:t>
      </w:r>
      <w:bookmarkEnd w:id="0"/>
    </w:p>
    <w:p w14:paraId="1EE8BCDA">
      <w:pPr>
        <w:pBdr>
          <w:top w:val="single" w:color="auto" w:sz="4" w:space="1"/>
          <w:left w:val="single" w:color="auto" w:sz="4" w:space="4"/>
          <w:bottom w:val="single" w:color="auto" w:sz="4" w:space="1"/>
          <w:right w:val="single" w:color="auto" w:sz="4" w:space="4"/>
        </w:pBdr>
        <w:adjustRightInd w:val="0"/>
        <w:snapToGrid w:val="0"/>
        <w:spacing w:line="360" w:lineRule="auto"/>
        <w:jc w:val="center"/>
        <w:rPr>
          <w:rFonts w:ascii="宋体" w:hAnsi="宋体" w:cs="宋体"/>
          <w:b/>
          <w:bCs/>
          <w:color w:val="auto"/>
          <w:sz w:val="24"/>
          <w:highlight w:val="none"/>
        </w:rPr>
      </w:pPr>
      <w:bookmarkStart w:id="1" w:name="_Toc22851"/>
      <w:bookmarkStart w:id="2" w:name="_Toc24673"/>
      <w:bookmarkStart w:id="3" w:name="_Toc496805422"/>
      <w:bookmarkStart w:id="4" w:name="_Toc86124033"/>
      <w:bookmarkStart w:id="5" w:name="_Toc496805383"/>
      <w:bookmarkStart w:id="6" w:name="_Toc37716339"/>
      <w:bookmarkStart w:id="7" w:name="_Toc38338259"/>
      <w:bookmarkStart w:id="8" w:name="_Toc14124"/>
      <w:bookmarkStart w:id="9" w:name="_Toc496805350"/>
      <w:bookmarkStart w:id="10" w:name="_Toc492340329"/>
      <w:r>
        <w:rPr>
          <w:rFonts w:hint="eastAsia" w:ascii="宋体" w:hAnsi="宋体" w:cs="宋体"/>
          <w:b/>
          <w:bCs/>
          <w:color w:val="auto"/>
          <w:sz w:val="24"/>
          <w:highlight w:val="none"/>
        </w:rPr>
        <w:t>项目概况</w:t>
      </w:r>
    </w:p>
    <w:p w14:paraId="281E4907">
      <w:pPr>
        <w:pBdr>
          <w:top w:val="single" w:color="auto" w:sz="4" w:space="1"/>
          <w:left w:val="single" w:color="auto" w:sz="4" w:space="4"/>
          <w:bottom w:val="single" w:color="auto" w:sz="4" w:space="1"/>
          <w:right w:val="single" w:color="auto" w:sz="4" w:space="4"/>
        </w:pBdr>
        <w:wordWrap w:val="0"/>
        <w:adjustRightInd w:val="0"/>
        <w:snapToGrid w:val="0"/>
        <w:spacing w:line="360" w:lineRule="auto"/>
        <w:ind w:firstLine="420" w:firstLineChars="200"/>
        <w:rPr>
          <w:rFonts w:ascii="宋体" w:hAnsi="宋体" w:cs="宋体"/>
          <w:color w:val="auto"/>
          <w:sz w:val="24"/>
          <w:highlight w:val="none"/>
        </w:rPr>
      </w:pPr>
      <w:r>
        <w:rPr>
          <w:rFonts w:hint="eastAsia" w:ascii="宋体" w:hAnsi="宋体" w:cs="宋体"/>
          <w:color w:val="auto"/>
          <w:szCs w:val="21"/>
          <w:highlight w:val="none"/>
          <w:lang w:eastAsia="zh-CN"/>
        </w:rPr>
        <w:t>昆明市公安局交通管理支队警用无人机装备采购</w:t>
      </w:r>
      <w:r>
        <w:rPr>
          <w:rFonts w:hint="eastAsia" w:ascii="宋体" w:hAnsi="宋体" w:cs="宋体"/>
          <w:color w:val="auto"/>
          <w:szCs w:val="21"/>
          <w:highlight w:val="none"/>
        </w:rPr>
        <w:t>的潜在供应商应在政采云平台（https：//www.zcygov.cn/）线上获取采购文件获取竞争性谈判文件</w:t>
      </w:r>
      <w:r>
        <w:rPr>
          <w:rFonts w:hint="eastAsia" w:ascii="宋体" w:hAnsi="宋体" w:cs="宋体"/>
          <w:color w:val="auto"/>
          <w:szCs w:val="21"/>
          <w:highlight w:val="none"/>
          <w:lang w:eastAsia="zh-CN"/>
        </w:rPr>
        <w:t>，</w:t>
      </w:r>
      <w:r>
        <w:rPr>
          <w:rFonts w:hint="eastAsia" w:ascii="宋体" w:hAnsi="宋体" w:cs="宋体"/>
          <w:color w:val="auto"/>
          <w:szCs w:val="21"/>
          <w:highlight w:val="none"/>
        </w:rPr>
        <w:t>并于</w:t>
      </w:r>
      <w:r>
        <w:rPr>
          <w:rFonts w:hint="eastAsia" w:ascii="宋体" w:hAnsi="宋体" w:cs="宋体"/>
          <w:color w:val="auto"/>
          <w:szCs w:val="21"/>
          <w:highlight w:val="none"/>
          <w:lang w:eastAsia="zh-CN"/>
        </w:rPr>
        <w:t>2025年11月03日14点30分</w:t>
      </w:r>
      <w:r>
        <w:rPr>
          <w:rFonts w:hint="eastAsia" w:ascii="宋体" w:hAnsi="宋体" w:cs="宋体"/>
          <w:bCs/>
          <w:color w:val="auto"/>
          <w:szCs w:val="21"/>
          <w:highlight w:val="none"/>
        </w:rPr>
        <w:t>（北京时间）前递交响应文件</w:t>
      </w:r>
      <w:r>
        <w:rPr>
          <w:rFonts w:hint="eastAsia" w:ascii="宋体" w:hAnsi="宋体" w:cs="宋体"/>
          <w:color w:val="auto"/>
          <w:sz w:val="24"/>
          <w:highlight w:val="none"/>
        </w:rPr>
        <w:t>。</w:t>
      </w:r>
    </w:p>
    <w:p w14:paraId="6977ACD9">
      <w:pPr>
        <w:pStyle w:val="8"/>
        <w:adjustRightInd w:val="0"/>
        <w:snapToGrid w:val="0"/>
        <w:spacing w:before="0" w:after="0"/>
        <w:ind w:firstLine="0" w:firstLineChars="0"/>
        <w:jc w:val="left"/>
        <w:rPr>
          <w:rFonts w:hAnsi="宋体" w:cs="宋体"/>
          <w:color w:val="auto"/>
          <w:szCs w:val="24"/>
          <w:highlight w:val="none"/>
        </w:rPr>
      </w:pPr>
      <w:bookmarkStart w:id="11" w:name="_Toc24183"/>
      <w:bookmarkStart w:id="12" w:name="_Toc35393621"/>
      <w:bookmarkStart w:id="13" w:name="_Toc35393790"/>
      <w:bookmarkStart w:id="14" w:name="_Toc28359002"/>
      <w:bookmarkStart w:id="15" w:name="_Toc28359079"/>
      <w:bookmarkStart w:id="16" w:name="_Toc28120"/>
      <w:bookmarkStart w:id="17" w:name="_Hlk24379207"/>
      <w:bookmarkStart w:id="18" w:name="_Toc28359087"/>
      <w:bookmarkStart w:id="19" w:name="_Toc28359010"/>
      <w:r>
        <w:rPr>
          <w:rFonts w:hint="eastAsia" w:hAnsi="宋体" w:cs="宋体"/>
          <w:color w:val="auto"/>
          <w:szCs w:val="24"/>
          <w:highlight w:val="none"/>
        </w:rPr>
        <w:t>一、项目基本情况</w:t>
      </w:r>
      <w:bookmarkEnd w:id="11"/>
      <w:bookmarkEnd w:id="12"/>
      <w:bookmarkEnd w:id="13"/>
      <w:bookmarkEnd w:id="14"/>
      <w:bookmarkEnd w:id="15"/>
      <w:bookmarkEnd w:id="16"/>
    </w:p>
    <w:p w14:paraId="46767831">
      <w:pPr>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1.项目编号：</w:t>
      </w:r>
      <w:r>
        <w:rPr>
          <w:rFonts w:hint="eastAsia" w:ascii="宋体" w:hAnsi="宋体" w:cs="宋体"/>
          <w:color w:val="auto"/>
          <w:szCs w:val="21"/>
          <w:highlight w:val="none"/>
          <w:lang w:eastAsia="zh-CN"/>
        </w:rPr>
        <w:t>KMZC2025-J1-02769-YNGR-0337</w:t>
      </w:r>
    </w:p>
    <w:p w14:paraId="61A035B4">
      <w:pPr>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2.项目名称：</w:t>
      </w:r>
      <w:r>
        <w:rPr>
          <w:rFonts w:hint="eastAsia" w:ascii="宋体" w:hAnsi="宋体" w:cs="宋体"/>
          <w:color w:val="auto"/>
          <w:szCs w:val="21"/>
          <w:highlight w:val="none"/>
          <w:lang w:eastAsia="zh-CN"/>
        </w:rPr>
        <w:t>昆明市公安局交通管理支队警用无人机装备采购</w:t>
      </w:r>
    </w:p>
    <w:bookmarkEnd w:id="17"/>
    <w:p w14:paraId="4683532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3.预算金额：1622420.00元</w:t>
      </w:r>
    </w:p>
    <w:p w14:paraId="4FC8117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4.最高限价：</w:t>
      </w:r>
      <w:r>
        <w:rPr>
          <w:rFonts w:hint="eastAsia" w:ascii="宋体" w:hAnsi="宋体" w:cs="宋体"/>
          <w:color w:val="auto"/>
          <w:szCs w:val="21"/>
          <w:highlight w:val="none"/>
          <w:lang w:eastAsia="zh-CN"/>
        </w:rPr>
        <w:t>1622420.00</w:t>
      </w:r>
      <w:r>
        <w:rPr>
          <w:rFonts w:hint="eastAsia" w:ascii="宋体" w:hAnsi="宋体" w:cs="宋体"/>
          <w:color w:val="auto"/>
          <w:szCs w:val="21"/>
          <w:highlight w:val="none"/>
        </w:rPr>
        <w:t>元</w:t>
      </w:r>
    </w:p>
    <w:p w14:paraId="2966CC7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5.采购需求：</w:t>
      </w:r>
    </w:p>
    <w:tbl>
      <w:tblPr>
        <w:tblStyle w:val="42"/>
        <w:tblW w:w="833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687"/>
        <w:gridCol w:w="1313"/>
        <w:gridCol w:w="2153"/>
        <w:gridCol w:w="677"/>
        <w:gridCol w:w="726"/>
        <w:gridCol w:w="2774"/>
      </w:tblGrid>
      <w:tr w14:paraId="545A71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3" w:hRule="atLeast"/>
          <w:jc w:val="center"/>
        </w:trPr>
        <w:tc>
          <w:tcPr>
            <w:tcW w:w="687" w:type="dxa"/>
            <w:tcBorders>
              <w:tl2br w:val="nil"/>
              <w:tr2bl w:val="nil"/>
            </w:tcBorders>
            <w:tcMar>
              <w:top w:w="0" w:type="dxa"/>
              <w:left w:w="108" w:type="dxa"/>
              <w:bottom w:w="0" w:type="dxa"/>
              <w:right w:w="108" w:type="dxa"/>
            </w:tcMar>
            <w:vAlign w:val="center"/>
          </w:tcPr>
          <w:p w14:paraId="7D1801FF">
            <w:pPr>
              <w:pStyle w:val="38"/>
              <w:adjustRightInd w:val="0"/>
              <w:snapToGrid w:val="0"/>
              <w:spacing w:before="0" w:beforeAutospacing="0" w:after="0" w:afterAutospacing="0" w:line="360" w:lineRule="auto"/>
              <w:jc w:val="center"/>
              <w:rPr>
                <w:rFonts w:cs="宋体"/>
                <w:b/>
                <w:color w:val="auto"/>
                <w:sz w:val="21"/>
                <w:szCs w:val="21"/>
                <w:highlight w:val="none"/>
              </w:rPr>
            </w:pPr>
            <w:r>
              <w:rPr>
                <w:rFonts w:hint="eastAsia" w:cs="宋体"/>
                <w:b/>
                <w:color w:val="auto"/>
                <w:sz w:val="21"/>
                <w:szCs w:val="21"/>
                <w:highlight w:val="none"/>
              </w:rPr>
              <w:t>序号</w:t>
            </w:r>
          </w:p>
        </w:tc>
        <w:tc>
          <w:tcPr>
            <w:tcW w:w="1313" w:type="dxa"/>
            <w:tcBorders>
              <w:tl2br w:val="nil"/>
              <w:tr2bl w:val="nil"/>
            </w:tcBorders>
            <w:tcMar>
              <w:top w:w="0" w:type="dxa"/>
              <w:left w:w="108" w:type="dxa"/>
              <w:bottom w:w="0" w:type="dxa"/>
              <w:right w:w="108" w:type="dxa"/>
            </w:tcMar>
            <w:vAlign w:val="center"/>
          </w:tcPr>
          <w:p w14:paraId="4DE5A7DC">
            <w:pPr>
              <w:pStyle w:val="38"/>
              <w:adjustRightInd w:val="0"/>
              <w:snapToGrid w:val="0"/>
              <w:spacing w:before="0" w:beforeAutospacing="0" w:after="0" w:afterAutospacing="0" w:line="360" w:lineRule="auto"/>
              <w:jc w:val="center"/>
              <w:rPr>
                <w:rFonts w:cs="宋体"/>
                <w:b/>
                <w:color w:val="auto"/>
                <w:sz w:val="21"/>
                <w:szCs w:val="21"/>
                <w:highlight w:val="none"/>
              </w:rPr>
            </w:pPr>
            <w:r>
              <w:rPr>
                <w:rFonts w:hint="eastAsia" w:cs="宋体"/>
                <w:b/>
                <w:color w:val="auto"/>
                <w:sz w:val="21"/>
                <w:szCs w:val="21"/>
                <w:highlight w:val="none"/>
              </w:rPr>
              <w:t>是否接受进口产品投标</w:t>
            </w:r>
          </w:p>
        </w:tc>
        <w:tc>
          <w:tcPr>
            <w:tcW w:w="2153" w:type="dxa"/>
            <w:tcBorders>
              <w:tl2br w:val="nil"/>
              <w:tr2bl w:val="nil"/>
            </w:tcBorders>
            <w:tcMar>
              <w:top w:w="0" w:type="dxa"/>
              <w:left w:w="108" w:type="dxa"/>
              <w:bottom w:w="0" w:type="dxa"/>
              <w:right w:w="108" w:type="dxa"/>
            </w:tcMar>
            <w:vAlign w:val="center"/>
          </w:tcPr>
          <w:p w14:paraId="53E00FEC">
            <w:pPr>
              <w:pStyle w:val="38"/>
              <w:adjustRightInd w:val="0"/>
              <w:snapToGrid w:val="0"/>
              <w:spacing w:before="0" w:beforeAutospacing="0" w:after="0" w:afterAutospacing="0" w:line="360" w:lineRule="auto"/>
              <w:jc w:val="center"/>
              <w:rPr>
                <w:rFonts w:cs="宋体"/>
                <w:color w:val="auto"/>
                <w:sz w:val="21"/>
                <w:szCs w:val="21"/>
                <w:highlight w:val="none"/>
              </w:rPr>
            </w:pPr>
            <w:r>
              <w:rPr>
                <w:rStyle w:val="45"/>
                <w:rFonts w:hint="eastAsia" w:cs="宋体"/>
                <w:color w:val="auto"/>
                <w:sz w:val="21"/>
                <w:szCs w:val="21"/>
                <w:highlight w:val="none"/>
              </w:rPr>
              <w:t>产品（标的）名称</w:t>
            </w:r>
          </w:p>
        </w:tc>
        <w:tc>
          <w:tcPr>
            <w:tcW w:w="677" w:type="dxa"/>
            <w:tcBorders>
              <w:tl2br w:val="nil"/>
              <w:tr2bl w:val="nil"/>
            </w:tcBorders>
            <w:tcMar>
              <w:top w:w="0" w:type="dxa"/>
              <w:left w:w="108" w:type="dxa"/>
              <w:bottom w:w="0" w:type="dxa"/>
              <w:right w:w="108" w:type="dxa"/>
            </w:tcMar>
            <w:vAlign w:val="center"/>
          </w:tcPr>
          <w:p w14:paraId="4D857C09">
            <w:pPr>
              <w:pStyle w:val="38"/>
              <w:adjustRightInd w:val="0"/>
              <w:snapToGrid w:val="0"/>
              <w:spacing w:before="0" w:beforeAutospacing="0" w:after="0" w:afterAutospacing="0" w:line="360" w:lineRule="auto"/>
              <w:jc w:val="center"/>
              <w:rPr>
                <w:rFonts w:cs="宋体"/>
                <w:color w:val="auto"/>
                <w:sz w:val="21"/>
                <w:szCs w:val="21"/>
                <w:highlight w:val="none"/>
              </w:rPr>
            </w:pPr>
            <w:r>
              <w:rPr>
                <w:rStyle w:val="45"/>
                <w:rFonts w:hint="eastAsia" w:cs="宋体"/>
                <w:color w:val="auto"/>
                <w:sz w:val="21"/>
                <w:szCs w:val="21"/>
                <w:highlight w:val="none"/>
              </w:rPr>
              <w:t>数量</w:t>
            </w:r>
          </w:p>
        </w:tc>
        <w:tc>
          <w:tcPr>
            <w:tcW w:w="726" w:type="dxa"/>
            <w:tcBorders>
              <w:tl2br w:val="nil"/>
              <w:tr2bl w:val="nil"/>
            </w:tcBorders>
            <w:tcMar>
              <w:top w:w="0" w:type="dxa"/>
              <w:left w:w="108" w:type="dxa"/>
              <w:bottom w:w="0" w:type="dxa"/>
              <w:right w:w="108" w:type="dxa"/>
            </w:tcMar>
            <w:vAlign w:val="center"/>
          </w:tcPr>
          <w:p w14:paraId="31A0A33A">
            <w:pPr>
              <w:pStyle w:val="38"/>
              <w:adjustRightInd w:val="0"/>
              <w:snapToGrid w:val="0"/>
              <w:spacing w:before="0" w:beforeAutospacing="0" w:after="0" w:afterAutospacing="0" w:line="360" w:lineRule="auto"/>
              <w:jc w:val="center"/>
              <w:rPr>
                <w:rFonts w:cs="宋体"/>
                <w:color w:val="auto"/>
                <w:sz w:val="21"/>
                <w:szCs w:val="21"/>
                <w:highlight w:val="none"/>
              </w:rPr>
            </w:pPr>
            <w:r>
              <w:rPr>
                <w:rStyle w:val="45"/>
                <w:rFonts w:hint="eastAsia" w:cs="宋体"/>
                <w:color w:val="auto"/>
                <w:sz w:val="21"/>
                <w:szCs w:val="21"/>
                <w:highlight w:val="none"/>
              </w:rPr>
              <w:t>计量单位</w:t>
            </w:r>
          </w:p>
        </w:tc>
        <w:tc>
          <w:tcPr>
            <w:tcW w:w="2774" w:type="dxa"/>
            <w:tcBorders>
              <w:tl2br w:val="nil"/>
              <w:tr2bl w:val="nil"/>
            </w:tcBorders>
            <w:tcMar>
              <w:top w:w="0" w:type="dxa"/>
              <w:left w:w="108" w:type="dxa"/>
              <w:bottom w:w="0" w:type="dxa"/>
              <w:right w:w="108" w:type="dxa"/>
            </w:tcMar>
            <w:vAlign w:val="center"/>
          </w:tcPr>
          <w:p w14:paraId="0A3D3A62">
            <w:pPr>
              <w:pStyle w:val="38"/>
              <w:adjustRightInd w:val="0"/>
              <w:snapToGrid w:val="0"/>
              <w:spacing w:before="0" w:beforeAutospacing="0" w:after="0" w:afterAutospacing="0" w:line="360" w:lineRule="auto"/>
              <w:jc w:val="center"/>
              <w:rPr>
                <w:rFonts w:cs="宋体"/>
                <w:b/>
                <w:bCs/>
                <w:color w:val="auto"/>
                <w:sz w:val="21"/>
                <w:szCs w:val="21"/>
                <w:highlight w:val="none"/>
              </w:rPr>
            </w:pPr>
            <w:r>
              <w:rPr>
                <w:rStyle w:val="45"/>
                <w:rFonts w:hint="eastAsia" w:cs="宋体"/>
                <w:color w:val="auto"/>
                <w:sz w:val="21"/>
                <w:szCs w:val="21"/>
                <w:highlight w:val="none"/>
              </w:rPr>
              <w:t>简要技术需求或服务要求</w:t>
            </w:r>
          </w:p>
        </w:tc>
      </w:tr>
      <w:tr w14:paraId="053A1F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3" w:hRule="atLeast"/>
          <w:jc w:val="center"/>
        </w:trPr>
        <w:tc>
          <w:tcPr>
            <w:tcW w:w="687" w:type="dxa"/>
            <w:tcBorders>
              <w:tl2br w:val="nil"/>
              <w:tr2bl w:val="nil"/>
            </w:tcBorders>
            <w:tcMar>
              <w:top w:w="0" w:type="dxa"/>
              <w:left w:w="108" w:type="dxa"/>
              <w:bottom w:w="0" w:type="dxa"/>
              <w:right w:w="108" w:type="dxa"/>
            </w:tcMar>
            <w:vAlign w:val="center"/>
          </w:tcPr>
          <w:p w14:paraId="248B092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1313" w:type="dxa"/>
            <w:tcBorders>
              <w:tl2br w:val="nil"/>
              <w:tr2bl w:val="nil"/>
            </w:tcBorders>
            <w:tcMar>
              <w:top w:w="0" w:type="dxa"/>
              <w:left w:w="108" w:type="dxa"/>
              <w:bottom w:w="0" w:type="dxa"/>
              <w:right w:w="108" w:type="dxa"/>
            </w:tcMar>
            <w:vAlign w:val="center"/>
          </w:tcPr>
          <w:p w14:paraId="14B51D6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否</w:t>
            </w:r>
          </w:p>
        </w:tc>
        <w:tc>
          <w:tcPr>
            <w:tcW w:w="2153" w:type="dxa"/>
            <w:tcBorders>
              <w:tl2br w:val="nil"/>
              <w:tr2bl w:val="nil"/>
            </w:tcBorders>
            <w:tcMar>
              <w:top w:w="0" w:type="dxa"/>
              <w:left w:w="108" w:type="dxa"/>
              <w:bottom w:w="0" w:type="dxa"/>
              <w:right w:w="108" w:type="dxa"/>
            </w:tcMar>
            <w:vAlign w:val="center"/>
          </w:tcPr>
          <w:p w14:paraId="0924411A">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default" w:ascii="宋体" w:hAnsi="宋体" w:eastAsia="宋体" w:cs="宋体"/>
                <w:i w:val="0"/>
                <w:iCs w:val="0"/>
                <w:color w:val="000000"/>
                <w:kern w:val="0"/>
                <w:sz w:val="21"/>
                <w:szCs w:val="21"/>
                <w:highlight w:val="none"/>
                <w:u w:val="none"/>
                <w:lang w:val="en-US" w:eastAsia="zh-CN" w:bidi="ar"/>
              </w:rPr>
              <w:t>警用无人机装备采购</w:t>
            </w:r>
          </w:p>
        </w:tc>
        <w:tc>
          <w:tcPr>
            <w:tcW w:w="677" w:type="dxa"/>
            <w:tcBorders>
              <w:tl2br w:val="nil"/>
              <w:tr2bl w:val="nil"/>
            </w:tcBorders>
            <w:tcMar>
              <w:top w:w="0" w:type="dxa"/>
              <w:left w:w="108" w:type="dxa"/>
              <w:bottom w:w="0" w:type="dxa"/>
              <w:right w:w="108" w:type="dxa"/>
            </w:tcMar>
            <w:vAlign w:val="center"/>
          </w:tcPr>
          <w:p w14:paraId="4BC072E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w:t>
            </w:r>
          </w:p>
        </w:tc>
        <w:tc>
          <w:tcPr>
            <w:tcW w:w="726" w:type="dxa"/>
            <w:tcBorders>
              <w:tl2br w:val="nil"/>
              <w:tr2bl w:val="nil"/>
            </w:tcBorders>
            <w:tcMar>
              <w:top w:w="0" w:type="dxa"/>
              <w:left w:w="108" w:type="dxa"/>
              <w:bottom w:w="0" w:type="dxa"/>
              <w:right w:w="108" w:type="dxa"/>
            </w:tcMar>
            <w:vAlign w:val="center"/>
          </w:tcPr>
          <w:p w14:paraId="3BBE03BA">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default" w:ascii="宋体" w:hAnsi="宋体" w:eastAsia="宋体" w:cs="宋体"/>
                <w:i w:val="0"/>
                <w:iCs w:val="0"/>
                <w:color w:val="000000"/>
                <w:kern w:val="0"/>
                <w:sz w:val="21"/>
                <w:szCs w:val="21"/>
                <w:highlight w:val="none"/>
                <w:u w:val="none"/>
                <w:lang w:val="en-US" w:eastAsia="zh-CN" w:bidi="ar"/>
              </w:rPr>
              <w:t>批</w:t>
            </w:r>
          </w:p>
        </w:tc>
        <w:tc>
          <w:tcPr>
            <w:tcW w:w="2774" w:type="dxa"/>
            <w:tcBorders>
              <w:tl2br w:val="nil"/>
              <w:tr2bl w:val="nil"/>
            </w:tcBorders>
            <w:tcMar>
              <w:top w:w="0" w:type="dxa"/>
              <w:left w:w="108" w:type="dxa"/>
              <w:bottom w:w="0" w:type="dxa"/>
              <w:right w:w="108" w:type="dxa"/>
            </w:tcMar>
            <w:vAlign w:val="center"/>
          </w:tcPr>
          <w:p w14:paraId="6378279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本项目拟采购手持式无人机A套装、手持式无人机B套装、机场式无人机C套装、机场式无人机D套装，用于快速路况巡查与监控、高效处理交通事故等警务保障。</w:t>
            </w:r>
          </w:p>
        </w:tc>
      </w:tr>
    </w:tbl>
    <w:p w14:paraId="5A0C19C4">
      <w:pPr>
        <w:adjustRightInd w:val="0"/>
        <w:snapToGrid w:val="0"/>
        <w:spacing w:line="360" w:lineRule="auto"/>
        <w:ind w:firstLine="420" w:firstLineChars="200"/>
        <w:rPr>
          <w:rFonts w:ascii="宋体" w:hAnsi="宋体" w:cs="宋体"/>
          <w:b/>
          <w:bCs/>
          <w:color w:val="auto"/>
          <w:szCs w:val="21"/>
          <w:highlight w:val="none"/>
        </w:rPr>
      </w:pPr>
      <w:r>
        <w:rPr>
          <w:rFonts w:hint="eastAsia" w:ascii="宋体" w:hAnsi="宋体" w:cs="宋体"/>
          <w:color w:val="auto"/>
          <w:szCs w:val="21"/>
          <w:highlight w:val="none"/>
        </w:rPr>
        <w:t>注：本项目为</w:t>
      </w:r>
      <w:r>
        <w:rPr>
          <w:rFonts w:hint="eastAsia" w:ascii="宋体" w:hAnsi="宋体" w:cs="宋体"/>
          <w:color w:val="auto"/>
          <w:szCs w:val="21"/>
          <w:highlight w:val="none"/>
          <w:lang w:eastAsia="zh-CN"/>
        </w:rPr>
        <w:t>昆明市公安局交通管理支队警用无人机装备采购，</w:t>
      </w:r>
      <w:r>
        <w:rPr>
          <w:rFonts w:hint="eastAsia" w:ascii="宋体" w:hAnsi="宋体" w:cs="宋体"/>
          <w:color w:val="auto"/>
          <w:szCs w:val="21"/>
          <w:highlight w:val="none"/>
        </w:rPr>
        <w:t>共设一个标段</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供应商必须对</w:t>
      </w:r>
      <w:r>
        <w:rPr>
          <w:rFonts w:hint="eastAsia" w:ascii="宋体" w:hAnsi="宋体" w:cs="宋体"/>
          <w:color w:val="auto"/>
          <w:szCs w:val="21"/>
          <w:highlight w:val="none"/>
          <w:lang w:val="en-US" w:eastAsia="zh-CN"/>
        </w:rPr>
        <w:t>本</w:t>
      </w:r>
      <w:r>
        <w:rPr>
          <w:rFonts w:hint="eastAsia" w:ascii="宋体" w:hAnsi="宋体" w:cs="宋体"/>
          <w:color w:val="auto"/>
          <w:szCs w:val="21"/>
          <w:highlight w:val="none"/>
        </w:rPr>
        <w:t>项目所有内容作出完整唯一的谈判报价</w:t>
      </w:r>
      <w:r>
        <w:rPr>
          <w:rFonts w:hint="eastAsia" w:ascii="宋体" w:hAnsi="宋体" w:cs="宋体"/>
          <w:color w:val="auto"/>
          <w:szCs w:val="21"/>
          <w:highlight w:val="none"/>
          <w:lang w:eastAsia="zh-CN"/>
        </w:rPr>
        <w:t>，</w:t>
      </w:r>
      <w:r>
        <w:rPr>
          <w:rFonts w:hint="eastAsia" w:ascii="宋体" w:hAnsi="宋体" w:cs="宋体"/>
          <w:color w:val="auto"/>
          <w:szCs w:val="21"/>
          <w:highlight w:val="none"/>
        </w:rPr>
        <w:t>不得缺项、漏项或出现无报价情况</w:t>
      </w:r>
      <w:r>
        <w:rPr>
          <w:rFonts w:hint="eastAsia" w:ascii="宋体" w:hAnsi="宋体" w:cs="宋体"/>
          <w:color w:val="auto"/>
          <w:szCs w:val="21"/>
          <w:highlight w:val="none"/>
          <w:lang w:eastAsia="zh-CN"/>
        </w:rPr>
        <w:t>，</w:t>
      </w:r>
      <w:r>
        <w:rPr>
          <w:rFonts w:hint="eastAsia" w:ascii="宋体" w:hAnsi="宋体" w:cs="宋体"/>
          <w:color w:val="auto"/>
          <w:szCs w:val="21"/>
          <w:highlight w:val="none"/>
        </w:rPr>
        <w:t>否则按无效响应处理。具体要求等详见本竞争性谈判文件第五章《采购需求》。</w:t>
      </w:r>
    </w:p>
    <w:p w14:paraId="396128A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6.交货期：合同签订后30日历天内完成产品供货并交付使用</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供应商可自报最短交货期。</w:t>
      </w:r>
    </w:p>
    <w:p w14:paraId="0C3CA3E8">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7.交货地点：</w:t>
      </w:r>
      <w:r>
        <w:rPr>
          <w:rFonts w:hint="eastAsia" w:ascii="宋体" w:hAnsi="宋体" w:cs="宋体"/>
          <w:color w:val="auto"/>
          <w:szCs w:val="21"/>
          <w:highlight w:val="none"/>
          <w:lang w:eastAsia="zh-CN"/>
        </w:rPr>
        <w:t>昆明市公安局交通管理支队</w:t>
      </w:r>
      <w:r>
        <w:rPr>
          <w:rFonts w:hint="eastAsia" w:ascii="宋体" w:hAnsi="宋体" w:cs="宋体"/>
          <w:color w:val="auto"/>
          <w:szCs w:val="21"/>
          <w:highlight w:val="none"/>
        </w:rPr>
        <w:t>指定地点。</w:t>
      </w:r>
    </w:p>
    <w:p w14:paraId="433ECA6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8.合同履行期限：合同签订后30日历天内完成产品供货并交付使用</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供应商可自报最短交货期。</w:t>
      </w:r>
    </w:p>
    <w:p w14:paraId="5838030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9.本次项目</w:t>
      </w:r>
      <w:r>
        <w:rPr>
          <w:rFonts w:hint="eastAsia" w:ascii="宋体" w:hAnsi="宋体" w:cs="宋体"/>
          <w:b/>
          <w:bCs/>
          <w:color w:val="auto"/>
          <w:szCs w:val="21"/>
          <w:highlight w:val="none"/>
        </w:rPr>
        <w:t>不接受</w:t>
      </w:r>
      <w:r>
        <w:rPr>
          <w:rFonts w:hint="eastAsia" w:ascii="宋体" w:hAnsi="宋体" w:cs="宋体"/>
          <w:color w:val="auto"/>
          <w:szCs w:val="21"/>
          <w:highlight w:val="none"/>
        </w:rPr>
        <w:t>进口产品投标。进口产品是指通过中国海关报关验放进入中国境内且产自关境外的产品。</w:t>
      </w:r>
    </w:p>
    <w:p w14:paraId="28F5DB9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10.本项目</w:t>
      </w:r>
      <w:r>
        <w:rPr>
          <w:rFonts w:hint="eastAsia" w:ascii="宋体" w:hAnsi="宋体" w:cs="宋体"/>
          <w:b/>
          <w:bCs/>
          <w:color w:val="auto"/>
          <w:szCs w:val="21"/>
          <w:highlight w:val="none"/>
        </w:rPr>
        <w:t>不接受</w:t>
      </w:r>
      <w:r>
        <w:rPr>
          <w:rFonts w:hint="eastAsia" w:ascii="宋体" w:hAnsi="宋体" w:cs="宋体"/>
          <w:color w:val="auto"/>
          <w:szCs w:val="21"/>
          <w:highlight w:val="none"/>
        </w:rPr>
        <w:t>联合体参与。</w:t>
      </w:r>
    </w:p>
    <w:p w14:paraId="42CB5D17">
      <w:pPr>
        <w:pStyle w:val="7"/>
        <w:adjustRightInd w:val="0"/>
        <w:snapToGrid w:val="0"/>
        <w:spacing w:before="0" w:after="0"/>
        <w:jc w:val="left"/>
        <w:rPr>
          <w:rFonts w:ascii="宋体" w:hAnsi="宋体" w:cs="宋体"/>
          <w:bCs w:val="0"/>
          <w:color w:val="auto"/>
          <w:sz w:val="24"/>
          <w:szCs w:val="24"/>
          <w:highlight w:val="none"/>
        </w:rPr>
      </w:pPr>
      <w:bookmarkStart w:id="20" w:name="_Toc28359003"/>
      <w:bookmarkStart w:id="21" w:name="_Toc28359080"/>
      <w:bookmarkStart w:id="22" w:name="_Toc35393622"/>
      <w:bookmarkStart w:id="23" w:name="_Toc35393791"/>
      <w:bookmarkStart w:id="24" w:name="_Toc30152"/>
      <w:bookmarkStart w:id="25" w:name="_Toc20926"/>
      <w:r>
        <w:rPr>
          <w:rFonts w:hint="eastAsia" w:ascii="宋体" w:hAnsi="宋体" w:cs="宋体"/>
          <w:color w:val="auto"/>
          <w:szCs w:val="24"/>
          <w:highlight w:val="none"/>
        </w:rPr>
        <w:t>二、</w:t>
      </w:r>
      <w:bookmarkEnd w:id="20"/>
      <w:bookmarkEnd w:id="21"/>
      <w:bookmarkEnd w:id="22"/>
      <w:bookmarkEnd w:id="23"/>
      <w:bookmarkStart w:id="26" w:name="_Toc28359081"/>
      <w:bookmarkStart w:id="27" w:name="_Toc28359004"/>
      <w:r>
        <w:rPr>
          <w:rFonts w:hint="eastAsia" w:ascii="宋体" w:hAnsi="宋体" w:cs="宋体"/>
          <w:bCs w:val="0"/>
          <w:color w:val="auto"/>
          <w:sz w:val="24"/>
          <w:szCs w:val="24"/>
          <w:highlight w:val="none"/>
        </w:rPr>
        <w:t>供应商资格要求</w:t>
      </w:r>
      <w:bookmarkEnd w:id="24"/>
      <w:bookmarkEnd w:id="25"/>
    </w:p>
    <w:p w14:paraId="53718F6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p>
    <w:p w14:paraId="367D6966">
      <w:pPr>
        <w:adjustRightInd w:val="0"/>
        <w:snapToGrid w:val="0"/>
        <w:spacing w:line="360" w:lineRule="auto"/>
        <w:ind w:firstLine="415" w:firstLineChars="198"/>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1.1供应商须具有独立承担民事责任的能力：</w:t>
      </w:r>
      <w:r>
        <w:rPr>
          <w:rFonts w:hint="eastAsia" w:ascii="宋体" w:hAnsi="宋体" w:cs="宋体"/>
          <w:color w:val="auto"/>
          <w:szCs w:val="21"/>
          <w:highlight w:val="none"/>
          <w:lang w:eastAsia="zh-CN"/>
        </w:rPr>
        <w:t>供应商须在中华人民共和国境内注册，提供市场监督管理部门核发的有效的三证合一营业执照或其他组织形式的相关主体资格证明材料</w:t>
      </w:r>
      <w:r>
        <w:rPr>
          <w:rFonts w:hint="eastAsia" w:ascii="宋体" w:hAnsi="宋体" w:cs="宋体"/>
          <w:color w:val="auto"/>
          <w:szCs w:val="21"/>
          <w:highlight w:val="none"/>
        </w:rPr>
        <w:t>（扫描件加盖供应商电子公章）</w:t>
      </w:r>
      <w:r>
        <w:rPr>
          <w:rFonts w:hint="eastAsia" w:ascii="宋体" w:hAnsi="宋体" w:cs="宋体"/>
          <w:color w:val="auto"/>
          <w:szCs w:val="21"/>
          <w:highlight w:val="none"/>
          <w:lang w:eastAsia="zh-CN"/>
        </w:rPr>
        <w:t>；</w:t>
      </w:r>
    </w:p>
    <w:p w14:paraId="758E1162">
      <w:pPr>
        <w:adjustRightInd w:val="0"/>
        <w:snapToGrid w:val="0"/>
        <w:spacing w:line="360" w:lineRule="auto"/>
        <w:ind w:firstLine="415" w:firstLineChars="198"/>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1.2供应商须具有良好的商业信誉和健全的财务会计制度：</w:t>
      </w:r>
      <w:r>
        <w:rPr>
          <w:rFonts w:hint="eastAsia" w:ascii="宋体" w:hAnsi="宋体" w:cs="宋体"/>
          <w:color w:val="auto"/>
          <w:szCs w:val="21"/>
          <w:highlight w:val="none"/>
          <w:lang w:eastAsia="zh-CN"/>
        </w:rPr>
        <w:t>提供供应商2024年度经第三方审计的财务报告及报表（报表至少应包括资产负债表、利润表（损益表）、现金流量表）或提供自提交响应文件截止时间前三个月内基本开户银行出具的资信证明（扫描件加盖供应商电子公章），至响应文件提交截止时间止成立不足一年的供应商可提供相关情况说明（加盖供应商电子公章）；</w:t>
      </w:r>
    </w:p>
    <w:p w14:paraId="27BE3A75">
      <w:pPr>
        <w:adjustRightInd w:val="0"/>
        <w:snapToGrid w:val="0"/>
        <w:spacing w:line="360" w:lineRule="auto"/>
        <w:ind w:firstLine="415" w:firstLineChars="198"/>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1.3具有履行合同所必需的设备和专业技术能力：</w:t>
      </w:r>
      <w:r>
        <w:rPr>
          <w:rFonts w:hint="eastAsia" w:ascii="宋体" w:hAnsi="宋体" w:cs="宋体"/>
          <w:color w:val="auto"/>
          <w:szCs w:val="21"/>
          <w:highlight w:val="none"/>
          <w:lang w:eastAsia="zh-CN"/>
        </w:rPr>
        <w:t>提供供应商具有履行合同所必需的设备和专业技术能力证明材料（扫描件加盖供应商电子公章）或书面声明（加盖供应商电子公章）；</w:t>
      </w:r>
    </w:p>
    <w:p w14:paraId="320A1D48">
      <w:pPr>
        <w:adjustRightInd w:val="0"/>
        <w:snapToGrid w:val="0"/>
        <w:spacing w:line="360" w:lineRule="auto"/>
        <w:ind w:firstLine="415" w:firstLineChars="198"/>
        <w:rPr>
          <w:rFonts w:ascii="宋体" w:hAnsi="宋体" w:cs="宋体"/>
          <w:color w:val="auto"/>
          <w:szCs w:val="21"/>
          <w:highlight w:val="none"/>
        </w:rPr>
      </w:pPr>
      <w:r>
        <w:rPr>
          <w:rFonts w:hint="eastAsia" w:ascii="宋体" w:hAnsi="宋体" w:cs="宋体"/>
          <w:color w:val="auto"/>
          <w:szCs w:val="21"/>
          <w:highlight w:val="none"/>
        </w:rPr>
        <w:t>1.4供应商须具有依法缴纳税收和社会保障资金的良好记录：</w:t>
      </w:r>
    </w:p>
    <w:p w14:paraId="1223BFA9">
      <w:pPr>
        <w:adjustRightInd w:val="0"/>
        <w:snapToGrid w:val="0"/>
        <w:spacing w:line="360" w:lineRule="auto"/>
        <w:ind w:firstLine="415" w:firstLineChars="198"/>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1.4.1</w:t>
      </w:r>
      <w:r>
        <w:rPr>
          <w:rFonts w:hint="eastAsia" w:ascii="宋体" w:hAnsi="宋体" w:cs="宋体"/>
          <w:color w:val="auto"/>
          <w:szCs w:val="21"/>
          <w:highlight w:val="none"/>
          <w:lang w:eastAsia="zh-CN"/>
        </w:rPr>
        <w:t>提供供应商缴税所属时间在2024年01月至本项目提交响应文件截止时间前任意1个月的税务局税收通用缴款书或银行电子缴税（费）凭证或税务局出具纳税情况的相关证明，依法免税的，应提供依法免税的相关证明文件（扫描件加盖供应商电子公章），至响应文件提交截止时间止成立不足一年的供应商可提供相关情况说明（加盖供应商电子公章）；</w:t>
      </w:r>
    </w:p>
    <w:p w14:paraId="5045792F">
      <w:pPr>
        <w:adjustRightInd w:val="0"/>
        <w:snapToGrid w:val="0"/>
        <w:spacing w:line="360" w:lineRule="auto"/>
        <w:ind w:firstLine="415" w:firstLineChars="198"/>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1.4.2</w:t>
      </w:r>
      <w:r>
        <w:rPr>
          <w:rFonts w:hint="eastAsia" w:ascii="宋体" w:hAnsi="宋体" w:cs="宋体"/>
          <w:color w:val="auto"/>
          <w:szCs w:val="21"/>
          <w:highlight w:val="none"/>
          <w:lang w:eastAsia="zh-CN"/>
        </w:rPr>
        <w:t>提供供应商缴费所属时间在2024年01月至本项目提交响应文件截止时间前任意1个月的社会保险费缴款书或银行电子缴税（费）凭证或社保管理部门出具的有效的缴款证明，依法免缴的，应提供依法免缴的相关证明文件（扫描件加盖供应商电子公章），至响应文件提交截止时间止成立不足一年的供应商可提供相关情况说明（加盖供应商电子公章）；</w:t>
      </w:r>
    </w:p>
    <w:p w14:paraId="48B3651A">
      <w:pPr>
        <w:adjustRightInd w:val="0"/>
        <w:snapToGrid w:val="0"/>
        <w:spacing w:line="360" w:lineRule="auto"/>
        <w:ind w:firstLine="415" w:firstLineChars="198"/>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1.5参加政府采购活动前三年内</w:t>
      </w:r>
      <w:r>
        <w:rPr>
          <w:rFonts w:hint="eastAsia" w:ascii="宋体" w:hAnsi="宋体" w:cs="宋体"/>
          <w:color w:val="auto"/>
          <w:szCs w:val="21"/>
          <w:highlight w:val="none"/>
          <w:lang w:eastAsia="zh-CN"/>
        </w:rPr>
        <w:t>，</w:t>
      </w:r>
      <w:r>
        <w:rPr>
          <w:rFonts w:hint="eastAsia" w:ascii="宋体" w:hAnsi="宋体" w:cs="宋体"/>
          <w:color w:val="auto"/>
          <w:szCs w:val="21"/>
          <w:highlight w:val="none"/>
        </w:rPr>
        <w:t>在经营活动中没有重大违法记录：提供供应商参加政府采购活动前三年内</w:t>
      </w:r>
      <w:r>
        <w:rPr>
          <w:rFonts w:hint="eastAsia" w:ascii="宋体" w:hAnsi="宋体" w:cs="宋体"/>
          <w:color w:val="auto"/>
          <w:szCs w:val="21"/>
          <w:highlight w:val="none"/>
          <w:lang w:eastAsia="zh-CN"/>
        </w:rPr>
        <w:t>，</w:t>
      </w:r>
      <w:r>
        <w:rPr>
          <w:rFonts w:hint="eastAsia" w:ascii="宋体" w:hAnsi="宋体" w:cs="宋体"/>
          <w:color w:val="auto"/>
          <w:szCs w:val="21"/>
          <w:highlight w:val="none"/>
        </w:rPr>
        <w:t>在经营活动中没有重大违法记录（重大违法记录</w:t>
      </w:r>
      <w:r>
        <w:rPr>
          <w:rFonts w:hint="eastAsia" w:ascii="宋体" w:hAnsi="宋体" w:cs="宋体"/>
          <w:color w:val="auto"/>
          <w:szCs w:val="21"/>
          <w:highlight w:val="none"/>
          <w:lang w:eastAsia="zh-CN"/>
        </w:rPr>
        <w:t>，</w:t>
      </w:r>
      <w:r>
        <w:rPr>
          <w:rFonts w:hint="eastAsia" w:ascii="宋体" w:hAnsi="宋体" w:cs="宋体"/>
          <w:color w:val="auto"/>
          <w:szCs w:val="21"/>
          <w:highlight w:val="none"/>
        </w:rPr>
        <w:t>是指供应商因违法经营受到刑事处罚或者责令停产停业、吊销许可证或者执照、较大数额罚款等行政处罚）的书面声明（加盖供应商电子公章）</w:t>
      </w:r>
      <w:r>
        <w:rPr>
          <w:rFonts w:hint="eastAsia" w:ascii="宋体" w:hAnsi="宋体" w:cs="宋体"/>
          <w:color w:val="auto"/>
          <w:szCs w:val="21"/>
          <w:highlight w:val="none"/>
          <w:lang w:eastAsia="zh-CN"/>
        </w:rPr>
        <w:t>；</w:t>
      </w:r>
    </w:p>
    <w:p w14:paraId="6A629B07">
      <w:pPr>
        <w:adjustRightInd w:val="0"/>
        <w:snapToGrid w:val="0"/>
        <w:spacing w:line="360" w:lineRule="auto"/>
        <w:ind w:firstLine="415" w:firstLineChars="198"/>
        <w:rPr>
          <w:rFonts w:ascii="宋体" w:hAnsi="宋体" w:cs="宋体"/>
          <w:color w:val="auto"/>
          <w:szCs w:val="21"/>
          <w:highlight w:val="none"/>
        </w:rPr>
      </w:pPr>
      <w:r>
        <w:rPr>
          <w:rFonts w:hint="eastAsia" w:ascii="宋体" w:hAnsi="宋体" w:cs="宋体"/>
          <w:color w:val="auto"/>
          <w:szCs w:val="21"/>
          <w:highlight w:val="none"/>
        </w:rPr>
        <w:t>1.6法律、行政法规规定的其他条件：</w:t>
      </w:r>
    </w:p>
    <w:p w14:paraId="5E13B843">
      <w:pPr>
        <w:adjustRightInd w:val="0"/>
        <w:snapToGrid w:val="0"/>
        <w:spacing w:line="360" w:lineRule="auto"/>
        <w:ind w:firstLine="415" w:firstLineChars="198"/>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1.6.1单位负责人为同一人或者存在直接控股、管理关系不同的供应商</w:t>
      </w:r>
      <w:r>
        <w:rPr>
          <w:rFonts w:hint="eastAsia" w:ascii="宋体" w:hAnsi="宋体" w:cs="宋体"/>
          <w:color w:val="auto"/>
          <w:szCs w:val="21"/>
          <w:highlight w:val="none"/>
          <w:lang w:eastAsia="zh-CN"/>
        </w:rPr>
        <w:t>，</w:t>
      </w:r>
      <w:r>
        <w:rPr>
          <w:rFonts w:hint="eastAsia" w:ascii="宋体" w:hAnsi="宋体" w:cs="宋体"/>
          <w:color w:val="auto"/>
          <w:szCs w:val="21"/>
          <w:highlight w:val="none"/>
        </w:rPr>
        <w:t>不得同时参与本项目的采购活动（提供承诺函加盖供应商电子公章）</w:t>
      </w:r>
      <w:r>
        <w:rPr>
          <w:rFonts w:hint="eastAsia" w:ascii="宋体" w:hAnsi="宋体" w:cs="宋体"/>
          <w:color w:val="auto"/>
          <w:szCs w:val="21"/>
          <w:highlight w:val="none"/>
          <w:lang w:eastAsia="zh-CN"/>
        </w:rPr>
        <w:t>；</w:t>
      </w:r>
    </w:p>
    <w:p w14:paraId="604CA169">
      <w:pPr>
        <w:adjustRightInd w:val="0"/>
        <w:snapToGrid w:val="0"/>
        <w:spacing w:line="360" w:lineRule="auto"/>
        <w:ind w:firstLine="415" w:firstLineChars="198"/>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1.6.2为采购项目提供整体设计、规范编制和项目管理、监理、检测等服务的供应商</w:t>
      </w:r>
      <w:r>
        <w:rPr>
          <w:rFonts w:hint="eastAsia" w:ascii="宋体" w:hAnsi="宋体" w:cs="宋体"/>
          <w:color w:val="auto"/>
          <w:szCs w:val="21"/>
          <w:highlight w:val="none"/>
          <w:lang w:eastAsia="zh-CN"/>
        </w:rPr>
        <w:t>，</w:t>
      </w:r>
      <w:r>
        <w:rPr>
          <w:rFonts w:hint="eastAsia" w:ascii="宋体" w:hAnsi="宋体" w:cs="宋体"/>
          <w:color w:val="auto"/>
          <w:szCs w:val="21"/>
          <w:highlight w:val="none"/>
        </w:rPr>
        <w:t>不得参与本项目采购活动（提供承诺函加盖供应商电子公章）</w:t>
      </w:r>
      <w:r>
        <w:rPr>
          <w:rFonts w:hint="eastAsia" w:ascii="宋体" w:hAnsi="宋体" w:cs="宋体"/>
          <w:color w:val="auto"/>
          <w:szCs w:val="21"/>
          <w:highlight w:val="none"/>
          <w:lang w:eastAsia="zh-CN"/>
        </w:rPr>
        <w:t>；</w:t>
      </w:r>
    </w:p>
    <w:p w14:paraId="1DCC5DEC">
      <w:pPr>
        <w:adjustRightInd w:val="0"/>
        <w:snapToGrid w:val="0"/>
        <w:spacing w:line="360" w:lineRule="auto"/>
        <w:ind w:firstLine="415" w:firstLineChars="198"/>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1.6.3</w:t>
      </w:r>
      <w:r>
        <w:rPr>
          <w:rFonts w:hint="eastAsia" w:ascii="宋体" w:hAnsi="宋体" w:cs="宋体"/>
          <w:color w:val="auto"/>
          <w:szCs w:val="21"/>
          <w:highlight w:val="none"/>
          <w:lang w:eastAsia="zh-CN"/>
        </w:rPr>
        <w:t>供应商在本项目响应文件提交截止时间前在“信用中国”网站（www.creditchina.gov.cn）“专项查询”查询栏中查询结果应未被列入失信被执行人（按网站要求链接到中国执行信息网（http://zxgk.court.gov.cn/shixin/）查询）、重大税收违法失信主体、政府采购严重违法失信行为记录名单（查询时间为本公告发布之日起至提交响应文件截止之日止，查询结果以采购人、采购代理机构查询结果为准，并将查询记录和证据留存）；</w:t>
      </w:r>
    </w:p>
    <w:p w14:paraId="3EF79C59">
      <w:pPr>
        <w:adjustRightInd w:val="0"/>
        <w:snapToGrid w:val="0"/>
        <w:spacing w:line="360" w:lineRule="auto"/>
        <w:ind w:firstLine="415" w:firstLineChars="198"/>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1.6.4供应商在中国政府采购网（</w:t>
      </w:r>
      <w:r>
        <w:rPr>
          <w:rFonts w:hint="eastAsia"/>
          <w:color w:val="auto"/>
          <w:highlight w:val="none"/>
        </w:rPr>
        <w:fldChar w:fldCharType="begin"/>
      </w:r>
      <w:r>
        <w:rPr>
          <w:color w:val="auto"/>
          <w:highlight w:val="none"/>
        </w:rPr>
        <w:instrText xml:space="preserve"> HYPERLINK \t "_blank" </w:instrText>
      </w:r>
      <w:r>
        <w:rPr>
          <w:rFonts w:hint="eastAsia"/>
          <w:color w:val="auto"/>
          <w:highlight w:val="none"/>
        </w:rPr>
        <w:fldChar w:fldCharType="separate"/>
      </w:r>
      <w:r>
        <w:rPr>
          <w:rFonts w:hint="eastAsia" w:ascii="宋体" w:hAnsi="宋体" w:cs="宋体"/>
          <w:color w:val="auto"/>
          <w:szCs w:val="21"/>
          <w:highlight w:val="none"/>
        </w:rPr>
        <w:t>www.ccgp.gov.cn）政府采购严重违法失信行为记录名单中未被禁止参加政府采购活动</w:t>
      </w:r>
      <w:r>
        <w:rPr>
          <w:rFonts w:hint="eastAsia" w:ascii="宋体" w:hAnsi="宋体" w:cs="宋体"/>
          <w:color w:val="auto"/>
          <w:szCs w:val="21"/>
          <w:highlight w:val="none"/>
        </w:rPr>
        <w:fldChar w:fldCharType="end"/>
      </w:r>
      <w:r>
        <w:rPr>
          <w:rFonts w:hint="eastAsia" w:ascii="宋体" w:hAnsi="宋体" w:cs="宋体"/>
          <w:color w:val="auto"/>
          <w:szCs w:val="21"/>
          <w:highlight w:val="none"/>
        </w:rPr>
        <w:t>（查询时间为本公告发布之日起至提交响应文件截止时间止</w:t>
      </w:r>
      <w:r>
        <w:rPr>
          <w:rFonts w:hint="eastAsia" w:ascii="宋体" w:hAnsi="宋体" w:cs="宋体"/>
          <w:color w:val="auto"/>
          <w:szCs w:val="21"/>
          <w:highlight w:val="none"/>
          <w:lang w:eastAsia="zh-CN"/>
        </w:rPr>
        <w:t>，</w:t>
      </w:r>
      <w:r>
        <w:rPr>
          <w:rFonts w:hint="eastAsia" w:ascii="宋体" w:hAnsi="宋体" w:cs="宋体"/>
          <w:color w:val="auto"/>
          <w:szCs w:val="21"/>
          <w:highlight w:val="none"/>
        </w:rPr>
        <w:t>查询结果以采购人、采购代理机构查询结果为准</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并将查询记录和证据留存）</w:t>
      </w:r>
      <w:r>
        <w:rPr>
          <w:rFonts w:hint="eastAsia" w:ascii="宋体" w:hAnsi="宋体" w:cs="宋体"/>
          <w:color w:val="auto"/>
          <w:szCs w:val="21"/>
          <w:highlight w:val="none"/>
          <w:lang w:eastAsia="zh-CN"/>
        </w:rPr>
        <w:t>；</w:t>
      </w:r>
    </w:p>
    <w:p w14:paraId="31818875">
      <w:pPr>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2.落实政府采购政策需满足的资格要求：无</w:t>
      </w:r>
      <w:r>
        <w:rPr>
          <w:rFonts w:hint="eastAsia" w:ascii="宋体" w:hAnsi="宋体" w:cs="宋体"/>
          <w:color w:val="auto"/>
          <w:szCs w:val="21"/>
          <w:highlight w:val="none"/>
          <w:lang w:eastAsia="zh-CN"/>
        </w:rPr>
        <w:t>；</w:t>
      </w:r>
    </w:p>
    <w:p w14:paraId="6E2525F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3.本项目的特定资格要求：无。</w:t>
      </w:r>
    </w:p>
    <w:p w14:paraId="32EB8515">
      <w:pPr>
        <w:pStyle w:val="8"/>
        <w:adjustRightInd w:val="0"/>
        <w:snapToGrid w:val="0"/>
        <w:spacing w:before="0" w:after="0"/>
        <w:ind w:firstLine="0" w:firstLineChars="0"/>
        <w:jc w:val="left"/>
        <w:rPr>
          <w:rFonts w:hAnsi="宋体" w:cs="宋体"/>
          <w:bCs w:val="0"/>
          <w:color w:val="auto"/>
          <w:szCs w:val="24"/>
          <w:highlight w:val="none"/>
        </w:rPr>
      </w:pPr>
      <w:bookmarkStart w:id="28" w:name="_Toc35393792"/>
      <w:bookmarkStart w:id="29" w:name="_Toc35393623"/>
      <w:bookmarkStart w:id="30" w:name="_Toc9866"/>
      <w:bookmarkStart w:id="31" w:name="_Toc23510"/>
      <w:r>
        <w:rPr>
          <w:rFonts w:hint="eastAsia" w:hAnsi="宋体" w:cs="宋体"/>
          <w:color w:val="auto"/>
          <w:szCs w:val="24"/>
          <w:highlight w:val="none"/>
        </w:rPr>
        <w:t>三、</w:t>
      </w:r>
      <w:bookmarkEnd w:id="26"/>
      <w:bookmarkEnd w:id="27"/>
      <w:bookmarkEnd w:id="28"/>
      <w:bookmarkEnd w:id="29"/>
      <w:r>
        <w:rPr>
          <w:rFonts w:hint="eastAsia" w:hAnsi="宋体" w:cs="宋体"/>
          <w:bCs w:val="0"/>
          <w:color w:val="auto"/>
          <w:szCs w:val="24"/>
          <w:highlight w:val="none"/>
        </w:rPr>
        <w:t>获取采购文件</w:t>
      </w:r>
      <w:bookmarkEnd w:id="30"/>
      <w:bookmarkEnd w:id="31"/>
    </w:p>
    <w:p w14:paraId="1077D01D">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时间：</w:t>
      </w:r>
      <w:r>
        <w:rPr>
          <w:rFonts w:hint="eastAsia" w:ascii="宋体" w:hAnsi="宋体" w:cs="宋体"/>
          <w:color w:val="auto"/>
          <w:szCs w:val="21"/>
          <w:highlight w:val="none"/>
          <w:lang w:eastAsia="zh-CN"/>
        </w:rPr>
        <w:t>2025年</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lang w:eastAsia="zh-CN"/>
        </w:rPr>
        <w:t>月</w:t>
      </w:r>
      <w:r>
        <w:rPr>
          <w:rFonts w:hint="eastAsia" w:ascii="宋体" w:hAnsi="宋体" w:cs="宋体"/>
          <w:color w:val="auto"/>
          <w:szCs w:val="21"/>
          <w:highlight w:val="none"/>
          <w:lang w:val="en-US" w:eastAsia="zh-CN"/>
        </w:rPr>
        <w:t>17</w:t>
      </w:r>
      <w:r>
        <w:rPr>
          <w:rFonts w:hint="eastAsia" w:ascii="宋体" w:hAnsi="宋体" w:cs="宋体"/>
          <w:color w:val="auto"/>
          <w:szCs w:val="21"/>
          <w:highlight w:val="none"/>
          <w:lang w:eastAsia="zh-CN"/>
        </w:rPr>
        <w:t>日至2025年</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lang w:eastAsia="zh-CN"/>
        </w:rPr>
        <w:t>月</w:t>
      </w:r>
      <w:r>
        <w:rPr>
          <w:rFonts w:hint="eastAsia" w:ascii="宋体" w:hAnsi="宋体" w:cs="宋体"/>
          <w:color w:val="auto"/>
          <w:szCs w:val="21"/>
          <w:highlight w:val="none"/>
          <w:lang w:val="en-US" w:eastAsia="zh-CN"/>
        </w:rPr>
        <w:t>22</w:t>
      </w:r>
      <w:r>
        <w:rPr>
          <w:rFonts w:hint="eastAsia" w:ascii="宋体" w:hAnsi="宋体" w:cs="宋体"/>
          <w:color w:val="auto"/>
          <w:szCs w:val="21"/>
          <w:highlight w:val="none"/>
          <w:lang w:eastAsia="zh-CN"/>
        </w:rPr>
        <w:t>日</w:t>
      </w:r>
      <w:r>
        <w:rPr>
          <w:rFonts w:hint="eastAsia" w:ascii="宋体" w:hAnsi="宋体" w:cs="宋体"/>
          <w:color w:val="auto"/>
          <w:szCs w:val="21"/>
          <w:highlight w:val="none"/>
        </w:rPr>
        <w:t>（北京时间</w:t>
      </w:r>
      <w:r>
        <w:rPr>
          <w:rFonts w:hint="eastAsia" w:ascii="宋体" w:hAnsi="宋体" w:cs="宋体"/>
          <w:color w:val="auto"/>
          <w:szCs w:val="21"/>
          <w:highlight w:val="none"/>
          <w:lang w:eastAsia="zh-CN"/>
        </w:rPr>
        <w:t>，</w:t>
      </w:r>
      <w:r>
        <w:rPr>
          <w:rFonts w:hint="eastAsia" w:ascii="宋体" w:hAnsi="宋体" w:cs="宋体"/>
          <w:color w:val="auto"/>
          <w:szCs w:val="21"/>
          <w:highlight w:val="none"/>
        </w:rPr>
        <w:t>法定节假日除外）</w:t>
      </w:r>
    </w:p>
    <w:p w14:paraId="7B48BBAB">
      <w:pPr>
        <w:adjustRightInd w:val="0"/>
        <w:snapToGrid w:val="0"/>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地点：“政采云”平台（https：//www.zcygov.cn）（操作路径：登录“政采云”平台-项目采购-获取采购文件-找到本项目-点击“申请获取采购文件”）。</w:t>
      </w:r>
    </w:p>
    <w:p w14:paraId="7C4B110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方式：凡有意参加投标者</w:t>
      </w:r>
      <w:r>
        <w:rPr>
          <w:rFonts w:hint="eastAsia" w:ascii="宋体" w:hAnsi="宋体" w:cs="宋体"/>
          <w:color w:val="auto"/>
          <w:szCs w:val="21"/>
          <w:highlight w:val="none"/>
          <w:lang w:eastAsia="zh-CN"/>
        </w:rPr>
        <w:t>，</w:t>
      </w:r>
      <w:r>
        <w:rPr>
          <w:rFonts w:hint="eastAsia" w:ascii="宋体" w:hAnsi="宋体" w:cs="宋体"/>
          <w:color w:val="auto"/>
          <w:szCs w:val="21"/>
          <w:highlight w:val="none"/>
        </w:rPr>
        <w:t>须在政采云平台办理数字证书（CA）</w:t>
      </w:r>
      <w:r>
        <w:rPr>
          <w:rFonts w:hint="eastAsia" w:ascii="宋体" w:hAnsi="宋体" w:cs="宋体"/>
          <w:color w:val="auto"/>
          <w:szCs w:val="21"/>
          <w:highlight w:val="none"/>
          <w:lang w:eastAsia="zh-CN"/>
        </w:rPr>
        <w:t>，</w:t>
      </w:r>
      <w:r>
        <w:rPr>
          <w:rFonts w:hint="eastAsia" w:ascii="宋体" w:hAnsi="宋体" w:cs="宋体"/>
          <w:color w:val="auto"/>
          <w:szCs w:val="21"/>
          <w:highlight w:val="none"/>
        </w:rPr>
        <w:t>CA申领链接http：//yzt.ynsmartcert.cn/cms/yztgr.html</w:t>
      </w:r>
      <w:r>
        <w:rPr>
          <w:rFonts w:hint="eastAsia" w:ascii="宋体" w:hAnsi="宋体" w:cs="宋体"/>
          <w:color w:val="auto"/>
          <w:szCs w:val="21"/>
          <w:highlight w:val="none"/>
          <w:lang w:eastAsia="zh-CN"/>
        </w:rPr>
        <w:t>，</w:t>
      </w:r>
      <w:r>
        <w:rPr>
          <w:rFonts w:hint="eastAsia" w:ascii="宋体" w:hAnsi="宋体" w:cs="宋体"/>
          <w:color w:val="auto"/>
          <w:szCs w:val="21"/>
          <w:highlight w:val="none"/>
        </w:rPr>
        <w:t>数字证书（CA）办理完成后需在政采云平台绑定数字证书（CA）并在平台获取采购文件及其它采购资料。</w:t>
      </w:r>
    </w:p>
    <w:p w14:paraId="61FA228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注：按上述要求获取文件的供应商视为合法获取了本项目采购文件</w:t>
      </w:r>
      <w:r>
        <w:rPr>
          <w:rFonts w:hint="eastAsia" w:ascii="宋体" w:hAnsi="宋体" w:cs="宋体"/>
          <w:color w:val="auto"/>
          <w:szCs w:val="21"/>
          <w:highlight w:val="none"/>
          <w:lang w:eastAsia="zh-CN"/>
        </w:rPr>
        <w:t>，</w:t>
      </w:r>
      <w:r>
        <w:rPr>
          <w:rFonts w:hint="eastAsia" w:ascii="宋体" w:hAnsi="宋体" w:cs="宋体"/>
          <w:color w:val="auto"/>
          <w:szCs w:val="21"/>
          <w:highlight w:val="none"/>
        </w:rPr>
        <w:t>具备本项目的投标资格。各供应商应在开标前确保成为政采云平台供应商</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并完成CA数字证书申领。因未注册入库</w:t>
      </w:r>
      <w:r>
        <w:rPr>
          <w:rFonts w:hint="eastAsia" w:ascii="宋体" w:hAnsi="宋体" w:cs="宋体"/>
          <w:color w:val="auto"/>
          <w:szCs w:val="21"/>
          <w:highlight w:val="none"/>
          <w:lang w:eastAsia="zh-CN"/>
        </w:rPr>
        <w:t>，</w:t>
      </w:r>
      <w:r>
        <w:rPr>
          <w:rFonts w:hint="eastAsia" w:ascii="宋体" w:hAnsi="宋体" w:cs="宋体"/>
          <w:color w:val="auto"/>
          <w:szCs w:val="21"/>
          <w:highlight w:val="none"/>
        </w:rPr>
        <w:t>未办理CA数字证书等原因造成无法投标或投标失败等由供应商自行承担。</w:t>
      </w:r>
    </w:p>
    <w:p w14:paraId="22459CB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（1）如有问题可拨打政采云客户服务热线95763进一咨询</w:t>
      </w:r>
      <w:r>
        <w:rPr>
          <w:rFonts w:hint="eastAsia" w:ascii="宋体" w:hAnsi="宋体" w:cs="宋体"/>
          <w:color w:val="auto"/>
          <w:szCs w:val="21"/>
          <w:highlight w:val="none"/>
          <w:lang w:eastAsia="zh-CN"/>
        </w:rPr>
        <w:t>，</w:t>
      </w:r>
      <w:r>
        <w:rPr>
          <w:rFonts w:hint="eastAsia" w:ascii="宋体" w:hAnsi="宋体" w:cs="宋体"/>
          <w:color w:val="auto"/>
          <w:szCs w:val="21"/>
          <w:highlight w:val="none"/>
        </w:rPr>
        <w:t>数字证书问题可咨询云南壹证通CA：0871-67276028（紧急可拨19988166369）。</w:t>
      </w:r>
    </w:p>
    <w:p w14:paraId="284F60B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如因供应商自身原因导致在规定时间内无法正常解密的（如：浏览器故障、未安装相关驱动、网络故障、加密CA与解密CA不一致等）</w:t>
      </w:r>
      <w:r>
        <w:rPr>
          <w:rFonts w:hint="eastAsia" w:ascii="宋体" w:hAnsi="宋体" w:cs="宋体"/>
          <w:color w:val="auto"/>
          <w:szCs w:val="21"/>
          <w:highlight w:val="none"/>
          <w:lang w:eastAsia="zh-CN"/>
        </w:rPr>
        <w:t>，</w:t>
      </w:r>
      <w:r>
        <w:rPr>
          <w:rFonts w:hint="eastAsia" w:ascii="宋体" w:hAnsi="宋体" w:cs="宋体"/>
          <w:color w:val="auto"/>
          <w:szCs w:val="21"/>
          <w:highlight w:val="none"/>
        </w:rPr>
        <w:t>视为供应商自动弃标</w:t>
      </w:r>
      <w:r>
        <w:rPr>
          <w:rFonts w:hint="eastAsia" w:ascii="宋体" w:hAnsi="宋体" w:cs="宋体"/>
          <w:color w:val="auto"/>
          <w:szCs w:val="21"/>
          <w:highlight w:val="none"/>
          <w:lang w:eastAsia="zh-CN"/>
        </w:rPr>
        <w:t>，</w:t>
      </w:r>
      <w:r>
        <w:rPr>
          <w:rFonts w:hint="eastAsia" w:ascii="宋体" w:hAnsi="宋体" w:cs="宋体"/>
          <w:color w:val="auto"/>
          <w:szCs w:val="21"/>
          <w:highlight w:val="none"/>
        </w:rPr>
        <w:t>代理机构不予处理。</w:t>
      </w:r>
    </w:p>
    <w:p w14:paraId="424DC145">
      <w:pPr>
        <w:adjustRightInd w:val="0"/>
        <w:snapToGrid w:val="0"/>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（2）云南本地供应商如之前已在云南CA在线数字证书办理网进行过注册并办理过企业数字证书（CA）</w:t>
      </w:r>
      <w:r>
        <w:rPr>
          <w:rFonts w:hint="eastAsia" w:ascii="宋体" w:hAnsi="宋体" w:cs="宋体"/>
          <w:color w:val="auto"/>
          <w:szCs w:val="21"/>
          <w:highlight w:val="none"/>
          <w:lang w:eastAsia="zh-CN"/>
        </w:rPr>
        <w:t>，</w:t>
      </w:r>
      <w:r>
        <w:rPr>
          <w:rFonts w:hint="eastAsia" w:ascii="宋体" w:hAnsi="宋体" w:cs="宋体"/>
          <w:color w:val="auto"/>
          <w:szCs w:val="21"/>
          <w:highlight w:val="none"/>
        </w:rPr>
        <w:t>直接绑定即可</w:t>
      </w:r>
      <w:r>
        <w:rPr>
          <w:rFonts w:hint="eastAsia" w:ascii="宋体" w:hAnsi="宋体" w:cs="宋体"/>
          <w:color w:val="auto"/>
          <w:szCs w:val="21"/>
          <w:highlight w:val="none"/>
          <w:lang w:eastAsia="zh-CN"/>
        </w:rPr>
        <w:t>，</w:t>
      </w:r>
      <w:r>
        <w:rPr>
          <w:rFonts w:hint="eastAsia" w:ascii="宋体" w:hAnsi="宋体" w:cs="宋体"/>
          <w:color w:val="auto"/>
          <w:szCs w:val="21"/>
          <w:highlight w:val="none"/>
        </w:rPr>
        <w:t>无需重复办理（2022年1月1日前办理的云南CA需到云南CA办理处进行升级）。</w:t>
      </w:r>
    </w:p>
    <w:p w14:paraId="41E95048">
      <w:pPr>
        <w:pStyle w:val="7"/>
        <w:adjustRightInd w:val="0"/>
        <w:snapToGrid w:val="0"/>
        <w:spacing w:before="0" w:after="0"/>
        <w:jc w:val="left"/>
        <w:rPr>
          <w:rFonts w:ascii="宋体" w:hAnsi="宋体" w:cs="宋体"/>
          <w:bCs w:val="0"/>
          <w:color w:val="auto"/>
          <w:sz w:val="24"/>
          <w:szCs w:val="24"/>
          <w:highlight w:val="none"/>
        </w:rPr>
      </w:pPr>
      <w:bookmarkStart w:id="32" w:name="_Toc35393801"/>
      <w:bookmarkStart w:id="33" w:name="_Toc28359015"/>
      <w:bookmarkStart w:id="34" w:name="_Toc2327"/>
      <w:bookmarkStart w:id="35" w:name="_Toc35393632"/>
      <w:bookmarkStart w:id="36" w:name="_Toc14062"/>
      <w:bookmarkStart w:id="37" w:name="_Toc28359092"/>
      <w:bookmarkStart w:id="38" w:name="_Toc5796"/>
      <w:r>
        <w:rPr>
          <w:rFonts w:hint="eastAsia" w:ascii="宋体" w:hAnsi="宋体" w:cs="宋体"/>
          <w:bCs w:val="0"/>
          <w:color w:val="auto"/>
          <w:sz w:val="24"/>
          <w:szCs w:val="24"/>
          <w:highlight w:val="none"/>
        </w:rPr>
        <w:t>四、响应文件提交</w:t>
      </w:r>
      <w:bookmarkEnd w:id="32"/>
      <w:bookmarkEnd w:id="33"/>
      <w:bookmarkEnd w:id="34"/>
      <w:bookmarkEnd w:id="35"/>
      <w:bookmarkEnd w:id="36"/>
      <w:bookmarkEnd w:id="37"/>
      <w:bookmarkEnd w:id="38"/>
    </w:p>
    <w:p w14:paraId="5B0322D5">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color w:val="auto"/>
          <w:szCs w:val="21"/>
          <w:highlight w:val="none"/>
        </w:rPr>
        <w:t>截止时间：</w:t>
      </w:r>
      <w:r>
        <w:rPr>
          <w:rFonts w:hint="eastAsia" w:ascii="宋体" w:hAnsi="宋体" w:cs="宋体"/>
          <w:color w:val="auto"/>
          <w:szCs w:val="21"/>
          <w:highlight w:val="none"/>
          <w:lang w:eastAsia="zh-CN"/>
        </w:rPr>
        <w:t>2025年11月03日14点30分</w:t>
      </w:r>
      <w:r>
        <w:rPr>
          <w:rFonts w:hint="eastAsia" w:ascii="宋体" w:hAnsi="宋体" w:cs="宋体"/>
          <w:bCs/>
          <w:color w:val="auto"/>
          <w:szCs w:val="21"/>
          <w:highlight w:val="none"/>
        </w:rPr>
        <w:t>（北京时间）。</w:t>
      </w:r>
    </w:p>
    <w:p w14:paraId="7B48B45A">
      <w:pPr>
        <w:adjustRightInd w:val="0"/>
        <w:snapToGrid w:val="0"/>
        <w:spacing w:line="360" w:lineRule="auto"/>
        <w:ind w:firstLine="420" w:firstLineChars="200"/>
        <w:rPr>
          <w:rFonts w:ascii="宋体" w:hAnsi="宋体" w:cs="宋体"/>
          <w:color w:val="auto"/>
          <w:highlight w:val="none"/>
        </w:rPr>
      </w:pPr>
      <w:r>
        <w:rPr>
          <w:rFonts w:hint="eastAsia" w:ascii="宋体" w:hAnsi="宋体" w:cs="宋体"/>
          <w:color w:val="auto"/>
          <w:szCs w:val="21"/>
          <w:highlight w:val="none"/>
        </w:rPr>
        <w:t>地点：供应商应按照本项目采购文件和“政采云”平台的要求编制、加密后在响应文件提交截止时间前上传至“政采云”平台</w:t>
      </w:r>
      <w:r>
        <w:rPr>
          <w:rFonts w:hint="eastAsia" w:ascii="宋体" w:hAnsi="宋体" w:cs="宋体"/>
          <w:color w:val="auto"/>
          <w:szCs w:val="21"/>
          <w:highlight w:val="none"/>
          <w:lang w:eastAsia="zh-CN"/>
        </w:rPr>
        <w:t>，</w:t>
      </w:r>
      <w:r>
        <w:rPr>
          <w:rFonts w:hint="eastAsia" w:ascii="宋体" w:hAnsi="宋体" w:cs="宋体"/>
          <w:color w:val="auto"/>
          <w:szCs w:val="21"/>
          <w:highlight w:val="none"/>
        </w:rPr>
        <w:t>响应文件提交截止时间前未完成响应文件上传的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视为撤回响应文件。供应商在“政采云”平台提交电子版响应文件时</w:t>
      </w:r>
      <w:r>
        <w:rPr>
          <w:rFonts w:hint="eastAsia" w:ascii="宋体" w:hAnsi="宋体" w:cs="宋体"/>
          <w:color w:val="auto"/>
          <w:szCs w:val="21"/>
          <w:highlight w:val="none"/>
          <w:lang w:eastAsia="zh-CN"/>
        </w:rPr>
        <w:t>，</w:t>
      </w:r>
      <w:r>
        <w:rPr>
          <w:rFonts w:hint="eastAsia" w:ascii="宋体" w:hAnsi="宋体" w:cs="宋体"/>
          <w:color w:val="auto"/>
          <w:szCs w:val="21"/>
          <w:highlight w:val="none"/>
        </w:rPr>
        <w:t>请填写参加远程采购活动经办人联系方式。</w:t>
      </w:r>
    </w:p>
    <w:p w14:paraId="06BB979A">
      <w:pPr>
        <w:pStyle w:val="7"/>
        <w:adjustRightInd w:val="0"/>
        <w:snapToGrid w:val="0"/>
        <w:spacing w:before="0" w:after="0"/>
        <w:jc w:val="left"/>
        <w:rPr>
          <w:rFonts w:ascii="宋体" w:hAnsi="宋体" w:cs="宋体"/>
          <w:bCs w:val="0"/>
          <w:color w:val="auto"/>
          <w:sz w:val="24"/>
          <w:szCs w:val="24"/>
          <w:highlight w:val="none"/>
        </w:rPr>
      </w:pPr>
      <w:bookmarkStart w:id="39" w:name="_Toc28359016"/>
      <w:bookmarkStart w:id="40" w:name="_Toc35393802"/>
      <w:bookmarkStart w:id="41" w:name="_Toc35393633"/>
      <w:bookmarkStart w:id="42" w:name="_Toc27403"/>
      <w:bookmarkStart w:id="43" w:name="_Toc22563"/>
      <w:bookmarkStart w:id="44" w:name="_Toc30919"/>
      <w:bookmarkStart w:id="45" w:name="_Toc28359093"/>
      <w:r>
        <w:rPr>
          <w:rFonts w:hint="eastAsia" w:ascii="宋体" w:hAnsi="宋体" w:cs="宋体"/>
          <w:bCs w:val="0"/>
          <w:color w:val="auto"/>
          <w:sz w:val="24"/>
          <w:szCs w:val="24"/>
          <w:highlight w:val="none"/>
        </w:rPr>
        <w:t>五、开启</w:t>
      </w:r>
      <w:bookmarkEnd w:id="39"/>
      <w:bookmarkEnd w:id="40"/>
      <w:bookmarkEnd w:id="41"/>
      <w:bookmarkEnd w:id="42"/>
      <w:bookmarkEnd w:id="43"/>
      <w:bookmarkEnd w:id="44"/>
      <w:bookmarkEnd w:id="45"/>
    </w:p>
    <w:p w14:paraId="76D74B6C">
      <w:pPr>
        <w:adjustRightInd w:val="0"/>
        <w:snapToGrid w:val="0"/>
        <w:spacing w:line="360" w:lineRule="auto"/>
        <w:ind w:firstLine="420" w:firstLineChars="200"/>
        <w:rPr>
          <w:rFonts w:ascii="宋体" w:hAnsi="宋体" w:cs="宋体"/>
          <w:bCs/>
          <w:color w:val="auto"/>
          <w:szCs w:val="21"/>
          <w:highlight w:val="none"/>
          <w:u w:val="single"/>
        </w:rPr>
      </w:pPr>
      <w:r>
        <w:rPr>
          <w:rFonts w:hint="eastAsia" w:ascii="宋体" w:hAnsi="宋体" w:cs="宋体"/>
          <w:color w:val="auto"/>
          <w:szCs w:val="21"/>
          <w:highlight w:val="none"/>
        </w:rPr>
        <w:t>时间：</w:t>
      </w:r>
      <w:r>
        <w:rPr>
          <w:rFonts w:hint="eastAsia" w:ascii="宋体" w:hAnsi="宋体" w:cs="宋体"/>
          <w:color w:val="auto"/>
          <w:szCs w:val="21"/>
          <w:highlight w:val="none"/>
          <w:lang w:eastAsia="zh-CN"/>
        </w:rPr>
        <w:t>2025年11月03日14点30分</w:t>
      </w:r>
      <w:r>
        <w:rPr>
          <w:rFonts w:hint="eastAsia" w:ascii="宋体" w:hAnsi="宋体" w:cs="宋体"/>
          <w:bCs/>
          <w:color w:val="auto"/>
          <w:szCs w:val="21"/>
          <w:highlight w:val="none"/>
        </w:rPr>
        <w:t>（北京时间）。</w:t>
      </w:r>
    </w:p>
    <w:p w14:paraId="6259AEA2">
      <w:pPr>
        <w:adjustRightInd w:val="0"/>
        <w:snapToGrid w:val="0"/>
        <w:spacing w:line="360" w:lineRule="auto"/>
        <w:ind w:firstLine="420" w:firstLineChars="200"/>
        <w:rPr>
          <w:rFonts w:ascii="宋体" w:hAnsi="宋体" w:cs="宋体"/>
          <w:bCs/>
          <w:color w:val="auto"/>
          <w:szCs w:val="21"/>
          <w:highlight w:val="none"/>
          <w:u w:val="single"/>
        </w:rPr>
      </w:pPr>
      <w:r>
        <w:rPr>
          <w:rFonts w:hint="eastAsia" w:ascii="宋体" w:hAnsi="宋体" w:cs="宋体"/>
          <w:color w:val="auto"/>
          <w:szCs w:val="21"/>
          <w:highlight w:val="none"/>
        </w:rPr>
        <w:t>地点：</w:t>
      </w:r>
      <w:r>
        <w:rPr>
          <w:rFonts w:hint="eastAsia" w:ascii="宋体" w:hAnsi="宋体" w:cs="宋体"/>
          <w:color w:val="auto"/>
          <w:kern w:val="0"/>
          <w:szCs w:val="21"/>
          <w:highlight w:val="none"/>
        </w:rPr>
        <w:t>云南冠睿咨询有限公司</w:t>
      </w:r>
      <w:r>
        <w:rPr>
          <w:rFonts w:hint="eastAsia" w:ascii="宋体" w:hAnsi="宋体" w:cs="宋体"/>
          <w:color w:val="auto"/>
          <w:kern w:val="0"/>
          <w:szCs w:val="21"/>
          <w:highlight w:val="none"/>
          <w:lang w:val="en-US" w:eastAsia="zh-CN"/>
        </w:rPr>
        <w:t>评标四厅</w:t>
      </w:r>
      <w:r>
        <w:rPr>
          <w:rFonts w:hint="eastAsia" w:ascii="宋体" w:hAnsi="宋体" w:cs="宋体"/>
          <w:color w:val="auto"/>
          <w:kern w:val="0"/>
          <w:szCs w:val="21"/>
          <w:highlight w:val="none"/>
        </w:rPr>
        <w:t>（云南省昆明市西山区万达广场南塔33层3310号）</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供应商无需到达</w:t>
      </w:r>
      <w:r>
        <w:rPr>
          <w:rFonts w:hint="eastAsia" w:ascii="宋体" w:hAnsi="宋体" w:cs="宋体"/>
          <w:color w:val="auto"/>
          <w:szCs w:val="21"/>
          <w:highlight w:val="none"/>
        </w:rPr>
        <w:t>开标地点</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须在“政采云”平台进行远程解密电子版响应文件</w:t>
      </w:r>
      <w:r>
        <w:rPr>
          <w:rFonts w:hint="eastAsia" w:ascii="宋体" w:hAnsi="宋体" w:cs="宋体"/>
          <w:color w:val="auto"/>
          <w:szCs w:val="21"/>
          <w:highlight w:val="none"/>
        </w:rPr>
        <w:t>。</w:t>
      </w:r>
    </w:p>
    <w:p w14:paraId="58A6BF32">
      <w:pPr>
        <w:pStyle w:val="7"/>
        <w:adjustRightInd w:val="0"/>
        <w:snapToGrid w:val="0"/>
        <w:spacing w:before="0" w:after="0"/>
        <w:jc w:val="left"/>
        <w:rPr>
          <w:rFonts w:ascii="宋体" w:hAnsi="宋体" w:cs="宋体"/>
          <w:bCs w:val="0"/>
          <w:color w:val="auto"/>
          <w:sz w:val="24"/>
          <w:szCs w:val="24"/>
          <w:highlight w:val="none"/>
        </w:rPr>
      </w:pPr>
      <w:bookmarkStart w:id="46" w:name="_Toc35393634"/>
      <w:bookmarkStart w:id="47" w:name="_Toc28455"/>
      <w:bookmarkStart w:id="48" w:name="_Toc14330"/>
      <w:bookmarkStart w:id="49" w:name="_Toc35393803"/>
      <w:bookmarkStart w:id="50" w:name="_Toc28359017"/>
      <w:bookmarkStart w:id="51" w:name="_Toc16973"/>
      <w:bookmarkStart w:id="52" w:name="_Toc28359094"/>
      <w:r>
        <w:rPr>
          <w:rFonts w:hint="eastAsia" w:ascii="宋体" w:hAnsi="宋体" w:cs="宋体"/>
          <w:bCs w:val="0"/>
          <w:color w:val="auto"/>
          <w:sz w:val="24"/>
          <w:szCs w:val="24"/>
          <w:highlight w:val="none"/>
        </w:rPr>
        <w:t>六、公告期限</w:t>
      </w:r>
      <w:bookmarkEnd w:id="46"/>
      <w:bookmarkEnd w:id="47"/>
      <w:bookmarkEnd w:id="48"/>
      <w:bookmarkEnd w:id="49"/>
      <w:bookmarkEnd w:id="50"/>
      <w:bookmarkEnd w:id="51"/>
      <w:bookmarkEnd w:id="52"/>
    </w:p>
    <w:p w14:paraId="1A049796">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自本公告发布之日起3个工作日。</w:t>
      </w:r>
    </w:p>
    <w:p w14:paraId="247241BC">
      <w:pPr>
        <w:pStyle w:val="7"/>
        <w:adjustRightInd w:val="0"/>
        <w:snapToGrid w:val="0"/>
        <w:spacing w:before="0" w:after="0"/>
        <w:jc w:val="left"/>
        <w:rPr>
          <w:rFonts w:ascii="宋体" w:hAnsi="宋体" w:cs="宋体"/>
          <w:bCs w:val="0"/>
          <w:color w:val="auto"/>
          <w:sz w:val="24"/>
          <w:szCs w:val="24"/>
          <w:highlight w:val="none"/>
        </w:rPr>
      </w:pPr>
      <w:bookmarkStart w:id="53" w:name="_Toc24358"/>
      <w:bookmarkStart w:id="54" w:name="_Toc35393635"/>
      <w:bookmarkStart w:id="55" w:name="_Toc22465"/>
      <w:bookmarkStart w:id="56" w:name="_Toc20625"/>
      <w:bookmarkStart w:id="57" w:name="_Toc35393804"/>
      <w:r>
        <w:rPr>
          <w:rFonts w:hint="eastAsia" w:ascii="宋体" w:hAnsi="宋体" w:cs="宋体"/>
          <w:bCs w:val="0"/>
          <w:color w:val="auto"/>
          <w:sz w:val="24"/>
          <w:szCs w:val="24"/>
          <w:highlight w:val="none"/>
        </w:rPr>
        <w:t>七、其他补充事宜</w:t>
      </w:r>
      <w:bookmarkEnd w:id="53"/>
      <w:bookmarkEnd w:id="54"/>
      <w:bookmarkEnd w:id="55"/>
      <w:bookmarkEnd w:id="56"/>
      <w:bookmarkEnd w:id="57"/>
    </w:p>
    <w:p w14:paraId="74176D9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1.本次竞争性谈判公告在《云南省政府采购网》上发布。</w:t>
      </w:r>
    </w:p>
    <w:p w14:paraId="16004DE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2.采购项目需要落实的政府采购政策：节能产品、环境标志产品、促进中小企业发展、促进残疾人就业、支持监狱企业发展、政府采购活动中查询及使用信用记录等</w:t>
      </w:r>
      <w:r>
        <w:rPr>
          <w:rFonts w:hint="eastAsia" w:ascii="宋体" w:hAnsi="宋体" w:cs="宋体"/>
          <w:color w:val="auto"/>
          <w:szCs w:val="21"/>
          <w:highlight w:val="none"/>
          <w:lang w:eastAsia="zh-CN"/>
        </w:rPr>
        <w:t>，</w:t>
      </w:r>
      <w:r>
        <w:rPr>
          <w:rFonts w:hint="eastAsia" w:ascii="宋体" w:hAnsi="宋体" w:cs="宋体"/>
          <w:color w:val="auto"/>
          <w:szCs w:val="21"/>
          <w:highlight w:val="none"/>
        </w:rPr>
        <w:t>政府采购政策具体落实情况详见本项目竞争性谈判文件。</w:t>
      </w:r>
    </w:p>
    <w:p w14:paraId="7E5C2DB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3.账户信息：</w:t>
      </w:r>
    </w:p>
    <w:p w14:paraId="1EE6F74D">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开户名称：云南冠睿咨询有限公司</w:t>
      </w:r>
    </w:p>
    <w:p w14:paraId="2BEDCB4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开户银行：中国民生银行股份有限公司昆明拓东路支行</w:t>
      </w:r>
    </w:p>
    <w:p w14:paraId="15F7532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账号：636611192</w:t>
      </w:r>
    </w:p>
    <w:p w14:paraId="1A1DE85D">
      <w:pPr>
        <w:pStyle w:val="7"/>
        <w:adjustRightInd w:val="0"/>
        <w:snapToGrid w:val="0"/>
        <w:spacing w:before="0" w:after="0"/>
        <w:jc w:val="left"/>
        <w:rPr>
          <w:rFonts w:ascii="宋体" w:hAnsi="宋体" w:cs="宋体"/>
          <w:bCs w:val="0"/>
          <w:color w:val="auto"/>
          <w:sz w:val="24"/>
          <w:szCs w:val="24"/>
          <w:highlight w:val="none"/>
        </w:rPr>
      </w:pPr>
      <w:bookmarkStart w:id="58" w:name="_Toc19977"/>
      <w:bookmarkStart w:id="59" w:name="_Toc28359095"/>
      <w:bookmarkStart w:id="60" w:name="_Toc28359018"/>
      <w:bookmarkStart w:id="61" w:name="_Toc4813"/>
      <w:bookmarkStart w:id="62" w:name="_Toc35393636"/>
      <w:bookmarkStart w:id="63" w:name="_Toc23928"/>
      <w:bookmarkStart w:id="64" w:name="_Toc35393805"/>
      <w:r>
        <w:rPr>
          <w:rFonts w:hint="eastAsia" w:ascii="宋体" w:hAnsi="宋体" w:cs="宋体"/>
          <w:bCs w:val="0"/>
          <w:color w:val="auto"/>
          <w:sz w:val="24"/>
          <w:szCs w:val="24"/>
          <w:highlight w:val="none"/>
        </w:rPr>
        <w:t>八、凡对本次采购提出询问</w:t>
      </w:r>
      <w:r>
        <w:rPr>
          <w:rFonts w:hint="eastAsia" w:ascii="宋体" w:hAnsi="宋体" w:cs="宋体"/>
          <w:bCs w:val="0"/>
          <w:color w:val="auto"/>
          <w:sz w:val="24"/>
          <w:szCs w:val="24"/>
          <w:highlight w:val="none"/>
          <w:lang w:eastAsia="zh-CN"/>
        </w:rPr>
        <w:t>，</w:t>
      </w:r>
      <w:r>
        <w:rPr>
          <w:rFonts w:hint="eastAsia" w:ascii="宋体" w:hAnsi="宋体" w:cs="宋体"/>
          <w:bCs w:val="0"/>
          <w:color w:val="auto"/>
          <w:sz w:val="24"/>
          <w:szCs w:val="24"/>
          <w:highlight w:val="none"/>
        </w:rPr>
        <w:t>请按以下方式联系。</w:t>
      </w:r>
      <w:bookmarkEnd w:id="58"/>
      <w:bookmarkEnd w:id="59"/>
      <w:bookmarkEnd w:id="60"/>
      <w:bookmarkEnd w:id="61"/>
      <w:bookmarkEnd w:id="62"/>
      <w:bookmarkEnd w:id="63"/>
      <w:bookmarkEnd w:id="64"/>
    </w:p>
    <w:p w14:paraId="122F0473">
      <w:pPr>
        <w:adjustRightInd w:val="0"/>
        <w:snapToGrid w:val="0"/>
        <w:spacing w:line="360" w:lineRule="auto"/>
        <w:ind w:firstLine="420" w:firstLineChars="200"/>
        <w:rPr>
          <w:rFonts w:ascii="宋体" w:hAnsi="宋体" w:cs="宋体"/>
          <w:color w:val="auto"/>
          <w:szCs w:val="21"/>
          <w:highlight w:val="none"/>
        </w:rPr>
      </w:pPr>
      <w:bookmarkStart w:id="65" w:name="_Toc35393637"/>
      <w:bookmarkStart w:id="66" w:name="_Toc28359019"/>
      <w:bookmarkStart w:id="67" w:name="_Toc28359096"/>
      <w:bookmarkStart w:id="68" w:name="_Toc35393806"/>
      <w:r>
        <w:rPr>
          <w:rFonts w:hint="eastAsia" w:ascii="宋体" w:hAnsi="宋体" w:cs="宋体"/>
          <w:color w:val="auto"/>
          <w:szCs w:val="21"/>
          <w:highlight w:val="none"/>
        </w:rPr>
        <w:t>1.采购人信息</w:t>
      </w:r>
      <w:bookmarkEnd w:id="65"/>
      <w:bookmarkEnd w:id="66"/>
      <w:bookmarkEnd w:id="67"/>
      <w:bookmarkEnd w:id="68"/>
    </w:p>
    <w:p w14:paraId="77972F11">
      <w:pPr>
        <w:adjustRightInd w:val="0"/>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cs="宋体"/>
          <w:color w:val="auto"/>
          <w:highlight w:val="none"/>
        </w:rPr>
        <w:t>名称：</w:t>
      </w:r>
      <w:r>
        <w:rPr>
          <w:rFonts w:hint="eastAsia" w:ascii="宋体" w:hAnsi="宋体" w:cs="宋体"/>
          <w:color w:val="auto"/>
          <w:highlight w:val="none"/>
          <w:lang w:eastAsia="zh-CN"/>
        </w:rPr>
        <w:t>昆明市公安局交通管理支队</w:t>
      </w:r>
    </w:p>
    <w:p w14:paraId="5F73B93E">
      <w:pPr>
        <w:adjustRightInd w:val="0"/>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cs="宋体"/>
          <w:color w:val="auto"/>
          <w:highlight w:val="none"/>
        </w:rPr>
        <w:t>地址：</w:t>
      </w:r>
      <w:r>
        <w:rPr>
          <w:rFonts w:hint="eastAsia" w:ascii="宋体" w:hAnsi="宋体" w:cs="宋体"/>
          <w:color w:val="auto"/>
          <w:highlight w:val="none"/>
          <w:lang w:eastAsia="zh-CN"/>
        </w:rPr>
        <w:t>昆明市官渡区塘双路9号</w:t>
      </w:r>
    </w:p>
    <w:p w14:paraId="5F78AFE6">
      <w:pPr>
        <w:adjustRightInd w:val="0"/>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cs="宋体"/>
          <w:color w:val="auto"/>
          <w:highlight w:val="none"/>
        </w:rPr>
        <w:t>联系人：</w:t>
      </w:r>
      <w:r>
        <w:rPr>
          <w:rFonts w:hint="eastAsia" w:ascii="宋体" w:hAnsi="宋体" w:cs="宋体"/>
          <w:color w:val="auto"/>
          <w:highlight w:val="none"/>
          <w:lang w:eastAsia="zh-CN"/>
        </w:rPr>
        <w:t>赵老师</w:t>
      </w:r>
    </w:p>
    <w:p w14:paraId="4852F2BB">
      <w:pPr>
        <w:adjustRightInd w:val="0"/>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cs="宋体"/>
          <w:color w:val="auto"/>
          <w:highlight w:val="none"/>
        </w:rPr>
        <w:t>联系电话：</w:t>
      </w:r>
      <w:r>
        <w:rPr>
          <w:rFonts w:hint="eastAsia" w:ascii="宋体" w:hAnsi="宋体" w:cs="宋体"/>
          <w:color w:val="auto"/>
          <w:highlight w:val="none"/>
          <w:lang w:eastAsia="zh-CN"/>
        </w:rPr>
        <w:t>0871-63056425</w:t>
      </w:r>
    </w:p>
    <w:p w14:paraId="07C762A6">
      <w:pPr>
        <w:adjustRightInd w:val="0"/>
        <w:snapToGrid w:val="0"/>
        <w:spacing w:line="360" w:lineRule="auto"/>
        <w:ind w:firstLine="420" w:firstLineChars="200"/>
        <w:rPr>
          <w:rFonts w:ascii="宋体" w:hAnsi="宋体" w:cs="宋体"/>
          <w:color w:val="auto"/>
          <w:szCs w:val="21"/>
          <w:highlight w:val="none"/>
        </w:rPr>
      </w:pPr>
      <w:bookmarkStart w:id="69" w:name="_Toc28359097"/>
      <w:bookmarkStart w:id="70" w:name="_Toc35393638"/>
      <w:bookmarkStart w:id="71" w:name="_Toc35393807"/>
      <w:bookmarkStart w:id="72" w:name="_Toc28359020"/>
    </w:p>
    <w:p w14:paraId="424A40E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2.采购代理机构信息</w:t>
      </w:r>
      <w:bookmarkEnd w:id="69"/>
      <w:bookmarkEnd w:id="70"/>
      <w:bookmarkEnd w:id="71"/>
      <w:bookmarkEnd w:id="72"/>
    </w:p>
    <w:p w14:paraId="2BCFBBC4">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名称：云南冠睿咨询有限公司</w:t>
      </w:r>
    </w:p>
    <w:p w14:paraId="44F3EB9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地址：云南省昆明市西山区万达广场南塔32层3201号、33层3310号</w:t>
      </w:r>
    </w:p>
    <w:p w14:paraId="67F9481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联系方式：0871-65511240、65511241</w:t>
      </w:r>
    </w:p>
    <w:p w14:paraId="32C10464">
      <w:pPr>
        <w:adjustRightInd w:val="0"/>
        <w:snapToGrid w:val="0"/>
        <w:spacing w:line="360" w:lineRule="auto"/>
        <w:ind w:firstLine="420" w:firstLineChars="200"/>
        <w:rPr>
          <w:rFonts w:ascii="宋体" w:hAnsi="宋体" w:cs="宋体"/>
          <w:color w:val="auto"/>
          <w:szCs w:val="21"/>
          <w:highlight w:val="none"/>
        </w:rPr>
      </w:pPr>
      <w:bookmarkStart w:id="73" w:name="_Toc28359021"/>
      <w:bookmarkStart w:id="74" w:name="_Toc35393639"/>
      <w:bookmarkStart w:id="75" w:name="_Toc28359098"/>
      <w:bookmarkStart w:id="76" w:name="_Toc35393808"/>
    </w:p>
    <w:p w14:paraId="6A432FD0">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3.项目联系方式</w:t>
      </w:r>
      <w:bookmarkEnd w:id="73"/>
      <w:bookmarkEnd w:id="74"/>
      <w:bookmarkEnd w:id="75"/>
      <w:bookmarkEnd w:id="76"/>
    </w:p>
    <w:p w14:paraId="38EFA371">
      <w:pPr>
        <w:adjustRightInd w:val="0"/>
        <w:snapToGrid w:val="0"/>
        <w:spacing w:line="360" w:lineRule="auto"/>
        <w:ind w:firstLine="420" w:firstLineChars="200"/>
        <w:rPr>
          <w:rFonts w:hint="eastAsia" w:ascii="宋体" w:hAnsi="宋体" w:eastAsia="宋体" w:cs="宋体"/>
          <w:snapToGrid w:val="0"/>
          <w:color w:val="auto"/>
          <w:kern w:val="21"/>
          <w:szCs w:val="21"/>
          <w:highlight w:val="none"/>
          <w:lang w:eastAsia="zh-CN"/>
        </w:rPr>
      </w:pPr>
      <w:r>
        <w:rPr>
          <w:rFonts w:hint="eastAsia" w:ascii="宋体" w:hAnsi="宋体" w:cs="宋体"/>
          <w:color w:val="auto"/>
          <w:szCs w:val="21"/>
          <w:highlight w:val="none"/>
        </w:rPr>
        <w:t>项目联系人：</w:t>
      </w:r>
      <w:r>
        <w:rPr>
          <w:rFonts w:hint="eastAsia" w:ascii="宋体" w:hAnsi="宋体" w:cs="宋体"/>
          <w:snapToGrid w:val="0"/>
          <w:color w:val="auto"/>
          <w:kern w:val="21"/>
          <w:szCs w:val="21"/>
          <w:highlight w:val="none"/>
          <w:lang w:eastAsia="zh-CN"/>
        </w:rPr>
        <w:t>祝欣、陈沿锦、丁传觐、王国玺、吴翊、李腾芳、王彦飞、汪怡含、肖枝莲、蒋兴杰、杨益鑫、邓楚卿、刘晓云、张振荣</w:t>
      </w:r>
    </w:p>
    <w:p w14:paraId="66B39FB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地址：云南省昆明市西山区万达广场南塔32层3201号、33层3310号</w:t>
      </w:r>
    </w:p>
    <w:p w14:paraId="3F50BB79">
      <w:pPr>
        <w:adjustRightInd w:val="0"/>
        <w:snapToGri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联系方式：0871-65511240、65511241</w:t>
      </w:r>
    </w:p>
    <w:p w14:paraId="1E7FD557">
      <w:pPr>
        <w:adjustRightInd w:val="0"/>
        <w:snapToGrid w:val="0"/>
        <w:spacing w:line="360" w:lineRule="auto"/>
        <w:ind w:firstLine="420" w:firstLineChars="200"/>
        <w:rPr>
          <w:rFonts w:ascii="宋体" w:hAnsi="宋体" w:cs="宋体"/>
          <w:color w:val="auto"/>
          <w:szCs w:val="21"/>
          <w:highlight w:val="none"/>
        </w:rPr>
      </w:pPr>
    </w:p>
    <w:bookmarkEnd w:id="1"/>
    <w:bookmarkEnd w:id="2"/>
    <w:bookmarkEnd w:id="3"/>
    <w:bookmarkEnd w:id="4"/>
    <w:bookmarkEnd w:id="5"/>
    <w:bookmarkEnd w:id="6"/>
    <w:bookmarkEnd w:id="7"/>
    <w:bookmarkEnd w:id="8"/>
    <w:bookmarkEnd w:id="9"/>
    <w:bookmarkEnd w:id="10"/>
    <w:bookmarkEnd w:id="18"/>
    <w:bookmarkEnd w:id="19"/>
    <w:p w14:paraId="29043551">
      <w:pPr>
        <w:adjustRightInd w:val="0"/>
        <w:snapToGrid w:val="0"/>
        <w:spacing w:line="360" w:lineRule="auto"/>
        <w:ind w:firstLine="640"/>
        <w:rPr>
          <w:rFonts w:ascii="宋体" w:hAnsi="宋体" w:cs="宋体"/>
          <w:color w:val="auto"/>
          <w:sz w:val="32"/>
          <w:highlight w:val="none"/>
        </w:rPr>
      </w:pPr>
      <w:r>
        <w:rPr>
          <w:rFonts w:hint="eastAsia" w:ascii="宋体" w:hAnsi="宋体" w:cs="宋体"/>
          <w:color w:val="auto"/>
          <w:sz w:val="32"/>
          <w:highlight w:val="none"/>
        </w:rPr>
        <w:br w:type="page"/>
      </w:r>
    </w:p>
    <w:p w14:paraId="3104234C">
      <w:pPr>
        <w:pStyle w:val="6"/>
        <w:snapToGrid w:val="0"/>
        <w:spacing w:line="372" w:lineRule="auto"/>
        <w:jc w:val="center"/>
        <w:rPr>
          <w:rFonts w:ascii="宋体" w:hAnsi="宋体" w:eastAsia="宋体" w:cs="宋体"/>
          <w:color w:val="auto"/>
          <w:sz w:val="32"/>
          <w:highlight w:val="none"/>
        </w:rPr>
      </w:pPr>
      <w:bookmarkStart w:id="77" w:name="_Toc13817"/>
      <w:r>
        <w:rPr>
          <w:rFonts w:hint="eastAsia" w:ascii="宋体" w:hAnsi="宋体" w:eastAsia="宋体" w:cs="宋体"/>
          <w:color w:val="auto"/>
          <w:sz w:val="32"/>
          <w:highlight w:val="none"/>
        </w:rPr>
        <w:t>第二章  供应商须知</w:t>
      </w:r>
      <w:bookmarkEnd w:id="77"/>
    </w:p>
    <w:p w14:paraId="70A7D5BB">
      <w:pPr>
        <w:pStyle w:val="7"/>
        <w:adjustRightInd w:val="0"/>
        <w:snapToGrid w:val="0"/>
        <w:spacing w:before="0" w:after="0" w:line="372" w:lineRule="auto"/>
        <w:rPr>
          <w:rFonts w:ascii="宋体" w:hAnsi="宋体" w:cs="宋体"/>
          <w:color w:val="auto"/>
          <w:szCs w:val="28"/>
          <w:highlight w:val="none"/>
        </w:rPr>
      </w:pPr>
      <w:bookmarkStart w:id="78" w:name="_Toc15360"/>
      <w:bookmarkStart w:id="79" w:name="_Toc491307461"/>
      <w:bookmarkStart w:id="80" w:name="_Toc86124039"/>
      <w:r>
        <w:rPr>
          <w:rFonts w:hint="eastAsia" w:ascii="宋体" w:hAnsi="宋体" w:cs="宋体"/>
          <w:color w:val="auto"/>
          <w:szCs w:val="28"/>
          <w:highlight w:val="none"/>
        </w:rPr>
        <w:t>供应商须知前附表</w:t>
      </w:r>
      <w:bookmarkEnd w:id="78"/>
      <w:bookmarkEnd w:id="79"/>
    </w:p>
    <w:tbl>
      <w:tblPr>
        <w:tblStyle w:val="42"/>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30"/>
        <w:gridCol w:w="2106"/>
        <w:gridCol w:w="5577"/>
      </w:tblGrid>
      <w:tr w14:paraId="664C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1" w:hRule="atLeast"/>
          <w:jc w:val="center"/>
        </w:trPr>
        <w:tc>
          <w:tcPr>
            <w:tcW w:w="730" w:type="dxa"/>
            <w:vAlign w:val="center"/>
          </w:tcPr>
          <w:p w14:paraId="722D1CC4">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106" w:type="dxa"/>
            <w:vAlign w:val="center"/>
          </w:tcPr>
          <w:p w14:paraId="4C557B82">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5577" w:type="dxa"/>
            <w:vAlign w:val="center"/>
          </w:tcPr>
          <w:p w14:paraId="1BCC848C">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内    容</w:t>
            </w:r>
          </w:p>
        </w:tc>
      </w:tr>
      <w:tr w14:paraId="7299A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730" w:type="dxa"/>
            <w:vAlign w:val="center"/>
          </w:tcPr>
          <w:p w14:paraId="7D59FC31">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1.2</w:t>
            </w:r>
          </w:p>
        </w:tc>
        <w:tc>
          <w:tcPr>
            <w:tcW w:w="2106" w:type="dxa"/>
            <w:vAlign w:val="center"/>
          </w:tcPr>
          <w:p w14:paraId="55D1F671">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kern w:val="0"/>
                <w:szCs w:val="21"/>
                <w:highlight w:val="none"/>
              </w:rPr>
              <w:t>采购人</w:t>
            </w:r>
          </w:p>
        </w:tc>
        <w:tc>
          <w:tcPr>
            <w:tcW w:w="5577" w:type="dxa"/>
            <w:vAlign w:val="center"/>
          </w:tcPr>
          <w:p w14:paraId="0818DFD9">
            <w:pPr>
              <w:pStyle w:val="38"/>
              <w:adjustRightInd w:val="0"/>
              <w:snapToGrid w:val="0"/>
              <w:spacing w:before="0" w:beforeAutospacing="0" w:after="0" w:afterAutospacing="0" w:line="372" w:lineRule="auto"/>
              <w:jc w:val="both"/>
              <w:rPr>
                <w:rFonts w:hint="eastAsia" w:eastAsia="宋体" w:cs="宋体"/>
                <w:color w:val="auto"/>
                <w:sz w:val="21"/>
                <w:szCs w:val="21"/>
                <w:highlight w:val="none"/>
                <w:lang w:eastAsia="zh-CN"/>
              </w:rPr>
            </w:pPr>
            <w:r>
              <w:rPr>
                <w:rFonts w:hint="eastAsia" w:cs="宋体"/>
                <w:bCs/>
                <w:color w:val="auto"/>
                <w:sz w:val="21"/>
                <w:szCs w:val="21"/>
                <w:highlight w:val="none"/>
                <w:lang w:eastAsia="zh-CN"/>
              </w:rPr>
              <w:t>昆明市公安局交通管理支队</w:t>
            </w:r>
          </w:p>
        </w:tc>
      </w:tr>
      <w:tr w14:paraId="47B6D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jc w:val="center"/>
        </w:trPr>
        <w:tc>
          <w:tcPr>
            <w:tcW w:w="730" w:type="dxa"/>
            <w:vAlign w:val="center"/>
          </w:tcPr>
          <w:p w14:paraId="1853B162">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1.3</w:t>
            </w:r>
          </w:p>
        </w:tc>
        <w:tc>
          <w:tcPr>
            <w:tcW w:w="2106" w:type="dxa"/>
            <w:vAlign w:val="center"/>
          </w:tcPr>
          <w:p w14:paraId="4E723A28">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kern w:val="0"/>
                <w:szCs w:val="21"/>
                <w:highlight w:val="none"/>
              </w:rPr>
              <w:t>采购代理机构</w:t>
            </w:r>
          </w:p>
        </w:tc>
        <w:tc>
          <w:tcPr>
            <w:tcW w:w="5577" w:type="dxa"/>
            <w:vAlign w:val="center"/>
          </w:tcPr>
          <w:p w14:paraId="40029C26">
            <w:pPr>
              <w:adjustRightInd w:val="0"/>
              <w:snapToGrid w:val="0"/>
              <w:spacing w:line="372" w:lineRule="auto"/>
              <w:jc w:val="left"/>
              <w:rPr>
                <w:rFonts w:ascii="宋体" w:hAnsi="宋体" w:cs="宋体"/>
                <w:color w:val="auto"/>
                <w:szCs w:val="21"/>
                <w:highlight w:val="none"/>
              </w:rPr>
            </w:pPr>
            <w:r>
              <w:rPr>
                <w:rFonts w:hint="eastAsia" w:ascii="宋体" w:hAnsi="宋体" w:cs="宋体"/>
                <w:color w:val="auto"/>
                <w:szCs w:val="21"/>
                <w:highlight w:val="none"/>
              </w:rPr>
              <w:t>云南冠睿咨询有限公司</w:t>
            </w:r>
          </w:p>
        </w:tc>
      </w:tr>
      <w:tr w14:paraId="25EC5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730" w:type="dxa"/>
            <w:vAlign w:val="center"/>
          </w:tcPr>
          <w:p w14:paraId="5DA46C4A">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1.4</w:t>
            </w:r>
          </w:p>
        </w:tc>
        <w:tc>
          <w:tcPr>
            <w:tcW w:w="2106" w:type="dxa"/>
            <w:vAlign w:val="center"/>
          </w:tcPr>
          <w:p w14:paraId="7DAEEA98">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项目编号及项目名称</w:t>
            </w:r>
          </w:p>
        </w:tc>
        <w:tc>
          <w:tcPr>
            <w:tcW w:w="5577" w:type="dxa"/>
            <w:vAlign w:val="center"/>
          </w:tcPr>
          <w:p w14:paraId="115A49BB">
            <w:pPr>
              <w:adjustRightInd w:val="0"/>
              <w:snapToGrid w:val="0"/>
              <w:spacing w:line="372"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项目编号：</w:t>
            </w:r>
            <w:r>
              <w:rPr>
                <w:rFonts w:hint="eastAsia" w:ascii="宋体" w:hAnsi="宋体" w:cs="宋体"/>
                <w:color w:val="auto"/>
                <w:szCs w:val="21"/>
                <w:highlight w:val="none"/>
                <w:lang w:eastAsia="zh-CN"/>
              </w:rPr>
              <w:t>KMZC2025-J1-02769-YNGR-0337</w:t>
            </w:r>
          </w:p>
          <w:p w14:paraId="7E16239B">
            <w:pPr>
              <w:adjustRightInd w:val="0"/>
              <w:snapToGrid w:val="0"/>
              <w:spacing w:line="372"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昆明市公安局交通管理支队警用无人机装备采购</w:t>
            </w:r>
          </w:p>
        </w:tc>
      </w:tr>
      <w:tr w14:paraId="36EB9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730" w:type="dxa"/>
            <w:vAlign w:val="center"/>
          </w:tcPr>
          <w:p w14:paraId="434C29D3">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1.5</w:t>
            </w:r>
          </w:p>
        </w:tc>
        <w:tc>
          <w:tcPr>
            <w:tcW w:w="2106" w:type="dxa"/>
            <w:vAlign w:val="center"/>
          </w:tcPr>
          <w:p w14:paraId="79F41A83">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预算金额及最高限价</w:t>
            </w:r>
          </w:p>
        </w:tc>
        <w:tc>
          <w:tcPr>
            <w:tcW w:w="5577" w:type="dxa"/>
            <w:vAlign w:val="center"/>
          </w:tcPr>
          <w:p w14:paraId="61AFA4BB">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详见竞争性谈判文件第一章《竞争性谈判公告》“一、项目基本情况”</w:t>
            </w:r>
          </w:p>
        </w:tc>
      </w:tr>
      <w:tr w14:paraId="5CC13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1" w:hRule="atLeast"/>
          <w:jc w:val="center"/>
        </w:trPr>
        <w:tc>
          <w:tcPr>
            <w:tcW w:w="730" w:type="dxa"/>
            <w:vAlign w:val="center"/>
          </w:tcPr>
          <w:p w14:paraId="3AA18590">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2.1</w:t>
            </w:r>
          </w:p>
        </w:tc>
        <w:tc>
          <w:tcPr>
            <w:tcW w:w="2106" w:type="dxa"/>
            <w:vAlign w:val="center"/>
          </w:tcPr>
          <w:p w14:paraId="0236A69D">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采购需求</w:t>
            </w:r>
          </w:p>
        </w:tc>
        <w:tc>
          <w:tcPr>
            <w:tcW w:w="5577" w:type="dxa"/>
            <w:vAlign w:val="center"/>
          </w:tcPr>
          <w:p w14:paraId="068A770A">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详见竞争性谈判文件第一章《竞争性谈判公告》“一、项目基本情况”</w:t>
            </w:r>
          </w:p>
        </w:tc>
      </w:tr>
      <w:tr w14:paraId="448D9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730" w:type="dxa"/>
            <w:vAlign w:val="center"/>
          </w:tcPr>
          <w:p w14:paraId="7B265928">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2.2</w:t>
            </w:r>
          </w:p>
        </w:tc>
        <w:tc>
          <w:tcPr>
            <w:tcW w:w="2106" w:type="dxa"/>
            <w:vAlign w:val="center"/>
          </w:tcPr>
          <w:p w14:paraId="4B9BD509">
            <w:pPr>
              <w:autoSpaceDE w:val="0"/>
              <w:autoSpaceDN w:val="0"/>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交货期和交货地点</w:t>
            </w:r>
          </w:p>
        </w:tc>
        <w:tc>
          <w:tcPr>
            <w:tcW w:w="5577" w:type="dxa"/>
            <w:vAlign w:val="center"/>
          </w:tcPr>
          <w:p w14:paraId="6C60A37E">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详见竞争性谈判文件第一章《竞争性谈判公告》“一、项目基本情况”</w:t>
            </w:r>
          </w:p>
        </w:tc>
      </w:tr>
      <w:tr w14:paraId="3E925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30" w:type="dxa"/>
            <w:vAlign w:val="center"/>
          </w:tcPr>
          <w:p w14:paraId="39ECF02D">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3.1</w:t>
            </w:r>
          </w:p>
        </w:tc>
        <w:tc>
          <w:tcPr>
            <w:tcW w:w="2106" w:type="dxa"/>
            <w:vAlign w:val="center"/>
          </w:tcPr>
          <w:p w14:paraId="7FF4BA58">
            <w:pPr>
              <w:autoSpaceDE w:val="0"/>
              <w:autoSpaceDN w:val="0"/>
              <w:adjustRightInd w:val="0"/>
              <w:snapToGrid w:val="0"/>
              <w:spacing w:line="372" w:lineRule="auto"/>
              <w:jc w:val="center"/>
              <w:rPr>
                <w:rFonts w:ascii="宋体" w:hAnsi="宋体" w:cs="宋体"/>
                <w:color w:val="auto"/>
                <w:szCs w:val="21"/>
                <w:highlight w:val="none"/>
              </w:rPr>
            </w:pPr>
            <w:r>
              <w:rPr>
                <w:rFonts w:hint="eastAsia" w:ascii="宋体" w:hAnsi="宋体" w:cs="宋体"/>
                <w:color w:val="auto"/>
                <w:kern w:val="0"/>
                <w:szCs w:val="21"/>
                <w:highlight w:val="none"/>
              </w:rPr>
              <w:t>是否接受联合体参加</w:t>
            </w:r>
          </w:p>
        </w:tc>
        <w:tc>
          <w:tcPr>
            <w:tcW w:w="5577" w:type="dxa"/>
            <w:vAlign w:val="center"/>
          </w:tcPr>
          <w:p w14:paraId="1747BAA4">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不接受</w:t>
            </w:r>
          </w:p>
        </w:tc>
      </w:tr>
      <w:tr w14:paraId="2AD84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11A199F2">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4.1</w:t>
            </w:r>
          </w:p>
        </w:tc>
        <w:tc>
          <w:tcPr>
            <w:tcW w:w="2106" w:type="dxa"/>
            <w:vAlign w:val="center"/>
          </w:tcPr>
          <w:p w14:paraId="4B55EC0E">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供应商资格要求</w:t>
            </w:r>
          </w:p>
        </w:tc>
        <w:tc>
          <w:tcPr>
            <w:tcW w:w="5577" w:type="dxa"/>
            <w:vAlign w:val="center"/>
          </w:tcPr>
          <w:p w14:paraId="54258471">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详见竞争性谈判文件第一章《竞争性谈判公告》“二、供应商资格要求”</w:t>
            </w:r>
          </w:p>
        </w:tc>
      </w:tr>
      <w:tr w14:paraId="25A4E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30" w:type="dxa"/>
            <w:vAlign w:val="center"/>
          </w:tcPr>
          <w:p w14:paraId="7212DDA9">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4.2</w:t>
            </w:r>
          </w:p>
        </w:tc>
        <w:tc>
          <w:tcPr>
            <w:tcW w:w="2106" w:type="dxa"/>
            <w:vAlign w:val="center"/>
          </w:tcPr>
          <w:p w14:paraId="3EC1ED5A">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5577" w:type="dxa"/>
            <w:vAlign w:val="center"/>
          </w:tcPr>
          <w:p w14:paraId="3EA443F9">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详见竞争性谈判文件第一章《竞争性谈判公告》“二、供应商资格要求”</w:t>
            </w:r>
          </w:p>
        </w:tc>
      </w:tr>
      <w:tr w14:paraId="395B5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2C84B18E">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4.3</w:t>
            </w:r>
          </w:p>
        </w:tc>
        <w:tc>
          <w:tcPr>
            <w:tcW w:w="2106" w:type="dxa"/>
            <w:vAlign w:val="center"/>
          </w:tcPr>
          <w:p w14:paraId="36D42A7C">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本项目的特定资格要求</w:t>
            </w:r>
          </w:p>
        </w:tc>
        <w:tc>
          <w:tcPr>
            <w:tcW w:w="5577" w:type="dxa"/>
            <w:vAlign w:val="center"/>
          </w:tcPr>
          <w:p w14:paraId="513397C7">
            <w:pPr>
              <w:autoSpaceDE w:val="0"/>
              <w:autoSpaceDN w:val="0"/>
              <w:adjustRightInd w:val="0"/>
              <w:snapToGrid w:val="0"/>
              <w:spacing w:line="372" w:lineRule="auto"/>
              <w:jc w:val="left"/>
              <w:rPr>
                <w:rFonts w:ascii="宋体" w:hAnsi="宋体" w:cs="宋体"/>
                <w:color w:val="auto"/>
                <w:szCs w:val="21"/>
                <w:highlight w:val="none"/>
              </w:rPr>
            </w:pPr>
            <w:r>
              <w:rPr>
                <w:rFonts w:hint="eastAsia" w:ascii="宋体" w:hAnsi="宋体" w:cs="宋体"/>
                <w:color w:val="auto"/>
                <w:szCs w:val="21"/>
                <w:highlight w:val="none"/>
              </w:rPr>
              <w:t>详见竞争性谈判文件第一章《竞争性谈判公告》“二、供应商资格要求”</w:t>
            </w:r>
          </w:p>
        </w:tc>
      </w:tr>
      <w:tr w14:paraId="0165F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1C5BEB9C">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11.1</w:t>
            </w:r>
          </w:p>
        </w:tc>
        <w:tc>
          <w:tcPr>
            <w:tcW w:w="2106" w:type="dxa"/>
            <w:vAlign w:val="center"/>
          </w:tcPr>
          <w:p w14:paraId="128F3325">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竞争性谈判文件的询问时间</w:t>
            </w:r>
          </w:p>
        </w:tc>
        <w:tc>
          <w:tcPr>
            <w:tcW w:w="5577" w:type="dxa"/>
            <w:vAlign w:val="center"/>
          </w:tcPr>
          <w:p w14:paraId="69EB2415">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供应商应认真阅读竞争性谈判文件</w:t>
            </w:r>
            <w:r>
              <w:rPr>
                <w:rFonts w:hint="eastAsia" w:cs="宋体"/>
                <w:color w:val="auto"/>
                <w:sz w:val="21"/>
                <w:szCs w:val="21"/>
                <w:highlight w:val="none"/>
                <w:lang w:eastAsia="zh-CN"/>
              </w:rPr>
              <w:t>，</w:t>
            </w:r>
            <w:r>
              <w:rPr>
                <w:rFonts w:hint="eastAsia" w:cs="宋体"/>
                <w:color w:val="auto"/>
                <w:sz w:val="21"/>
                <w:szCs w:val="21"/>
                <w:highlight w:val="none"/>
              </w:rPr>
              <w:t>如有疑问的</w:t>
            </w:r>
            <w:r>
              <w:rPr>
                <w:rFonts w:hint="eastAsia" w:cs="宋体"/>
                <w:color w:val="auto"/>
                <w:sz w:val="21"/>
                <w:szCs w:val="21"/>
                <w:highlight w:val="none"/>
                <w:lang w:eastAsia="zh-CN"/>
              </w:rPr>
              <w:t>，</w:t>
            </w:r>
            <w:r>
              <w:rPr>
                <w:rFonts w:hint="eastAsia" w:cs="宋体"/>
                <w:color w:val="auto"/>
                <w:sz w:val="21"/>
                <w:szCs w:val="21"/>
                <w:highlight w:val="none"/>
              </w:rPr>
              <w:t>供应商可以向采购人或采购代理机构提出询问</w:t>
            </w:r>
            <w:r>
              <w:rPr>
                <w:rFonts w:hint="eastAsia" w:cs="宋体"/>
                <w:color w:val="auto"/>
                <w:sz w:val="21"/>
                <w:szCs w:val="21"/>
                <w:highlight w:val="none"/>
                <w:lang w:eastAsia="zh-CN"/>
              </w:rPr>
              <w:t>，</w:t>
            </w:r>
            <w:r>
              <w:rPr>
                <w:rFonts w:hint="eastAsia" w:cs="宋体"/>
                <w:color w:val="auto"/>
                <w:sz w:val="21"/>
                <w:szCs w:val="21"/>
                <w:highlight w:val="none"/>
              </w:rPr>
              <w:t>采购人或者采购代理机构在接到询问后的3个工作日内对供应商依法提出的询问作出答复</w:t>
            </w:r>
            <w:r>
              <w:rPr>
                <w:rFonts w:hint="eastAsia" w:cs="宋体"/>
                <w:color w:val="auto"/>
                <w:sz w:val="21"/>
                <w:szCs w:val="21"/>
                <w:highlight w:val="none"/>
                <w:lang w:eastAsia="zh-CN"/>
              </w:rPr>
              <w:t>，</w:t>
            </w:r>
            <w:r>
              <w:rPr>
                <w:rFonts w:hint="eastAsia" w:cs="宋体"/>
                <w:color w:val="auto"/>
                <w:sz w:val="21"/>
                <w:szCs w:val="21"/>
                <w:highlight w:val="none"/>
              </w:rPr>
              <w:t>但答复的内容不涉及商业秘密。</w:t>
            </w:r>
          </w:p>
        </w:tc>
      </w:tr>
      <w:tr w14:paraId="4F55B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016F3301">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11.2</w:t>
            </w:r>
          </w:p>
        </w:tc>
        <w:tc>
          <w:tcPr>
            <w:tcW w:w="2106" w:type="dxa"/>
            <w:vAlign w:val="center"/>
          </w:tcPr>
          <w:p w14:paraId="1FE4F698">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谈判文件询问联系方式</w:t>
            </w:r>
          </w:p>
        </w:tc>
        <w:tc>
          <w:tcPr>
            <w:tcW w:w="5577" w:type="dxa"/>
            <w:vAlign w:val="center"/>
          </w:tcPr>
          <w:p w14:paraId="1660BEC5">
            <w:pPr>
              <w:pStyle w:val="38"/>
              <w:adjustRightInd w:val="0"/>
              <w:snapToGrid w:val="0"/>
              <w:spacing w:before="0" w:beforeAutospacing="0" w:after="0" w:afterAutospacing="0" w:line="372" w:lineRule="auto"/>
              <w:jc w:val="both"/>
              <w:rPr>
                <w:rFonts w:hint="eastAsia" w:eastAsia="宋体" w:cs="宋体"/>
                <w:color w:val="auto"/>
                <w:sz w:val="21"/>
                <w:szCs w:val="21"/>
                <w:highlight w:val="none"/>
                <w:lang w:eastAsia="zh-CN"/>
              </w:rPr>
            </w:pPr>
            <w:r>
              <w:rPr>
                <w:rFonts w:hint="eastAsia" w:cs="宋体"/>
                <w:color w:val="auto"/>
                <w:sz w:val="21"/>
                <w:szCs w:val="21"/>
                <w:highlight w:val="none"/>
              </w:rPr>
              <w:t>询问联系人：</w:t>
            </w:r>
            <w:r>
              <w:rPr>
                <w:rFonts w:hint="eastAsia" w:cs="宋体"/>
                <w:color w:val="auto"/>
                <w:sz w:val="21"/>
                <w:szCs w:val="21"/>
                <w:highlight w:val="none"/>
                <w:lang w:eastAsia="zh-CN"/>
              </w:rPr>
              <w:t>祝欣、陈沿锦、丁传觐、王国玺、吴翊、李腾芳、王彦飞、汪怡含、肖枝莲、蒋兴杰、杨益鑫、邓楚卿、刘晓云、张振荣</w:t>
            </w:r>
          </w:p>
          <w:p w14:paraId="14D8192E">
            <w:pPr>
              <w:adjustRightInd w:val="0"/>
              <w:snapToGrid w:val="0"/>
              <w:spacing w:line="372" w:lineRule="auto"/>
              <w:rPr>
                <w:rFonts w:ascii="宋体" w:hAnsi="宋体" w:cs="宋体"/>
                <w:color w:val="auto"/>
                <w:szCs w:val="21"/>
                <w:highlight w:val="none"/>
              </w:rPr>
            </w:pPr>
            <w:r>
              <w:rPr>
                <w:rFonts w:hint="eastAsia" w:ascii="宋体" w:hAnsi="宋体" w:cs="宋体"/>
                <w:color w:val="auto"/>
                <w:szCs w:val="21"/>
                <w:highlight w:val="none"/>
              </w:rPr>
              <w:t>电话：0871-65511240、65511241</w:t>
            </w:r>
          </w:p>
        </w:tc>
      </w:tr>
      <w:tr w14:paraId="1443E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3CFAA260">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11.4</w:t>
            </w:r>
          </w:p>
        </w:tc>
        <w:tc>
          <w:tcPr>
            <w:tcW w:w="2106" w:type="dxa"/>
            <w:vAlign w:val="center"/>
          </w:tcPr>
          <w:p w14:paraId="1B090113">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竞争性谈判文件澄清、修改时间</w:t>
            </w:r>
          </w:p>
        </w:tc>
        <w:tc>
          <w:tcPr>
            <w:tcW w:w="5577" w:type="dxa"/>
            <w:vAlign w:val="center"/>
          </w:tcPr>
          <w:p w14:paraId="1408D63E">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澄清或者修改的内容可能影响响应文件编制的</w:t>
            </w:r>
            <w:r>
              <w:rPr>
                <w:rFonts w:hint="eastAsia" w:cs="宋体"/>
                <w:color w:val="auto"/>
                <w:sz w:val="21"/>
                <w:szCs w:val="21"/>
                <w:highlight w:val="none"/>
                <w:lang w:eastAsia="zh-CN"/>
              </w:rPr>
              <w:t>，</w:t>
            </w:r>
            <w:r>
              <w:rPr>
                <w:rFonts w:hint="eastAsia" w:cs="宋体"/>
                <w:color w:val="auto"/>
                <w:sz w:val="21"/>
                <w:szCs w:val="21"/>
                <w:highlight w:val="none"/>
              </w:rPr>
              <w:t>采购人、采购代理机构将在提交首次响应文件截止时间至少3个工作日前</w:t>
            </w:r>
            <w:r>
              <w:rPr>
                <w:rFonts w:hint="eastAsia" w:cs="宋体"/>
                <w:color w:val="auto"/>
                <w:sz w:val="21"/>
                <w:szCs w:val="21"/>
                <w:highlight w:val="none"/>
                <w:lang w:eastAsia="zh-CN"/>
              </w:rPr>
              <w:t>，</w:t>
            </w:r>
            <w:r>
              <w:rPr>
                <w:rFonts w:hint="eastAsia" w:cs="宋体"/>
                <w:color w:val="auto"/>
                <w:sz w:val="21"/>
                <w:szCs w:val="21"/>
                <w:highlight w:val="none"/>
              </w:rPr>
              <w:t>以书面形式通知所有获取竞争性谈判文件的供应商</w:t>
            </w:r>
            <w:r>
              <w:rPr>
                <w:rFonts w:hint="eastAsia" w:cs="宋体"/>
                <w:color w:val="auto"/>
                <w:sz w:val="21"/>
                <w:szCs w:val="21"/>
                <w:highlight w:val="none"/>
                <w:lang w:eastAsia="zh-CN"/>
              </w:rPr>
              <w:t>；</w:t>
            </w:r>
            <w:r>
              <w:rPr>
                <w:rFonts w:hint="eastAsia" w:cs="宋体"/>
                <w:color w:val="auto"/>
                <w:sz w:val="21"/>
                <w:szCs w:val="21"/>
                <w:highlight w:val="none"/>
              </w:rPr>
              <w:t>不足3个工作日的</w:t>
            </w:r>
            <w:r>
              <w:rPr>
                <w:rFonts w:hint="eastAsia" w:cs="宋体"/>
                <w:color w:val="auto"/>
                <w:sz w:val="21"/>
                <w:szCs w:val="21"/>
                <w:highlight w:val="none"/>
                <w:lang w:eastAsia="zh-CN"/>
              </w:rPr>
              <w:t>，</w:t>
            </w:r>
            <w:r>
              <w:rPr>
                <w:rFonts w:hint="eastAsia" w:cs="宋体"/>
                <w:color w:val="auto"/>
                <w:sz w:val="21"/>
                <w:szCs w:val="21"/>
                <w:highlight w:val="none"/>
              </w:rPr>
              <w:t>采购人、采购代理机构将顺延提交首次响应文件截止时间。</w:t>
            </w:r>
          </w:p>
        </w:tc>
      </w:tr>
      <w:tr w14:paraId="35EB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454DD8AE">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11.5</w:t>
            </w:r>
          </w:p>
        </w:tc>
        <w:tc>
          <w:tcPr>
            <w:tcW w:w="2106" w:type="dxa"/>
            <w:vAlign w:val="center"/>
          </w:tcPr>
          <w:p w14:paraId="7AEC82CD">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供应商确认收到竞争性谈判文件澄清、修改时间</w:t>
            </w:r>
          </w:p>
        </w:tc>
        <w:tc>
          <w:tcPr>
            <w:tcW w:w="5577" w:type="dxa"/>
            <w:vAlign w:val="center"/>
          </w:tcPr>
          <w:p w14:paraId="40206F6D">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供应商确认收到竞争性谈判文件澄清、修改后</w:t>
            </w:r>
            <w:r>
              <w:rPr>
                <w:rFonts w:hint="eastAsia" w:cs="宋体"/>
                <w:color w:val="auto"/>
                <w:sz w:val="21"/>
                <w:szCs w:val="21"/>
                <w:highlight w:val="none"/>
                <w:lang w:eastAsia="zh-CN"/>
              </w:rPr>
              <w:t>，</w:t>
            </w:r>
            <w:r>
              <w:rPr>
                <w:rFonts w:hint="eastAsia" w:cs="宋体"/>
                <w:color w:val="auto"/>
                <w:sz w:val="21"/>
                <w:szCs w:val="21"/>
                <w:highlight w:val="none"/>
              </w:rPr>
              <w:t>应在收到澄清、修改后24小时内以书面形式通知采购人或采购代理机构</w:t>
            </w:r>
            <w:r>
              <w:rPr>
                <w:rFonts w:hint="eastAsia" w:cs="宋体"/>
                <w:color w:val="auto"/>
                <w:sz w:val="21"/>
                <w:szCs w:val="21"/>
                <w:highlight w:val="none"/>
                <w:lang w:eastAsia="zh-CN"/>
              </w:rPr>
              <w:t>，</w:t>
            </w:r>
            <w:r>
              <w:rPr>
                <w:rFonts w:hint="eastAsia" w:cs="宋体"/>
                <w:color w:val="auto"/>
                <w:sz w:val="21"/>
                <w:szCs w:val="21"/>
                <w:highlight w:val="none"/>
              </w:rPr>
              <w:t>确认已收到该澄清、修改。</w:t>
            </w:r>
          </w:p>
        </w:tc>
      </w:tr>
      <w:tr w14:paraId="0C74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227EF728">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11.6</w:t>
            </w:r>
          </w:p>
        </w:tc>
        <w:tc>
          <w:tcPr>
            <w:tcW w:w="2106" w:type="dxa"/>
            <w:vAlign w:val="center"/>
          </w:tcPr>
          <w:p w14:paraId="2A0D51D1">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谈判小组可以根据谈判文件和谈判情况实质性变动的内容</w:t>
            </w:r>
          </w:p>
        </w:tc>
        <w:tc>
          <w:tcPr>
            <w:tcW w:w="5577" w:type="dxa"/>
            <w:vAlign w:val="center"/>
          </w:tcPr>
          <w:p w14:paraId="032A119F">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在谈判过程中</w:t>
            </w:r>
            <w:r>
              <w:rPr>
                <w:rFonts w:hint="eastAsia" w:cs="宋体"/>
                <w:color w:val="auto"/>
                <w:sz w:val="21"/>
                <w:szCs w:val="21"/>
                <w:highlight w:val="none"/>
                <w:lang w:eastAsia="zh-CN"/>
              </w:rPr>
              <w:t>，</w:t>
            </w:r>
            <w:r>
              <w:rPr>
                <w:rFonts w:hint="eastAsia" w:cs="宋体"/>
                <w:color w:val="auto"/>
                <w:sz w:val="21"/>
                <w:szCs w:val="21"/>
                <w:highlight w:val="none"/>
              </w:rPr>
              <w:t>谈判小组可以根据谈判文件和谈判情况实质性变动采购需求中的技术、服务要求以及合同草案条款</w:t>
            </w:r>
            <w:r>
              <w:rPr>
                <w:rFonts w:hint="eastAsia" w:cs="宋体"/>
                <w:color w:val="auto"/>
                <w:sz w:val="21"/>
                <w:szCs w:val="21"/>
                <w:highlight w:val="none"/>
                <w:lang w:eastAsia="zh-CN"/>
              </w:rPr>
              <w:t>，</w:t>
            </w:r>
            <w:r>
              <w:rPr>
                <w:rFonts w:hint="eastAsia" w:cs="宋体"/>
                <w:color w:val="auto"/>
                <w:sz w:val="21"/>
                <w:szCs w:val="21"/>
                <w:highlight w:val="none"/>
              </w:rPr>
              <w:t>但不得变动谈判文件中的其他内容。实质性变动的内容</w:t>
            </w:r>
            <w:r>
              <w:rPr>
                <w:rFonts w:hint="eastAsia" w:cs="宋体"/>
                <w:color w:val="auto"/>
                <w:sz w:val="21"/>
                <w:szCs w:val="21"/>
                <w:highlight w:val="none"/>
                <w:lang w:eastAsia="zh-CN"/>
              </w:rPr>
              <w:t>，</w:t>
            </w:r>
            <w:r>
              <w:rPr>
                <w:rFonts w:hint="eastAsia" w:cs="宋体"/>
                <w:color w:val="auto"/>
                <w:sz w:val="21"/>
                <w:szCs w:val="21"/>
                <w:highlight w:val="none"/>
              </w:rPr>
              <w:t>须经采购人代表确认。</w:t>
            </w:r>
          </w:p>
        </w:tc>
      </w:tr>
      <w:tr w14:paraId="7BF0F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04876328">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13.1</w:t>
            </w:r>
          </w:p>
        </w:tc>
        <w:tc>
          <w:tcPr>
            <w:tcW w:w="2106" w:type="dxa"/>
            <w:vAlign w:val="center"/>
          </w:tcPr>
          <w:p w14:paraId="1A1D96D9">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语言文字</w:t>
            </w:r>
          </w:p>
        </w:tc>
        <w:tc>
          <w:tcPr>
            <w:tcW w:w="5577" w:type="dxa"/>
            <w:vAlign w:val="center"/>
          </w:tcPr>
          <w:p w14:paraId="05D23E0C">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供应商的响应文件以及供应商与采购人、采购代理机构、谈判小组就有关谈判的所有来往函电统一使用中文（特别规定除外）。</w:t>
            </w:r>
          </w:p>
        </w:tc>
      </w:tr>
      <w:tr w14:paraId="06157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18F7450A">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14.1</w:t>
            </w:r>
          </w:p>
        </w:tc>
        <w:tc>
          <w:tcPr>
            <w:tcW w:w="2106" w:type="dxa"/>
            <w:vAlign w:val="center"/>
          </w:tcPr>
          <w:p w14:paraId="2FF6F47E">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计量单位</w:t>
            </w:r>
          </w:p>
        </w:tc>
        <w:tc>
          <w:tcPr>
            <w:tcW w:w="5577" w:type="dxa"/>
            <w:vAlign w:val="center"/>
          </w:tcPr>
          <w:p w14:paraId="4BC64058">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响应文件中使用的计量单位除谈判文件中有特殊规定外</w:t>
            </w:r>
            <w:r>
              <w:rPr>
                <w:rFonts w:hint="eastAsia" w:cs="宋体"/>
                <w:color w:val="auto"/>
                <w:sz w:val="21"/>
                <w:szCs w:val="21"/>
                <w:highlight w:val="none"/>
                <w:lang w:eastAsia="zh-CN"/>
              </w:rPr>
              <w:t>，</w:t>
            </w:r>
            <w:r>
              <w:rPr>
                <w:rFonts w:hint="eastAsia" w:cs="宋体"/>
                <w:color w:val="auto"/>
                <w:sz w:val="21"/>
                <w:szCs w:val="21"/>
                <w:highlight w:val="none"/>
              </w:rPr>
              <w:t>一律使用中国法定计量单位。</w:t>
            </w:r>
          </w:p>
        </w:tc>
      </w:tr>
      <w:tr w14:paraId="461FB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2F132F6C">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15.2</w:t>
            </w:r>
          </w:p>
        </w:tc>
        <w:tc>
          <w:tcPr>
            <w:tcW w:w="2106" w:type="dxa"/>
            <w:vAlign w:val="center"/>
          </w:tcPr>
          <w:p w14:paraId="1B2008E3">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构成响应文件的其他资料</w:t>
            </w:r>
          </w:p>
        </w:tc>
        <w:tc>
          <w:tcPr>
            <w:tcW w:w="5577" w:type="dxa"/>
            <w:vAlign w:val="center"/>
          </w:tcPr>
          <w:p w14:paraId="7014CA4F">
            <w:pPr>
              <w:pStyle w:val="38"/>
              <w:adjustRightInd w:val="0"/>
              <w:snapToGrid w:val="0"/>
              <w:spacing w:before="0" w:beforeAutospacing="0" w:after="0" w:afterAutospacing="0" w:line="372" w:lineRule="auto"/>
              <w:jc w:val="both"/>
              <w:rPr>
                <w:rFonts w:hint="eastAsia" w:eastAsia="宋体" w:cs="宋体"/>
                <w:bCs/>
                <w:color w:val="auto"/>
                <w:sz w:val="21"/>
                <w:szCs w:val="21"/>
                <w:highlight w:val="none"/>
                <w:lang w:eastAsia="zh-CN"/>
              </w:rPr>
            </w:pPr>
            <w:r>
              <w:rPr>
                <w:rFonts w:hint="eastAsia" w:cs="宋体"/>
                <w:bCs/>
                <w:color w:val="auto"/>
                <w:sz w:val="21"/>
                <w:szCs w:val="21"/>
                <w:highlight w:val="none"/>
              </w:rPr>
              <w:t>1.谈判保证金交纳凭证或保函</w:t>
            </w:r>
            <w:r>
              <w:rPr>
                <w:rFonts w:hint="eastAsia" w:cs="宋体"/>
                <w:bCs/>
                <w:color w:val="auto"/>
                <w:sz w:val="21"/>
                <w:szCs w:val="21"/>
                <w:highlight w:val="none"/>
                <w:lang w:eastAsia="zh-CN"/>
              </w:rPr>
              <w:t>；</w:t>
            </w:r>
          </w:p>
          <w:p w14:paraId="3EC81E13">
            <w:pPr>
              <w:pStyle w:val="38"/>
              <w:adjustRightInd w:val="0"/>
              <w:snapToGrid w:val="0"/>
              <w:spacing w:before="0" w:beforeAutospacing="0" w:after="0" w:afterAutospacing="0" w:line="372" w:lineRule="auto"/>
              <w:jc w:val="both"/>
              <w:rPr>
                <w:rFonts w:hint="eastAsia" w:eastAsia="宋体" w:cs="宋体"/>
                <w:bCs/>
                <w:color w:val="auto"/>
                <w:sz w:val="21"/>
                <w:szCs w:val="21"/>
                <w:highlight w:val="none"/>
                <w:lang w:eastAsia="zh-CN"/>
              </w:rPr>
            </w:pPr>
            <w:r>
              <w:rPr>
                <w:rFonts w:hint="eastAsia" w:cs="宋体"/>
                <w:bCs/>
                <w:color w:val="auto"/>
                <w:sz w:val="21"/>
                <w:szCs w:val="21"/>
                <w:highlight w:val="none"/>
              </w:rPr>
              <w:t>2.第五章《</w:t>
            </w:r>
            <w:r>
              <w:rPr>
                <w:rFonts w:hint="eastAsia" w:cs="宋体"/>
                <w:color w:val="auto"/>
                <w:sz w:val="21"/>
                <w:szCs w:val="21"/>
                <w:highlight w:val="none"/>
              </w:rPr>
              <w:t>采购</w:t>
            </w:r>
            <w:r>
              <w:rPr>
                <w:rFonts w:hint="eastAsia" w:cs="宋体"/>
                <w:bCs/>
                <w:color w:val="auto"/>
                <w:sz w:val="21"/>
                <w:szCs w:val="21"/>
                <w:highlight w:val="none"/>
              </w:rPr>
              <w:t>需求》中要求提供的其他资料</w:t>
            </w:r>
            <w:r>
              <w:rPr>
                <w:rFonts w:hint="eastAsia" w:cs="宋体"/>
                <w:bCs/>
                <w:color w:val="auto"/>
                <w:sz w:val="21"/>
                <w:szCs w:val="21"/>
                <w:highlight w:val="none"/>
                <w:lang w:eastAsia="zh-CN"/>
              </w:rPr>
              <w:t>；</w:t>
            </w:r>
          </w:p>
          <w:p w14:paraId="46EE65D6">
            <w:pPr>
              <w:pStyle w:val="38"/>
              <w:adjustRightInd w:val="0"/>
              <w:snapToGrid w:val="0"/>
              <w:spacing w:before="0" w:beforeAutospacing="0" w:after="0" w:afterAutospacing="0" w:line="372" w:lineRule="auto"/>
              <w:jc w:val="both"/>
              <w:rPr>
                <w:rFonts w:cs="宋体"/>
                <w:bCs/>
                <w:color w:val="auto"/>
                <w:sz w:val="21"/>
                <w:szCs w:val="21"/>
                <w:highlight w:val="none"/>
              </w:rPr>
            </w:pPr>
            <w:r>
              <w:rPr>
                <w:rFonts w:hint="eastAsia" w:cs="宋体"/>
                <w:bCs/>
                <w:color w:val="auto"/>
                <w:sz w:val="21"/>
                <w:szCs w:val="21"/>
                <w:highlight w:val="none"/>
              </w:rPr>
              <w:t>3.谈判</w:t>
            </w:r>
            <w:r>
              <w:rPr>
                <w:rFonts w:hint="eastAsia" w:cs="宋体"/>
                <w:color w:val="auto"/>
                <w:sz w:val="21"/>
                <w:szCs w:val="21"/>
                <w:highlight w:val="none"/>
              </w:rPr>
              <w:t>文件</w:t>
            </w:r>
            <w:r>
              <w:rPr>
                <w:rFonts w:hint="eastAsia" w:cs="宋体"/>
                <w:bCs/>
                <w:color w:val="auto"/>
                <w:sz w:val="21"/>
                <w:szCs w:val="21"/>
                <w:highlight w:val="none"/>
              </w:rPr>
              <w:t>中所涉及到的相关资料及证明文件或供应商认为必须提供的其他</w:t>
            </w:r>
            <w:r>
              <w:rPr>
                <w:rFonts w:hint="eastAsia" w:cs="宋体"/>
                <w:color w:val="auto"/>
                <w:sz w:val="21"/>
                <w:szCs w:val="21"/>
                <w:highlight w:val="none"/>
              </w:rPr>
              <w:t>相关</w:t>
            </w:r>
            <w:r>
              <w:rPr>
                <w:rFonts w:hint="eastAsia" w:cs="宋体"/>
                <w:bCs/>
                <w:color w:val="auto"/>
                <w:sz w:val="21"/>
                <w:szCs w:val="21"/>
                <w:highlight w:val="none"/>
              </w:rPr>
              <w:t>资料。</w:t>
            </w:r>
          </w:p>
        </w:tc>
      </w:tr>
      <w:tr w14:paraId="2B44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jc w:val="center"/>
        </w:trPr>
        <w:tc>
          <w:tcPr>
            <w:tcW w:w="730" w:type="dxa"/>
            <w:vAlign w:val="center"/>
          </w:tcPr>
          <w:p w14:paraId="2B27E8CA">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17.1</w:t>
            </w:r>
          </w:p>
        </w:tc>
        <w:tc>
          <w:tcPr>
            <w:tcW w:w="2106" w:type="dxa"/>
            <w:vAlign w:val="center"/>
          </w:tcPr>
          <w:p w14:paraId="052ACA85">
            <w:pPr>
              <w:pStyle w:val="38"/>
              <w:adjustRightInd w:val="0"/>
              <w:snapToGrid w:val="0"/>
              <w:spacing w:before="0" w:beforeAutospacing="0" w:after="0" w:afterAutospacing="0" w:line="372" w:lineRule="auto"/>
              <w:jc w:val="center"/>
              <w:rPr>
                <w:rFonts w:cs="宋体"/>
                <w:color w:val="auto"/>
                <w:sz w:val="21"/>
                <w:szCs w:val="21"/>
                <w:highlight w:val="none"/>
              </w:rPr>
            </w:pPr>
            <w:r>
              <w:rPr>
                <w:rFonts w:hint="eastAsia" w:cs="宋体"/>
                <w:color w:val="auto"/>
                <w:sz w:val="21"/>
                <w:szCs w:val="21"/>
                <w:highlight w:val="none"/>
              </w:rPr>
              <w:t>响应文件有效期</w:t>
            </w:r>
          </w:p>
        </w:tc>
        <w:tc>
          <w:tcPr>
            <w:tcW w:w="5577" w:type="dxa"/>
            <w:vAlign w:val="center"/>
          </w:tcPr>
          <w:p w14:paraId="5B65E0B1">
            <w:pPr>
              <w:pStyle w:val="38"/>
              <w:adjustRightInd w:val="0"/>
              <w:snapToGrid w:val="0"/>
              <w:spacing w:before="0" w:beforeAutospacing="0" w:after="0" w:afterAutospacing="0" w:line="372" w:lineRule="auto"/>
              <w:rPr>
                <w:rFonts w:cs="宋体"/>
                <w:color w:val="auto"/>
                <w:sz w:val="21"/>
                <w:szCs w:val="21"/>
                <w:highlight w:val="none"/>
              </w:rPr>
            </w:pPr>
            <w:r>
              <w:rPr>
                <w:rFonts w:hint="eastAsia" w:cs="宋体"/>
                <w:color w:val="auto"/>
                <w:sz w:val="21"/>
                <w:szCs w:val="21"/>
                <w:highlight w:val="none"/>
              </w:rPr>
              <w:t>响应文件提交截止之日起90天</w:t>
            </w:r>
          </w:p>
        </w:tc>
      </w:tr>
      <w:tr w14:paraId="37472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6" w:hRule="atLeast"/>
          <w:jc w:val="center"/>
        </w:trPr>
        <w:tc>
          <w:tcPr>
            <w:tcW w:w="730" w:type="dxa"/>
            <w:vAlign w:val="center"/>
          </w:tcPr>
          <w:p w14:paraId="279D7DF4">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18.1</w:t>
            </w:r>
          </w:p>
        </w:tc>
        <w:tc>
          <w:tcPr>
            <w:tcW w:w="2106" w:type="dxa"/>
            <w:vAlign w:val="center"/>
          </w:tcPr>
          <w:p w14:paraId="764DEFF1">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谈判保证金</w:t>
            </w:r>
          </w:p>
        </w:tc>
        <w:tc>
          <w:tcPr>
            <w:tcW w:w="5577" w:type="dxa"/>
            <w:vAlign w:val="center"/>
          </w:tcPr>
          <w:p w14:paraId="745D1442">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保证金的形式：网银、电汇、支票、汇票、本票或者金融机构、担保机构出具的保函等非现金形式提交</w:t>
            </w:r>
            <w:r>
              <w:rPr>
                <w:rFonts w:hint="eastAsia" w:cs="宋体"/>
                <w:color w:val="auto"/>
                <w:sz w:val="21"/>
                <w:szCs w:val="21"/>
                <w:highlight w:val="none"/>
                <w:lang w:eastAsia="zh-CN"/>
              </w:rPr>
              <w:t>，</w:t>
            </w:r>
            <w:r>
              <w:rPr>
                <w:rFonts w:hint="eastAsia" w:cs="宋体"/>
                <w:color w:val="auto"/>
                <w:sz w:val="21"/>
                <w:szCs w:val="21"/>
                <w:highlight w:val="none"/>
              </w:rPr>
              <w:t>也可以选择投标（竞标）保证保险。</w:t>
            </w:r>
          </w:p>
          <w:p w14:paraId="6D3C5577">
            <w:pPr>
              <w:pStyle w:val="38"/>
              <w:adjustRightInd w:val="0"/>
              <w:snapToGrid w:val="0"/>
              <w:spacing w:before="0" w:beforeAutospacing="0" w:after="0" w:afterAutospacing="0" w:line="372" w:lineRule="auto"/>
              <w:jc w:val="both"/>
              <w:rPr>
                <w:rFonts w:cs="宋体"/>
                <w:b/>
                <w:color w:val="auto"/>
                <w:sz w:val="21"/>
                <w:szCs w:val="21"/>
                <w:highlight w:val="none"/>
              </w:rPr>
            </w:pPr>
            <w:r>
              <w:rPr>
                <w:rFonts w:hint="eastAsia" w:cs="宋体"/>
                <w:b/>
                <w:bCs/>
                <w:color w:val="auto"/>
                <w:sz w:val="21"/>
                <w:szCs w:val="21"/>
                <w:highlight w:val="none"/>
              </w:rPr>
              <w:t>谈判保证金的金额：小写：</w:t>
            </w:r>
            <w:r>
              <w:rPr>
                <w:rFonts w:hint="eastAsia" w:cs="宋体"/>
                <w:b/>
                <w:bCs/>
                <w:color w:val="auto"/>
                <w:sz w:val="21"/>
                <w:szCs w:val="21"/>
                <w:highlight w:val="none"/>
                <w:lang w:val="en-US" w:eastAsia="zh-CN"/>
              </w:rPr>
              <w:t>15000.00</w:t>
            </w:r>
            <w:r>
              <w:rPr>
                <w:rFonts w:hint="eastAsia" w:cs="宋体"/>
                <w:b/>
                <w:bCs/>
                <w:color w:val="auto"/>
                <w:sz w:val="21"/>
                <w:szCs w:val="21"/>
                <w:highlight w:val="none"/>
              </w:rPr>
              <w:t>元（大写：</w:t>
            </w:r>
            <w:r>
              <w:rPr>
                <w:rFonts w:hint="eastAsia" w:cs="宋体"/>
                <w:b/>
                <w:bCs/>
                <w:color w:val="auto"/>
                <w:sz w:val="21"/>
                <w:szCs w:val="21"/>
                <w:highlight w:val="none"/>
                <w:lang w:val="en-US" w:eastAsia="zh-CN"/>
              </w:rPr>
              <w:t>壹万伍仟元整</w:t>
            </w:r>
            <w:r>
              <w:rPr>
                <w:rFonts w:hint="eastAsia" w:cs="宋体"/>
                <w:b/>
                <w:bCs/>
                <w:color w:val="auto"/>
                <w:sz w:val="21"/>
                <w:szCs w:val="21"/>
                <w:highlight w:val="none"/>
              </w:rPr>
              <w:t>）</w:t>
            </w:r>
          </w:p>
          <w:p w14:paraId="32C560DF">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谈判保证金按规定数额从供应商基本账户直接转至</w:t>
            </w:r>
          </w:p>
          <w:p w14:paraId="4593CE55">
            <w:pPr>
              <w:pStyle w:val="38"/>
              <w:adjustRightInd w:val="0"/>
              <w:snapToGrid w:val="0"/>
              <w:spacing w:before="0" w:beforeAutospacing="0" w:after="0" w:afterAutospacing="0" w:line="372" w:lineRule="auto"/>
              <w:jc w:val="both"/>
              <w:rPr>
                <w:rFonts w:cs="宋体"/>
                <w:b/>
                <w:bCs/>
                <w:color w:val="auto"/>
                <w:sz w:val="21"/>
                <w:szCs w:val="21"/>
                <w:highlight w:val="none"/>
              </w:rPr>
            </w:pPr>
            <w:r>
              <w:rPr>
                <w:rFonts w:hint="eastAsia" w:cs="宋体"/>
                <w:b/>
                <w:bCs/>
                <w:color w:val="auto"/>
                <w:sz w:val="21"/>
                <w:szCs w:val="21"/>
                <w:highlight w:val="none"/>
              </w:rPr>
              <w:t>账户名称：云南冠睿咨询有限公司</w:t>
            </w:r>
          </w:p>
          <w:p w14:paraId="74ED5F47">
            <w:pPr>
              <w:pStyle w:val="38"/>
              <w:adjustRightInd w:val="0"/>
              <w:snapToGrid w:val="0"/>
              <w:spacing w:before="0" w:beforeAutospacing="0" w:after="0" w:afterAutospacing="0" w:line="372" w:lineRule="auto"/>
              <w:jc w:val="both"/>
              <w:rPr>
                <w:rFonts w:cs="宋体"/>
                <w:b/>
                <w:bCs/>
                <w:color w:val="auto"/>
                <w:sz w:val="21"/>
                <w:szCs w:val="21"/>
                <w:highlight w:val="none"/>
              </w:rPr>
            </w:pPr>
            <w:r>
              <w:rPr>
                <w:rFonts w:hint="eastAsia" w:cs="宋体"/>
                <w:b/>
                <w:bCs/>
                <w:color w:val="auto"/>
                <w:sz w:val="21"/>
                <w:szCs w:val="21"/>
                <w:highlight w:val="none"/>
              </w:rPr>
              <w:t>开户行名称：中国民生银行股份有限公司昆明拓东路支行</w:t>
            </w:r>
          </w:p>
          <w:p w14:paraId="4C7CCAB7">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b/>
                <w:bCs/>
                <w:color w:val="auto"/>
                <w:sz w:val="21"/>
                <w:szCs w:val="21"/>
                <w:highlight w:val="none"/>
              </w:rPr>
              <w:t>开户行账号：636611192</w:t>
            </w:r>
          </w:p>
          <w:p w14:paraId="6D031417">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谈判保证金交纳说明：</w:t>
            </w:r>
          </w:p>
          <w:p w14:paraId="0278D429">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1.网银、电汇、支票、汇票、本票方式提交的</w:t>
            </w:r>
            <w:r>
              <w:rPr>
                <w:rFonts w:hint="eastAsia" w:cs="宋体"/>
                <w:color w:val="auto"/>
                <w:sz w:val="21"/>
                <w:szCs w:val="21"/>
                <w:highlight w:val="none"/>
                <w:lang w:eastAsia="zh-CN"/>
              </w:rPr>
              <w:t>，</w:t>
            </w:r>
            <w:r>
              <w:rPr>
                <w:rFonts w:hint="eastAsia" w:cs="宋体"/>
                <w:color w:val="auto"/>
                <w:sz w:val="21"/>
                <w:szCs w:val="21"/>
                <w:highlight w:val="none"/>
              </w:rPr>
              <w:t>底单即为交纳凭证（需注明项目简称或项目编号）</w:t>
            </w:r>
            <w:r>
              <w:rPr>
                <w:rFonts w:hint="eastAsia" w:cs="宋体"/>
                <w:color w:val="auto"/>
                <w:sz w:val="21"/>
                <w:szCs w:val="21"/>
                <w:highlight w:val="none"/>
                <w:lang w:eastAsia="zh-CN"/>
              </w:rPr>
              <w:t>；</w:t>
            </w:r>
            <w:r>
              <w:rPr>
                <w:rFonts w:hint="eastAsia" w:cs="宋体"/>
                <w:color w:val="auto"/>
                <w:sz w:val="21"/>
                <w:szCs w:val="21"/>
                <w:highlight w:val="none"/>
              </w:rPr>
              <w:t>其他方式的保证金在转账后供应商附有效付款凭证。</w:t>
            </w:r>
          </w:p>
          <w:p w14:paraId="1E4EF523">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2.供应商未按照竞争性谈判文件要求提交谈判保证金的</w:t>
            </w:r>
            <w:r>
              <w:rPr>
                <w:rFonts w:hint="eastAsia" w:cs="宋体"/>
                <w:color w:val="auto"/>
                <w:sz w:val="21"/>
                <w:szCs w:val="21"/>
                <w:highlight w:val="none"/>
                <w:lang w:eastAsia="zh-CN"/>
              </w:rPr>
              <w:t>，</w:t>
            </w:r>
            <w:r>
              <w:rPr>
                <w:rFonts w:hint="eastAsia" w:cs="宋体"/>
                <w:color w:val="auto"/>
                <w:sz w:val="21"/>
                <w:szCs w:val="21"/>
                <w:highlight w:val="none"/>
              </w:rPr>
              <w:t>响应无效。</w:t>
            </w:r>
          </w:p>
        </w:tc>
      </w:tr>
      <w:tr w14:paraId="38B96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5" w:hRule="atLeast"/>
          <w:jc w:val="center"/>
        </w:trPr>
        <w:tc>
          <w:tcPr>
            <w:tcW w:w="730" w:type="dxa"/>
            <w:vAlign w:val="center"/>
          </w:tcPr>
          <w:p w14:paraId="159AE482">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19.7</w:t>
            </w:r>
          </w:p>
        </w:tc>
        <w:tc>
          <w:tcPr>
            <w:tcW w:w="2106" w:type="dxa"/>
            <w:vAlign w:val="center"/>
          </w:tcPr>
          <w:p w14:paraId="4A5B7A1A">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响应文件份数</w:t>
            </w:r>
          </w:p>
        </w:tc>
        <w:tc>
          <w:tcPr>
            <w:tcW w:w="5577" w:type="dxa"/>
            <w:vAlign w:val="center"/>
          </w:tcPr>
          <w:p w14:paraId="58747FAE">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按“政采云”要求</w:t>
            </w:r>
            <w:r>
              <w:rPr>
                <w:rFonts w:hint="eastAsia" w:cs="宋体"/>
                <w:color w:val="auto"/>
                <w:sz w:val="21"/>
                <w:szCs w:val="21"/>
                <w:highlight w:val="none"/>
                <w:lang w:eastAsia="zh-CN"/>
              </w:rPr>
              <w:t>，</w:t>
            </w:r>
            <w:r>
              <w:rPr>
                <w:rFonts w:hint="eastAsia" w:cs="宋体"/>
                <w:color w:val="auto"/>
                <w:sz w:val="21"/>
                <w:szCs w:val="21"/>
                <w:highlight w:val="none"/>
              </w:rPr>
              <w:t>上传电子响应文件壹份。供应商应安装“政采云”投标客户端</w:t>
            </w:r>
            <w:r>
              <w:rPr>
                <w:rFonts w:hint="eastAsia" w:cs="宋体"/>
                <w:color w:val="auto"/>
                <w:sz w:val="21"/>
                <w:szCs w:val="21"/>
                <w:highlight w:val="none"/>
                <w:lang w:eastAsia="zh-CN"/>
              </w:rPr>
              <w:t>，</w:t>
            </w:r>
            <w:r>
              <w:rPr>
                <w:rFonts w:hint="eastAsia" w:cs="宋体"/>
                <w:color w:val="auto"/>
                <w:sz w:val="21"/>
                <w:szCs w:val="21"/>
                <w:highlight w:val="none"/>
              </w:rPr>
              <w:t>根据采购文件格式编制响应文件</w:t>
            </w:r>
            <w:r>
              <w:rPr>
                <w:rFonts w:hint="eastAsia" w:cs="宋体"/>
                <w:color w:val="auto"/>
                <w:sz w:val="21"/>
                <w:szCs w:val="21"/>
                <w:highlight w:val="none"/>
                <w:lang w:eastAsia="zh-CN"/>
              </w:rPr>
              <w:t>，</w:t>
            </w:r>
            <w:r>
              <w:rPr>
                <w:rFonts w:hint="eastAsia" w:cs="宋体"/>
                <w:color w:val="auto"/>
                <w:sz w:val="21"/>
                <w:szCs w:val="21"/>
                <w:highlight w:val="none"/>
              </w:rPr>
              <w:t>生成加密标书后进行上传（详见公告附件供应商操作指南及申领云南 CA操作手册）。</w:t>
            </w:r>
          </w:p>
        </w:tc>
      </w:tr>
      <w:tr w14:paraId="6B445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jc w:val="center"/>
        </w:trPr>
        <w:tc>
          <w:tcPr>
            <w:tcW w:w="730" w:type="dxa"/>
            <w:vAlign w:val="center"/>
          </w:tcPr>
          <w:p w14:paraId="290472CB">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20.4</w:t>
            </w:r>
          </w:p>
        </w:tc>
        <w:tc>
          <w:tcPr>
            <w:tcW w:w="2106" w:type="dxa"/>
            <w:vAlign w:val="center"/>
          </w:tcPr>
          <w:p w14:paraId="18610B71">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备品备件</w:t>
            </w:r>
          </w:p>
        </w:tc>
        <w:tc>
          <w:tcPr>
            <w:tcW w:w="5577" w:type="dxa"/>
            <w:vAlign w:val="center"/>
          </w:tcPr>
          <w:p w14:paraId="6299F6E7">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kern w:val="2"/>
                <w:sz w:val="21"/>
                <w:szCs w:val="21"/>
                <w:highlight w:val="none"/>
              </w:rPr>
              <w:t>不要求</w:t>
            </w:r>
          </w:p>
        </w:tc>
      </w:tr>
      <w:tr w14:paraId="24A11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8" w:hRule="atLeast"/>
          <w:jc w:val="center"/>
        </w:trPr>
        <w:tc>
          <w:tcPr>
            <w:tcW w:w="730" w:type="dxa"/>
            <w:vAlign w:val="center"/>
          </w:tcPr>
          <w:p w14:paraId="4C5BE7FC">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20.7</w:t>
            </w:r>
          </w:p>
        </w:tc>
        <w:tc>
          <w:tcPr>
            <w:tcW w:w="2106" w:type="dxa"/>
            <w:vAlign w:val="center"/>
          </w:tcPr>
          <w:p w14:paraId="342AD559">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报价货币</w:t>
            </w:r>
          </w:p>
        </w:tc>
        <w:tc>
          <w:tcPr>
            <w:tcW w:w="5577" w:type="dxa"/>
            <w:vAlign w:val="center"/>
          </w:tcPr>
          <w:p w14:paraId="5A73F1E3">
            <w:pPr>
              <w:adjustRightInd w:val="0"/>
              <w:snapToGrid w:val="0"/>
              <w:spacing w:line="372" w:lineRule="auto"/>
              <w:rPr>
                <w:rFonts w:ascii="宋体" w:hAnsi="宋体" w:cs="宋体"/>
                <w:color w:val="auto"/>
                <w:szCs w:val="21"/>
                <w:highlight w:val="none"/>
              </w:rPr>
            </w:pPr>
            <w:r>
              <w:rPr>
                <w:rFonts w:hint="eastAsia" w:ascii="宋体" w:hAnsi="宋体" w:cs="宋体"/>
                <w:color w:val="auto"/>
                <w:szCs w:val="21"/>
                <w:highlight w:val="none"/>
              </w:rPr>
              <w:t>人民币</w:t>
            </w:r>
          </w:p>
        </w:tc>
      </w:tr>
      <w:tr w14:paraId="25616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0" w:hRule="atLeast"/>
          <w:jc w:val="center"/>
        </w:trPr>
        <w:tc>
          <w:tcPr>
            <w:tcW w:w="730" w:type="dxa"/>
            <w:vAlign w:val="center"/>
          </w:tcPr>
          <w:p w14:paraId="233924FF">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22.1</w:t>
            </w:r>
          </w:p>
        </w:tc>
        <w:tc>
          <w:tcPr>
            <w:tcW w:w="2106" w:type="dxa"/>
            <w:vAlign w:val="center"/>
          </w:tcPr>
          <w:p w14:paraId="62C337AF">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响应文件提交截止时间、提交响应文件的地点</w:t>
            </w:r>
          </w:p>
        </w:tc>
        <w:tc>
          <w:tcPr>
            <w:tcW w:w="5577" w:type="dxa"/>
            <w:vAlign w:val="center"/>
          </w:tcPr>
          <w:p w14:paraId="19F95927">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提交截止时间：详见竞争性谈判文件第一章《竞争性谈判公告》。</w:t>
            </w:r>
          </w:p>
          <w:p w14:paraId="52C711F1">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 xml:space="preserve">提交地点：详见竞争性谈判文件第一章《竞争性谈判公告》。 </w:t>
            </w:r>
          </w:p>
        </w:tc>
      </w:tr>
      <w:tr w14:paraId="34084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0" w:hRule="atLeast"/>
          <w:jc w:val="center"/>
        </w:trPr>
        <w:tc>
          <w:tcPr>
            <w:tcW w:w="730" w:type="dxa"/>
            <w:vAlign w:val="center"/>
          </w:tcPr>
          <w:p w14:paraId="39E85B3D">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22.3</w:t>
            </w:r>
          </w:p>
        </w:tc>
        <w:tc>
          <w:tcPr>
            <w:tcW w:w="2106" w:type="dxa"/>
            <w:vAlign w:val="center"/>
          </w:tcPr>
          <w:p w14:paraId="25635FB3">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响应文件的密封和标记</w:t>
            </w:r>
          </w:p>
        </w:tc>
        <w:tc>
          <w:tcPr>
            <w:tcW w:w="5577" w:type="dxa"/>
            <w:vAlign w:val="center"/>
          </w:tcPr>
          <w:p w14:paraId="07D85C53">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供应商应按照本项目采购文件和“政采云”平台的要求编制、加密后在响应文件提交截止时间前上传至“政采云”平台</w:t>
            </w:r>
            <w:r>
              <w:rPr>
                <w:rFonts w:hint="eastAsia" w:cs="宋体"/>
                <w:color w:val="auto"/>
                <w:sz w:val="21"/>
                <w:szCs w:val="21"/>
                <w:highlight w:val="none"/>
                <w:lang w:eastAsia="zh-CN"/>
              </w:rPr>
              <w:t>，</w:t>
            </w:r>
            <w:r>
              <w:rPr>
                <w:rFonts w:hint="eastAsia" w:cs="宋体"/>
                <w:color w:val="auto"/>
                <w:sz w:val="21"/>
                <w:szCs w:val="21"/>
                <w:highlight w:val="none"/>
              </w:rPr>
              <w:t>响应文件提交截止时间前未完成响应文件上传的</w:t>
            </w:r>
            <w:r>
              <w:rPr>
                <w:rFonts w:hint="eastAsia" w:cs="宋体"/>
                <w:color w:val="auto"/>
                <w:sz w:val="21"/>
                <w:szCs w:val="21"/>
                <w:highlight w:val="none"/>
                <w:lang w:eastAsia="zh-CN"/>
              </w:rPr>
              <w:t>，</w:t>
            </w:r>
            <w:r>
              <w:rPr>
                <w:rFonts w:hint="eastAsia" w:cs="宋体"/>
                <w:color w:val="auto"/>
                <w:sz w:val="21"/>
                <w:szCs w:val="21"/>
                <w:highlight w:val="none"/>
              </w:rPr>
              <w:t>视为撤回响应文件。供应商在“政采云”平台提交电子版响应文件时</w:t>
            </w:r>
            <w:r>
              <w:rPr>
                <w:rFonts w:hint="eastAsia" w:cs="宋体"/>
                <w:color w:val="auto"/>
                <w:sz w:val="21"/>
                <w:szCs w:val="21"/>
                <w:highlight w:val="none"/>
                <w:lang w:eastAsia="zh-CN"/>
              </w:rPr>
              <w:t>，</w:t>
            </w:r>
            <w:r>
              <w:rPr>
                <w:rFonts w:hint="eastAsia" w:cs="宋体"/>
                <w:color w:val="auto"/>
                <w:sz w:val="21"/>
                <w:szCs w:val="21"/>
                <w:highlight w:val="none"/>
              </w:rPr>
              <w:t>请填写参加远程采购活动经办人联系方式。</w:t>
            </w:r>
          </w:p>
        </w:tc>
      </w:tr>
      <w:tr w14:paraId="1AFC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8" w:hRule="atLeast"/>
          <w:jc w:val="center"/>
        </w:trPr>
        <w:tc>
          <w:tcPr>
            <w:tcW w:w="730" w:type="dxa"/>
            <w:vAlign w:val="center"/>
          </w:tcPr>
          <w:p w14:paraId="554325FF">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24.2</w:t>
            </w:r>
          </w:p>
        </w:tc>
        <w:tc>
          <w:tcPr>
            <w:tcW w:w="2106" w:type="dxa"/>
            <w:vAlign w:val="center"/>
          </w:tcPr>
          <w:p w14:paraId="2BCF8E1D">
            <w:pPr>
              <w:pStyle w:val="38"/>
              <w:adjustRightInd w:val="0"/>
              <w:snapToGrid w:val="0"/>
              <w:spacing w:before="0" w:beforeAutospacing="0" w:after="0" w:afterAutospacing="0" w:line="372" w:lineRule="auto"/>
              <w:jc w:val="center"/>
              <w:rPr>
                <w:rFonts w:cs="宋体"/>
                <w:color w:val="auto"/>
                <w:sz w:val="21"/>
                <w:szCs w:val="21"/>
                <w:highlight w:val="none"/>
              </w:rPr>
            </w:pPr>
            <w:r>
              <w:rPr>
                <w:rFonts w:hint="eastAsia" w:cs="宋体"/>
                <w:color w:val="auto"/>
                <w:sz w:val="21"/>
                <w:szCs w:val="21"/>
                <w:highlight w:val="none"/>
              </w:rPr>
              <w:t>谈判小组</w:t>
            </w:r>
          </w:p>
        </w:tc>
        <w:tc>
          <w:tcPr>
            <w:tcW w:w="5577" w:type="dxa"/>
            <w:vAlign w:val="center"/>
          </w:tcPr>
          <w:p w14:paraId="5015FF8B">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谈判小组由采购人依法组建</w:t>
            </w:r>
            <w:r>
              <w:rPr>
                <w:rFonts w:hint="eastAsia" w:cs="宋体"/>
                <w:color w:val="auto"/>
                <w:sz w:val="21"/>
                <w:szCs w:val="21"/>
                <w:highlight w:val="none"/>
                <w:lang w:eastAsia="zh-CN"/>
              </w:rPr>
              <w:t>，</w:t>
            </w:r>
            <w:r>
              <w:rPr>
                <w:rFonts w:hint="eastAsia" w:cs="宋体"/>
                <w:color w:val="auto"/>
                <w:sz w:val="21"/>
                <w:szCs w:val="21"/>
                <w:highlight w:val="none"/>
              </w:rPr>
              <w:t>谈判由谈判小组负责。谈判小组由采购人代表和评审专家共3人以上单数组成</w:t>
            </w:r>
            <w:r>
              <w:rPr>
                <w:rFonts w:hint="eastAsia" w:cs="宋体"/>
                <w:color w:val="auto"/>
                <w:sz w:val="21"/>
                <w:szCs w:val="21"/>
                <w:highlight w:val="none"/>
                <w:lang w:eastAsia="zh-CN"/>
              </w:rPr>
              <w:t>，</w:t>
            </w:r>
            <w:r>
              <w:rPr>
                <w:rFonts w:hint="eastAsia" w:cs="宋体"/>
                <w:color w:val="auto"/>
                <w:sz w:val="21"/>
                <w:szCs w:val="21"/>
                <w:highlight w:val="none"/>
              </w:rPr>
              <w:t>其中评审专家人数不得少于谈判小组成员总数的2/3。谈判小组应当推选组长</w:t>
            </w:r>
            <w:r>
              <w:rPr>
                <w:rFonts w:hint="eastAsia" w:cs="宋体"/>
                <w:color w:val="auto"/>
                <w:sz w:val="21"/>
                <w:szCs w:val="21"/>
                <w:highlight w:val="none"/>
                <w:lang w:eastAsia="zh-CN"/>
              </w:rPr>
              <w:t>，</w:t>
            </w:r>
            <w:r>
              <w:rPr>
                <w:rFonts w:hint="eastAsia" w:cs="宋体"/>
                <w:color w:val="auto"/>
                <w:sz w:val="21"/>
                <w:szCs w:val="21"/>
                <w:highlight w:val="none"/>
              </w:rPr>
              <w:t>但采购人代表不得担任组长。</w:t>
            </w:r>
          </w:p>
        </w:tc>
      </w:tr>
      <w:tr w14:paraId="7EC77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0" w:hRule="atLeast"/>
          <w:jc w:val="center"/>
        </w:trPr>
        <w:tc>
          <w:tcPr>
            <w:tcW w:w="730" w:type="dxa"/>
            <w:vAlign w:val="center"/>
          </w:tcPr>
          <w:p w14:paraId="0FB42359">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24.5</w:t>
            </w:r>
          </w:p>
        </w:tc>
        <w:tc>
          <w:tcPr>
            <w:tcW w:w="2106" w:type="dxa"/>
            <w:vAlign w:val="center"/>
          </w:tcPr>
          <w:p w14:paraId="05CCC667">
            <w:pPr>
              <w:pStyle w:val="38"/>
              <w:adjustRightInd w:val="0"/>
              <w:snapToGrid w:val="0"/>
              <w:spacing w:before="0" w:beforeAutospacing="0" w:after="0" w:afterAutospacing="0" w:line="372" w:lineRule="auto"/>
              <w:jc w:val="center"/>
              <w:rPr>
                <w:rFonts w:cs="宋体"/>
                <w:color w:val="auto"/>
                <w:sz w:val="21"/>
                <w:szCs w:val="21"/>
                <w:highlight w:val="none"/>
              </w:rPr>
            </w:pPr>
            <w:r>
              <w:rPr>
                <w:rFonts w:hint="eastAsia" w:cs="宋体"/>
                <w:color w:val="auto"/>
                <w:sz w:val="21"/>
                <w:szCs w:val="21"/>
                <w:highlight w:val="none"/>
              </w:rPr>
              <w:t>评审方法</w:t>
            </w:r>
          </w:p>
        </w:tc>
        <w:tc>
          <w:tcPr>
            <w:tcW w:w="5577" w:type="dxa"/>
            <w:vAlign w:val="center"/>
          </w:tcPr>
          <w:p w14:paraId="0FBEFD5D">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谈判小组从质量和服务均能满足采购文件实质性响应要求的供应商中</w:t>
            </w:r>
            <w:r>
              <w:rPr>
                <w:rFonts w:hint="eastAsia" w:cs="宋体"/>
                <w:color w:val="auto"/>
                <w:sz w:val="21"/>
                <w:szCs w:val="21"/>
                <w:highlight w:val="none"/>
                <w:lang w:eastAsia="zh-CN"/>
              </w:rPr>
              <w:t>，</w:t>
            </w:r>
            <w:r>
              <w:rPr>
                <w:rFonts w:hint="eastAsia" w:cs="宋体"/>
                <w:color w:val="auto"/>
                <w:sz w:val="21"/>
                <w:szCs w:val="21"/>
                <w:highlight w:val="none"/>
              </w:rPr>
              <w:t>按照最后报价（符合中小企业划分标准或残疾人福利性单位的用扣除后的价格参与评审）由低到高的顺序提出3名以上成交候选人。</w:t>
            </w:r>
          </w:p>
        </w:tc>
      </w:tr>
      <w:tr w14:paraId="40B83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5" w:hRule="atLeast"/>
          <w:jc w:val="center"/>
        </w:trPr>
        <w:tc>
          <w:tcPr>
            <w:tcW w:w="730" w:type="dxa"/>
            <w:vAlign w:val="center"/>
          </w:tcPr>
          <w:p w14:paraId="7DE222B8">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28.1</w:t>
            </w:r>
          </w:p>
        </w:tc>
        <w:tc>
          <w:tcPr>
            <w:tcW w:w="2106" w:type="dxa"/>
            <w:vAlign w:val="center"/>
          </w:tcPr>
          <w:p w14:paraId="607A3C82">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履约保证金</w:t>
            </w:r>
          </w:p>
        </w:tc>
        <w:tc>
          <w:tcPr>
            <w:tcW w:w="5577" w:type="dxa"/>
            <w:vAlign w:val="center"/>
          </w:tcPr>
          <w:p w14:paraId="2D45433D">
            <w:pPr>
              <w:adjustRightInd w:val="0"/>
              <w:snapToGrid w:val="0"/>
              <w:spacing w:line="372" w:lineRule="auto"/>
              <w:rPr>
                <w:rFonts w:hint="eastAsia" w:ascii="宋体" w:hAnsi="宋体" w:cs="宋体"/>
                <w:color w:val="auto"/>
                <w:szCs w:val="21"/>
                <w:highlight w:val="none"/>
              </w:rPr>
            </w:pPr>
            <w:r>
              <w:rPr>
                <w:rFonts w:hint="eastAsia" w:ascii="宋体" w:hAnsi="宋体" w:cs="宋体"/>
                <w:color w:val="auto"/>
                <w:szCs w:val="21"/>
                <w:highlight w:val="none"/>
              </w:rPr>
              <w:t>金额:合同总价款的</w:t>
            </w:r>
            <w:r>
              <w:rPr>
                <w:rFonts w:hint="eastAsia" w:ascii="宋体" w:hAnsi="宋体" w:cs="宋体"/>
                <w:color w:val="auto"/>
                <w:szCs w:val="21"/>
                <w:highlight w:val="none"/>
                <w:lang w:eastAsia="zh-CN"/>
              </w:rPr>
              <w:t>5%</w:t>
            </w:r>
            <w:r>
              <w:rPr>
                <w:rFonts w:hint="eastAsia" w:ascii="宋体" w:hAnsi="宋体" w:cs="宋体"/>
                <w:color w:val="auto"/>
                <w:szCs w:val="21"/>
                <w:highlight w:val="none"/>
              </w:rPr>
              <w:t>；</w:t>
            </w:r>
          </w:p>
          <w:p w14:paraId="77D03599">
            <w:pPr>
              <w:adjustRightInd w:val="0"/>
              <w:snapToGrid w:val="0"/>
              <w:spacing w:line="372" w:lineRule="auto"/>
              <w:rPr>
                <w:rFonts w:hint="eastAsia" w:ascii="宋体" w:hAnsi="宋体" w:cs="宋体"/>
                <w:color w:val="auto"/>
                <w:szCs w:val="21"/>
                <w:highlight w:val="none"/>
              </w:rPr>
            </w:pPr>
            <w:r>
              <w:rPr>
                <w:rFonts w:hint="eastAsia" w:ascii="宋体" w:hAnsi="宋体" w:cs="宋体"/>
                <w:color w:val="auto"/>
                <w:szCs w:val="21"/>
                <w:highlight w:val="none"/>
              </w:rPr>
              <w:t>缴纳时间:</w:t>
            </w:r>
            <w:r>
              <w:rPr>
                <w:rFonts w:hint="eastAsia" w:ascii="宋体" w:hAnsi="宋体" w:cs="宋体"/>
                <w:color w:val="auto"/>
                <w:szCs w:val="21"/>
                <w:highlight w:val="none"/>
                <w:lang w:eastAsia="zh-CN"/>
              </w:rPr>
              <w:t>合同签订生效后5个工作日内</w:t>
            </w:r>
            <w:r>
              <w:rPr>
                <w:rFonts w:hint="eastAsia" w:ascii="宋体" w:hAnsi="宋体" w:cs="宋体"/>
                <w:color w:val="auto"/>
                <w:szCs w:val="21"/>
                <w:highlight w:val="none"/>
              </w:rPr>
              <w:t>；</w:t>
            </w:r>
          </w:p>
          <w:p w14:paraId="592DF88C">
            <w:pPr>
              <w:adjustRightInd w:val="0"/>
              <w:snapToGrid w:val="0"/>
              <w:spacing w:line="372" w:lineRule="auto"/>
              <w:rPr>
                <w:rFonts w:ascii="宋体" w:hAnsi="宋体" w:cs="宋体"/>
                <w:color w:val="auto"/>
                <w:szCs w:val="21"/>
                <w:highlight w:val="none"/>
              </w:rPr>
            </w:pPr>
            <w:r>
              <w:rPr>
                <w:rFonts w:hint="eastAsia" w:ascii="宋体" w:hAnsi="宋体" w:cs="宋体"/>
                <w:color w:val="auto"/>
                <w:szCs w:val="21"/>
                <w:highlight w:val="none"/>
              </w:rPr>
              <w:t>缴纳形式:银行转帐或支票、汇票、本票或者金融机构、担保机构出具的保函等非现金形式。</w:t>
            </w:r>
          </w:p>
        </w:tc>
      </w:tr>
      <w:tr w14:paraId="4A2F0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jc w:val="center"/>
        </w:trPr>
        <w:tc>
          <w:tcPr>
            <w:tcW w:w="730" w:type="dxa"/>
            <w:vAlign w:val="center"/>
          </w:tcPr>
          <w:p w14:paraId="7D85A0CD">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29.1</w:t>
            </w:r>
          </w:p>
        </w:tc>
        <w:tc>
          <w:tcPr>
            <w:tcW w:w="2106" w:type="dxa"/>
            <w:vAlign w:val="center"/>
          </w:tcPr>
          <w:p w14:paraId="6DAE9334">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采购代理服务费</w:t>
            </w:r>
          </w:p>
        </w:tc>
        <w:tc>
          <w:tcPr>
            <w:tcW w:w="5577" w:type="dxa"/>
            <w:vAlign w:val="center"/>
          </w:tcPr>
          <w:p w14:paraId="61EB1483">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标准：</w:t>
            </w:r>
            <w:r>
              <w:rPr>
                <w:rFonts w:hint="eastAsia" w:cs="宋体"/>
                <w:color w:val="auto"/>
                <w:sz w:val="21"/>
                <w:szCs w:val="21"/>
                <w:highlight w:val="none"/>
                <w:lang w:eastAsia="zh-CN"/>
              </w:rPr>
              <w:t>采购代理服务费参照国家计委[2002]1980号文件规定的收费标准及国家发展和改革委员会发改办价格[2003]857号文规定的货物类收费标准下浮20%收取</w:t>
            </w:r>
            <w:r>
              <w:rPr>
                <w:rFonts w:hint="eastAsia" w:cs="宋体"/>
                <w:color w:val="auto"/>
                <w:sz w:val="21"/>
                <w:szCs w:val="21"/>
                <w:highlight w:val="none"/>
              </w:rPr>
              <w:t>（计算基准价为成交金额）</w:t>
            </w:r>
            <w:r>
              <w:rPr>
                <w:rFonts w:hint="eastAsia" w:cs="宋体"/>
                <w:color w:val="auto"/>
                <w:sz w:val="21"/>
                <w:szCs w:val="21"/>
                <w:highlight w:val="none"/>
                <w:lang w:eastAsia="zh-CN"/>
              </w:rPr>
              <w:t>，</w:t>
            </w:r>
            <w:r>
              <w:rPr>
                <w:rFonts w:hint="eastAsia" w:cs="宋体"/>
                <w:color w:val="auto"/>
                <w:sz w:val="21"/>
                <w:szCs w:val="21"/>
                <w:highlight w:val="none"/>
              </w:rPr>
              <w:t>此费用包含在</w:t>
            </w:r>
            <w:r>
              <w:rPr>
                <w:rFonts w:hint="eastAsia" w:cs="宋体"/>
                <w:color w:val="auto"/>
                <w:sz w:val="21"/>
                <w:szCs w:val="21"/>
                <w:highlight w:val="none"/>
                <w:lang w:eastAsia="zh-CN"/>
              </w:rPr>
              <w:t>成交供应商</w:t>
            </w:r>
            <w:r>
              <w:rPr>
                <w:rFonts w:hint="eastAsia" w:cs="宋体"/>
                <w:color w:val="auto"/>
                <w:sz w:val="21"/>
                <w:szCs w:val="21"/>
                <w:highlight w:val="none"/>
              </w:rPr>
              <w:t>报价中。</w:t>
            </w:r>
          </w:p>
          <w:p w14:paraId="66E286B4">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方式：现金、网银、电汇、支票、汇票等形式。</w:t>
            </w:r>
          </w:p>
        </w:tc>
      </w:tr>
      <w:tr w14:paraId="6F036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6" w:hRule="atLeast"/>
          <w:jc w:val="center"/>
        </w:trPr>
        <w:tc>
          <w:tcPr>
            <w:tcW w:w="730" w:type="dxa"/>
            <w:vAlign w:val="center"/>
          </w:tcPr>
          <w:p w14:paraId="5D9E82D9">
            <w:pPr>
              <w:adjustRightInd w:val="0"/>
              <w:snapToGrid w:val="0"/>
              <w:spacing w:line="372" w:lineRule="auto"/>
              <w:jc w:val="center"/>
              <w:rPr>
                <w:rFonts w:ascii="宋体" w:hAnsi="宋体" w:cs="宋体"/>
                <w:color w:val="auto"/>
                <w:szCs w:val="21"/>
                <w:highlight w:val="none"/>
              </w:rPr>
            </w:pPr>
            <w:r>
              <w:rPr>
                <w:rFonts w:hint="eastAsia" w:ascii="宋体" w:hAnsi="宋体" w:cs="宋体"/>
                <w:color w:val="auto"/>
                <w:szCs w:val="21"/>
                <w:highlight w:val="none"/>
              </w:rPr>
              <w:t>31.5</w:t>
            </w:r>
          </w:p>
        </w:tc>
        <w:tc>
          <w:tcPr>
            <w:tcW w:w="2106" w:type="dxa"/>
            <w:vAlign w:val="center"/>
          </w:tcPr>
          <w:p w14:paraId="089C29A4">
            <w:pPr>
              <w:pStyle w:val="38"/>
              <w:adjustRightInd w:val="0"/>
              <w:snapToGrid w:val="0"/>
              <w:spacing w:before="0" w:beforeAutospacing="0" w:after="0" w:afterAutospacing="0" w:line="372" w:lineRule="auto"/>
              <w:jc w:val="center"/>
              <w:rPr>
                <w:rFonts w:cs="宋体"/>
                <w:color w:val="auto"/>
                <w:sz w:val="21"/>
                <w:szCs w:val="21"/>
                <w:highlight w:val="none"/>
              </w:rPr>
            </w:pPr>
            <w:r>
              <w:rPr>
                <w:rFonts w:hint="eastAsia" w:cs="宋体"/>
                <w:color w:val="auto"/>
                <w:sz w:val="21"/>
                <w:szCs w:val="21"/>
                <w:highlight w:val="none"/>
              </w:rPr>
              <w:t>需要补充的其他内容</w:t>
            </w:r>
          </w:p>
        </w:tc>
        <w:tc>
          <w:tcPr>
            <w:tcW w:w="5577" w:type="dxa"/>
            <w:vAlign w:val="center"/>
          </w:tcPr>
          <w:p w14:paraId="4DFD24C3">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以下情况视为供应商同意撤回已上传系统的响应文件或其响应文件无效：</w:t>
            </w:r>
          </w:p>
          <w:p w14:paraId="7C55C931">
            <w:pPr>
              <w:pStyle w:val="38"/>
              <w:adjustRightInd w:val="0"/>
              <w:snapToGrid w:val="0"/>
              <w:spacing w:before="0" w:beforeAutospacing="0" w:after="0" w:afterAutospacing="0" w:line="372" w:lineRule="auto"/>
              <w:jc w:val="both"/>
              <w:rPr>
                <w:rFonts w:hint="eastAsia" w:eastAsia="宋体" w:cs="宋体"/>
                <w:color w:val="auto"/>
                <w:sz w:val="21"/>
                <w:szCs w:val="21"/>
                <w:highlight w:val="none"/>
                <w:lang w:eastAsia="zh-CN"/>
              </w:rPr>
            </w:pPr>
            <w:r>
              <w:rPr>
                <w:rFonts w:hint="eastAsia" w:cs="宋体"/>
                <w:color w:val="auto"/>
                <w:sz w:val="21"/>
                <w:szCs w:val="21"/>
                <w:highlight w:val="none"/>
              </w:rPr>
              <w:t>（1）政采云电子平台显示供应商未上传响应文件</w:t>
            </w:r>
            <w:r>
              <w:rPr>
                <w:rFonts w:hint="eastAsia" w:cs="宋体"/>
                <w:color w:val="auto"/>
                <w:sz w:val="21"/>
                <w:szCs w:val="21"/>
                <w:highlight w:val="none"/>
                <w:lang w:eastAsia="zh-CN"/>
              </w:rPr>
              <w:t>；</w:t>
            </w:r>
          </w:p>
          <w:p w14:paraId="3BC8D126">
            <w:pPr>
              <w:pStyle w:val="38"/>
              <w:adjustRightInd w:val="0"/>
              <w:snapToGrid w:val="0"/>
              <w:spacing w:before="0" w:beforeAutospacing="0" w:after="0" w:afterAutospacing="0" w:line="372" w:lineRule="auto"/>
              <w:jc w:val="both"/>
              <w:rPr>
                <w:rFonts w:cs="宋体"/>
                <w:color w:val="auto"/>
                <w:sz w:val="21"/>
                <w:szCs w:val="21"/>
                <w:highlight w:val="none"/>
              </w:rPr>
            </w:pPr>
            <w:r>
              <w:rPr>
                <w:rFonts w:hint="eastAsia" w:cs="宋体"/>
                <w:color w:val="auto"/>
                <w:sz w:val="21"/>
                <w:szCs w:val="21"/>
                <w:highlight w:val="none"/>
              </w:rPr>
              <w:t>（2）因供应商原因上传的响应文件在开启文件时无法解密。</w:t>
            </w:r>
          </w:p>
        </w:tc>
      </w:tr>
    </w:tbl>
    <w:p w14:paraId="19CA4A95">
      <w:pPr>
        <w:tabs>
          <w:tab w:val="left" w:pos="3150"/>
          <w:tab w:val="center" w:pos="4734"/>
        </w:tabs>
        <w:adjustRightInd w:val="0"/>
        <w:snapToGrid w:val="0"/>
        <w:spacing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  </w:t>
      </w:r>
      <w:r>
        <w:rPr>
          <w:rFonts w:hint="eastAsia" w:ascii="宋体" w:hAnsi="宋体" w:cs="宋体"/>
          <w:b/>
          <w:color w:val="auto"/>
          <w:sz w:val="32"/>
          <w:szCs w:val="32"/>
          <w:highlight w:val="none"/>
        </w:rPr>
        <w:br w:type="page"/>
      </w:r>
      <w:r>
        <w:rPr>
          <w:rFonts w:hint="eastAsia" w:ascii="宋体" w:hAnsi="宋体" w:cs="宋体"/>
          <w:b/>
          <w:color w:val="auto"/>
          <w:sz w:val="24"/>
          <w:highlight w:val="none"/>
        </w:rPr>
        <w:t>一、总则</w:t>
      </w:r>
    </w:p>
    <w:p w14:paraId="5CD22958">
      <w:pPr>
        <w:tabs>
          <w:tab w:val="left" w:pos="3150"/>
          <w:tab w:val="center" w:pos="4734"/>
        </w:tabs>
        <w:adjustRightInd w:val="0"/>
        <w:snapToGrid w:val="0"/>
        <w:spacing w:line="360" w:lineRule="auto"/>
        <w:ind w:firstLine="482"/>
        <w:jc w:val="left"/>
        <w:rPr>
          <w:rFonts w:ascii="宋体" w:hAnsi="宋体" w:cs="宋体"/>
          <w:b/>
          <w:color w:val="auto"/>
          <w:sz w:val="24"/>
          <w:highlight w:val="none"/>
        </w:rPr>
      </w:pPr>
      <w:r>
        <w:rPr>
          <w:rFonts w:hint="eastAsia" w:ascii="宋体" w:hAnsi="宋体" w:cs="宋体"/>
          <w:b/>
          <w:color w:val="auto"/>
          <w:sz w:val="24"/>
          <w:highlight w:val="none"/>
        </w:rPr>
        <w:t>1.项目概况</w:t>
      </w:r>
    </w:p>
    <w:p w14:paraId="3FE5DDAC">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1.1根据《中华人民共和国政府采购法》、《中华人民共和国政府采购法实施条例》、《</w:t>
      </w:r>
      <w:r>
        <w:rPr>
          <w:rFonts w:hint="eastAsia" w:ascii="宋体" w:hAnsi="宋体" w:cs="宋体"/>
          <w:color w:val="auto"/>
          <w:szCs w:val="21"/>
          <w:highlight w:val="none"/>
          <w:lang w:eastAsia="zh-CN"/>
        </w:rPr>
        <w:t>政府采购非招标采购方式管理办法</w:t>
      </w:r>
      <w:r>
        <w:rPr>
          <w:rFonts w:hint="eastAsia" w:ascii="宋体" w:hAnsi="宋体" w:cs="宋体"/>
          <w:color w:val="auto"/>
          <w:szCs w:val="21"/>
          <w:highlight w:val="none"/>
        </w:rPr>
        <w:t>》等有关法律、法规的规定</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采购代理机构受采购人委托</w:t>
      </w:r>
      <w:r>
        <w:rPr>
          <w:rFonts w:hint="eastAsia" w:ascii="宋体" w:hAnsi="宋体" w:cs="宋体"/>
          <w:color w:val="auto"/>
          <w:szCs w:val="21"/>
          <w:highlight w:val="none"/>
          <w:lang w:eastAsia="zh-CN"/>
        </w:rPr>
        <w:t>，</w:t>
      </w:r>
      <w:r>
        <w:rPr>
          <w:rFonts w:hint="eastAsia" w:ascii="宋体" w:hAnsi="宋体" w:cs="宋体"/>
          <w:color w:val="auto"/>
          <w:szCs w:val="21"/>
          <w:highlight w:val="none"/>
        </w:rPr>
        <w:t>采用竞争性谈判方式选定供应商承担本项目。</w:t>
      </w:r>
    </w:p>
    <w:p w14:paraId="6F5EE600">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1.2采购人：详见《供应商须知前附表》。</w:t>
      </w:r>
    </w:p>
    <w:p w14:paraId="429D1AEC">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1.3采购代理机构：详见《供应商须知前附表》。</w:t>
      </w:r>
    </w:p>
    <w:p w14:paraId="27B8A940">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1.4项目名称及项目编号：详见《供应商须知前附表》。</w:t>
      </w:r>
    </w:p>
    <w:p w14:paraId="24FC5319">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1.5预算金额及最高限价：详见《供应商须知前附表》。</w:t>
      </w:r>
    </w:p>
    <w:p w14:paraId="741840C4">
      <w:pPr>
        <w:tabs>
          <w:tab w:val="left" w:pos="3150"/>
          <w:tab w:val="center" w:pos="4734"/>
        </w:tabs>
        <w:adjustRightInd w:val="0"/>
        <w:snapToGrid w:val="0"/>
        <w:spacing w:line="360" w:lineRule="auto"/>
        <w:ind w:firstLine="482"/>
        <w:jc w:val="left"/>
        <w:rPr>
          <w:rFonts w:ascii="宋体" w:hAnsi="宋体" w:cs="宋体"/>
          <w:b/>
          <w:color w:val="auto"/>
          <w:sz w:val="24"/>
          <w:highlight w:val="none"/>
        </w:rPr>
      </w:pPr>
      <w:r>
        <w:rPr>
          <w:rFonts w:hint="eastAsia" w:ascii="宋体" w:hAnsi="宋体" w:cs="宋体"/>
          <w:b/>
          <w:color w:val="auto"/>
          <w:sz w:val="24"/>
          <w:highlight w:val="none"/>
        </w:rPr>
        <w:t>2.采购需求、交货期和交货地点</w:t>
      </w:r>
    </w:p>
    <w:p w14:paraId="6E6634EC">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2.1采购需求：详见《供应商须知前附表》。</w:t>
      </w:r>
    </w:p>
    <w:p w14:paraId="3C2054E5">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2.2交货期和交货地点：详见《供应商须知前附表》。</w:t>
      </w:r>
    </w:p>
    <w:p w14:paraId="593606D4">
      <w:pPr>
        <w:tabs>
          <w:tab w:val="left" w:pos="3150"/>
          <w:tab w:val="center" w:pos="4734"/>
        </w:tabs>
        <w:adjustRightInd w:val="0"/>
        <w:snapToGrid w:val="0"/>
        <w:spacing w:line="360" w:lineRule="auto"/>
        <w:ind w:firstLine="482"/>
        <w:jc w:val="left"/>
        <w:rPr>
          <w:rFonts w:ascii="宋体" w:hAnsi="宋体" w:cs="宋体"/>
          <w:b/>
          <w:color w:val="auto"/>
          <w:sz w:val="24"/>
          <w:highlight w:val="none"/>
        </w:rPr>
      </w:pPr>
      <w:r>
        <w:rPr>
          <w:rFonts w:hint="eastAsia" w:ascii="宋体" w:hAnsi="宋体" w:cs="宋体"/>
          <w:b/>
          <w:color w:val="auto"/>
          <w:sz w:val="24"/>
          <w:highlight w:val="none"/>
        </w:rPr>
        <w:t>3.联合体</w:t>
      </w:r>
    </w:p>
    <w:p w14:paraId="2EB23C00">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3.1是否接受联合体参加：不接受。</w:t>
      </w:r>
    </w:p>
    <w:p w14:paraId="6A98AD9B">
      <w:pPr>
        <w:tabs>
          <w:tab w:val="left" w:pos="3150"/>
          <w:tab w:val="center" w:pos="4734"/>
        </w:tabs>
        <w:adjustRightInd w:val="0"/>
        <w:snapToGrid w:val="0"/>
        <w:spacing w:line="360" w:lineRule="auto"/>
        <w:ind w:firstLine="482"/>
        <w:jc w:val="left"/>
        <w:rPr>
          <w:rFonts w:ascii="宋体" w:hAnsi="宋体" w:cs="宋体"/>
          <w:b/>
          <w:color w:val="auto"/>
          <w:sz w:val="24"/>
          <w:highlight w:val="none"/>
        </w:rPr>
      </w:pPr>
      <w:r>
        <w:rPr>
          <w:rFonts w:hint="eastAsia" w:ascii="宋体" w:hAnsi="宋体" w:cs="宋体"/>
          <w:b/>
          <w:color w:val="auto"/>
          <w:sz w:val="24"/>
          <w:highlight w:val="none"/>
          <w:lang w:eastAsia="zh-CN"/>
        </w:rPr>
        <w:t>★</w:t>
      </w:r>
      <w:r>
        <w:rPr>
          <w:rFonts w:hint="eastAsia" w:ascii="宋体" w:hAnsi="宋体" w:cs="宋体"/>
          <w:b/>
          <w:color w:val="auto"/>
          <w:sz w:val="24"/>
          <w:highlight w:val="none"/>
        </w:rPr>
        <w:t>4.供应商资格要求</w:t>
      </w:r>
    </w:p>
    <w:p w14:paraId="77B4D226">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4.1供应商资格要求：详见《供应商须知前附表》</w:t>
      </w:r>
    </w:p>
    <w:p w14:paraId="4677C4ED">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4.2落实政府采购政策需满足的资格要求：详见《供应商须知前附表》</w:t>
      </w:r>
    </w:p>
    <w:p w14:paraId="7B2E722C">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4.3本项目的特定资格要求：详见《供应商须知前附表》。</w:t>
      </w:r>
    </w:p>
    <w:p w14:paraId="38131863">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4.4如供应商为满足供应商资格要求提供虚假材料</w:t>
      </w:r>
      <w:r>
        <w:rPr>
          <w:rFonts w:hint="eastAsia" w:ascii="宋体" w:hAnsi="宋体" w:cs="宋体"/>
          <w:color w:val="auto"/>
          <w:szCs w:val="21"/>
          <w:highlight w:val="none"/>
          <w:lang w:eastAsia="zh-CN"/>
        </w:rPr>
        <w:t>，</w:t>
      </w:r>
      <w:r>
        <w:rPr>
          <w:rFonts w:hint="eastAsia" w:ascii="宋体" w:hAnsi="宋体" w:cs="宋体"/>
          <w:color w:val="auto"/>
          <w:szCs w:val="21"/>
          <w:highlight w:val="none"/>
        </w:rPr>
        <w:t>一经查实</w:t>
      </w:r>
      <w:r>
        <w:rPr>
          <w:rFonts w:hint="eastAsia" w:ascii="宋体" w:hAnsi="宋体" w:cs="宋体"/>
          <w:color w:val="auto"/>
          <w:szCs w:val="21"/>
          <w:highlight w:val="none"/>
          <w:lang w:eastAsia="zh-CN"/>
        </w:rPr>
        <w:t>，</w:t>
      </w:r>
      <w:r>
        <w:rPr>
          <w:rFonts w:hint="eastAsia" w:ascii="宋体" w:hAnsi="宋体" w:cs="宋体"/>
          <w:color w:val="auto"/>
          <w:szCs w:val="21"/>
          <w:highlight w:val="none"/>
        </w:rPr>
        <w:t>视为未实质性响应竞争性谈判文件</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供应商响应文件将按无效处理。</w:t>
      </w:r>
    </w:p>
    <w:p w14:paraId="04EE6DAC">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4.5单位负责人为同一人或者存在直接控股、管理关系的不同供应商</w:t>
      </w:r>
      <w:r>
        <w:rPr>
          <w:rFonts w:hint="eastAsia" w:ascii="宋体" w:hAnsi="宋体" w:cs="宋体"/>
          <w:color w:val="auto"/>
          <w:szCs w:val="21"/>
          <w:highlight w:val="none"/>
          <w:lang w:eastAsia="zh-CN"/>
        </w:rPr>
        <w:t>，</w:t>
      </w:r>
      <w:r>
        <w:rPr>
          <w:rFonts w:hint="eastAsia" w:ascii="宋体" w:hAnsi="宋体" w:cs="宋体"/>
          <w:color w:val="auto"/>
          <w:szCs w:val="21"/>
          <w:highlight w:val="none"/>
        </w:rPr>
        <w:t>不得参加同一合同项下的政府采购活动。</w:t>
      </w:r>
    </w:p>
    <w:p w14:paraId="393449E5">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4.6供应商不得为采购项目提供整体设计、规范编制和项目管理、监理、检测等服务。</w:t>
      </w:r>
    </w:p>
    <w:p w14:paraId="07C3F5BB">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4.7符合上述条件的供应商应承担参加采购活动及履约中应承担的全部责任与义务。</w:t>
      </w:r>
    </w:p>
    <w:p w14:paraId="4936786B">
      <w:pPr>
        <w:tabs>
          <w:tab w:val="left" w:pos="105"/>
          <w:tab w:val="left" w:pos="735"/>
          <w:tab w:val="left" w:pos="945"/>
          <w:tab w:val="left" w:pos="3360"/>
        </w:tabs>
        <w:adjustRightInd w:val="0"/>
        <w:snapToGrid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5.费用承担</w:t>
      </w:r>
    </w:p>
    <w:p w14:paraId="05292C7C">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5.1无论是否成交</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供应商自行承担所有与参加本次竞争性谈判采购活动所产生的全部费用。</w:t>
      </w:r>
    </w:p>
    <w:p w14:paraId="76892DEB">
      <w:pPr>
        <w:autoSpaceDE w:val="0"/>
        <w:autoSpaceDN w:val="0"/>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6.现场考察</w:t>
      </w:r>
    </w:p>
    <w:p w14:paraId="6EE4BD1F">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6.1本项目采购人不组织现场考察。</w:t>
      </w:r>
    </w:p>
    <w:p w14:paraId="36B9DC08">
      <w:pPr>
        <w:autoSpaceDE w:val="0"/>
        <w:autoSpaceDN w:val="0"/>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7.谈判前答疑会</w:t>
      </w:r>
    </w:p>
    <w:p w14:paraId="1FB7BD30">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7.1本项目采购人不组织谈判前答疑会。</w:t>
      </w:r>
    </w:p>
    <w:p w14:paraId="3D646C01">
      <w:pPr>
        <w:autoSpaceDE w:val="0"/>
        <w:autoSpaceDN w:val="0"/>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8.质疑</w:t>
      </w:r>
    </w:p>
    <w:p w14:paraId="59CC0296">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bookmarkStart w:id="81" w:name="_Toc432106481"/>
      <w:bookmarkStart w:id="82" w:name="_Toc383175480"/>
      <w:bookmarkStart w:id="83" w:name="_Toc383175282"/>
      <w:bookmarkStart w:id="84" w:name="_Toc432194832"/>
      <w:bookmarkStart w:id="85" w:name="_Toc482343732"/>
      <w:bookmarkStart w:id="86" w:name="_Toc470507046"/>
      <w:bookmarkStart w:id="87" w:name="_Toc383175058"/>
      <w:r>
        <w:rPr>
          <w:rFonts w:hint="eastAsia" w:ascii="宋体" w:hAnsi="宋体" w:cs="宋体"/>
          <w:color w:val="auto"/>
          <w:szCs w:val="21"/>
          <w:highlight w:val="none"/>
        </w:rPr>
        <w:t>8.1供应商认为竞争性谈判文件、采购过程、成交结果使自己的权益受到损害的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可以在知道或者应知其权益受到损害之日起7个工作日内</w:t>
      </w:r>
      <w:r>
        <w:rPr>
          <w:rFonts w:hint="eastAsia" w:ascii="宋体" w:hAnsi="宋体" w:cs="宋体"/>
          <w:color w:val="auto"/>
          <w:szCs w:val="21"/>
          <w:highlight w:val="none"/>
          <w:lang w:eastAsia="zh-CN"/>
        </w:rPr>
        <w:t>，</w:t>
      </w:r>
      <w:r>
        <w:rPr>
          <w:rFonts w:hint="eastAsia" w:ascii="宋体" w:hAnsi="宋体" w:cs="宋体"/>
          <w:color w:val="auto"/>
          <w:szCs w:val="21"/>
          <w:highlight w:val="none"/>
        </w:rPr>
        <w:t>以书面形式向采购人、采购代理机构提出质疑。供应商应在法定质疑期内一次性提出针对同一采购程序环节的质疑</w:t>
      </w:r>
      <w:r>
        <w:rPr>
          <w:rFonts w:hint="eastAsia" w:ascii="宋体" w:hAnsi="宋体" w:cs="宋体"/>
          <w:color w:val="auto"/>
          <w:szCs w:val="21"/>
          <w:highlight w:val="none"/>
          <w:lang w:eastAsia="zh-CN"/>
        </w:rPr>
        <w:t>，</w:t>
      </w:r>
      <w:r>
        <w:rPr>
          <w:rFonts w:hint="eastAsia" w:ascii="宋体" w:hAnsi="宋体" w:cs="宋体"/>
          <w:color w:val="auto"/>
          <w:szCs w:val="21"/>
          <w:highlight w:val="none"/>
        </w:rPr>
        <w:t>否则采购人、采购代理机构有权拒收。</w:t>
      </w:r>
    </w:p>
    <w:p w14:paraId="091ED859">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8.2竞争性谈判文件第二章《供应商须知》8.1条中“知道或者应知其权益受到损害之日”是指：</w:t>
      </w:r>
    </w:p>
    <w:p w14:paraId="6AFF81B0">
      <w:pPr>
        <w:tabs>
          <w:tab w:val="left" w:pos="105"/>
          <w:tab w:val="left" w:pos="735"/>
          <w:tab w:val="left" w:pos="945"/>
          <w:tab w:val="left" w:pos="3360"/>
        </w:tabs>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（一）对可以质疑的采购文件提出质疑的</w:t>
      </w:r>
      <w:r>
        <w:rPr>
          <w:rFonts w:hint="eastAsia" w:ascii="宋体" w:hAnsi="宋体" w:cs="宋体"/>
          <w:color w:val="auto"/>
          <w:szCs w:val="21"/>
          <w:highlight w:val="none"/>
          <w:lang w:eastAsia="zh-CN"/>
        </w:rPr>
        <w:t>，</w:t>
      </w:r>
      <w:r>
        <w:rPr>
          <w:rFonts w:hint="eastAsia" w:ascii="宋体" w:hAnsi="宋体" w:cs="宋体"/>
          <w:color w:val="auto"/>
          <w:szCs w:val="21"/>
          <w:highlight w:val="none"/>
        </w:rPr>
        <w:t>为收到采购文件之日或者采购文件公告期限届满之日</w:t>
      </w:r>
      <w:r>
        <w:rPr>
          <w:rFonts w:hint="eastAsia" w:ascii="宋体" w:hAnsi="宋体" w:cs="宋体"/>
          <w:color w:val="auto"/>
          <w:szCs w:val="21"/>
          <w:highlight w:val="none"/>
          <w:lang w:eastAsia="zh-CN"/>
        </w:rPr>
        <w:t>；</w:t>
      </w:r>
    </w:p>
    <w:p w14:paraId="53216DB2">
      <w:pPr>
        <w:tabs>
          <w:tab w:val="left" w:pos="105"/>
          <w:tab w:val="left" w:pos="735"/>
          <w:tab w:val="left" w:pos="945"/>
          <w:tab w:val="left" w:pos="3360"/>
        </w:tabs>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（二）对采购过程提出质疑的</w:t>
      </w:r>
      <w:r>
        <w:rPr>
          <w:rFonts w:hint="eastAsia" w:ascii="宋体" w:hAnsi="宋体" w:cs="宋体"/>
          <w:color w:val="auto"/>
          <w:szCs w:val="21"/>
          <w:highlight w:val="none"/>
          <w:lang w:eastAsia="zh-CN"/>
        </w:rPr>
        <w:t>，</w:t>
      </w:r>
      <w:r>
        <w:rPr>
          <w:rFonts w:hint="eastAsia" w:ascii="宋体" w:hAnsi="宋体" w:cs="宋体"/>
          <w:color w:val="auto"/>
          <w:szCs w:val="21"/>
          <w:highlight w:val="none"/>
        </w:rPr>
        <w:t>为各采购程序环节结束之日</w:t>
      </w:r>
      <w:r>
        <w:rPr>
          <w:rFonts w:hint="eastAsia" w:ascii="宋体" w:hAnsi="宋体" w:cs="宋体"/>
          <w:color w:val="auto"/>
          <w:szCs w:val="21"/>
          <w:highlight w:val="none"/>
          <w:lang w:eastAsia="zh-CN"/>
        </w:rPr>
        <w:t>；</w:t>
      </w:r>
    </w:p>
    <w:p w14:paraId="04362AA9">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（三）对中标或者成交结果提出质疑的</w:t>
      </w:r>
      <w:r>
        <w:rPr>
          <w:rFonts w:hint="eastAsia" w:ascii="宋体" w:hAnsi="宋体" w:cs="宋体"/>
          <w:color w:val="auto"/>
          <w:szCs w:val="21"/>
          <w:highlight w:val="none"/>
          <w:lang w:eastAsia="zh-CN"/>
        </w:rPr>
        <w:t>，</w:t>
      </w:r>
      <w:r>
        <w:rPr>
          <w:rFonts w:hint="eastAsia" w:ascii="宋体" w:hAnsi="宋体" w:cs="宋体"/>
          <w:color w:val="auto"/>
          <w:szCs w:val="21"/>
          <w:highlight w:val="none"/>
        </w:rPr>
        <w:t>为中标或者成交结果公告期限届满之日。</w:t>
      </w:r>
    </w:p>
    <w:p w14:paraId="5DF632DF">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8.3供应商可以委托代理人进行质疑。其授权委托书应当载明代理人的姓名或者名称、代理事项、具体权限、期限和相关事项。供应商为自然人的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应当由本人签字</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供应商为法人或者其他组织的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应当由法定代表人、主要负责人签字或者盖章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并加盖公章。代理人提出质疑</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应当提交供应商签署的授权委托书。</w:t>
      </w:r>
    </w:p>
    <w:p w14:paraId="78248D34">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提出质疑的供应商应当是参与所质疑项目采购活动的供应商。</w:t>
      </w:r>
    </w:p>
    <w:p w14:paraId="3499F9B3">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8.4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7FE2F13B">
      <w:pPr>
        <w:tabs>
          <w:tab w:val="left" w:pos="105"/>
          <w:tab w:val="left" w:pos="735"/>
          <w:tab w:val="left" w:pos="945"/>
          <w:tab w:val="left" w:pos="3360"/>
        </w:tabs>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（一）供应商的姓名或者名称、地址、邮编、联系人及联系电话</w:t>
      </w:r>
      <w:r>
        <w:rPr>
          <w:rFonts w:hint="eastAsia" w:ascii="宋体" w:hAnsi="宋体" w:cs="宋体"/>
          <w:color w:val="auto"/>
          <w:szCs w:val="21"/>
          <w:highlight w:val="none"/>
          <w:lang w:eastAsia="zh-CN"/>
        </w:rPr>
        <w:t>；</w:t>
      </w:r>
    </w:p>
    <w:p w14:paraId="7E804682">
      <w:pPr>
        <w:tabs>
          <w:tab w:val="left" w:pos="105"/>
          <w:tab w:val="left" w:pos="735"/>
          <w:tab w:val="left" w:pos="945"/>
          <w:tab w:val="left" w:pos="3360"/>
        </w:tabs>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（二）质疑项目的名称、编号</w:t>
      </w:r>
      <w:r>
        <w:rPr>
          <w:rFonts w:hint="eastAsia" w:ascii="宋体" w:hAnsi="宋体" w:cs="宋体"/>
          <w:color w:val="auto"/>
          <w:szCs w:val="21"/>
          <w:highlight w:val="none"/>
          <w:lang w:eastAsia="zh-CN"/>
        </w:rPr>
        <w:t>；</w:t>
      </w:r>
    </w:p>
    <w:p w14:paraId="4A9ABC74">
      <w:pPr>
        <w:tabs>
          <w:tab w:val="left" w:pos="105"/>
          <w:tab w:val="left" w:pos="735"/>
          <w:tab w:val="left" w:pos="945"/>
          <w:tab w:val="left" w:pos="3360"/>
        </w:tabs>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（三）具体、明确的质疑事项和与质疑事项相关的请求</w:t>
      </w:r>
      <w:r>
        <w:rPr>
          <w:rFonts w:hint="eastAsia" w:ascii="宋体" w:hAnsi="宋体" w:cs="宋体"/>
          <w:color w:val="auto"/>
          <w:szCs w:val="21"/>
          <w:highlight w:val="none"/>
          <w:lang w:eastAsia="zh-CN"/>
        </w:rPr>
        <w:t>；</w:t>
      </w:r>
    </w:p>
    <w:p w14:paraId="1029F639">
      <w:pPr>
        <w:tabs>
          <w:tab w:val="left" w:pos="105"/>
          <w:tab w:val="left" w:pos="735"/>
          <w:tab w:val="left" w:pos="945"/>
          <w:tab w:val="left" w:pos="3360"/>
        </w:tabs>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（四）事实依据</w:t>
      </w:r>
      <w:r>
        <w:rPr>
          <w:rFonts w:hint="eastAsia" w:ascii="宋体" w:hAnsi="宋体" w:cs="宋体"/>
          <w:color w:val="auto"/>
          <w:szCs w:val="21"/>
          <w:highlight w:val="none"/>
          <w:lang w:eastAsia="zh-CN"/>
        </w:rPr>
        <w:t>；</w:t>
      </w:r>
    </w:p>
    <w:p w14:paraId="76920B02">
      <w:pPr>
        <w:tabs>
          <w:tab w:val="left" w:pos="105"/>
          <w:tab w:val="left" w:pos="735"/>
          <w:tab w:val="left" w:pos="945"/>
          <w:tab w:val="left" w:pos="3360"/>
        </w:tabs>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（五）必要的法律依据</w:t>
      </w:r>
      <w:r>
        <w:rPr>
          <w:rFonts w:hint="eastAsia" w:ascii="宋体" w:hAnsi="宋体" w:cs="宋体"/>
          <w:color w:val="auto"/>
          <w:szCs w:val="21"/>
          <w:highlight w:val="none"/>
          <w:lang w:eastAsia="zh-CN"/>
        </w:rPr>
        <w:t>；</w:t>
      </w:r>
    </w:p>
    <w:p w14:paraId="3FE43B8C">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（六）提出质疑的日期。</w:t>
      </w:r>
    </w:p>
    <w:p w14:paraId="65599FC6">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供应商为自然人的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应当由本人签字</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供应商为法人或者其他组织的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应当由法定代表人、主要负责人</w:t>
      </w:r>
      <w:r>
        <w:rPr>
          <w:rFonts w:hint="eastAsia" w:ascii="宋体" w:hAnsi="宋体" w:cs="宋体"/>
          <w:color w:val="auto"/>
          <w:szCs w:val="21"/>
          <w:highlight w:val="none"/>
          <w:lang w:eastAsia="zh-CN"/>
        </w:rPr>
        <w:t>，</w:t>
      </w:r>
      <w:r>
        <w:rPr>
          <w:rFonts w:hint="eastAsia" w:ascii="宋体" w:hAnsi="宋体" w:cs="宋体"/>
          <w:color w:val="auto"/>
          <w:szCs w:val="21"/>
          <w:highlight w:val="none"/>
        </w:rPr>
        <w:t>或者其授权代表签字或者盖章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并加盖公章。</w:t>
      </w:r>
    </w:p>
    <w:p w14:paraId="53B4DC19">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8.5供应商不得捏造事实、提供虚假材料或者以非法手段取得证明材料。</w:t>
      </w:r>
    </w:p>
    <w:p w14:paraId="7623C8FF">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8.6质疑函应当使用中文。相关当事人提供外文书证或者外国语视听资料的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应当附有中文译本</w:t>
      </w:r>
      <w:r>
        <w:rPr>
          <w:rFonts w:hint="eastAsia" w:ascii="宋体" w:hAnsi="宋体" w:cs="宋体"/>
          <w:color w:val="auto"/>
          <w:szCs w:val="21"/>
          <w:highlight w:val="none"/>
          <w:lang w:eastAsia="zh-CN"/>
        </w:rPr>
        <w:t>，</w:t>
      </w:r>
      <w:r>
        <w:rPr>
          <w:rFonts w:hint="eastAsia" w:ascii="宋体" w:hAnsi="宋体" w:cs="宋体"/>
          <w:color w:val="auto"/>
          <w:szCs w:val="21"/>
          <w:highlight w:val="none"/>
        </w:rPr>
        <w:t>由翻译机构盖章或者翻译人员签名。相关当事人向财政部门提供的在中华人民共和国领域外形成的证据</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应当说明来源</w:t>
      </w:r>
      <w:r>
        <w:rPr>
          <w:rFonts w:hint="eastAsia" w:ascii="宋体" w:hAnsi="宋体" w:cs="宋体"/>
          <w:color w:val="auto"/>
          <w:szCs w:val="21"/>
          <w:highlight w:val="none"/>
          <w:lang w:eastAsia="zh-CN"/>
        </w:rPr>
        <w:t>，</w:t>
      </w:r>
      <w:r>
        <w:rPr>
          <w:rFonts w:hint="eastAsia" w:ascii="宋体" w:hAnsi="宋体" w:cs="宋体"/>
          <w:color w:val="auto"/>
          <w:szCs w:val="21"/>
          <w:highlight w:val="none"/>
        </w:rPr>
        <w:t>经所在国公证机关证明</w:t>
      </w:r>
      <w:r>
        <w:rPr>
          <w:rFonts w:hint="eastAsia" w:ascii="宋体" w:hAnsi="宋体" w:cs="宋体"/>
          <w:color w:val="auto"/>
          <w:szCs w:val="21"/>
          <w:highlight w:val="none"/>
          <w:lang w:eastAsia="zh-CN"/>
        </w:rPr>
        <w:t>，</w:t>
      </w:r>
      <w:r>
        <w:rPr>
          <w:rFonts w:hint="eastAsia" w:ascii="宋体" w:hAnsi="宋体" w:cs="宋体"/>
          <w:color w:val="auto"/>
          <w:szCs w:val="21"/>
          <w:highlight w:val="none"/>
        </w:rPr>
        <w:t>并经中华人民共和国驻该国使领馆认证</w:t>
      </w:r>
      <w:r>
        <w:rPr>
          <w:rFonts w:hint="eastAsia" w:ascii="宋体" w:hAnsi="宋体" w:cs="宋体"/>
          <w:color w:val="auto"/>
          <w:szCs w:val="21"/>
          <w:highlight w:val="none"/>
          <w:lang w:eastAsia="zh-CN"/>
        </w:rPr>
        <w:t>，</w:t>
      </w:r>
      <w:r>
        <w:rPr>
          <w:rFonts w:hint="eastAsia" w:ascii="宋体" w:hAnsi="宋体" w:cs="宋体"/>
          <w:color w:val="auto"/>
          <w:szCs w:val="21"/>
          <w:highlight w:val="none"/>
        </w:rPr>
        <w:t>或者履行中华人民共和国与证据所在国订立的有关条约中规定的证明手续。相关当事人提供的在香港特别行政区、澳门特别行政区和台湾地区内形成的证据</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应当履行相关的证明手续。</w:t>
      </w:r>
    </w:p>
    <w:p w14:paraId="126AC917">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8.7采购人、采购代理机构将在收到供应商质疑函后七个工作日内作出答复</w:t>
      </w:r>
      <w:r>
        <w:rPr>
          <w:rFonts w:hint="eastAsia" w:ascii="宋体" w:hAnsi="宋体" w:cs="宋体"/>
          <w:color w:val="auto"/>
          <w:szCs w:val="21"/>
          <w:highlight w:val="none"/>
          <w:lang w:eastAsia="zh-CN"/>
        </w:rPr>
        <w:t>，</w:t>
      </w:r>
      <w:r>
        <w:rPr>
          <w:rFonts w:hint="eastAsia" w:ascii="宋体" w:hAnsi="宋体" w:cs="宋体"/>
          <w:color w:val="auto"/>
          <w:szCs w:val="21"/>
          <w:highlight w:val="none"/>
        </w:rPr>
        <w:t>但质疑答复的内容不涉及商业秘密。</w:t>
      </w:r>
    </w:p>
    <w:p w14:paraId="2E559058">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8.8供应商对评审过程、成交结果提出质疑的</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采购人、采购代理机构可以组织原评标委员会协助答复质疑。质疑答复导致成交结果改变的</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采购人或者采购代理机构会将有关情况书面报告本级财政部门。</w:t>
      </w:r>
    </w:p>
    <w:p w14:paraId="506F5756">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8.9接收质疑函的方式：书面方式</w:t>
      </w:r>
      <w:r>
        <w:rPr>
          <w:rFonts w:hint="eastAsia" w:ascii="宋体" w:hAnsi="宋体" w:cs="宋体"/>
          <w:color w:val="auto"/>
          <w:szCs w:val="21"/>
          <w:highlight w:val="none"/>
          <w:lang w:eastAsia="zh-CN"/>
        </w:rPr>
        <w:t>；</w:t>
      </w:r>
      <w:r>
        <w:rPr>
          <w:rFonts w:hint="eastAsia" w:ascii="宋体" w:hAnsi="宋体" w:cs="宋体"/>
          <w:color w:val="auto"/>
          <w:szCs w:val="21"/>
          <w:highlight w:val="none"/>
        </w:rPr>
        <w:t>接收质疑函的部门：云南冠睿咨询有限公司项目部</w:t>
      </w:r>
      <w:r>
        <w:rPr>
          <w:rFonts w:hint="eastAsia" w:ascii="宋体" w:hAnsi="宋体" w:cs="宋体"/>
          <w:color w:val="auto"/>
          <w:szCs w:val="21"/>
          <w:highlight w:val="none"/>
          <w:lang w:eastAsia="zh-CN"/>
        </w:rPr>
        <w:t>；</w:t>
      </w:r>
      <w:r>
        <w:rPr>
          <w:rFonts w:hint="eastAsia" w:ascii="宋体" w:hAnsi="宋体" w:cs="宋体"/>
          <w:color w:val="auto"/>
          <w:szCs w:val="21"/>
          <w:highlight w:val="none"/>
        </w:rPr>
        <w:t>联系人、联系电话：</w:t>
      </w:r>
      <w:r>
        <w:rPr>
          <w:rFonts w:hint="eastAsia" w:ascii="宋体" w:hAnsi="宋体" w:cs="宋体"/>
          <w:color w:val="auto"/>
          <w:szCs w:val="21"/>
          <w:highlight w:val="none"/>
          <w:lang w:eastAsia="zh-CN"/>
        </w:rPr>
        <w:t>祝欣、陈沿锦、丁传觐、王国玺、吴翊、李腾芳、王彦飞、汪怡含、肖枝莲、蒋兴杰、杨益鑫、邓楚卿、刘晓云、张振荣</w:t>
      </w:r>
      <w:r>
        <w:rPr>
          <w:rFonts w:hint="eastAsia" w:ascii="宋体" w:hAnsi="宋体" w:cs="宋体"/>
          <w:color w:val="auto"/>
          <w:szCs w:val="21"/>
          <w:highlight w:val="none"/>
        </w:rPr>
        <w:t>0871-65511240、65511241</w:t>
      </w:r>
      <w:r>
        <w:rPr>
          <w:rFonts w:hint="eastAsia" w:ascii="宋体" w:hAnsi="宋体" w:cs="宋体"/>
          <w:color w:val="auto"/>
          <w:szCs w:val="21"/>
          <w:highlight w:val="none"/>
          <w:lang w:eastAsia="zh-CN"/>
        </w:rPr>
        <w:t>；</w:t>
      </w:r>
      <w:r>
        <w:rPr>
          <w:rFonts w:hint="eastAsia" w:ascii="宋体" w:hAnsi="宋体" w:cs="宋体"/>
          <w:color w:val="auto"/>
          <w:szCs w:val="21"/>
          <w:highlight w:val="none"/>
        </w:rPr>
        <w:t>通讯地址：云南省昆明市西山区万达广场南塔32层3201号。</w:t>
      </w:r>
    </w:p>
    <w:p w14:paraId="4664B08B">
      <w:pPr>
        <w:autoSpaceDE w:val="0"/>
        <w:autoSpaceDN w:val="0"/>
        <w:adjustRightInd w:val="0"/>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9.</w:t>
      </w:r>
      <w:r>
        <w:rPr>
          <w:rFonts w:hint="eastAsia" w:ascii="宋体" w:hAnsi="宋体" w:cs="宋体"/>
          <w:b/>
          <w:bCs/>
          <w:color w:val="auto"/>
          <w:sz w:val="24"/>
          <w:highlight w:val="none"/>
        </w:rPr>
        <w:t>投诉</w:t>
      </w:r>
    </w:p>
    <w:p w14:paraId="5E270921">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9.1投诉必须首先经过质疑程序。质疑供应商对采购人、采购代理机构的答复不满意</w:t>
      </w:r>
      <w:r>
        <w:rPr>
          <w:rFonts w:hint="eastAsia" w:ascii="宋体" w:hAnsi="宋体" w:cs="宋体"/>
          <w:color w:val="auto"/>
          <w:szCs w:val="21"/>
          <w:highlight w:val="none"/>
          <w:lang w:eastAsia="zh-CN"/>
        </w:rPr>
        <w:t>，</w:t>
      </w:r>
      <w:r>
        <w:rPr>
          <w:rFonts w:hint="eastAsia" w:ascii="宋体" w:hAnsi="宋体" w:cs="宋体"/>
          <w:color w:val="auto"/>
          <w:szCs w:val="21"/>
          <w:highlight w:val="none"/>
        </w:rPr>
        <w:t>或者采购人、采购代理机构未在规定时间内作出答复的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可以在答复期满后十五个工作日内书面向财政部门提起投诉。</w:t>
      </w:r>
    </w:p>
    <w:p w14:paraId="03F54734">
      <w:pPr>
        <w:tabs>
          <w:tab w:val="left" w:pos="105"/>
          <w:tab w:val="left" w:pos="735"/>
          <w:tab w:val="left" w:pos="945"/>
          <w:tab w:val="left" w:pos="3360"/>
        </w:tabs>
        <w:adjustRightInd w:val="0"/>
        <w:snapToGrid w:val="0"/>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二、谈判文件</w:t>
      </w:r>
    </w:p>
    <w:p w14:paraId="0C553DF3">
      <w:pPr>
        <w:tabs>
          <w:tab w:val="left" w:pos="105"/>
          <w:tab w:val="left" w:pos="735"/>
          <w:tab w:val="left" w:pos="945"/>
          <w:tab w:val="left" w:pos="3360"/>
        </w:tabs>
        <w:adjustRightInd w:val="0"/>
        <w:snapToGrid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10.谈判文件的组成</w:t>
      </w:r>
      <w:bookmarkEnd w:id="81"/>
      <w:bookmarkEnd w:id="82"/>
      <w:bookmarkEnd w:id="83"/>
      <w:bookmarkEnd w:id="84"/>
      <w:bookmarkEnd w:id="85"/>
      <w:bookmarkEnd w:id="86"/>
      <w:bookmarkEnd w:id="87"/>
    </w:p>
    <w:p w14:paraId="025F533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采购人要求提供的</w:t>
      </w:r>
      <w:r>
        <w:rPr>
          <w:rFonts w:hint="eastAsia" w:ascii="宋体" w:hAnsi="宋体" w:cs="宋体"/>
          <w:color w:val="auto"/>
          <w:kern w:val="0"/>
          <w:szCs w:val="21"/>
          <w:highlight w:val="none"/>
        </w:rPr>
        <w:t>货物、工程或者服务、</w:t>
      </w:r>
      <w:r>
        <w:rPr>
          <w:rFonts w:hint="eastAsia" w:ascii="宋体" w:hAnsi="宋体" w:cs="宋体"/>
          <w:color w:val="auto"/>
          <w:szCs w:val="21"/>
          <w:highlight w:val="none"/>
        </w:rPr>
        <w:t>采购过程及合同条款在竞争性谈判文件中均有说明</w:t>
      </w:r>
      <w:r>
        <w:rPr>
          <w:rFonts w:hint="eastAsia" w:ascii="宋体" w:hAnsi="宋体" w:cs="宋体"/>
          <w:color w:val="auto"/>
          <w:szCs w:val="21"/>
          <w:highlight w:val="none"/>
          <w:lang w:eastAsia="zh-CN"/>
        </w:rPr>
        <w:t>，</w:t>
      </w:r>
      <w:r>
        <w:rPr>
          <w:rFonts w:hint="eastAsia" w:ascii="宋体" w:hAnsi="宋体" w:cs="宋体"/>
          <w:color w:val="auto"/>
          <w:szCs w:val="21"/>
          <w:highlight w:val="none"/>
        </w:rPr>
        <w:t>竞争性谈判文件共六章</w:t>
      </w:r>
      <w:r>
        <w:rPr>
          <w:rFonts w:hint="eastAsia" w:ascii="宋体" w:hAnsi="宋体" w:cs="宋体"/>
          <w:color w:val="auto"/>
          <w:szCs w:val="21"/>
          <w:highlight w:val="none"/>
          <w:lang w:eastAsia="zh-CN"/>
        </w:rPr>
        <w:t>，</w:t>
      </w:r>
      <w:r>
        <w:rPr>
          <w:rFonts w:hint="eastAsia" w:ascii="宋体" w:hAnsi="宋体" w:cs="宋体"/>
          <w:color w:val="auto"/>
          <w:szCs w:val="21"/>
          <w:highlight w:val="none"/>
        </w:rPr>
        <w:t>各章的内容如下：</w:t>
      </w:r>
    </w:p>
    <w:p w14:paraId="12A7F7F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第一章  竞争性谈判公告</w:t>
      </w:r>
    </w:p>
    <w:p w14:paraId="5EA48EE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第二章  供应商须知</w:t>
      </w:r>
    </w:p>
    <w:p w14:paraId="1027E5D3">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第三章  </w:t>
      </w:r>
      <w:r>
        <w:rPr>
          <w:rFonts w:hint="eastAsia" w:ascii="宋体" w:hAnsi="宋体" w:cs="宋体"/>
          <w:color w:val="auto"/>
          <w:szCs w:val="21"/>
          <w:highlight w:val="none"/>
          <w:lang w:eastAsia="zh-CN"/>
        </w:rPr>
        <w:t>合同书样式及政府采购合同专用条款</w:t>
      </w:r>
    </w:p>
    <w:p w14:paraId="1315B95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第四章  响应文件格式</w:t>
      </w:r>
    </w:p>
    <w:p w14:paraId="5AEAADB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第五章  采购需求</w:t>
      </w:r>
    </w:p>
    <w:p w14:paraId="3BC7E8D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第六章  评审方法</w:t>
      </w:r>
    </w:p>
    <w:p w14:paraId="77917B62">
      <w:pPr>
        <w:autoSpaceDE w:val="0"/>
        <w:autoSpaceDN w:val="0"/>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11.竞争性谈判文件的询问、澄清、修改</w:t>
      </w:r>
    </w:p>
    <w:p w14:paraId="7C22DA6B">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11.1供应商应认真阅读竞争性谈判文件</w:t>
      </w:r>
      <w:r>
        <w:rPr>
          <w:rFonts w:hint="eastAsia" w:ascii="宋体" w:hAnsi="宋体" w:cs="宋体"/>
          <w:color w:val="auto"/>
          <w:szCs w:val="21"/>
          <w:highlight w:val="none"/>
          <w:lang w:eastAsia="zh-CN"/>
        </w:rPr>
        <w:t>，</w:t>
      </w:r>
      <w:r>
        <w:rPr>
          <w:rFonts w:hint="eastAsia" w:ascii="宋体" w:hAnsi="宋体" w:cs="宋体"/>
          <w:color w:val="auto"/>
          <w:szCs w:val="21"/>
          <w:highlight w:val="none"/>
        </w:rPr>
        <w:t>如有疑问的</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供应商可以向采购人或采购代理机构提出询问</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采购人或者采购代理机构在接到询问后的3个工作日内对供应商依法提出的询问作出答复</w:t>
      </w:r>
      <w:r>
        <w:rPr>
          <w:rFonts w:hint="eastAsia" w:ascii="宋体" w:hAnsi="宋体" w:cs="宋体"/>
          <w:color w:val="auto"/>
          <w:szCs w:val="21"/>
          <w:highlight w:val="none"/>
          <w:lang w:eastAsia="zh-CN"/>
        </w:rPr>
        <w:t>，</w:t>
      </w:r>
      <w:r>
        <w:rPr>
          <w:rFonts w:hint="eastAsia" w:ascii="宋体" w:hAnsi="宋体" w:cs="宋体"/>
          <w:color w:val="auto"/>
          <w:szCs w:val="21"/>
          <w:highlight w:val="none"/>
        </w:rPr>
        <w:t>但答复的内容不涉及商业秘密。</w:t>
      </w:r>
    </w:p>
    <w:p w14:paraId="4E3C0585">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11.2谈判文件询问联系方式：详见《供应商须知前附表》。</w:t>
      </w:r>
    </w:p>
    <w:p w14:paraId="72FC3C03">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11.3提交首次响应文件截止之日前</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采购人、采购代理机构或者谈判小组可以对已发出的谈判文件进行必要的澄清或者修改</w:t>
      </w:r>
      <w:r>
        <w:rPr>
          <w:rFonts w:hint="eastAsia" w:ascii="宋体" w:hAnsi="宋体" w:cs="宋体"/>
          <w:color w:val="auto"/>
          <w:szCs w:val="21"/>
          <w:highlight w:val="none"/>
          <w:lang w:eastAsia="zh-CN"/>
        </w:rPr>
        <w:t>，</w:t>
      </w:r>
      <w:r>
        <w:rPr>
          <w:rFonts w:hint="eastAsia" w:ascii="宋体" w:hAnsi="宋体" w:cs="宋体"/>
          <w:color w:val="auto"/>
          <w:szCs w:val="21"/>
          <w:highlight w:val="none"/>
        </w:rPr>
        <w:t>澄清或者修改的内容作为谈判文件的组成部分。</w:t>
      </w:r>
    </w:p>
    <w:p w14:paraId="583B5781">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11.4澄清或者修改的内容可能影响响应文件编制的</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采购人、采购代理机构将在提交首次响应文件截止时间至少3个工作日前</w:t>
      </w:r>
      <w:r>
        <w:rPr>
          <w:rFonts w:hint="eastAsia" w:ascii="宋体" w:hAnsi="宋体" w:cs="宋体"/>
          <w:color w:val="auto"/>
          <w:szCs w:val="21"/>
          <w:highlight w:val="none"/>
          <w:lang w:eastAsia="zh-CN"/>
        </w:rPr>
        <w:t>，</w:t>
      </w:r>
      <w:r>
        <w:rPr>
          <w:rFonts w:hint="eastAsia" w:ascii="宋体" w:hAnsi="宋体" w:cs="宋体"/>
          <w:color w:val="auto"/>
          <w:szCs w:val="21"/>
          <w:highlight w:val="none"/>
        </w:rPr>
        <w:t>以书面形式通知所有获取谈判文件的供应商</w:t>
      </w:r>
      <w:r>
        <w:rPr>
          <w:rFonts w:hint="eastAsia" w:ascii="宋体" w:hAnsi="宋体" w:cs="宋体"/>
          <w:color w:val="auto"/>
          <w:szCs w:val="21"/>
          <w:highlight w:val="none"/>
          <w:lang w:eastAsia="zh-CN"/>
        </w:rPr>
        <w:t>；</w:t>
      </w:r>
      <w:r>
        <w:rPr>
          <w:rFonts w:hint="eastAsia" w:ascii="宋体" w:hAnsi="宋体" w:cs="宋体"/>
          <w:color w:val="auto"/>
          <w:szCs w:val="21"/>
          <w:highlight w:val="none"/>
        </w:rPr>
        <w:t>不足3个工作日的</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采购人、采购代理机构将顺延提交首次响应文件截止时间。</w:t>
      </w:r>
    </w:p>
    <w:p w14:paraId="51BEFC02">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11.5供应商确认收到竞争性谈判文件澄清、修改后</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应在收到澄清、修改后24小时内以书面形式通知采购人或采购代理机构</w:t>
      </w:r>
      <w:r>
        <w:rPr>
          <w:rFonts w:hint="eastAsia" w:ascii="宋体" w:hAnsi="宋体" w:cs="宋体"/>
          <w:color w:val="auto"/>
          <w:szCs w:val="21"/>
          <w:highlight w:val="none"/>
          <w:lang w:eastAsia="zh-CN"/>
        </w:rPr>
        <w:t>，</w:t>
      </w:r>
      <w:r>
        <w:rPr>
          <w:rFonts w:hint="eastAsia" w:ascii="宋体" w:hAnsi="宋体" w:cs="宋体"/>
          <w:color w:val="auto"/>
          <w:szCs w:val="21"/>
          <w:highlight w:val="none"/>
        </w:rPr>
        <w:t>确认已收到该澄清、修改。</w:t>
      </w:r>
    </w:p>
    <w:p w14:paraId="0C104277">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11.6在谈判过程中</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谈判小组可以根据谈判文件和谈判情况实质性变动采购需求中的技术、服务要求以及合同草案条款</w:t>
      </w:r>
      <w:r>
        <w:rPr>
          <w:rFonts w:hint="eastAsia" w:ascii="宋体" w:hAnsi="宋体" w:cs="宋体"/>
          <w:color w:val="auto"/>
          <w:szCs w:val="21"/>
          <w:highlight w:val="none"/>
          <w:lang w:eastAsia="zh-CN"/>
        </w:rPr>
        <w:t>，</w:t>
      </w:r>
      <w:r>
        <w:rPr>
          <w:rFonts w:hint="eastAsia" w:ascii="宋体" w:hAnsi="宋体" w:cs="宋体"/>
          <w:color w:val="auto"/>
          <w:szCs w:val="21"/>
          <w:highlight w:val="none"/>
        </w:rPr>
        <w:t>但不得变动谈判文件中的其他内容。实质性变动的内容</w:t>
      </w:r>
      <w:r>
        <w:rPr>
          <w:rFonts w:hint="eastAsia" w:ascii="宋体" w:hAnsi="宋体" w:cs="宋体"/>
          <w:color w:val="auto"/>
          <w:szCs w:val="21"/>
          <w:highlight w:val="none"/>
          <w:lang w:eastAsia="zh-CN"/>
        </w:rPr>
        <w:t>，</w:t>
      </w:r>
      <w:r>
        <w:rPr>
          <w:rFonts w:hint="eastAsia" w:ascii="宋体" w:hAnsi="宋体" w:cs="宋体"/>
          <w:color w:val="auto"/>
          <w:szCs w:val="21"/>
          <w:highlight w:val="none"/>
        </w:rPr>
        <w:t>须经采购人代表确认。本项目谈判小组根据与供应商谈判情况可能实质性变动的内容见《供应商须知前附表》。</w:t>
      </w:r>
    </w:p>
    <w:p w14:paraId="5F6BDEB1">
      <w:pPr>
        <w:tabs>
          <w:tab w:val="left" w:pos="105"/>
          <w:tab w:val="left" w:pos="735"/>
          <w:tab w:val="left" w:pos="945"/>
          <w:tab w:val="left" w:pos="336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11.7实质性变动采购需求中的技术、服务要求以及合同草案条款不得对涉及对竞争性谈判文件公平、公正性内容进行修改、变动。</w:t>
      </w:r>
    </w:p>
    <w:p w14:paraId="4FA510F8">
      <w:pPr>
        <w:tabs>
          <w:tab w:val="left" w:pos="3150"/>
          <w:tab w:val="center" w:pos="4734"/>
        </w:tabs>
        <w:adjustRightInd w:val="0"/>
        <w:snapToGrid w:val="0"/>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三、响应文件</w:t>
      </w:r>
    </w:p>
    <w:p w14:paraId="1FFD7303">
      <w:pPr>
        <w:tabs>
          <w:tab w:val="left" w:pos="105"/>
          <w:tab w:val="left" w:pos="735"/>
          <w:tab w:val="left" w:pos="945"/>
          <w:tab w:val="left" w:pos="3360"/>
          <w:tab w:val="left" w:pos="4988"/>
        </w:tabs>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12</w:t>
      </w:r>
      <w:bookmarkStart w:id="88" w:name="_Toc482343735"/>
      <w:bookmarkStart w:id="89" w:name="_Toc432194835"/>
      <w:bookmarkStart w:id="90" w:name="_Toc383175285"/>
      <w:bookmarkStart w:id="91" w:name="_Toc432106484"/>
      <w:bookmarkStart w:id="92" w:name="_Toc383175483"/>
      <w:bookmarkStart w:id="93" w:name="_Toc470507049"/>
      <w:bookmarkStart w:id="94" w:name="_Toc383175061"/>
      <w:r>
        <w:rPr>
          <w:rFonts w:hint="eastAsia" w:ascii="宋体" w:hAnsi="宋体" w:cs="宋体"/>
          <w:b/>
          <w:bCs/>
          <w:color w:val="auto"/>
          <w:sz w:val="24"/>
          <w:highlight w:val="none"/>
        </w:rPr>
        <w:t>.响应文件编写注意事项</w:t>
      </w:r>
      <w:bookmarkEnd w:id="88"/>
      <w:bookmarkEnd w:id="89"/>
      <w:bookmarkEnd w:id="90"/>
      <w:bookmarkEnd w:id="91"/>
      <w:bookmarkEnd w:id="92"/>
      <w:bookmarkEnd w:id="93"/>
      <w:bookmarkEnd w:id="94"/>
    </w:p>
    <w:p w14:paraId="274270D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12.1供应商应仔细阅读竞争性谈判文件</w:t>
      </w:r>
      <w:r>
        <w:rPr>
          <w:rFonts w:hint="eastAsia" w:ascii="宋体" w:hAnsi="宋体" w:cs="宋体"/>
          <w:color w:val="auto"/>
          <w:szCs w:val="21"/>
          <w:highlight w:val="none"/>
          <w:lang w:eastAsia="zh-CN"/>
        </w:rPr>
        <w:t>，</w:t>
      </w:r>
      <w:r>
        <w:rPr>
          <w:rFonts w:hint="eastAsia" w:ascii="宋体" w:hAnsi="宋体" w:cs="宋体"/>
          <w:color w:val="auto"/>
          <w:szCs w:val="21"/>
          <w:highlight w:val="none"/>
        </w:rPr>
        <w:t>在完全了解采购的内容、技术性能要求（见第五章《采购需求》）和商务条件后</w:t>
      </w:r>
      <w:r>
        <w:rPr>
          <w:rFonts w:hint="eastAsia" w:ascii="宋体" w:hAnsi="宋体" w:cs="宋体"/>
          <w:color w:val="auto"/>
          <w:szCs w:val="21"/>
          <w:highlight w:val="none"/>
          <w:lang w:eastAsia="zh-CN"/>
        </w:rPr>
        <w:t>，</w:t>
      </w:r>
      <w:r>
        <w:rPr>
          <w:rFonts w:hint="eastAsia" w:ascii="宋体" w:hAnsi="宋体" w:cs="宋体"/>
          <w:color w:val="auto"/>
          <w:szCs w:val="21"/>
          <w:highlight w:val="none"/>
        </w:rPr>
        <w:t>根据竞争性谈判文件要求编写响应文件。</w:t>
      </w:r>
    </w:p>
    <w:p w14:paraId="2763B83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12.2对谈判文件提出的实质性要求和条件作出响应是指供应商的响应文件必须对竞争性谈判文件中规定的成交实质性要求和条件作出满足或者优于原要求和条件的承诺</w:t>
      </w:r>
      <w:r>
        <w:rPr>
          <w:rFonts w:hint="eastAsia" w:ascii="宋体" w:hAnsi="宋体" w:cs="宋体"/>
          <w:color w:val="auto"/>
          <w:szCs w:val="21"/>
          <w:highlight w:val="none"/>
          <w:lang w:eastAsia="zh-CN"/>
        </w:rPr>
        <w:t>，</w:t>
      </w:r>
      <w:r>
        <w:rPr>
          <w:rFonts w:hint="eastAsia" w:ascii="宋体" w:hAnsi="宋体" w:cs="宋体"/>
          <w:color w:val="auto"/>
          <w:szCs w:val="21"/>
          <w:highlight w:val="none"/>
        </w:rPr>
        <w:t>并提供相应的证明材料</w:t>
      </w:r>
      <w:r>
        <w:rPr>
          <w:rFonts w:hint="eastAsia" w:ascii="宋体" w:hAnsi="宋体" w:cs="宋体"/>
          <w:color w:val="auto"/>
          <w:szCs w:val="21"/>
          <w:highlight w:val="none"/>
          <w:lang w:eastAsia="zh-CN"/>
        </w:rPr>
        <w:t>，</w:t>
      </w:r>
      <w:r>
        <w:rPr>
          <w:rFonts w:hint="eastAsia" w:ascii="宋体" w:hAnsi="宋体" w:cs="宋体"/>
          <w:color w:val="auto"/>
          <w:szCs w:val="21"/>
          <w:highlight w:val="none"/>
        </w:rPr>
        <w:t>否则按无效响应处理。</w:t>
      </w:r>
    </w:p>
    <w:p w14:paraId="397A61E5">
      <w:pPr>
        <w:tabs>
          <w:tab w:val="left" w:pos="105"/>
          <w:tab w:val="left" w:pos="735"/>
          <w:tab w:val="left" w:pos="945"/>
          <w:tab w:val="left" w:pos="3360"/>
          <w:tab w:val="left" w:pos="4988"/>
        </w:tabs>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13.语言文字</w:t>
      </w:r>
    </w:p>
    <w:p w14:paraId="7F8A99E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13.1供应商的响应文件以及供应商与采购人、采购代理机构、谈判小组就有关谈判的所有来往函电统一使用中文（特别规定除外）。</w:t>
      </w:r>
    </w:p>
    <w:p w14:paraId="05762A6F">
      <w:pPr>
        <w:tabs>
          <w:tab w:val="left" w:pos="105"/>
          <w:tab w:val="left" w:pos="735"/>
          <w:tab w:val="left" w:pos="945"/>
          <w:tab w:val="left" w:pos="3360"/>
          <w:tab w:val="left" w:pos="4988"/>
        </w:tabs>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14.计量单位</w:t>
      </w:r>
    </w:p>
    <w:p w14:paraId="53E080A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14.1响应文件中使用的计量单位除谈判文件中有特殊规定外</w:t>
      </w:r>
      <w:r>
        <w:rPr>
          <w:rFonts w:hint="eastAsia" w:ascii="宋体" w:hAnsi="宋体" w:cs="宋体"/>
          <w:color w:val="auto"/>
          <w:szCs w:val="21"/>
          <w:highlight w:val="none"/>
          <w:lang w:eastAsia="zh-CN"/>
        </w:rPr>
        <w:t>，</w:t>
      </w:r>
      <w:r>
        <w:rPr>
          <w:rFonts w:hint="eastAsia" w:ascii="宋体" w:hAnsi="宋体" w:cs="宋体"/>
          <w:color w:val="auto"/>
          <w:szCs w:val="21"/>
          <w:highlight w:val="none"/>
        </w:rPr>
        <w:t>一律使用中国法定计量单位。</w:t>
      </w:r>
    </w:p>
    <w:p w14:paraId="08333AEF">
      <w:pPr>
        <w:tabs>
          <w:tab w:val="left" w:pos="105"/>
          <w:tab w:val="left" w:pos="735"/>
          <w:tab w:val="left" w:pos="945"/>
          <w:tab w:val="left" w:pos="3360"/>
          <w:tab w:val="left" w:pos="4988"/>
        </w:tabs>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15.响应文件的组成</w:t>
      </w:r>
    </w:p>
    <w:p w14:paraId="52E979D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15.1供应商编写的响应文件应由下列部分构成</w:t>
      </w:r>
      <w:r>
        <w:rPr>
          <w:rFonts w:hint="eastAsia" w:ascii="宋体" w:hAnsi="宋体" w:cs="宋体"/>
          <w:color w:val="auto"/>
          <w:szCs w:val="21"/>
          <w:highlight w:val="none"/>
          <w:lang w:eastAsia="zh-CN"/>
        </w:rPr>
        <w:t>，</w:t>
      </w:r>
      <w:r>
        <w:rPr>
          <w:rFonts w:hint="eastAsia" w:ascii="宋体" w:hAnsi="宋体" w:cs="宋体"/>
          <w:color w:val="auto"/>
          <w:szCs w:val="21"/>
          <w:highlight w:val="none"/>
        </w:rPr>
        <w:t>并按第四章《响应文件格式》要求填写。有关文件的提交如未特别注明需提供原件的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可提供复印件。</w:t>
      </w:r>
    </w:p>
    <w:p w14:paraId="1E1C5542">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15.1.1资格证明文件</w:t>
      </w:r>
      <w:r>
        <w:rPr>
          <w:rFonts w:hint="eastAsia" w:ascii="宋体" w:hAnsi="宋体" w:cs="宋体"/>
          <w:color w:val="auto"/>
          <w:szCs w:val="21"/>
          <w:highlight w:val="none"/>
          <w:lang w:eastAsia="zh-CN"/>
        </w:rPr>
        <w:t>；</w:t>
      </w:r>
    </w:p>
    <w:p w14:paraId="51D4DD97">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15.1.2报价文件</w:t>
      </w:r>
      <w:r>
        <w:rPr>
          <w:rFonts w:hint="eastAsia" w:ascii="宋体" w:hAnsi="宋体" w:cs="宋体"/>
          <w:color w:val="auto"/>
          <w:szCs w:val="21"/>
          <w:highlight w:val="none"/>
          <w:lang w:eastAsia="zh-CN"/>
        </w:rPr>
        <w:t>；</w:t>
      </w:r>
    </w:p>
    <w:p w14:paraId="0B6C0B2D">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15.1.3商务技术文件</w:t>
      </w:r>
      <w:r>
        <w:rPr>
          <w:rFonts w:hint="eastAsia" w:ascii="宋体" w:hAnsi="宋体" w:cs="宋体"/>
          <w:color w:val="auto"/>
          <w:szCs w:val="21"/>
          <w:highlight w:val="none"/>
          <w:lang w:eastAsia="zh-CN"/>
        </w:rPr>
        <w:t>；</w:t>
      </w:r>
    </w:p>
    <w:p w14:paraId="3F905C47">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15.2构成响应文件的其他资料：详见第二章《供应商须知前附表》</w:t>
      </w:r>
      <w:r>
        <w:rPr>
          <w:rFonts w:hint="eastAsia" w:ascii="宋体" w:hAnsi="宋体" w:cs="宋体"/>
          <w:color w:val="auto"/>
          <w:szCs w:val="21"/>
          <w:highlight w:val="none"/>
          <w:lang w:eastAsia="zh-CN"/>
        </w:rPr>
        <w:t>；</w:t>
      </w:r>
    </w:p>
    <w:p w14:paraId="1A6F9A7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15.3供应商同时参加多个标段（若分标段时）的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响应文件应按标段分别编制</w:t>
      </w:r>
      <w:r>
        <w:rPr>
          <w:rFonts w:hint="eastAsia" w:ascii="宋体" w:hAnsi="宋体" w:cs="宋体"/>
          <w:color w:val="auto"/>
          <w:szCs w:val="21"/>
          <w:highlight w:val="none"/>
          <w:lang w:eastAsia="zh-CN"/>
        </w:rPr>
        <w:t>，</w:t>
      </w:r>
      <w:r>
        <w:rPr>
          <w:rFonts w:hint="eastAsia" w:ascii="宋体" w:hAnsi="宋体" w:cs="宋体"/>
          <w:color w:val="auto"/>
          <w:szCs w:val="21"/>
          <w:highlight w:val="none"/>
        </w:rPr>
        <w:t>单独成册。</w:t>
      </w:r>
    </w:p>
    <w:p w14:paraId="6AAFD3EA">
      <w:pPr>
        <w:tabs>
          <w:tab w:val="left" w:pos="105"/>
          <w:tab w:val="left" w:pos="735"/>
          <w:tab w:val="left" w:pos="945"/>
          <w:tab w:val="left" w:pos="3360"/>
          <w:tab w:val="left" w:pos="4988"/>
        </w:tabs>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16.响应文件的格式要求</w:t>
      </w:r>
    </w:p>
    <w:p w14:paraId="22CC48A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16.1供应商应按第四章《响应文件格式》提供的格式完整地填写</w:t>
      </w:r>
      <w:r>
        <w:rPr>
          <w:rFonts w:hint="eastAsia" w:ascii="宋体" w:hAnsi="宋体" w:cs="宋体"/>
          <w:color w:val="auto"/>
          <w:szCs w:val="21"/>
          <w:highlight w:val="none"/>
          <w:lang w:eastAsia="zh-CN"/>
        </w:rPr>
        <w:t>，</w:t>
      </w:r>
      <w:r>
        <w:rPr>
          <w:rFonts w:hint="eastAsia" w:ascii="宋体" w:hAnsi="宋体" w:cs="宋体"/>
          <w:color w:val="auto"/>
          <w:szCs w:val="21"/>
          <w:highlight w:val="none"/>
        </w:rPr>
        <w:t>未按谈判文件规定格式填写的响应文件按无效响应处理。</w:t>
      </w:r>
    </w:p>
    <w:p w14:paraId="3DDBDBD9">
      <w:pPr>
        <w:tabs>
          <w:tab w:val="left" w:pos="105"/>
          <w:tab w:val="left" w:pos="735"/>
          <w:tab w:val="left" w:pos="945"/>
          <w:tab w:val="left" w:pos="3360"/>
          <w:tab w:val="left" w:pos="4988"/>
        </w:tabs>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17.响应文件有效期</w:t>
      </w:r>
    </w:p>
    <w:p w14:paraId="3B9694F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17.1在《供应商须知前附表》规定的有效期内</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供应商不得要求撤销或修改其响应文件。</w:t>
      </w:r>
    </w:p>
    <w:p w14:paraId="1A31C4E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17.2因特殊情况需要延长响应文件有效期的</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采购代理机构以书面形式通知所有供应商延长有效期。供应商同意延长的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应相应延长其响应文件中所有内容及谈判保证金的有效期</w:t>
      </w:r>
      <w:r>
        <w:rPr>
          <w:rFonts w:hint="eastAsia" w:ascii="宋体" w:hAnsi="宋体" w:cs="宋体"/>
          <w:color w:val="auto"/>
          <w:szCs w:val="21"/>
          <w:highlight w:val="none"/>
          <w:lang w:eastAsia="zh-CN"/>
        </w:rPr>
        <w:t>，</w:t>
      </w:r>
      <w:r>
        <w:rPr>
          <w:rFonts w:hint="eastAsia" w:ascii="宋体" w:hAnsi="宋体" w:cs="宋体"/>
          <w:color w:val="auto"/>
          <w:szCs w:val="21"/>
          <w:highlight w:val="none"/>
        </w:rPr>
        <w:t>但不得要求或被允许修改或撤销其响应文件</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供应商拒绝延长的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其响应文件失效</w:t>
      </w:r>
      <w:r>
        <w:rPr>
          <w:rFonts w:hint="eastAsia" w:ascii="宋体" w:hAnsi="宋体" w:cs="宋体"/>
          <w:color w:val="auto"/>
          <w:szCs w:val="21"/>
          <w:highlight w:val="none"/>
          <w:lang w:eastAsia="zh-CN"/>
        </w:rPr>
        <w:t>，</w:t>
      </w:r>
      <w:r>
        <w:rPr>
          <w:rFonts w:hint="eastAsia" w:ascii="宋体" w:hAnsi="宋体" w:cs="宋体"/>
          <w:color w:val="auto"/>
          <w:szCs w:val="21"/>
          <w:highlight w:val="none"/>
        </w:rPr>
        <w:t>但供应商有权收回其谈判保证金。</w:t>
      </w:r>
    </w:p>
    <w:p w14:paraId="690024E2">
      <w:pPr>
        <w:autoSpaceDE w:val="0"/>
        <w:autoSpaceDN w:val="0"/>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18.谈判保证金交纳及退还</w:t>
      </w:r>
    </w:p>
    <w:p w14:paraId="1100AE9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18.1供应商应按《供应商须知前附表》规定的金额、形式向采购代理机构交纳谈判保证金</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谈判保证金须在响应文件提交截止时间前从供应商基本账户交纳到云南冠睿咨询有限公司指定的帐户</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供应商未按照谈判文件要求提交谈判保证金的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响应无效。</w:t>
      </w:r>
    </w:p>
    <w:p w14:paraId="05652CB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18.2采购代理机构在成交通知书发出后5个工作日内退还未成交供应商的谈判保证金</w:t>
      </w:r>
      <w:r>
        <w:rPr>
          <w:rFonts w:hint="eastAsia" w:ascii="宋体" w:hAnsi="宋体" w:cs="宋体"/>
          <w:color w:val="auto"/>
          <w:szCs w:val="21"/>
          <w:highlight w:val="none"/>
          <w:lang w:eastAsia="zh-CN"/>
        </w:rPr>
        <w:t>，</w:t>
      </w:r>
      <w:r>
        <w:rPr>
          <w:rFonts w:hint="eastAsia" w:ascii="宋体" w:hAnsi="宋体" w:cs="宋体"/>
          <w:color w:val="auto"/>
          <w:szCs w:val="21"/>
          <w:highlight w:val="none"/>
        </w:rPr>
        <w:t>成交供应商的谈判保证金在采购合同签订后5个工作日内退还</w:t>
      </w:r>
      <w:r>
        <w:rPr>
          <w:rFonts w:hint="eastAsia" w:ascii="宋体" w:hAnsi="宋体" w:cs="宋体"/>
          <w:color w:val="auto"/>
          <w:szCs w:val="21"/>
          <w:highlight w:val="none"/>
          <w:lang w:eastAsia="zh-CN"/>
        </w:rPr>
        <w:t>，</w:t>
      </w:r>
      <w:r>
        <w:rPr>
          <w:rFonts w:hint="eastAsia" w:ascii="宋体" w:hAnsi="宋体" w:cs="宋体"/>
          <w:color w:val="auto"/>
          <w:szCs w:val="21"/>
          <w:highlight w:val="none"/>
        </w:rPr>
        <w:t>但因供应商自身原因导致无法及时退还的除外。出现下列情形之一的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谈判保证金不予退还：</w:t>
      </w:r>
    </w:p>
    <w:p w14:paraId="08E27826">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（1）供应商在提交响应文件截止时间后撤回响应文件的</w:t>
      </w:r>
      <w:r>
        <w:rPr>
          <w:rFonts w:hint="eastAsia" w:ascii="宋体" w:hAnsi="宋体" w:cs="宋体"/>
          <w:color w:val="auto"/>
          <w:szCs w:val="21"/>
          <w:highlight w:val="none"/>
          <w:lang w:eastAsia="zh-CN"/>
        </w:rPr>
        <w:t>；</w:t>
      </w:r>
    </w:p>
    <w:p w14:paraId="6882DF12">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（2）供应商在响应文件中提供虚假材料的</w:t>
      </w:r>
      <w:r>
        <w:rPr>
          <w:rFonts w:hint="eastAsia" w:ascii="宋体" w:hAnsi="宋体" w:cs="宋体"/>
          <w:color w:val="auto"/>
          <w:szCs w:val="21"/>
          <w:highlight w:val="none"/>
          <w:lang w:eastAsia="zh-CN"/>
        </w:rPr>
        <w:t>；</w:t>
      </w:r>
    </w:p>
    <w:p w14:paraId="72E1ADDF">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（3）除因不可抗力或谈判文件认可的情形以外</w:t>
      </w:r>
      <w:r>
        <w:rPr>
          <w:rFonts w:hint="eastAsia" w:ascii="宋体" w:hAnsi="宋体" w:cs="宋体"/>
          <w:color w:val="auto"/>
          <w:szCs w:val="21"/>
          <w:highlight w:val="none"/>
          <w:lang w:eastAsia="zh-CN"/>
        </w:rPr>
        <w:t>，</w:t>
      </w:r>
      <w:r>
        <w:rPr>
          <w:rFonts w:hint="eastAsia" w:ascii="宋体" w:hAnsi="宋体" w:cs="宋体"/>
          <w:color w:val="auto"/>
          <w:szCs w:val="21"/>
          <w:highlight w:val="none"/>
        </w:rPr>
        <w:t>成交供应商不与采购人签订合同的</w:t>
      </w:r>
      <w:r>
        <w:rPr>
          <w:rFonts w:hint="eastAsia" w:ascii="宋体" w:hAnsi="宋体" w:cs="宋体"/>
          <w:color w:val="auto"/>
          <w:szCs w:val="21"/>
          <w:highlight w:val="none"/>
          <w:lang w:eastAsia="zh-CN"/>
        </w:rPr>
        <w:t>；</w:t>
      </w:r>
    </w:p>
    <w:p w14:paraId="54A5D6E7">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（4）供应商与采购人、其他供应商或者采购代理机构恶意串通的</w:t>
      </w:r>
      <w:r>
        <w:rPr>
          <w:rFonts w:hint="eastAsia" w:ascii="宋体" w:hAnsi="宋体" w:cs="宋体"/>
          <w:color w:val="auto"/>
          <w:szCs w:val="21"/>
          <w:highlight w:val="none"/>
          <w:lang w:eastAsia="zh-CN"/>
        </w:rPr>
        <w:t>；</w:t>
      </w:r>
    </w:p>
    <w:p w14:paraId="662CE53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（5）竞争性谈判文件规定的其他情形。</w:t>
      </w:r>
    </w:p>
    <w:p w14:paraId="059FD470">
      <w:pPr>
        <w:autoSpaceDE w:val="0"/>
        <w:autoSpaceDN w:val="0"/>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19.响应文件的编制</w:t>
      </w:r>
    </w:p>
    <w:p w14:paraId="57DBD92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19.1</w:t>
      </w:r>
      <w:r>
        <w:rPr>
          <w:rFonts w:hint="eastAsia" w:ascii="宋体" w:hAnsi="宋体" w:cs="宋体"/>
          <w:color w:val="auto"/>
          <w:highlight w:val="none"/>
        </w:rPr>
        <w:t>响应文件编制完成后须用云南 CA 按格式进行电子签章</w:t>
      </w:r>
      <w:r>
        <w:rPr>
          <w:rFonts w:hint="eastAsia" w:ascii="宋体" w:hAnsi="宋体" w:cs="宋体"/>
          <w:color w:val="auto"/>
          <w:highlight w:val="none"/>
          <w:lang w:eastAsia="zh-CN"/>
        </w:rPr>
        <w:t>，</w:t>
      </w:r>
      <w:r>
        <w:rPr>
          <w:rFonts w:hint="eastAsia" w:ascii="宋体" w:hAnsi="宋体" w:cs="宋体"/>
          <w:color w:val="auto"/>
          <w:highlight w:val="none"/>
        </w:rPr>
        <w:t>在所要求的 位置有法定代表人或委托代理人的电子签名或盖章</w:t>
      </w:r>
      <w:r>
        <w:rPr>
          <w:rFonts w:hint="eastAsia" w:ascii="宋体" w:hAnsi="宋体" w:cs="宋体"/>
          <w:color w:val="auto"/>
          <w:highlight w:val="none"/>
          <w:lang w:eastAsia="zh-CN"/>
        </w:rPr>
        <w:t>，</w:t>
      </w:r>
      <w:r>
        <w:rPr>
          <w:rFonts w:hint="eastAsia" w:ascii="宋体" w:hAnsi="宋体" w:cs="宋体"/>
          <w:color w:val="auto"/>
          <w:highlight w:val="none"/>
        </w:rPr>
        <w:t>均使用云南 CA 按格式进行电子签章</w:t>
      </w:r>
      <w:r>
        <w:rPr>
          <w:rFonts w:hint="eastAsia" w:ascii="宋体" w:hAnsi="宋体" w:cs="宋体"/>
          <w:color w:val="auto"/>
          <w:highlight w:val="none"/>
          <w:lang w:eastAsia="zh-CN"/>
        </w:rPr>
        <w:t>，</w:t>
      </w:r>
      <w:r>
        <w:rPr>
          <w:rFonts w:hint="eastAsia" w:ascii="宋体" w:hAnsi="宋体" w:cs="宋体"/>
          <w:color w:val="auto"/>
          <w:highlight w:val="none"/>
        </w:rPr>
        <w:t>联合体参加谈判的除格式要求外</w:t>
      </w:r>
      <w:r>
        <w:rPr>
          <w:rFonts w:hint="eastAsia" w:ascii="宋体" w:hAnsi="宋体" w:cs="宋体"/>
          <w:color w:val="auto"/>
          <w:highlight w:val="none"/>
          <w:lang w:eastAsia="zh-CN"/>
        </w:rPr>
        <w:t>，</w:t>
      </w:r>
      <w:r>
        <w:rPr>
          <w:rFonts w:hint="eastAsia" w:ascii="宋体" w:hAnsi="宋体" w:cs="宋体"/>
          <w:color w:val="auto"/>
          <w:highlight w:val="none"/>
        </w:rPr>
        <w:t>可由联合体牵头 单位签署。签章操作详见公告附件</w:t>
      </w:r>
      <w:r>
        <w:rPr>
          <w:rFonts w:hint="eastAsia" w:ascii="宋体" w:hAnsi="宋体" w:cs="宋体"/>
          <w:color w:val="auto"/>
          <w:szCs w:val="21"/>
          <w:highlight w:val="none"/>
        </w:rPr>
        <w:t>。</w:t>
      </w:r>
    </w:p>
    <w:p w14:paraId="4319B8B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19.2响应文件应尽量避免涂改、行间插字或删除。如果出现上述情况</w:t>
      </w:r>
      <w:r>
        <w:rPr>
          <w:rFonts w:hint="eastAsia" w:ascii="宋体" w:hAnsi="宋体" w:cs="宋体"/>
          <w:color w:val="auto"/>
          <w:szCs w:val="21"/>
          <w:highlight w:val="none"/>
          <w:lang w:eastAsia="zh-CN"/>
        </w:rPr>
        <w:t>，</w:t>
      </w:r>
      <w:r>
        <w:rPr>
          <w:rFonts w:hint="eastAsia" w:ascii="宋体" w:hAnsi="宋体" w:cs="宋体"/>
          <w:color w:val="auto"/>
          <w:szCs w:val="21"/>
          <w:highlight w:val="none"/>
        </w:rPr>
        <w:t>改动之处应加盖供应商的公章或供应商法定代表人或委托代理人签字确认。</w:t>
      </w:r>
    </w:p>
    <w:p w14:paraId="3A8390B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19.3响应文件应由法定代表人或委托代理人在竞争性谈判文件规定签字处逐一签字或盖章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要求盖章处应加盖公章</w:t>
      </w:r>
      <w:r>
        <w:rPr>
          <w:rFonts w:hint="eastAsia" w:ascii="宋体" w:hAnsi="宋体" w:cs="宋体"/>
          <w:color w:val="auto"/>
          <w:szCs w:val="21"/>
          <w:highlight w:val="none"/>
          <w:lang w:eastAsia="zh-CN"/>
        </w:rPr>
        <w:t>，</w:t>
      </w:r>
      <w:r>
        <w:rPr>
          <w:rFonts w:hint="eastAsia" w:ascii="宋体" w:hAnsi="宋体" w:cs="宋体"/>
          <w:color w:val="auto"/>
          <w:szCs w:val="21"/>
          <w:highlight w:val="none"/>
        </w:rPr>
        <w:t>若以“投标专用章”或“合同专用章”代替的</w:t>
      </w:r>
      <w:r>
        <w:rPr>
          <w:rFonts w:hint="eastAsia" w:ascii="宋体" w:hAnsi="宋体" w:cs="宋体"/>
          <w:color w:val="auto"/>
          <w:szCs w:val="21"/>
          <w:highlight w:val="none"/>
          <w:lang w:eastAsia="zh-CN"/>
        </w:rPr>
        <w:t>，</w:t>
      </w:r>
      <w:r>
        <w:rPr>
          <w:rFonts w:hint="eastAsia" w:ascii="宋体" w:hAnsi="宋体" w:cs="宋体"/>
          <w:color w:val="auto"/>
          <w:szCs w:val="21"/>
          <w:highlight w:val="none"/>
        </w:rPr>
        <w:t>须出具供应商单位公章对“投标专用章”或“合同专用章”的授权函原件。</w:t>
      </w:r>
    </w:p>
    <w:p w14:paraId="0DB71D4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19.4响应文件和来往函件均应采用中文书写</w:t>
      </w:r>
      <w:r>
        <w:rPr>
          <w:rFonts w:hint="eastAsia" w:ascii="宋体" w:hAnsi="宋体" w:cs="宋体"/>
          <w:color w:val="auto"/>
          <w:szCs w:val="21"/>
          <w:highlight w:val="none"/>
          <w:lang w:eastAsia="zh-CN"/>
        </w:rPr>
        <w:t>，</w:t>
      </w:r>
      <w:r>
        <w:rPr>
          <w:rFonts w:hint="eastAsia" w:ascii="宋体" w:hAnsi="宋体" w:cs="宋体"/>
          <w:color w:val="auto"/>
          <w:szCs w:val="21"/>
          <w:highlight w:val="none"/>
        </w:rPr>
        <w:t>计量单位使用中国或国际标准单位。</w:t>
      </w:r>
    </w:p>
    <w:p w14:paraId="3D0B158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19.5最后报价采用人民币进行报价</w:t>
      </w:r>
      <w:r>
        <w:rPr>
          <w:rFonts w:hint="eastAsia" w:ascii="宋体" w:hAnsi="宋体" w:cs="宋体"/>
          <w:color w:val="auto"/>
          <w:szCs w:val="21"/>
          <w:highlight w:val="none"/>
          <w:lang w:eastAsia="zh-CN"/>
        </w:rPr>
        <w:t>，</w:t>
      </w:r>
      <w:r>
        <w:rPr>
          <w:rFonts w:hint="eastAsia" w:ascii="宋体" w:hAnsi="宋体" w:cs="宋体"/>
          <w:color w:val="auto"/>
          <w:szCs w:val="21"/>
          <w:highlight w:val="none"/>
        </w:rPr>
        <w:t>若中文文字形式表示的数值与数字形式表示的数值不一致</w:t>
      </w:r>
      <w:r>
        <w:rPr>
          <w:rFonts w:hint="eastAsia" w:ascii="宋体" w:hAnsi="宋体" w:cs="宋体"/>
          <w:color w:val="auto"/>
          <w:szCs w:val="21"/>
          <w:highlight w:val="none"/>
          <w:lang w:eastAsia="zh-CN"/>
        </w:rPr>
        <w:t>，</w:t>
      </w:r>
      <w:r>
        <w:rPr>
          <w:rFonts w:hint="eastAsia" w:ascii="宋体" w:hAnsi="宋体" w:cs="宋体"/>
          <w:color w:val="auto"/>
          <w:szCs w:val="21"/>
          <w:highlight w:val="none"/>
        </w:rPr>
        <w:t>以中文文字形式表示的数值为准。</w:t>
      </w:r>
    </w:p>
    <w:p w14:paraId="6479D17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19.6响应文件的组成应包括下列内容（但不限于）：详见：《响应文件格式》部分。</w:t>
      </w:r>
    </w:p>
    <w:p w14:paraId="47161E3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19.7按“政采云”要求</w:t>
      </w:r>
      <w:r>
        <w:rPr>
          <w:rFonts w:hint="eastAsia" w:ascii="宋体" w:hAnsi="宋体" w:cs="宋体"/>
          <w:color w:val="auto"/>
          <w:szCs w:val="21"/>
          <w:highlight w:val="none"/>
          <w:lang w:eastAsia="zh-CN"/>
        </w:rPr>
        <w:t>，</w:t>
      </w:r>
      <w:r>
        <w:rPr>
          <w:rFonts w:hint="eastAsia" w:ascii="宋体" w:hAnsi="宋体" w:cs="宋体"/>
          <w:color w:val="auto"/>
          <w:szCs w:val="21"/>
          <w:highlight w:val="none"/>
        </w:rPr>
        <w:t>上传电子响应文件壹份。供应商应安装“政采云”投标客户端</w:t>
      </w:r>
      <w:r>
        <w:rPr>
          <w:rFonts w:hint="eastAsia" w:ascii="宋体" w:hAnsi="宋体" w:cs="宋体"/>
          <w:color w:val="auto"/>
          <w:szCs w:val="21"/>
          <w:highlight w:val="none"/>
          <w:lang w:eastAsia="zh-CN"/>
        </w:rPr>
        <w:t>，</w:t>
      </w:r>
      <w:r>
        <w:rPr>
          <w:rFonts w:hint="eastAsia" w:ascii="宋体" w:hAnsi="宋体" w:cs="宋体"/>
          <w:color w:val="auto"/>
          <w:szCs w:val="21"/>
          <w:highlight w:val="none"/>
        </w:rPr>
        <w:t>根据采购文件格式编制响应文件</w:t>
      </w:r>
      <w:r>
        <w:rPr>
          <w:rFonts w:hint="eastAsia" w:ascii="宋体" w:hAnsi="宋体" w:cs="宋体"/>
          <w:color w:val="auto"/>
          <w:szCs w:val="21"/>
          <w:highlight w:val="none"/>
          <w:lang w:eastAsia="zh-CN"/>
        </w:rPr>
        <w:t>，</w:t>
      </w:r>
      <w:r>
        <w:rPr>
          <w:rFonts w:hint="eastAsia" w:ascii="宋体" w:hAnsi="宋体" w:cs="宋体"/>
          <w:color w:val="auto"/>
          <w:szCs w:val="21"/>
          <w:highlight w:val="none"/>
        </w:rPr>
        <w:t>生成加密标书后进行上传（详见公告附件供应商操作指南及申领云南 CA 操作手册）。</w:t>
      </w:r>
    </w:p>
    <w:p w14:paraId="6EDEEE9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19.8响应文件中提供的资料（包括复印件）、关键内容必须清晰可辨</w:t>
      </w:r>
      <w:r>
        <w:rPr>
          <w:rFonts w:hint="eastAsia" w:ascii="宋体" w:hAnsi="宋体" w:cs="宋体"/>
          <w:color w:val="auto"/>
          <w:szCs w:val="21"/>
          <w:highlight w:val="none"/>
          <w:lang w:eastAsia="zh-CN"/>
        </w:rPr>
        <w:t>，</w:t>
      </w:r>
      <w:r>
        <w:rPr>
          <w:rFonts w:hint="eastAsia" w:ascii="宋体" w:hAnsi="宋体" w:cs="宋体"/>
          <w:color w:val="auto"/>
          <w:szCs w:val="21"/>
          <w:highlight w:val="none"/>
        </w:rPr>
        <w:t>若出现字迹潦草、表达不清、未按要求填写而导致非唯一理解</w:t>
      </w:r>
      <w:r>
        <w:rPr>
          <w:rFonts w:hint="eastAsia" w:ascii="宋体" w:hAnsi="宋体" w:cs="宋体"/>
          <w:color w:val="auto"/>
          <w:szCs w:val="21"/>
          <w:highlight w:val="none"/>
          <w:lang w:eastAsia="zh-CN"/>
        </w:rPr>
        <w:t>，</w:t>
      </w:r>
      <w:r>
        <w:rPr>
          <w:rFonts w:hint="eastAsia" w:ascii="宋体" w:hAnsi="宋体" w:cs="宋体"/>
          <w:color w:val="auto"/>
          <w:szCs w:val="21"/>
          <w:highlight w:val="none"/>
        </w:rPr>
        <w:t>视为未实质性响应竞争性谈判文件</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供应商响应文件将按无效响应处理。</w:t>
      </w:r>
      <w:bookmarkStart w:id="95" w:name="_Toc432194837"/>
      <w:bookmarkStart w:id="96" w:name="_Toc383175063"/>
      <w:bookmarkStart w:id="97" w:name="_Toc432106486"/>
      <w:bookmarkStart w:id="98" w:name="_Toc383175485"/>
      <w:bookmarkStart w:id="99" w:name="_Toc482343737"/>
      <w:bookmarkStart w:id="100" w:name="_Toc383175287"/>
      <w:bookmarkStart w:id="101" w:name="_Toc470507051"/>
    </w:p>
    <w:p w14:paraId="3892FE67">
      <w:pPr>
        <w:autoSpaceDE w:val="0"/>
        <w:autoSpaceDN w:val="0"/>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20.报价和报价货币</w:t>
      </w:r>
      <w:bookmarkEnd w:id="95"/>
      <w:bookmarkEnd w:id="96"/>
      <w:bookmarkEnd w:id="97"/>
      <w:bookmarkEnd w:id="98"/>
      <w:bookmarkEnd w:id="99"/>
      <w:bookmarkEnd w:id="100"/>
      <w:bookmarkEnd w:id="101"/>
    </w:p>
    <w:p w14:paraId="6D165C2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20.1谈判结束后</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谈判小组将要求所有实质性响应的供应商在规定时间内提交最后报价</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提交最后报价的供应商不得少于3家。最后报价超过采购预算金额的供应商将被视为未实质性响应竞争性谈判文件要求</w:t>
      </w:r>
      <w:r>
        <w:rPr>
          <w:rFonts w:hint="eastAsia" w:ascii="宋体" w:hAnsi="宋体" w:cs="宋体"/>
          <w:color w:val="auto"/>
          <w:szCs w:val="21"/>
          <w:highlight w:val="none"/>
          <w:lang w:eastAsia="zh-CN"/>
        </w:rPr>
        <w:t>，</w:t>
      </w:r>
      <w:r>
        <w:rPr>
          <w:rFonts w:hint="eastAsia" w:ascii="宋体" w:hAnsi="宋体" w:cs="宋体"/>
          <w:color w:val="auto"/>
          <w:szCs w:val="21"/>
          <w:highlight w:val="none"/>
        </w:rPr>
        <w:t>按无效响应处理。</w:t>
      </w:r>
    </w:p>
    <w:p w14:paraId="79998D0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20.2最后报价是供应商响应文件的有效组成部分</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供应商必须对所参加项目内所有内容进行完整唯一报价</w:t>
      </w:r>
      <w:r>
        <w:rPr>
          <w:rFonts w:hint="eastAsia" w:ascii="宋体" w:hAnsi="宋体" w:cs="宋体"/>
          <w:color w:val="auto"/>
          <w:szCs w:val="21"/>
          <w:highlight w:val="none"/>
          <w:lang w:eastAsia="zh-CN"/>
        </w:rPr>
        <w:t>，</w:t>
      </w:r>
      <w:r>
        <w:rPr>
          <w:rFonts w:hint="eastAsia" w:ascii="宋体" w:hAnsi="宋体" w:cs="宋体"/>
          <w:color w:val="auto"/>
          <w:szCs w:val="21"/>
          <w:highlight w:val="none"/>
        </w:rPr>
        <w:t>不得缺项、漏项</w:t>
      </w:r>
      <w:r>
        <w:rPr>
          <w:rFonts w:hint="eastAsia" w:ascii="宋体" w:hAnsi="宋体" w:cs="宋体"/>
          <w:color w:val="auto"/>
          <w:szCs w:val="21"/>
          <w:highlight w:val="none"/>
          <w:lang w:eastAsia="zh-CN"/>
        </w:rPr>
        <w:t>，</w:t>
      </w:r>
      <w:r>
        <w:rPr>
          <w:rFonts w:hint="eastAsia" w:ascii="宋体" w:hAnsi="宋体" w:cs="宋体"/>
          <w:color w:val="auto"/>
          <w:szCs w:val="21"/>
          <w:highlight w:val="none"/>
        </w:rPr>
        <w:t>否则按无效响应处理。</w:t>
      </w:r>
    </w:p>
    <w:p w14:paraId="571C4F6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20.3供应商应依据谈判文件的要求及有关资料</w:t>
      </w:r>
      <w:r>
        <w:rPr>
          <w:rFonts w:hint="eastAsia" w:ascii="宋体" w:hAnsi="宋体" w:cs="宋体"/>
          <w:color w:val="auto"/>
          <w:szCs w:val="21"/>
          <w:highlight w:val="none"/>
          <w:lang w:eastAsia="zh-CN"/>
        </w:rPr>
        <w:t>，</w:t>
      </w:r>
      <w:r>
        <w:rPr>
          <w:rFonts w:hint="eastAsia" w:ascii="宋体" w:hAnsi="宋体" w:cs="宋体"/>
          <w:color w:val="auto"/>
          <w:szCs w:val="21"/>
          <w:highlight w:val="none"/>
        </w:rPr>
        <w:t>执行国家或行业现行技术经济标准、定额及规范</w:t>
      </w:r>
      <w:r>
        <w:rPr>
          <w:rFonts w:hint="eastAsia" w:ascii="宋体" w:hAnsi="宋体" w:cs="宋体"/>
          <w:color w:val="auto"/>
          <w:szCs w:val="21"/>
          <w:highlight w:val="none"/>
          <w:lang w:eastAsia="zh-CN"/>
        </w:rPr>
        <w:t>，</w:t>
      </w:r>
      <w:r>
        <w:rPr>
          <w:rFonts w:hint="eastAsia" w:ascii="宋体" w:hAnsi="宋体" w:cs="宋体"/>
          <w:color w:val="auto"/>
          <w:szCs w:val="21"/>
          <w:highlight w:val="none"/>
        </w:rPr>
        <w:t>自行测算出满足采购要求的货物、工程或者服务的竞争性报价</w:t>
      </w:r>
      <w:r>
        <w:rPr>
          <w:rFonts w:hint="eastAsia" w:ascii="宋体" w:hAnsi="宋体" w:cs="宋体"/>
          <w:color w:val="auto"/>
          <w:szCs w:val="21"/>
          <w:highlight w:val="none"/>
          <w:lang w:eastAsia="zh-CN"/>
        </w:rPr>
        <w:t>，</w:t>
      </w:r>
      <w:r>
        <w:rPr>
          <w:rFonts w:hint="eastAsia" w:ascii="宋体" w:hAnsi="宋体" w:cs="宋体"/>
          <w:color w:val="auto"/>
          <w:szCs w:val="21"/>
          <w:highlight w:val="none"/>
        </w:rPr>
        <w:t>该报价应符合市场行情并能保证供应商完成履行合同所需的一切工作</w:t>
      </w:r>
      <w:r>
        <w:rPr>
          <w:rFonts w:hint="eastAsia" w:ascii="宋体" w:hAnsi="宋体" w:cs="宋体"/>
          <w:color w:val="auto"/>
          <w:szCs w:val="21"/>
          <w:highlight w:val="none"/>
          <w:lang w:eastAsia="zh-CN"/>
        </w:rPr>
        <w:t>，</w:t>
      </w:r>
      <w:r>
        <w:rPr>
          <w:rFonts w:hint="eastAsia" w:ascii="宋体" w:hAnsi="宋体" w:cs="宋体"/>
          <w:color w:val="auto"/>
          <w:szCs w:val="21"/>
          <w:highlight w:val="none"/>
        </w:rPr>
        <w:t>包括但不限于各种货款、安装调试、技术服务、附件、备品备件、专用工具、零星耗材、包装装卸、运输保险、检验保管、检测验收以及税收等所有费用</w:t>
      </w:r>
      <w:r>
        <w:rPr>
          <w:rFonts w:hint="eastAsia" w:ascii="宋体" w:hAnsi="宋体" w:cs="宋体"/>
          <w:color w:val="auto"/>
          <w:szCs w:val="21"/>
          <w:highlight w:val="none"/>
          <w:lang w:eastAsia="zh-CN"/>
        </w:rPr>
        <w:t>，</w:t>
      </w:r>
      <w:r>
        <w:rPr>
          <w:rFonts w:hint="eastAsia" w:ascii="宋体" w:hAnsi="宋体" w:cs="宋体"/>
          <w:color w:val="auto"/>
          <w:szCs w:val="21"/>
          <w:highlight w:val="none"/>
        </w:rPr>
        <w:t>不得以任何理由予以重复计价。合同一旦签订</w:t>
      </w:r>
      <w:r>
        <w:rPr>
          <w:rFonts w:hint="eastAsia" w:ascii="宋体" w:hAnsi="宋体" w:cs="宋体"/>
          <w:color w:val="auto"/>
          <w:szCs w:val="21"/>
          <w:highlight w:val="none"/>
          <w:lang w:eastAsia="zh-CN"/>
        </w:rPr>
        <w:t>，</w:t>
      </w:r>
      <w:r>
        <w:rPr>
          <w:rFonts w:hint="eastAsia" w:ascii="宋体" w:hAnsi="宋体" w:cs="宋体"/>
          <w:color w:val="auto"/>
          <w:szCs w:val="21"/>
          <w:highlight w:val="none"/>
        </w:rPr>
        <w:t>此价格在合同实施期间将不因市场价格等的变化而调整。</w:t>
      </w:r>
    </w:p>
    <w:p w14:paraId="2556B24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20.4备品备件要求：见《供应商须知前附表》</w:t>
      </w:r>
    </w:p>
    <w:p w14:paraId="2408796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20.5提交响应文件的供应商</w:t>
      </w:r>
      <w:r>
        <w:rPr>
          <w:rFonts w:hint="eastAsia" w:ascii="宋体" w:hAnsi="宋体" w:cs="宋体"/>
          <w:color w:val="auto"/>
          <w:szCs w:val="21"/>
          <w:highlight w:val="none"/>
          <w:lang w:eastAsia="zh-CN"/>
        </w:rPr>
        <w:t>，</w:t>
      </w:r>
      <w:r>
        <w:rPr>
          <w:rFonts w:hint="eastAsia" w:ascii="宋体" w:hAnsi="宋体" w:cs="宋体"/>
          <w:color w:val="auto"/>
          <w:szCs w:val="21"/>
          <w:highlight w:val="none"/>
        </w:rPr>
        <w:t>随机抽取谈判顺序</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供应商按照“政采云”平台的顺序进行谈判、承诺及最后报价</w:t>
      </w:r>
      <w:r>
        <w:rPr>
          <w:rFonts w:hint="eastAsia" w:ascii="宋体" w:hAnsi="宋体" w:cs="宋体"/>
          <w:color w:val="auto"/>
          <w:szCs w:val="21"/>
          <w:highlight w:val="none"/>
          <w:lang w:eastAsia="zh-CN"/>
        </w:rPr>
        <w:t>，</w:t>
      </w:r>
      <w:r>
        <w:rPr>
          <w:rFonts w:hint="eastAsia" w:ascii="宋体" w:hAnsi="宋体" w:cs="宋体"/>
          <w:color w:val="auto"/>
          <w:szCs w:val="21"/>
          <w:highlight w:val="none"/>
        </w:rPr>
        <w:t>操作流程详见公告附件供应商操作指南。供应商如果未进行最后报价的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则按照第一次报价进行评审。</w:t>
      </w:r>
    </w:p>
    <w:p w14:paraId="71AF443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20.6谈判小组认为供应商的报价明显低于其他通过实质性审查供应商的报价</w:t>
      </w:r>
      <w:r>
        <w:rPr>
          <w:rFonts w:hint="eastAsia" w:ascii="宋体" w:hAnsi="宋体" w:cs="宋体"/>
          <w:color w:val="auto"/>
          <w:szCs w:val="21"/>
          <w:highlight w:val="none"/>
          <w:lang w:eastAsia="zh-CN"/>
        </w:rPr>
        <w:t>，</w:t>
      </w:r>
      <w:r>
        <w:rPr>
          <w:rFonts w:hint="eastAsia" w:ascii="宋体" w:hAnsi="宋体" w:cs="宋体"/>
          <w:color w:val="auto"/>
          <w:szCs w:val="21"/>
          <w:highlight w:val="none"/>
        </w:rPr>
        <w:t>有可能影响产品质量或者不能诚信履约的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将要求其在评标现场合理的时间内提供书面说明</w:t>
      </w:r>
      <w:r>
        <w:rPr>
          <w:rFonts w:hint="eastAsia" w:ascii="宋体" w:hAnsi="宋体" w:cs="宋体"/>
          <w:color w:val="auto"/>
          <w:szCs w:val="21"/>
          <w:highlight w:val="none"/>
          <w:lang w:eastAsia="zh-CN"/>
        </w:rPr>
        <w:t>，</w:t>
      </w:r>
      <w:r>
        <w:rPr>
          <w:rFonts w:hint="eastAsia" w:ascii="宋体" w:hAnsi="宋体" w:cs="宋体"/>
          <w:color w:val="auto"/>
          <w:szCs w:val="21"/>
          <w:highlight w:val="none"/>
        </w:rPr>
        <w:t>必要时提交相关证明材料</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供应商不能证明其报价合理性的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谈判小组将认定供应商响应文件无效。</w:t>
      </w:r>
    </w:p>
    <w:p w14:paraId="3845781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20.7报价货币为人民币。</w:t>
      </w:r>
    </w:p>
    <w:p w14:paraId="15A537D4">
      <w:pPr>
        <w:tabs>
          <w:tab w:val="left" w:pos="3150"/>
          <w:tab w:val="center" w:pos="4734"/>
        </w:tabs>
        <w:adjustRightInd w:val="0"/>
        <w:snapToGrid w:val="0"/>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四、提交响应文件</w:t>
      </w:r>
    </w:p>
    <w:p w14:paraId="5ED88D9C">
      <w:pPr>
        <w:autoSpaceDE w:val="0"/>
        <w:autoSpaceDN w:val="0"/>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21.响应文件的密封和标记</w:t>
      </w:r>
    </w:p>
    <w:p w14:paraId="44D59BD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21.1按照“政采云”平台的要求编制、加密后在响应文件提交截止时间前上传至“政采云”平台</w:t>
      </w:r>
      <w:r>
        <w:rPr>
          <w:rFonts w:hint="eastAsia" w:ascii="宋体" w:hAnsi="宋体" w:cs="宋体"/>
          <w:color w:val="auto"/>
          <w:szCs w:val="21"/>
          <w:highlight w:val="none"/>
          <w:lang w:eastAsia="zh-CN"/>
        </w:rPr>
        <w:t>，</w:t>
      </w:r>
      <w:r>
        <w:rPr>
          <w:rFonts w:hint="eastAsia" w:ascii="宋体" w:hAnsi="宋体" w:cs="宋体"/>
          <w:color w:val="auto"/>
          <w:szCs w:val="21"/>
          <w:highlight w:val="none"/>
        </w:rPr>
        <w:t>响应文件提交截止时间前未完成响应文件上传的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视为撤回响应文件。</w:t>
      </w:r>
    </w:p>
    <w:p w14:paraId="26EBAF39">
      <w:pPr>
        <w:autoSpaceDE w:val="0"/>
        <w:autoSpaceDN w:val="0"/>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22.响应文件的提交</w:t>
      </w:r>
    </w:p>
    <w:p w14:paraId="78D13C62">
      <w:pPr>
        <w:adjustRightInd w:val="0"/>
        <w:snapToGrid w:val="0"/>
        <w:spacing w:line="360" w:lineRule="auto"/>
        <w:ind w:firstLine="420" w:firstLineChars="200"/>
        <w:jc w:val="left"/>
        <w:rPr>
          <w:rFonts w:ascii="宋体" w:hAnsi="宋体" w:cs="宋体"/>
          <w:color w:val="auto"/>
          <w:szCs w:val="21"/>
          <w:highlight w:val="none"/>
        </w:rPr>
      </w:pPr>
      <w:bookmarkStart w:id="102" w:name="_Toc296602445"/>
      <w:r>
        <w:rPr>
          <w:rFonts w:hint="eastAsia" w:ascii="宋体" w:hAnsi="宋体" w:cs="宋体"/>
          <w:color w:val="auto"/>
          <w:szCs w:val="21"/>
          <w:highlight w:val="none"/>
        </w:rPr>
        <w:t>22.1响应文件提</w:t>
      </w:r>
      <w:bookmarkEnd w:id="102"/>
      <w:r>
        <w:rPr>
          <w:rFonts w:hint="eastAsia" w:ascii="宋体" w:hAnsi="宋体" w:cs="宋体"/>
          <w:color w:val="auto"/>
          <w:szCs w:val="21"/>
          <w:highlight w:val="none"/>
        </w:rPr>
        <w:t>交截止时间、提交响应文件的地点：详见《供应商须知前附表》</w:t>
      </w:r>
    </w:p>
    <w:p w14:paraId="2255008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22.2除《供应商须知前附表》另有规定外</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供应商所提交的响应文件不予退还。</w:t>
      </w:r>
    </w:p>
    <w:p w14:paraId="4ACCD7A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22.3供应商应按照本项目采购文件和“政采云”平台的要求编制、加密后在响应文件提交截止时间前上传至“政采云”平台</w:t>
      </w:r>
      <w:r>
        <w:rPr>
          <w:rFonts w:hint="eastAsia" w:ascii="宋体" w:hAnsi="宋体" w:cs="宋体"/>
          <w:color w:val="auto"/>
          <w:szCs w:val="21"/>
          <w:highlight w:val="none"/>
          <w:lang w:eastAsia="zh-CN"/>
        </w:rPr>
        <w:t>，</w:t>
      </w:r>
      <w:r>
        <w:rPr>
          <w:rFonts w:hint="eastAsia" w:ascii="宋体" w:hAnsi="宋体" w:cs="宋体"/>
          <w:color w:val="auto"/>
          <w:szCs w:val="21"/>
          <w:highlight w:val="none"/>
        </w:rPr>
        <w:t>响应文件提交截止时间前未完成响应文件上传的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视为撤回响应文件。供应商在“政采云”平台提交电子版响应文件时</w:t>
      </w:r>
      <w:r>
        <w:rPr>
          <w:rFonts w:hint="eastAsia" w:ascii="宋体" w:hAnsi="宋体" w:cs="宋体"/>
          <w:color w:val="auto"/>
          <w:szCs w:val="21"/>
          <w:highlight w:val="none"/>
          <w:lang w:eastAsia="zh-CN"/>
        </w:rPr>
        <w:t>，</w:t>
      </w:r>
      <w:r>
        <w:rPr>
          <w:rFonts w:hint="eastAsia" w:ascii="宋体" w:hAnsi="宋体" w:cs="宋体"/>
          <w:color w:val="auto"/>
          <w:szCs w:val="21"/>
          <w:highlight w:val="none"/>
        </w:rPr>
        <w:t>请填写参加远程采购活动经办人联系方式。</w:t>
      </w:r>
    </w:p>
    <w:p w14:paraId="5C3AE1A0">
      <w:pPr>
        <w:tabs>
          <w:tab w:val="left" w:pos="105"/>
          <w:tab w:val="left" w:pos="945"/>
          <w:tab w:val="left" w:pos="3360"/>
        </w:tabs>
        <w:adjustRightInd w:val="0"/>
        <w:snapToGrid w:val="0"/>
        <w:spacing w:line="360" w:lineRule="auto"/>
        <w:ind w:firstLine="482"/>
        <w:rPr>
          <w:rFonts w:hint="default" w:ascii="宋体" w:hAnsi="宋体" w:eastAsia="宋体" w:cs="宋体"/>
          <w:b/>
          <w:bCs/>
          <w:color w:val="auto"/>
          <w:sz w:val="24"/>
          <w:highlight w:val="none"/>
          <w:lang w:val="en-US" w:eastAsia="zh-CN"/>
        </w:rPr>
      </w:pPr>
      <w:r>
        <w:rPr>
          <w:rFonts w:hint="eastAsia" w:ascii="宋体" w:hAnsi="宋体" w:eastAsia="宋体" w:cs="宋体"/>
          <w:szCs w:val="21"/>
          <w:lang w:val="en-US" w:eastAsia="zh-CN"/>
        </w:rPr>
        <w:t>22.4响应</w:t>
      </w:r>
      <w:r>
        <w:rPr>
          <w:rFonts w:hint="eastAsia" w:ascii="宋体" w:hAnsi="宋体" w:eastAsia="宋体" w:cs="宋体"/>
          <w:szCs w:val="21"/>
        </w:rPr>
        <w:t>文件的解密：</w:t>
      </w:r>
      <w:r>
        <w:rPr>
          <w:rFonts w:hint="eastAsia" w:ascii="宋体" w:hAnsi="宋体" w:eastAsia="宋体" w:cs="宋体"/>
          <w:szCs w:val="21"/>
          <w:lang w:val="en-US" w:eastAsia="zh-CN"/>
        </w:rPr>
        <w:t>供应商</w:t>
      </w:r>
      <w:r>
        <w:rPr>
          <w:rFonts w:hint="eastAsia" w:ascii="宋体" w:hAnsi="宋体" w:eastAsia="宋体" w:cs="宋体"/>
          <w:szCs w:val="21"/>
        </w:rPr>
        <w:t>须在</w:t>
      </w:r>
      <w:r>
        <w:rPr>
          <w:rFonts w:hint="eastAsia" w:ascii="宋体" w:hAnsi="宋体" w:eastAsia="宋体" w:cs="宋体"/>
          <w:szCs w:val="21"/>
          <w:lang w:eastAsia="zh-CN"/>
        </w:rPr>
        <w:t>“政采云”</w:t>
      </w:r>
      <w:r>
        <w:rPr>
          <w:rFonts w:hint="eastAsia" w:ascii="宋体" w:hAnsi="宋体" w:eastAsia="宋体" w:cs="宋体"/>
          <w:szCs w:val="21"/>
        </w:rPr>
        <w:t>平台进行远程解密电子版</w:t>
      </w:r>
      <w:r>
        <w:rPr>
          <w:rFonts w:hint="eastAsia" w:ascii="宋体" w:hAnsi="宋体" w:eastAsia="宋体" w:cs="宋体"/>
          <w:szCs w:val="21"/>
          <w:lang w:val="en-US" w:eastAsia="zh-CN"/>
        </w:rPr>
        <w:t>响应</w:t>
      </w:r>
      <w:r>
        <w:rPr>
          <w:rFonts w:hint="eastAsia" w:ascii="宋体" w:hAnsi="宋体" w:eastAsia="宋体" w:cs="宋体"/>
          <w:szCs w:val="21"/>
        </w:rPr>
        <w:t>文件。</w:t>
      </w:r>
      <w:r>
        <w:rPr>
          <w:rFonts w:hint="eastAsia" w:ascii="宋体" w:hAnsi="宋体" w:eastAsia="宋体" w:cs="宋体"/>
          <w:szCs w:val="21"/>
          <w:lang w:val="en-US" w:eastAsia="zh-CN"/>
        </w:rPr>
        <w:t>解密时长为30分钟，因供</w:t>
      </w:r>
      <w:r>
        <w:rPr>
          <w:rFonts w:hint="eastAsia" w:ascii="宋体" w:hAnsi="宋体" w:cs="宋体"/>
          <w:szCs w:val="21"/>
          <w:lang w:val="en-US" w:eastAsia="zh-CN"/>
        </w:rPr>
        <w:t>应商</w:t>
      </w:r>
      <w:r>
        <w:rPr>
          <w:rFonts w:hint="eastAsia" w:ascii="宋体" w:hAnsi="宋体" w:eastAsia="宋体" w:cs="宋体"/>
          <w:szCs w:val="21"/>
          <w:lang w:val="en-US" w:eastAsia="zh-CN"/>
        </w:rPr>
        <w:t>自身原因导致未在规定时间内完成</w:t>
      </w:r>
      <w:r>
        <w:rPr>
          <w:rFonts w:hint="eastAsia" w:ascii="宋体" w:hAnsi="宋体" w:eastAsia="宋体" w:cs="宋体"/>
          <w:szCs w:val="21"/>
        </w:rPr>
        <w:t>解密</w:t>
      </w:r>
      <w:r>
        <w:rPr>
          <w:rFonts w:hint="eastAsia" w:ascii="宋体" w:hAnsi="宋体" w:eastAsia="宋体" w:cs="宋体"/>
          <w:szCs w:val="21"/>
          <w:lang w:val="en-US" w:eastAsia="zh-CN"/>
        </w:rPr>
        <w:t>的，视为撤回</w:t>
      </w:r>
      <w:r>
        <w:rPr>
          <w:rFonts w:hint="eastAsia" w:ascii="宋体" w:hAnsi="宋体" w:cs="宋体"/>
          <w:szCs w:val="21"/>
          <w:lang w:val="en-US" w:eastAsia="zh-CN"/>
        </w:rPr>
        <w:t>响应</w:t>
      </w:r>
      <w:r>
        <w:rPr>
          <w:rFonts w:hint="eastAsia" w:ascii="宋体" w:hAnsi="宋体" w:eastAsia="宋体" w:cs="宋体"/>
          <w:szCs w:val="21"/>
        </w:rPr>
        <w:t>文件</w:t>
      </w:r>
      <w:r>
        <w:rPr>
          <w:rFonts w:hint="eastAsia" w:ascii="宋体" w:hAnsi="宋体" w:eastAsia="宋体" w:cs="宋体"/>
          <w:szCs w:val="21"/>
          <w:lang w:eastAsia="zh-CN"/>
        </w:rPr>
        <w:t>。</w:t>
      </w:r>
    </w:p>
    <w:p w14:paraId="3EF506E9">
      <w:pPr>
        <w:tabs>
          <w:tab w:val="left" w:pos="105"/>
          <w:tab w:val="left" w:pos="945"/>
          <w:tab w:val="left" w:pos="3360"/>
        </w:tabs>
        <w:adjustRightInd w:val="0"/>
        <w:snapToGrid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23.响应文件的补充、修改或者撤回</w:t>
      </w:r>
    </w:p>
    <w:p w14:paraId="29F5E6C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23.1供应商在提交响应文件截止时间前</w:t>
      </w:r>
      <w:r>
        <w:rPr>
          <w:rFonts w:hint="eastAsia" w:ascii="宋体" w:hAnsi="宋体" w:cs="宋体"/>
          <w:color w:val="auto"/>
          <w:szCs w:val="21"/>
          <w:highlight w:val="none"/>
          <w:lang w:eastAsia="zh-CN"/>
        </w:rPr>
        <w:t>，</w:t>
      </w:r>
      <w:r>
        <w:rPr>
          <w:rFonts w:hint="eastAsia" w:ascii="宋体" w:hAnsi="宋体" w:cs="宋体"/>
          <w:color w:val="auto"/>
          <w:szCs w:val="21"/>
          <w:highlight w:val="none"/>
        </w:rPr>
        <w:t>可以对所提交的响应文件进行补充、修改或者撤回</w:t>
      </w:r>
      <w:r>
        <w:rPr>
          <w:rFonts w:hint="eastAsia" w:ascii="宋体" w:hAnsi="宋体" w:cs="宋体"/>
          <w:color w:val="auto"/>
          <w:szCs w:val="21"/>
          <w:highlight w:val="none"/>
          <w:lang w:eastAsia="zh-CN"/>
        </w:rPr>
        <w:t>，</w:t>
      </w:r>
      <w:r>
        <w:rPr>
          <w:rFonts w:hint="eastAsia" w:ascii="宋体" w:hAnsi="宋体" w:cs="宋体"/>
          <w:color w:val="auto"/>
          <w:szCs w:val="21"/>
          <w:highlight w:val="none"/>
        </w:rPr>
        <w:t>并书面通知采购人、采购代理机构。补充、修改的内容作为响应文件的组成部分。补充、修改的内容与响应文件不一致的</w:t>
      </w:r>
      <w:r>
        <w:rPr>
          <w:rFonts w:hint="eastAsia" w:ascii="宋体" w:hAnsi="宋体" w:cs="宋体"/>
          <w:color w:val="auto"/>
          <w:szCs w:val="21"/>
          <w:highlight w:val="none"/>
          <w:lang w:eastAsia="zh-CN"/>
        </w:rPr>
        <w:t>，</w:t>
      </w:r>
      <w:r>
        <w:rPr>
          <w:rFonts w:hint="eastAsia" w:ascii="宋体" w:hAnsi="宋体" w:cs="宋体"/>
          <w:color w:val="auto"/>
          <w:szCs w:val="21"/>
          <w:highlight w:val="none"/>
        </w:rPr>
        <w:t>以补充、修改的内容为准。</w:t>
      </w:r>
    </w:p>
    <w:p w14:paraId="2031B2E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23.2供应商在提交截止时间前撤回已提交的响应文件的</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采购人或者采购代理机构将自收到供应商书面撤回通知之日起5个工作日内</w:t>
      </w:r>
      <w:r>
        <w:rPr>
          <w:rFonts w:hint="eastAsia" w:ascii="宋体" w:hAnsi="宋体" w:cs="宋体"/>
          <w:color w:val="auto"/>
          <w:szCs w:val="21"/>
          <w:highlight w:val="none"/>
          <w:lang w:eastAsia="zh-CN"/>
        </w:rPr>
        <w:t>，</w:t>
      </w:r>
      <w:r>
        <w:rPr>
          <w:rFonts w:hint="eastAsia" w:ascii="宋体" w:hAnsi="宋体" w:cs="宋体"/>
          <w:color w:val="auto"/>
          <w:szCs w:val="21"/>
          <w:highlight w:val="none"/>
        </w:rPr>
        <w:t>退还已收取的谈判保证金</w:t>
      </w:r>
      <w:r>
        <w:rPr>
          <w:rFonts w:hint="eastAsia" w:ascii="宋体" w:hAnsi="宋体" w:cs="宋体"/>
          <w:color w:val="auto"/>
          <w:szCs w:val="21"/>
          <w:highlight w:val="none"/>
          <w:lang w:eastAsia="zh-CN"/>
        </w:rPr>
        <w:t>，</w:t>
      </w:r>
      <w:r>
        <w:rPr>
          <w:rFonts w:hint="eastAsia" w:ascii="宋体" w:hAnsi="宋体" w:cs="宋体"/>
          <w:color w:val="auto"/>
          <w:szCs w:val="21"/>
          <w:highlight w:val="none"/>
        </w:rPr>
        <w:t>但因供应商自身原因导致无法及时退还的除外。</w:t>
      </w:r>
    </w:p>
    <w:p w14:paraId="37E21222">
      <w:pPr>
        <w:tabs>
          <w:tab w:val="left" w:pos="3150"/>
          <w:tab w:val="center" w:pos="4734"/>
        </w:tabs>
        <w:adjustRightInd w:val="0"/>
        <w:snapToGrid w:val="0"/>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五、谈判</w:t>
      </w:r>
    </w:p>
    <w:p w14:paraId="02B8DE9E">
      <w:pPr>
        <w:adjustRightInd w:val="0"/>
        <w:snapToGrid w:val="0"/>
        <w:spacing w:line="360" w:lineRule="auto"/>
        <w:ind w:firstLine="482"/>
        <w:rPr>
          <w:rFonts w:ascii="宋体" w:hAnsi="宋体" w:cs="宋体"/>
          <w:b/>
          <w:color w:val="auto"/>
          <w:sz w:val="24"/>
          <w:highlight w:val="none"/>
        </w:rPr>
      </w:pPr>
      <w:r>
        <w:rPr>
          <w:rFonts w:hint="eastAsia" w:ascii="宋体" w:hAnsi="宋体" w:cs="宋体"/>
          <w:b/>
          <w:bCs/>
          <w:color w:val="auto"/>
          <w:sz w:val="24"/>
          <w:highlight w:val="none"/>
        </w:rPr>
        <w:t>24.</w:t>
      </w:r>
      <w:r>
        <w:rPr>
          <w:rFonts w:hint="eastAsia" w:ascii="宋体" w:hAnsi="宋体" w:cs="宋体"/>
          <w:b/>
          <w:color w:val="auto"/>
          <w:sz w:val="24"/>
          <w:highlight w:val="none"/>
        </w:rPr>
        <w:t>谈判小组</w:t>
      </w:r>
    </w:p>
    <w:p w14:paraId="32CCE11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24.1谈判小组将在规定的时间和地点进行谈判</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供应商的法定代表人或委托代理人应按时参加。</w:t>
      </w:r>
    </w:p>
    <w:p w14:paraId="26040B6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24.2谈判小组由采购人依法组建</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谈判由谈判小组负责。谈判小组由采购人代表和评审专家共3人以上单数组成</w:t>
      </w:r>
      <w:r>
        <w:rPr>
          <w:rFonts w:hint="eastAsia" w:ascii="宋体" w:hAnsi="宋体" w:cs="宋体"/>
          <w:color w:val="auto"/>
          <w:szCs w:val="21"/>
          <w:highlight w:val="none"/>
          <w:lang w:eastAsia="zh-CN"/>
        </w:rPr>
        <w:t>，</w:t>
      </w:r>
      <w:r>
        <w:rPr>
          <w:rFonts w:hint="eastAsia" w:ascii="宋体" w:hAnsi="宋体" w:cs="宋体"/>
          <w:color w:val="auto"/>
          <w:szCs w:val="21"/>
          <w:highlight w:val="none"/>
        </w:rPr>
        <w:t>其中评审专家人数不得少于谈判小组成员总数的2/3。谈判小组应当推选组长</w:t>
      </w:r>
      <w:r>
        <w:rPr>
          <w:rFonts w:hint="eastAsia" w:ascii="宋体" w:hAnsi="宋体" w:cs="宋体"/>
          <w:color w:val="auto"/>
          <w:szCs w:val="21"/>
          <w:highlight w:val="none"/>
          <w:lang w:eastAsia="zh-CN"/>
        </w:rPr>
        <w:t>，</w:t>
      </w:r>
      <w:r>
        <w:rPr>
          <w:rFonts w:hint="eastAsia" w:ascii="宋体" w:hAnsi="宋体" w:cs="宋体"/>
          <w:color w:val="auto"/>
          <w:szCs w:val="21"/>
          <w:highlight w:val="none"/>
        </w:rPr>
        <w:t>但采购人代表不得担任组长。</w:t>
      </w:r>
    </w:p>
    <w:p w14:paraId="1CDC985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24.3谈判小组成员人数及名单在谈判结束之前保密。</w:t>
      </w:r>
    </w:p>
    <w:p w14:paraId="4FBBF9E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24.4采购人委派代表参加谈判会议的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要向采购代理机构出具授权函。</w:t>
      </w:r>
    </w:p>
    <w:p w14:paraId="31F720D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24.5评审方法：从质量和服务均能满足采购文件实质性响应要求的供应商中</w:t>
      </w:r>
      <w:r>
        <w:rPr>
          <w:rFonts w:hint="eastAsia" w:ascii="宋体" w:hAnsi="宋体" w:cs="宋体"/>
          <w:color w:val="auto"/>
          <w:szCs w:val="21"/>
          <w:highlight w:val="none"/>
          <w:lang w:eastAsia="zh-CN"/>
        </w:rPr>
        <w:t>，</w:t>
      </w:r>
      <w:r>
        <w:rPr>
          <w:rFonts w:hint="eastAsia" w:ascii="宋体" w:hAnsi="宋体" w:cs="宋体"/>
          <w:color w:val="auto"/>
          <w:szCs w:val="21"/>
          <w:highlight w:val="none"/>
        </w:rPr>
        <w:t>按照最后报价（符合中小企业划分标准或残疾人福利性单位的用扣除后的价格参与评审）由低到高的顺序提出3名以上成交候选人。</w:t>
      </w:r>
    </w:p>
    <w:p w14:paraId="7E017731">
      <w:pPr>
        <w:tabs>
          <w:tab w:val="left" w:pos="7980"/>
        </w:tabs>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24.6谈判小组根据竞争性谈判文件规定的谈判程序和方法对各供应商的响应文件进行评审</w:t>
      </w:r>
      <w:r>
        <w:rPr>
          <w:rFonts w:hint="eastAsia" w:ascii="宋体" w:hAnsi="宋体" w:cs="宋体"/>
          <w:color w:val="auto"/>
          <w:szCs w:val="21"/>
          <w:highlight w:val="none"/>
          <w:lang w:eastAsia="zh-CN"/>
        </w:rPr>
        <w:t>，</w:t>
      </w:r>
      <w:r>
        <w:rPr>
          <w:rFonts w:hint="eastAsia" w:ascii="宋体" w:hAnsi="宋体" w:cs="宋体"/>
          <w:color w:val="auto"/>
          <w:szCs w:val="21"/>
          <w:highlight w:val="none"/>
        </w:rPr>
        <w:t>从质量和服务均能满足采购文件实质性响应要求的供应商中</w:t>
      </w:r>
      <w:r>
        <w:rPr>
          <w:rFonts w:hint="eastAsia" w:ascii="宋体" w:hAnsi="宋体" w:cs="宋体"/>
          <w:color w:val="auto"/>
          <w:szCs w:val="21"/>
          <w:highlight w:val="none"/>
          <w:lang w:eastAsia="zh-CN"/>
        </w:rPr>
        <w:t>，</w:t>
      </w:r>
      <w:r>
        <w:rPr>
          <w:rFonts w:hint="eastAsia" w:ascii="宋体" w:hAnsi="宋体" w:cs="宋体"/>
          <w:color w:val="auto"/>
          <w:szCs w:val="21"/>
          <w:highlight w:val="none"/>
        </w:rPr>
        <w:t>按照最后报价</w:t>
      </w:r>
      <w:r>
        <w:rPr>
          <w:rFonts w:hint="eastAsia" w:ascii="宋体" w:hAnsi="宋体" w:cs="宋体"/>
          <w:color w:val="auto"/>
          <w:highlight w:val="none"/>
        </w:rPr>
        <w:t>（符合中小企业划分标准或残疾人福利性单位的用扣除后的价格参与评审）</w:t>
      </w:r>
      <w:r>
        <w:rPr>
          <w:rFonts w:hint="eastAsia" w:ascii="宋体" w:hAnsi="宋体" w:cs="宋体"/>
          <w:color w:val="auto"/>
          <w:szCs w:val="21"/>
          <w:highlight w:val="none"/>
        </w:rPr>
        <w:t>由低到高的顺序提出3名以上成交候选人</w:t>
      </w:r>
      <w:r>
        <w:rPr>
          <w:rFonts w:hint="eastAsia" w:ascii="宋体" w:hAnsi="宋体" w:cs="宋体"/>
          <w:color w:val="auto"/>
          <w:szCs w:val="21"/>
          <w:highlight w:val="none"/>
          <w:lang w:eastAsia="zh-CN"/>
        </w:rPr>
        <w:t>，</w:t>
      </w:r>
      <w:r>
        <w:rPr>
          <w:rFonts w:hint="eastAsia" w:ascii="宋体" w:hAnsi="宋体" w:cs="宋体"/>
          <w:color w:val="auto"/>
          <w:szCs w:val="21"/>
          <w:highlight w:val="none"/>
        </w:rPr>
        <w:t>最后报价相同的</w:t>
      </w:r>
      <w:r>
        <w:rPr>
          <w:rFonts w:hint="eastAsia" w:ascii="宋体" w:hAnsi="宋体" w:cs="宋体"/>
          <w:color w:val="auto"/>
          <w:szCs w:val="21"/>
          <w:highlight w:val="none"/>
          <w:lang w:eastAsia="zh-CN"/>
        </w:rPr>
        <w:t>，</w:t>
      </w:r>
      <w:r>
        <w:rPr>
          <w:rFonts w:hint="eastAsia" w:ascii="宋体" w:hAnsi="宋体" w:cs="宋体"/>
          <w:color w:val="auto"/>
          <w:szCs w:val="21"/>
          <w:highlight w:val="none"/>
        </w:rPr>
        <w:t>按照节能产品、环境标志产品、技术指标优劣顺序推荐</w:t>
      </w:r>
      <w:r>
        <w:rPr>
          <w:rFonts w:hint="eastAsia" w:ascii="宋体" w:hAnsi="宋体" w:cs="宋体"/>
          <w:color w:val="auto"/>
          <w:szCs w:val="21"/>
          <w:highlight w:val="none"/>
          <w:lang w:eastAsia="zh-CN"/>
        </w:rPr>
        <w:t>，</w:t>
      </w:r>
      <w:r>
        <w:rPr>
          <w:rFonts w:hint="eastAsia" w:ascii="宋体" w:hAnsi="宋体" w:cs="宋体"/>
          <w:color w:val="auto"/>
          <w:szCs w:val="21"/>
          <w:highlight w:val="none"/>
        </w:rPr>
        <w:t>并编写评审报告。</w:t>
      </w:r>
    </w:p>
    <w:p w14:paraId="2F21844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24.7谈判小组在对响应文件的有效性、完整性和响应程度进行审查时</w:t>
      </w:r>
      <w:r>
        <w:rPr>
          <w:rFonts w:hint="eastAsia" w:ascii="宋体" w:hAnsi="宋体" w:cs="宋体"/>
          <w:color w:val="auto"/>
          <w:szCs w:val="21"/>
          <w:highlight w:val="none"/>
          <w:lang w:eastAsia="zh-CN"/>
        </w:rPr>
        <w:t>，</w:t>
      </w:r>
      <w:r>
        <w:rPr>
          <w:rFonts w:hint="eastAsia" w:ascii="宋体" w:hAnsi="宋体" w:cs="宋体"/>
          <w:color w:val="auto"/>
          <w:szCs w:val="21"/>
          <w:highlight w:val="none"/>
        </w:rPr>
        <w:t>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DCC9DD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24.8谈判小组要求供应商澄清、说明或者更正响应文件应当以书面形式作出。供应商的澄清、说明或者更正应当由法定代表人或授权代表签字或者加盖公章。由授权代表签字的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应当附法定代表人授权书。供应商为自然人的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应当由本人签字并附身份证明。</w:t>
      </w:r>
    </w:p>
    <w:p w14:paraId="5FE644A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24.9在谈判中</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谈判的任何一方不得透露与谈判有关的其他供应商的技术资料、价格和其他信息。谈判开始后</w:t>
      </w:r>
      <w:r>
        <w:rPr>
          <w:rFonts w:hint="eastAsia" w:ascii="宋体" w:hAnsi="宋体" w:cs="宋体"/>
          <w:color w:val="auto"/>
          <w:szCs w:val="21"/>
          <w:highlight w:val="none"/>
          <w:lang w:eastAsia="zh-CN"/>
        </w:rPr>
        <w:t>，</w:t>
      </w:r>
      <w:r>
        <w:rPr>
          <w:rFonts w:hint="eastAsia" w:ascii="宋体" w:hAnsi="宋体" w:cs="宋体"/>
          <w:color w:val="auto"/>
          <w:szCs w:val="21"/>
          <w:highlight w:val="none"/>
        </w:rPr>
        <w:t>直到授予供应商合同止</w:t>
      </w:r>
      <w:r>
        <w:rPr>
          <w:rFonts w:hint="eastAsia" w:ascii="宋体" w:hAnsi="宋体" w:cs="宋体"/>
          <w:color w:val="auto"/>
          <w:szCs w:val="21"/>
          <w:highlight w:val="none"/>
          <w:lang w:eastAsia="zh-CN"/>
        </w:rPr>
        <w:t>，</w:t>
      </w:r>
      <w:r>
        <w:rPr>
          <w:rFonts w:hint="eastAsia" w:ascii="宋体" w:hAnsi="宋体" w:cs="宋体"/>
          <w:color w:val="auto"/>
          <w:szCs w:val="21"/>
          <w:highlight w:val="none"/>
        </w:rPr>
        <w:t>凡是属于审查、澄清、谈判和比较的有关资料以及成交建议等均不向供应商或其他人员透露。</w:t>
      </w:r>
    </w:p>
    <w:p w14:paraId="43A6810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w:t>
      </w:r>
      <w:bookmarkStart w:id="103" w:name="_Toc432194847"/>
      <w:bookmarkStart w:id="104" w:name="_Toc378499713"/>
      <w:bookmarkStart w:id="105" w:name="_Toc470507061"/>
      <w:bookmarkStart w:id="106" w:name="_Toc482343747"/>
      <w:bookmarkStart w:id="107" w:name="_Toc383175297"/>
      <w:bookmarkStart w:id="108" w:name="_Toc383175073"/>
      <w:bookmarkStart w:id="109" w:name="_Toc432106496"/>
      <w:bookmarkStart w:id="110" w:name="_Toc383175495"/>
      <w:r>
        <w:rPr>
          <w:rFonts w:hint="eastAsia" w:ascii="宋体" w:hAnsi="宋体" w:cs="宋体"/>
          <w:color w:val="auto"/>
          <w:szCs w:val="21"/>
          <w:highlight w:val="none"/>
        </w:rPr>
        <w:t>10谈判小组发现谈判文件存在歧义、重大缺陷导致评审工作无法进行</w:t>
      </w:r>
      <w:r>
        <w:rPr>
          <w:rFonts w:hint="eastAsia" w:ascii="宋体" w:hAnsi="宋体" w:cs="宋体"/>
          <w:color w:val="auto"/>
          <w:szCs w:val="21"/>
          <w:highlight w:val="none"/>
          <w:lang w:eastAsia="zh-CN"/>
        </w:rPr>
        <w:t>，</w:t>
      </w:r>
      <w:r>
        <w:rPr>
          <w:rFonts w:hint="eastAsia" w:ascii="宋体" w:hAnsi="宋体" w:cs="宋体"/>
          <w:color w:val="auto"/>
          <w:szCs w:val="21"/>
          <w:highlight w:val="none"/>
        </w:rPr>
        <w:t>或者谈判文件内容违反国家有关规定的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要停止评审工作并向采购人或采购代理机构书面说明情况</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采购人或采购代理机构应当修改谈判文件后重新组织采购活动</w:t>
      </w:r>
      <w:r>
        <w:rPr>
          <w:rFonts w:hint="eastAsia" w:ascii="宋体" w:hAnsi="宋体" w:cs="宋体"/>
          <w:color w:val="auto"/>
          <w:szCs w:val="21"/>
          <w:highlight w:val="none"/>
          <w:lang w:eastAsia="zh-CN"/>
        </w:rPr>
        <w:t>；</w:t>
      </w:r>
      <w:r>
        <w:rPr>
          <w:rFonts w:hint="eastAsia" w:ascii="宋体" w:hAnsi="宋体" w:cs="宋体"/>
          <w:color w:val="auto"/>
          <w:szCs w:val="21"/>
          <w:highlight w:val="none"/>
        </w:rPr>
        <w:t>发现供应商提供虚假材料、串通等违法违规行为的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要及时向采购人或采购代理机构报告。</w:t>
      </w:r>
      <w:bookmarkEnd w:id="103"/>
      <w:bookmarkEnd w:id="104"/>
      <w:bookmarkEnd w:id="105"/>
      <w:bookmarkEnd w:id="106"/>
      <w:bookmarkEnd w:id="107"/>
      <w:bookmarkEnd w:id="108"/>
      <w:bookmarkEnd w:id="109"/>
      <w:bookmarkEnd w:id="110"/>
    </w:p>
    <w:p w14:paraId="6075576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24.11出现下列情形之一的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将终止竞争性谈判采购活动</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并发布项目终止公告并说明原因</w:t>
      </w:r>
      <w:r>
        <w:rPr>
          <w:rFonts w:hint="eastAsia" w:ascii="宋体" w:hAnsi="宋体" w:cs="宋体"/>
          <w:color w:val="auto"/>
          <w:szCs w:val="21"/>
          <w:highlight w:val="none"/>
          <w:lang w:eastAsia="zh-CN"/>
        </w:rPr>
        <w:t>，</w:t>
      </w:r>
      <w:r>
        <w:rPr>
          <w:rFonts w:hint="eastAsia" w:ascii="宋体" w:hAnsi="宋体" w:cs="宋体"/>
          <w:color w:val="auto"/>
          <w:szCs w:val="21"/>
          <w:highlight w:val="none"/>
        </w:rPr>
        <w:t>重新开展采购活动：</w:t>
      </w:r>
    </w:p>
    <w:p w14:paraId="22194A43">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（一）因情况变化</w:t>
      </w:r>
      <w:r>
        <w:rPr>
          <w:rFonts w:hint="eastAsia" w:ascii="宋体" w:hAnsi="宋体" w:cs="宋体"/>
          <w:color w:val="auto"/>
          <w:szCs w:val="21"/>
          <w:highlight w:val="none"/>
          <w:lang w:eastAsia="zh-CN"/>
        </w:rPr>
        <w:t>，</w:t>
      </w:r>
      <w:r>
        <w:rPr>
          <w:rFonts w:hint="eastAsia" w:ascii="宋体" w:hAnsi="宋体" w:cs="宋体"/>
          <w:color w:val="auto"/>
          <w:szCs w:val="21"/>
          <w:highlight w:val="none"/>
        </w:rPr>
        <w:t>不再符合规定的竞争性谈判</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式适用情形的</w:t>
      </w:r>
      <w:r>
        <w:rPr>
          <w:rFonts w:hint="eastAsia" w:ascii="宋体" w:hAnsi="宋体" w:cs="宋体"/>
          <w:color w:val="auto"/>
          <w:szCs w:val="21"/>
          <w:highlight w:val="none"/>
          <w:lang w:eastAsia="zh-CN"/>
        </w:rPr>
        <w:t>；</w:t>
      </w:r>
    </w:p>
    <w:p w14:paraId="14D48973">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（二）出现影响采购公正的违法、违规行为的</w:t>
      </w:r>
      <w:r>
        <w:rPr>
          <w:rFonts w:hint="eastAsia" w:ascii="宋体" w:hAnsi="宋体" w:cs="宋体"/>
          <w:color w:val="auto"/>
          <w:szCs w:val="21"/>
          <w:highlight w:val="none"/>
          <w:lang w:eastAsia="zh-CN"/>
        </w:rPr>
        <w:t>；</w:t>
      </w:r>
    </w:p>
    <w:p w14:paraId="27F746A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（三）在采购过程中符合竞争要求的供应商或者报价未超过采购预算的供应商不足3家的</w:t>
      </w:r>
      <w:r>
        <w:rPr>
          <w:rFonts w:hint="eastAsia" w:ascii="宋体" w:hAnsi="宋体" w:cs="宋体"/>
          <w:color w:val="auto"/>
          <w:highlight w:val="none"/>
          <w:lang w:eastAsia="zh-CN"/>
        </w:rPr>
        <w:t>，</w:t>
      </w:r>
      <w:r>
        <w:rPr>
          <w:rFonts w:hint="eastAsia" w:ascii="宋体" w:hAnsi="宋体" w:cs="宋体"/>
          <w:color w:val="auto"/>
          <w:highlight w:val="none"/>
        </w:rPr>
        <w:t>但技术复杂或者性质特殊</w:t>
      </w:r>
      <w:r>
        <w:rPr>
          <w:rFonts w:hint="eastAsia" w:ascii="宋体" w:hAnsi="宋体" w:cs="宋体"/>
          <w:color w:val="auto"/>
          <w:highlight w:val="none"/>
          <w:lang w:eastAsia="zh-CN"/>
        </w:rPr>
        <w:t>，</w:t>
      </w:r>
      <w:r>
        <w:rPr>
          <w:rFonts w:hint="eastAsia" w:ascii="宋体" w:hAnsi="宋体" w:cs="宋体"/>
          <w:color w:val="auto"/>
          <w:highlight w:val="none"/>
        </w:rPr>
        <w:t>不能确定详细规格或者具体要求的除外</w:t>
      </w:r>
      <w:r>
        <w:rPr>
          <w:rFonts w:hint="eastAsia" w:ascii="宋体" w:hAnsi="宋体" w:cs="宋体"/>
          <w:color w:val="auto"/>
          <w:szCs w:val="21"/>
          <w:highlight w:val="none"/>
        </w:rPr>
        <w:t>。</w:t>
      </w:r>
    </w:p>
    <w:p w14:paraId="60B84744">
      <w:pPr>
        <w:tabs>
          <w:tab w:val="left" w:pos="3150"/>
          <w:tab w:val="center" w:pos="4734"/>
        </w:tabs>
        <w:adjustRightInd w:val="0"/>
        <w:snapToGrid w:val="0"/>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六、成交结果</w:t>
      </w:r>
    </w:p>
    <w:p w14:paraId="24136116">
      <w:pPr>
        <w:adjustRightInd w:val="0"/>
        <w:snapToGrid w:val="0"/>
        <w:spacing w:line="360" w:lineRule="auto"/>
        <w:ind w:firstLine="117" w:firstLineChars="49"/>
        <w:rPr>
          <w:rFonts w:ascii="宋体" w:hAnsi="宋体" w:cs="宋体"/>
          <w:b/>
          <w:color w:val="auto"/>
          <w:sz w:val="24"/>
          <w:highlight w:val="none"/>
        </w:rPr>
      </w:pPr>
      <w:r>
        <w:rPr>
          <w:rFonts w:hint="eastAsia" w:ascii="宋体" w:hAnsi="宋体" w:cs="宋体"/>
          <w:b/>
          <w:color w:val="auto"/>
          <w:sz w:val="24"/>
          <w:highlight w:val="none"/>
        </w:rPr>
        <w:t>25.成交供应商的确定</w:t>
      </w:r>
    </w:p>
    <w:p w14:paraId="28ED78F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25.1采购代理机构在评审结束后2个工作日内将评审报告送采购人确认。</w:t>
      </w:r>
    </w:p>
    <w:p w14:paraId="58F5A6F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25.2采购人应当在收到评审报告后5个工作日内</w:t>
      </w:r>
      <w:r>
        <w:rPr>
          <w:rFonts w:hint="eastAsia" w:ascii="宋体" w:hAnsi="宋体" w:cs="宋体"/>
          <w:color w:val="auto"/>
          <w:szCs w:val="21"/>
          <w:highlight w:val="none"/>
          <w:lang w:eastAsia="zh-CN"/>
        </w:rPr>
        <w:t>，</w:t>
      </w:r>
      <w:r>
        <w:rPr>
          <w:rFonts w:hint="eastAsia" w:ascii="宋体" w:hAnsi="宋体" w:cs="宋体"/>
          <w:color w:val="auto"/>
          <w:szCs w:val="21"/>
          <w:highlight w:val="none"/>
        </w:rPr>
        <w:t>从评审报告提出的成交候选人中</w:t>
      </w:r>
      <w:r>
        <w:rPr>
          <w:rFonts w:hint="eastAsia" w:ascii="宋体" w:hAnsi="宋体" w:cs="宋体"/>
          <w:color w:val="auto"/>
          <w:szCs w:val="21"/>
          <w:highlight w:val="none"/>
          <w:lang w:eastAsia="zh-CN"/>
        </w:rPr>
        <w:t>，</w:t>
      </w:r>
      <w:r>
        <w:rPr>
          <w:rFonts w:hint="eastAsia" w:ascii="宋体" w:hAnsi="宋体" w:cs="宋体"/>
          <w:color w:val="auto"/>
          <w:szCs w:val="21"/>
          <w:highlight w:val="none"/>
        </w:rPr>
        <w:t>按照排序由高到低的原则确定成交供应商。</w:t>
      </w:r>
    </w:p>
    <w:p w14:paraId="124028B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25.3采购代理机构无义务向未成交供应商解释未成交原因和退回响应文件。</w:t>
      </w:r>
    </w:p>
    <w:p w14:paraId="73E6F885">
      <w:pPr>
        <w:adjustRightInd w:val="0"/>
        <w:snapToGrid w:val="0"/>
        <w:spacing w:line="360" w:lineRule="auto"/>
        <w:ind w:firstLine="117" w:firstLineChars="49"/>
        <w:rPr>
          <w:rFonts w:ascii="宋体" w:hAnsi="宋体" w:cs="宋体"/>
          <w:b/>
          <w:color w:val="auto"/>
          <w:sz w:val="24"/>
          <w:highlight w:val="none"/>
        </w:rPr>
      </w:pPr>
      <w:bookmarkStart w:id="111" w:name="_Toc497127308"/>
      <w:bookmarkStart w:id="112" w:name="_Toc112595555"/>
      <w:bookmarkStart w:id="113" w:name="_Toc320890573"/>
      <w:r>
        <w:rPr>
          <w:rFonts w:hint="eastAsia" w:ascii="宋体" w:hAnsi="宋体" w:cs="宋体"/>
          <w:b/>
          <w:color w:val="auto"/>
          <w:sz w:val="24"/>
          <w:highlight w:val="none"/>
        </w:rPr>
        <w:t>26</w:t>
      </w:r>
      <w:bookmarkEnd w:id="111"/>
      <w:bookmarkEnd w:id="112"/>
      <w:bookmarkEnd w:id="113"/>
      <w:r>
        <w:rPr>
          <w:rFonts w:hint="eastAsia" w:ascii="宋体" w:hAnsi="宋体" w:cs="宋体"/>
          <w:b/>
          <w:color w:val="auto"/>
          <w:sz w:val="24"/>
          <w:highlight w:val="none"/>
        </w:rPr>
        <w:t>.成交通知书</w:t>
      </w:r>
    </w:p>
    <w:p w14:paraId="1063E51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26.1成交供应商确定之日起2个工作日内</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采购代理机构向成交供应商发出成交通知书</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并在财政部门指定的政府采购信息发布媒体上公告成交结果。成交公告期限为1个工作日。</w:t>
      </w:r>
    </w:p>
    <w:p w14:paraId="3CE573F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26.2成交通知书是合同的一个组成部分。</w:t>
      </w:r>
    </w:p>
    <w:p w14:paraId="737374FD">
      <w:pPr>
        <w:adjustRightInd w:val="0"/>
        <w:snapToGrid w:val="0"/>
        <w:spacing w:line="360" w:lineRule="auto"/>
        <w:ind w:firstLine="117" w:firstLineChars="49"/>
        <w:rPr>
          <w:rFonts w:ascii="宋体" w:hAnsi="宋体" w:cs="宋体"/>
          <w:b/>
          <w:color w:val="auto"/>
          <w:sz w:val="24"/>
          <w:highlight w:val="none"/>
        </w:rPr>
      </w:pPr>
      <w:r>
        <w:rPr>
          <w:rFonts w:hint="eastAsia" w:ascii="宋体" w:hAnsi="宋体" w:cs="宋体"/>
          <w:b/>
          <w:color w:val="auto"/>
          <w:sz w:val="24"/>
          <w:highlight w:val="none"/>
        </w:rPr>
        <w:t>27.签订合同</w:t>
      </w:r>
    </w:p>
    <w:p w14:paraId="6FA1781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27.1采购人与成交供应商应当在成交通知书发出之日起30日内</w:t>
      </w:r>
      <w:r>
        <w:rPr>
          <w:rFonts w:hint="eastAsia" w:ascii="宋体" w:hAnsi="宋体" w:cs="宋体"/>
          <w:color w:val="auto"/>
          <w:szCs w:val="21"/>
          <w:highlight w:val="none"/>
          <w:lang w:eastAsia="zh-CN"/>
        </w:rPr>
        <w:t>，</w:t>
      </w:r>
      <w:r>
        <w:rPr>
          <w:rFonts w:hint="eastAsia" w:ascii="宋体" w:hAnsi="宋体" w:cs="宋体"/>
          <w:color w:val="auto"/>
          <w:szCs w:val="21"/>
          <w:highlight w:val="none"/>
        </w:rPr>
        <w:t>按照谈判文件确定的合同文本以及采购标的、规格型号、采购金额、采购数量、技术和服务要求等事项签订政府采购合同。</w:t>
      </w:r>
    </w:p>
    <w:p w14:paraId="654C857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27.2采购人不得向成交供应商提出超出谈判文件以外的任何要求作为签订合同的条件</w:t>
      </w:r>
      <w:r>
        <w:rPr>
          <w:rFonts w:hint="eastAsia" w:ascii="宋体" w:hAnsi="宋体" w:cs="宋体"/>
          <w:color w:val="auto"/>
          <w:szCs w:val="21"/>
          <w:highlight w:val="none"/>
          <w:lang w:eastAsia="zh-CN"/>
        </w:rPr>
        <w:t>，</w:t>
      </w:r>
      <w:r>
        <w:rPr>
          <w:rFonts w:hint="eastAsia" w:ascii="宋体" w:hAnsi="宋体" w:cs="宋体"/>
          <w:color w:val="auto"/>
          <w:szCs w:val="21"/>
          <w:highlight w:val="none"/>
        </w:rPr>
        <w:t>不得与成交供应商订立背离谈判文件确定的合同文本以及采购标的、规格型号、采购金额、采购数量、技术和服务要求等实质性内容的协议。</w:t>
      </w:r>
    </w:p>
    <w:p w14:paraId="53B2B12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27.3除采购人与成交供应商在合同中另行商定将中标项目的非主体、非关键性工作分包的</w:t>
      </w:r>
      <w:r>
        <w:rPr>
          <w:rFonts w:hint="eastAsia" w:ascii="宋体" w:hAnsi="宋体" w:cs="宋体"/>
          <w:color w:val="auto"/>
          <w:szCs w:val="21"/>
          <w:highlight w:val="none"/>
          <w:lang w:eastAsia="zh-CN"/>
        </w:rPr>
        <w:t>，</w:t>
      </w:r>
      <w:r>
        <w:rPr>
          <w:rFonts w:hint="eastAsia" w:ascii="宋体" w:hAnsi="宋体" w:cs="宋体"/>
          <w:color w:val="auto"/>
          <w:szCs w:val="21"/>
          <w:highlight w:val="none"/>
        </w:rPr>
        <w:t>成交供应商在中标后将中标项目分包的</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采购人取消其中标资格</w:t>
      </w:r>
      <w:r>
        <w:rPr>
          <w:rFonts w:hint="eastAsia" w:ascii="宋体" w:hAnsi="宋体" w:cs="宋体"/>
          <w:color w:val="auto"/>
          <w:szCs w:val="21"/>
          <w:highlight w:val="none"/>
          <w:lang w:eastAsia="zh-CN"/>
        </w:rPr>
        <w:t>，</w:t>
      </w:r>
      <w:r>
        <w:rPr>
          <w:rFonts w:hint="eastAsia" w:ascii="宋体" w:hAnsi="宋体" w:cs="宋体"/>
          <w:color w:val="auto"/>
          <w:szCs w:val="21"/>
          <w:highlight w:val="none"/>
        </w:rPr>
        <w:t>其谈判保证金不予退还</w:t>
      </w:r>
      <w:r>
        <w:rPr>
          <w:rFonts w:hint="eastAsia" w:ascii="宋体" w:hAnsi="宋体" w:cs="宋体"/>
          <w:color w:val="auto"/>
          <w:szCs w:val="21"/>
          <w:highlight w:val="none"/>
          <w:lang w:eastAsia="zh-CN"/>
        </w:rPr>
        <w:t>；</w:t>
      </w:r>
      <w:r>
        <w:rPr>
          <w:rFonts w:hint="eastAsia" w:ascii="宋体" w:hAnsi="宋体" w:cs="宋体"/>
          <w:color w:val="auto"/>
          <w:szCs w:val="21"/>
          <w:highlight w:val="none"/>
        </w:rPr>
        <w:t>给采购人造成的损失超过谈判保证金数额的</w:t>
      </w:r>
      <w:r>
        <w:rPr>
          <w:rFonts w:hint="eastAsia" w:ascii="宋体" w:hAnsi="宋体" w:cs="宋体"/>
          <w:color w:val="auto"/>
          <w:szCs w:val="21"/>
          <w:highlight w:val="none"/>
          <w:lang w:eastAsia="zh-CN"/>
        </w:rPr>
        <w:t>，</w:t>
      </w:r>
      <w:r>
        <w:rPr>
          <w:rFonts w:hint="eastAsia" w:ascii="宋体" w:hAnsi="宋体" w:cs="宋体"/>
          <w:color w:val="auto"/>
          <w:szCs w:val="21"/>
          <w:highlight w:val="none"/>
        </w:rPr>
        <w:t>成交供应商还应当对超过部分予以赔偿。</w:t>
      </w:r>
    </w:p>
    <w:p w14:paraId="20FE990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27.4政府采购合同履行中</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采购人需追加与合同标的相同的货物、工程或者服务的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在不改变合同其他条款的前提下</w:t>
      </w:r>
      <w:r>
        <w:rPr>
          <w:rFonts w:hint="eastAsia" w:ascii="宋体" w:hAnsi="宋体" w:cs="宋体"/>
          <w:color w:val="auto"/>
          <w:szCs w:val="21"/>
          <w:highlight w:val="none"/>
          <w:lang w:eastAsia="zh-CN"/>
        </w:rPr>
        <w:t>，</w:t>
      </w:r>
      <w:r>
        <w:rPr>
          <w:rFonts w:hint="eastAsia" w:ascii="宋体" w:hAnsi="宋体" w:cs="宋体"/>
          <w:color w:val="auto"/>
          <w:szCs w:val="21"/>
          <w:highlight w:val="none"/>
        </w:rPr>
        <w:t>可以与成交供应商协商签订补充合同</w:t>
      </w:r>
      <w:r>
        <w:rPr>
          <w:rFonts w:hint="eastAsia" w:ascii="宋体" w:hAnsi="宋体" w:cs="宋体"/>
          <w:color w:val="auto"/>
          <w:szCs w:val="21"/>
          <w:highlight w:val="none"/>
          <w:lang w:eastAsia="zh-CN"/>
        </w:rPr>
        <w:t>，</w:t>
      </w:r>
      <w:r>
        <w:rPr>
          <w:rFonts w:hint="eastAsia" w:ascii="宋体" w:hAnsi="宋体" w:cs="宋体"/>
          <w:color w:val="auto"/>
          <w:szCs w:val="21"/>
          <w:highlight w:val="none"/>
        </w:rPr>
        <w:t>但所有补充合同的采购金额不得超过原合同采购金额的百分之十。</w:t>
      </w:r>
    </w:p>
    <w:p w14:paraId="61DED7A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27.5除不可抗力等因素外</w:t>
      </w:r>
      <w:r>
        <w:rPr>
          <w:rFonts w:hint="eastAsia" w:ascii="宋体" w:hAnsi="宋体" w:cs="宋体"/>
          <w:color w:val="auto"/>
          <w:szCs w:val="21"/>
          <w:highlight w:val="none"/>
          <w:lang w:eastAsia="zh-CN"/>
        </w:rPr>
        <w:t>，</w:t>
      </w:r>
      <w:r>
        <w:rPr>
          <w:rFonts w:hint="eastAsia" w:ascii="宋体" w:hAnsi="宋体" w:cs="宋体"/>
          <w:color w:val="auto"/>
          <w:szCs w:val="21"/>
          <w:highlight w:val="none"/>
        </w:rPr>
        <w:t>成交通知书发出后</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采购人改变成交结果</w:t>
      </w:r>
      <w:r>
        <w:rPr>
          <w:rFonts w:hint="eastAsia" w:ascii="宋体" w:hAnsi="宋体" w:cs="宋体"/>
          <w:color w:val="auto"/>
          <w:szCs w:val="21"/>
          <w:highlight w:val="none"/>
          <w:lang w:eastAsia="zh-CN"/>
        </w:rPr>
        <w:t>，</w:t>
      </w:r>
      <w:r>
        <w:rPr>
          <w:rFonts w:hint="eastAsia" w:ascii="宋体" w:hAnsi="宋体" w:cs="宋体"/>
          <w:color w:val="auto"/>
          <w:szCs w:val="21"/>
          <w:highlight w:val="none"/>
        </w:rPr>
        <w:t>或者成交供应商拒绝签订政府采购合同的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应当承担相应的法律责任。</w:t>
      </w:r>
    </w:p>
    <w:p w14:paraId="52033C9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27.6成交供应商拒绝签订政府采购合同的</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采购人可以按照《</w:t>
      </w:r>
      <w:r>
        <w:rPr>
          <w:rFonts w:hint="eastAsia" w:ascii="宋体" w:hAnsi="宋体" w:cs="宋体"/>
          <w:color w:val="auto"/>
          <w:szCs w:val="21"/>
          <w:highlight w:val="none"/>
          <w:lang w:eastAsia="zh-CN"/>
        </w:rPr>
        <w:t>政府采购非招标采购方式管理办法</w:t>
      </w:r>
      <w:r>
        <w:rPr>
          <w:rFonts w:hint="eastAsia" w:ascii="宋体" w:hAnsi="宋体" w:cs="宋体"/>
          <w:color w:val="auto"/>
          <w:szCs w:val="21"/>
          <w:highlight w:val="none"/>
        </w:rPr>
        <w:t>》规定的原则确定其他供应商作为成交供应商并签订政府采购合同</w:t>
      </w:r>
      <w:r>
        <w:rPr>
          <w:rFonts w:hint="eastAsia" w:ascii="宋体" w:hAnsi="宋体" w:cs="宋体"/>
          <w:color w:val="auto"/>
          <w:szCs w:val="21"/>
          <w:highlight w:val="none"/>
          <w:lang w:eastAsia="zh-CN"/>
        </w:rPr>
        <w:t>，</w:t>
      </w:r>
      <w:r>
        <w:rPr>
          <w:rFonts w:hint="eastAsia" w:ascii="宋体" w:hAnsi="宋体" w:cs="宋体"/>
          <w:color w:val="auto"/>
          <w:szCs w:val="21"/>
          <w:highlight w:val="none"/>
        </w:rPr>
        <w:t>也可以重新开展采购活动。拒绝签订政府采购合同的成交供应商不得参加对该项目重新开展的采购活动。</w:t>
      </w:r>
    </w:p>
    <w:p w14:paraId="05F6FC96">
      <w:pPr>
        <w:adjustRightInd w:val="0"/>
        <w:snapToGrid w:val="0"/>
        <w:spacing w:line="360" w:lineRule="auto"/>
        <w:ind w:firstLine="482"/>
        <w:rPr>
          <w:rFonts w:ascii="宋体" w:hAnsi="宋体" w:cs="宋体"/>
          <w:b/>
          <w:color w:val="auto"/>
          <w:sz w:val="24"/>
          <w:highlight w:val="none"/>
        </w:rPr>
      </w:pPr>
      <w:bookmarkStart w:id="114" w:name="_Toc461115644"/>
      <w:bookmarkStart w:id="115" w:name="_Toc144974537"/>
      <w:bookmarkStart w:id="116" w:name="_Toc246996213"/>
      <w:bookmarkStart w:id="117" w:name="_Toc152042345"/>
      <w:bookmarkStart w:id="118" w:name="_Toc179632587"/>
      <w:bookmarkStart w:id="119" w:name="_Toc246996956"/>
      <w:bookmarkStart w:id="120" w:name="_Toc296602459"/>
      <w:bookmarkStart w:id="121" w:name="_Toc488184244"/>
      <w:bookmarkStart w:id="122" w:name="_Toc247085727"/>
      <w:bookmarkStart w:id="123" w:name="_Toc152045569"/>
      <w:r>
        <w:rPr>
          <w:rFonts w:hint="eastAsia" w:ascii="宋体" w:hAnsi="宋体" w:cs="宋体"/>
          <w:b/>
          <w:color w:val="auto"/>
          <w:sz w:val="24"/>
          <w:highlight w:val="none"/>
        </w:rPr>
        <w:t>28</w:t>
      </w:r>
      <w:bookmarkEnd w:id="114"/>
      <w:bookmarkEnd w:id="115"/>
      <w:bookmarkEnd w:id="116"/>
      <w:bookmarkEnd w:id="117"/>
      <w:bookmarkEnd w:id="118"/>
      <w:bookmarkEnd w:id="119"/>
      <w:bookmarkEnd w:id="120"/>
      <w:bookmarkEnd w:id="121"/>
      <w:bookmarkEnd w:id="122"/>
      <w:bookmarkEnd w:id="123"/>
      <w:bookmarkStart w:id="124" w:name="_Toc482343752"/>
      <w:r>
        <w:rPr>
          <w:rFonts w:hint="eastAsia" w:ascii="宋体" w:hAnsi="宋体" w:cs="宋体"/>
          <w:b/>
          <w:color w:val="auto"/>
          <w:sz w:val="24"/>
          <w:highlight w:val="none"/>
        </w:rPr>
        <w:t>.履约保证金</w:t>
      </w:r>
      <w:bookmarkEnd w:id="124"/>
    </w:p>
    <w:p w14:paraId="0BA584B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28.1成交供应商应向采购人提交履约保证金</w:t>
      </w:r>
      <w:r>
        <w:rPr>
          <w:rFonts w:hint="eastAsia" w:ascii="宋体" w:hAnsi="宋体" w:cs="宋体"/>
          <w:color w:val="auto"/>
          <w:szCs w:val="21"/>
          <w:highlight w:val="none"/>
          <w:lang w:eastAsia="zh-CN"/>
        </w:rPr>
        <w:t>，</w:t>
      </w:r>
      <w:r>
        <w:rPr>
          <w:rFonts w:hint="eastAsia" w:ascii="宋体" w:hAnsi="宋体" w:cs="宋体"/>
          <w:color w:val="auto"/>
          <w:szCs w:val="21"/>
          <w:highlight w:val="none"/>
        </w:rPr>
        <w:t>履约保证金递交的金额及形式详见《供应商须知前附表》。</w:t>
      </w:r>
    </w:p>
    <w:p w14:paraId="77A8205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28.2签订合同后</w:t>
      </w:r>
      <w:r>
        <w:rPr>
          <w:rFonts w:hint="eastAsia" w:ascii="宋体" w:hAnsi="宋体" w:cs="宋体"/>
          <w:color w:val="auto"/>
          <w:szCs w:val="21"/>
          <w:highlight w:val="none"/>
          <w:lang w:eastAsia="zh-CN"/>
        </w:rPr>
        <w:t>，</w:t>
      </w:r>
      <w:r>
        <w:rPr>
          <w:rFonts w:hint="eastAsia" w:ascii="宋体" w:hAnsi="宋体" w:cs="宋体"/>
          <w:color w:val="auto"/>
          <w:szCs w:val="21"/>
          <w:highlight w:val="none"/>
        </w:rPr>
        <w:t>除因不可抗力或谈判文件认可的情形以外</w:t>
      </w:r>
      <w:r>
        <w:rPr>
          <w:rFonts w:hint="eastAsia" w:ascii="宋体" w:hAnsi="宋体" w:cs="宋体"/>
          <w:color w:val="auto"/>
          <w:szCs w:val="21"/>
          <w:highlight w:val="none"/>
          <w:lang w:eastAsia="zh-CN"/>
        </w:rPr>
        <w:t>，</w:t>
      </w:r>
      <w:r>
        <w:rPr>
          <w:rFonts w:hint="eastAsia" w:ascii="宋体" w:hAnsi="宋体" w:cs="宋体"/>
          <w:color w:val="auto"/>
          <w:szCs w:val="21"/>
          <w:highlight w:val="none"/>
        </w:rPr>
        <w:t>成交供应商不与采购人签订合同的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视为自动放弃</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采购人将没收其全部谈判保证金</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谈判保证金不足以赔偿损失的</w:t>
      </w:r>
      <w:r>
        <w:rPr>
          <w:rFonts w:hint="eastAsia" w:ascii="宋体" w:hAnsi="宋体" w:cs="宋体"/>
          <w:color w:val="auto"/>
          <w:szCs w:val="21"/>
          <w:highlight w:val="none"/>
          <w:lang w:eastAsia="zh-CN"/>
        </w:rPr>
        <w:t>，</w:t>
      </w:r>
      <w:r>
        <w:rPr>
          <w:rFonts w:hint="eastAsia" w:ascii="宋体" w:hAnsi="宋体" w:cs="宋体"/>
          <w:color w:val="auto"/>
          <w:szCs w:val="21"/>
          <w:highlight w:val="none"/>
        </w:rPr>
        <w:t>按实际损失赔偿。</w:t>
      </w:r>
    </w:p>
    <w:p w14:paraId="589716A2">
      <w:pPr>
        <w:adjustRightInd w:val="0"/>
        <w:snapToGrid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29.采购代理服务费</w:t>
      </w:r>
    </w:p>
    <w:p w14:paraId="6B12F46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29.1</w:t>
      </w:r>
      <w:r>
        <w:rPr>
          <w:rFonts w:hint="eastAsia" w:ascii="宋体" w:hAnsi="宋体" w:cs="宋体"/>
          <w:color w:val="auto"/>
          <w:szCs w:val="21"/>
          <w:highlight w:val="none"/>
          <w:lang w:eastAsia="zh-CN"/>
        </w:rPr>
        <w:t>采购代理服务费参照国家计委[2002]1980号文件规定的收费标准及国家发展和改革委员会发改办价格[2003]857号文规定的货物类收费标准下浮20%收取</w:t>
      </w:r>
      <w:r>
        <w:rPr>
          <w:rFonts w:hint="eastAsia" w:ascii="宋体" w:hAnsi="宋体" w:cs="宋体"/>
          <w:color w:val="auto"/>
          <w:szCs w:val="21"/>
          <w:highlight w:val="none"/>
        </w:rPr>
        <w:t>（计算基准价为成交金额）</w:t>
      </w:r>
      <w:r>
        <w:rPr>
          <w:rFonts w:hint="eastAsia" w:ascii="宋体" w:hAnsi="宋体" w:cs="宋体"/>
          <w:color w:val="auto"/>
          <w:szCs w:val="21"/>
          <w:highlight w:val="none"/>
          <w:lang w:eastAsia="zh-CN"/>
        </w:rPr>
        <w:t>，</w:t>
      </w:r>
      <w:r>
        <w:rPr>
          <w:rFonts w:hint="eastAsia" w:ascii="宋体" w:hAnsi="宋体" w:cs="宋体"/>
          <w:color w:val="auto"/>
          <w:szCs w:val="21"/>
          <w:highlight w:val="none"/>
        </w:rPr>
        <w:t>此费用包含在</w:t>
      </w:r>
      <w:r>
        <w:rPr>
          <w:rFonts w:hint="eastAsia" w:ascii="宋体" w:hAnsi="宋体" w:cs="宋体"/>
          <w:color w:val="auto"/>
          <w:szCs w:val="21"/>
          <w:highlight w:val="none"/>
          <w:lang w:eastAsia="zh-CN"/>
        </w:rPr>
        <w:t>成交供应商</w:t>
      </w:r>
      <w:r>
        <w:rPr>
          <w:rFonts w:hint="eastAsia" w:ascii="宋体" w:hAnsi="宋体" w:cs="宋体"/>
          <w:color w:val="auto"/>
          <w:szCs w:val="21"/>
          <w:highlight w:val="none"/>
        </w:rPr>
        <w:t>报价中</w:t>
      </w:r>
      <w:r>
        <w:rPr>
          <w:rFonts w:hint="eastAsia" w:cs="宋体"/>
          <w:color w:val="auto"/>
          <w:szCs w:val="21"/>
          <w:highlight w:val="none"/>
        </w:rPr>
        <w:t>。</w:t>
      </w:r>
    </w:p>
    <w:tbl>
      <w:tblPr>
        <w:tblStyle w:val="42"/>
        <w:tblW w:w="8019"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1984"/>
        <w:gridCol w:w="1984"/>
        <w:gridCol w:w="1969"/>
      </w:tblGrid>
      <w:tr w14:paraId="49DB48B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512" w:hRule="atLeast"/>
          <w:jc w:val="center"/>
        </w:trPr>
        <w:tc>
          <w:tcPr>
            <w:tcW w:w="2082" w:type="dxa"/>
            <w:vMerge w:val="restart"/>
            <w:tcBorders>
              <w:tl2br w:val="nil"/>
              <w:tr2bl w:val="nil"/>
            </w:tcBorders>
            <w:vAlign w:val="center"/>
          </w:tcPr>
          <w:p w14:paraId="193C9A99">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成交金额</w:t>
            </w:r>
          </w:p>
          <w:p w14:paraId="3A592271">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5937" w:type="dxa"/>
            <w:gridSpan w:val="3"/>
            <w:tcBorders>
              <w:tl2br w:val="nil"/>
              <w:tr2bl w:val="nil"/>
            </w:tcBorders>
            <w:vAlign w:val="center"/>
          </w:tcPr>
          <w:p w14:paraId="59D6606D">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收费标准</w:t>
            </w:r>
          </w:p>
        </w:tc>
      </w:tr>
      <w:tr w14:paraId="7694B19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2082" w:type="dxa"/>
            <w:vMerge w:val="continue"/>
            <w:tcBorders>
              <w:tl2br w:val="nil"/>
              <w:tr2bl w:val="nil"/>
            </w:tcBorders>
            <w:vAlign w:val="center"/>
          </w:tcPr>
          <w:p w14:paraId="31FB7E49">
            <w:pPr>
              <w:adjustRightInd w:val="0"/>
              <w:snapToGrid w:val="0"/>
              <w:spacing w:line="360" w:lineRule="auto"/>
              <w:jc w:val="center"/>
              <w:rPr>
                <w:rFonts w:ascii="宋体" w:hAnsi="宋体" w:cs="宋体"/>
                <w:color w:val="auto"/>
                <w:kern w:val="0"/>
                <w:szCs w:val="21"/>
                <w:highlight w:val="none"/>
              </w:rPr>
            </w:pPr>
          </w:p>
        </w:tc>
        <w:tc>
          <w:tcPr>
            <w:tcW w:w="1984" w:type="dxa"/>
            <w:tcBorders>
              <w:tl2br w:val="nil"/>
              <w:tr2bl w:val="nil"/>
            </w:tcBorders>
            <w:shd w:val="clear" w:color="auto" w:fill="FFFFFF"/>
            <w:vAlign w:val="center"/>
          </w:tcPr>
          <w:p w14:paraId="6C7F1DBB">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货物招标</w:t>
            </w:r>
          </w:p>
        </w:tc>
        <w:tc>
          <w:tcPr>
            <w:tcW w:w="1984" w:type="dxa"/>
            <w:tcBorders>
              <w:tl2br w:val="nil"/>
              <w:tr2bl w:val="nil"/>
            </w:tcBorders>
            <w:vAlign w:val="center"/>
          </w:tcPr>
          <w:p w14:paraId="28EB44A1">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服务招标</w:t>
            </w:r>
          </w:p>
        </w:tc>
        <w:tc>
          <w:tcPr>
            <w:tcW w:w="1969" w:type="dxa"/>
            <w:tcBorders>
              <w:tl2br w:val="nil"/>
              <w:tr2bl w:val="nil"/>
            </w:tcBorders>
            <w:vAlign w:val="center"/>
          </w:tcPr>
          <w:p w14:paraId="750A1A3C">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工程招标</w:t>
            </w:r>
          </w:p>
        </w:tc>
      </w:tr>
      <w:tr w14:paraId="2D4DD9A0">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2082" w:type="dxa"/>
            <w:tcBorders>
              <w:tl2br w:val="nil"/>
              <w:tr2bl w:val="nil"/>
            </w:tcBorders>
          </w:tcPr>
          <w:p w14:paraId="2D68E0BD">
            <w:p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100以下</w:t>
            </w:r>
          </w:p>
        </w:tc>
        <w:tc>
          <w:tcPr>
            <w:tcW w:w="1984" w:type="dxa"/>
            <w:tcBorders>
              <w:tl2br w:val="nil"/>
              <w:tr2bl w:val="nil"/>
            </w:tcBorders>
            <w:shd w:val="clear" w:color="auto" w:fill="FFFFFF"/>
          </w:tcPr>
          <w:p w14:paraId="767F97DB">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1.5%</w:t>
            </w:r>
          </w:p>
        </w:tc>
        <w:tc>
          <w:tcPr>
            <w:tcW w:w="1984" w:type="dxa"/>
            <w:tcBorders>
              <w:tl2br w:val="nil"/>
              <w:tr2bl w:val="nil"/>
            </w:tcBorders>
          </w:tcPr>
          <w:p w14:paraId="6D50D6C6">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1.5%</w:t>
            </w:r>
          </w:p>
        </w:tc>
        <w:tc>
          <w:tcPr>
            <w:tcW w:w="1969" w:type="dxa"/>
            <w:tcBorders>
              <w:tl2br w:val="nil"/>
              <w:tr2bl w:val="nil"/>
            </w:tcBorders>
          </w:tcPr>
          <w:p w14:paraId="07F9BF5C">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1.0%</w:t>
            </w:r>
          </w:p>
        </w:tc>
      </w:tr>
      <w:tr w14:paraId="606EECD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2082" w:type="dxa"/>
            <w:tcBorders>
              <w:tl2br w:val="nil"/>
              <w:tr2bl w:val="nil"/>
            </w:tcBorders>
          </w:tcPr>
          <w:p w14:paraId="4DD5B273">
            <w:p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100—500</w:t>
            </w:r>
          </w:p>
        </w:tc>
        <w:tc>
          <w:tcPr>
            <w:tcW w:w="1984" w:type="dxa"/>
            <w:tcBorders>
              <w:tl2br w:val="nil"/>
              <w:tr2bl w:val="nil"/>
            </w:tcBorders>
            <w:shd w:val="clear" w:color="auto" w:fill="FFFFFF"/>
          </w:tcPr>
          <w:p w14:paraId="79982D7E">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1.1%</w:t>
            </w:r>
          </w:p>
        </w:tc>
        <w:tc>
          <w:tcPr>
            <w:tcW w:w="1984" w:type="dxa"/>
            <w:tcBorders>
              <w:tl2br w:val="nil"/>
              <w:tr2bl w:val="nil"/>
            </w:tcBorders>
          </w:tcPr>
          <w:p w14:paraId="791E1BB0">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0.8%</w:t>
            </w:r>
          </w:p>
        </w:tc>
        <w:tc>
          <w:tcPr>
            <w:tcW w:w="1969" w:type="dxa"/>
            <w:tcBorders>
              <w:tl2br w:val="nil"/>
              <w:tr2bl w:val="nil"/>
            </w:tcBorders>
          </w:tcPr>
          <w:p w14:paraId="4F42EA01">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0.7%</w:t>
            </w:r>
          </w:p>
        </w:tc>
      </w:tr>
      <w:tr w14:paraId="1143339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2082" w:type="dxa"/>
            <w:tcBorders>
              <w:tl2br w:val="nil"/>
              <w:tr2bl w:val="nil"/>
            </w:tcBorders>
          </w:tcPr>
          <w:p w14:paraId="1E0FF58B">
            <w:p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500—1000</w:t>
            </w:r>
          </w:p>
        </w:tc>
        <w:tc>
          <w:tcPr>
            <w:tcW w:w="1984" w:type="dxa"/>
            <w:tcBorders>
              <w:tl2br w:val="nil"/>
              <w:tr2bl w:val="nil"/>
            </w:tcBorders>
            <w:shd w:val="clear" w:color="auto" w:fill="FFFFFF"/>
          </w:tcPr>
          <w:p w14:paraId="52CC88F0">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0.8%</w:t>
            </w:r>
          </w:p>
        </w:tc>
        <w:tc>
          <w:tcPr>
            <w:tcW w:w="1984" w:type="dxa"/>
            <w:tcBorders>
              <w:tl2br w:val="nil"/>
              <w:tr2bl w:val="nil"/>
            </w:tcBorders>
          </w:tcPr>
          <w:p w14:paraId="7C31C311">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0.45%</w:t>
            </w:r>
          </w:p>
        </w:tc>
        <w:tc>
          <w:tcPr>
            <w:tcW w:w="1969" w:type="dxa"/>
            <w:tcBorders>
              <w:tl2br w:val="nil"/>
              <w:tr2bl w:val="nil"/>
            </w:tcBorders>
          </w:tcPr>
          <w:p w14:paraId="77112903">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0.55%</w:t>
            </w:r>
          </w:p>
        </w:tc>
      </w:tr>
      <w:tr w14:paraId="1A455EC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2082" w:type="dxa"/>
            <w:tcBorders>
              <w:tl2br w:val="nil"/>
              <w:tr2bl w:val="nil"/>
            </w:tcBorders>
          </w:tcPr>
          <w:p w14:paraId="48132D5E">
            <w:p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1000—5000</w:t>
            </w:r>
          </w:p>
        </w:tc>
        <w:tc>
          <w:tcPr>
            <w:tcW w:w="1984" w:type="dxa"/>
            <w:tcBorders>
              <w:tl2br w:val="nil"/>
              <w:tr2bl w:val="nil"/>
            </w:tcBorders>
            <w:shd w:val="clear" w:color="auto" w:fill="FFFFFF"/>
          </w:tcPr>
          <w:p w14:paraId="6AF5B652">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0.5%</w:t>
            </w:r>
          </w:p>
        </w:tc>
        <w:tc>
          <w:tcPr>
            <w:tcW w:w="1984" w:type="dxa"/>
            <w:tcBorders>
              <w:tl2br w:val="nil"/>
              <w:tr2bl w:val="nil"/>
            </w:tcBorders>
          </w:tcPr>
          <w:p w14:paraId="6D49D241">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0.25%</w:t>
            </w:r>
          </w:p>
        </w:tc>
        <w:tc>
          <w:tcPr>
            <w:tcW w:w="1969" w:type="dxa"/>
            <w:tcBorders>
              <w:tl2br w:val="nil"/>
              <w:tr2bl w:val="nil"/>
            </w:tcBorders>
          </w:tcPr>
          <w:p w14:paraId="61293563">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0.35%</w:t>
            </w:r>
          </w:p>
        </w:tc>
      </w:tr>
      <w:tr w14:paraId="105F596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082" w:type="dxa"/>
            <w:tcBorders>
              <w:tl2br w:val="nil"/>
              <w:tr2bl w:val="nil"/>
            </w:tcBorders>
          </w:tcPr>
          <w:p w14:paraId="2B523FD6">
            <w:p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5000—10000</w:t>
            </w:r>
          </w:p>
        </w:tc>
        <w:tc>
          <w:tcPr>
            <w:tcW w:w="1984" w:type="dxa"/>
            <w:tcBorders>
              <w:tl2br w:val="nil"/>
              <w:tr2bl w:val="nil"/>
            </w:tcBorders>
            <w:shd w:val="clear" w:color="auto" w:fill="FFFFFF"/>
          </w:tcPr>
          <w:p w14:paraId="10BC4E44">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0.25%</w:t>
            </w:r>
          </w:p>
        </w:tc>
        <w:tc>
          <w:tcPr>
            <w:tcW w:w="1984" w:type="dxa"/>
            <w:tcBorders>
              <w:tl2br w:val="nil"/>
              <w:tr2bl w:val="nil"/>
            </w:tcBorders>
          </w:tcPr>
          <w:p w14:paraId="33BA39F4">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0.1%</w:t>
            </w:r>
          </w:p>
        </w:tc>
        <w:tc>
          <w:tcPr>
            <w:tcW w:w="1969" w:type="dxa"/>
            <w:tcBorders>
              <w:tl2br w:val="nil"/>
              <w:tr2bl w:val="nil"/>
            </w:tcBorders>
          </w:tcPr>
          <w:p w14:paraId="33B30B5F">
            <w:pPr>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0.2%</w:t>
            </w:r>
          </w:p>
        </w:tc>
      </w:tr>
    </w:tbl>
    <w:p w14:paraId="65BE5FF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备注：采购代理服务收费按差额定率累进法计算。</w:t>
      </w:r>
    </w:p>
    <w:p w14:paraId="0726A0B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29.2方式：现金、网银、电汇、支票、汇票等形式。</w:t>
      </w:r>
    </w:p>
    <w:p w14:paraId="3F7B982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29.3成交供应商应在接受“成交通知书”时向采购代理机构一次付清采购代理服务费。</w:t>
      </w:r>
    </w:p>
    <w:p w14:paraId="49934001">
      <w:pPr>
        <w:adjustRightInd w:val="0"/>
        <w:snapToGrid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30.谈判文件编制依据</w:t>
      </w:r>
    </w:p>
    <w:p w14:paraId="2400DE39">
      <w:pPr>
        <w:tabs>
          <w:tab w:val="left" w:pos="105"/>
          <w:tab w:val="left" w:pos="945"/>
          <w:tab w:val="left" w:pos="3360"/>
        </w:tabs>
        <w:adjustRightInd w:val="0"/>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30.1本谈判文件根据《中华人民共和国政府采购法》、《中华人民共和国政府采购法实施条例》、《</w:t>
      </w:r>
      <w:r>
        <w:rPr>
          <w:rFonts w:hint="eastAsia" w:ascii="宋体" w:hAnsi="宋体" w:cs="宋体"/>
          <w:color w:val="auto"/>
          <w:szCs w:val="21"/>
          <w:highlight w:val="none"/>
          <w:lang w:eastAsia="zh-CN"/>
        </w:rPr>
        <w:t>政府采购非招标采购方式管理办法</w:t>
      </w:r>
      <w:r>
        <w:rPr>
          <w:rFonts w:hint="eastAsia" w:ascii="宋体" w:hAnsi="宋体" w:cs="宋体"/>
          <w:color w:val="auto"/>
          <w:szCs w:val="21"/>
          <w:highlight w:val="none"/>
        </w:rPr>
        <w:t>》等有关法律、法规进行编制</w:t>
      </w:r>
      <w:r>
        <w:rPr>
          <w:rFonts w:hint="eastAsia" w:ascii="宋体" w:hAnsi="宋体" w:cs="宋体"/>
          <w:color w:val="auto"/>
          <w:szCs w:val="21"/>
          <w:highlight w:val="none"/>
          <w:lang w:eastAsia="zh-CN"/>
        </w:rPr>
        <w:t>，</w:t>
      </w:r>
      <w:r>
        <w:rPr>
          <w:rFonts w:hint="eastAsia" w:ascii="宋体" w:hAnsi="宋体" w:cs="宋体"/>
          <w:color w:val="auto"/>
          <w:szCs w:val="21"/>
          <w:highlight w:val="none"/>
        </w:rPr>
        <w:t>解释权属于采购人、采购代理机构。</w:t>
      </w:r>
    </w:p>
    <w:bookmarkEnd w:id="80"/>
    <w:p w14:paraId="0AEEF0C8">
      <w:pPr>
        <w:adjustRightInd w:val="0"/>
        <w:snapToGrid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31.需要补充的其他内容</w:t>
      </w:r>
    </w:p>
    <w:p w14:paraId="717A194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31.1关于中小企业：</w:t>
      </w:r>
    </w:p>
    <w:p w14:paraId="6EC9E4C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31.1.1根据《关于印发&lt;政府采购促进中小企业发展管理办法&gt;的通知》（财库〔2020〕46号）的规定</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中小企业是指在中华人民共和国境内依法设立</w:t>
      </w:r>
      <w:r>
        <w:rPr>
          <w:rFonts w:hint="eastAsia" w:ascii="宋体" w:hAnsi="宋体" w:cs="宋体"/>
          <w:color w:val="auto"/>
          <w:szCs w:val="21"/>
          <w:highlight w:val="none"/>
          <w:lang w:eastAsia="zh-CN"/>
        </w:rPr>
        <w:t>，</w:t>
      </w:r>
      <w:r>
        <w:rPr>
          <w:rFonts w:hint="eastAsia" w:ascii="宋体" w:hAnsi="宋体" w:cs="宋体"/>
          <w:color w:val="auto"/>
          <w:szCs w:val="21"/>
          <w:highlight w:val="none"/>
        </w:rPr>
        <w:t>依据国务院批准的中小企业划分标准确定的中型企业、小型企业和微型企业</w:t>
      </w:r>
      <w:r>
        <w:rPr>
          <w:rFonts w:hint="eastAsia" w:ascii="宋体" w:hAnsi="宋体" w:cs="宋体"/>
          <w:color w:val="auto"/>
          <w:szCs w:val="21"/>
          <w:highlight w:val="none"/>
          <w:lang w:eastAsia="zh-CN"/>
        </w:rPr>
        <w:t>，</w:t>
      </w:r>
      <w:r>
        <w:rPr>
          <w:rFonts w:hint="eastAsia" w:ascii="宋体" w:hAnsi="宋体" w:cs="宋体"/>
          <w:color w:val="auto"/>
          <w:szCs w:val="21"/>
          <w:highlight w:val="none"/>
        </w:rPr>
        <w:t>但与大企业的负责人为同一人</w:t>
      </w:r>
      <w:r>
        <w:rPr>
          <w:rFonts w:hint="eastAsia" w:ascii="宋体" w:hAnsi="宋体" w:cs="宋体"/>
          <w:color w:val="auto"/>
          <w:szCs w:val="21"/>
          <w:highlight w:val="none"/>
          <w:lang w:eastAsia="zh-CN"/>
        </w:rPr>
        <w:t>，</w:t>
      </w:r>
      <w:r>
        <w:rPr>
          <w:rFonts w:hint="eastAsia" w:ascii="宋体" w:hAnsi="宋体" w:cs="宋体"/>
          <w:color w:val="auto"/>
          <w:szCs w:val="21"/>
          <w:highlight w:val="none"/>
        </w:rPr>
        <w:t>或者与大企业存在直接控股、管理关系的除外。</w:t>
      </w:r>
    </w:p>
    <w:p w14:paraId="4C6965C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31.1.2符合中小企业划分标准的个体工商户</w:t>
      </w:r>
      <w:r>
        <w:rPr>
          <w:rFonts w:hint="eastAsia" w:ascii="宋体" w:hAnsi="宋体" w:cs="宋体"/>
          <w:color w:val="auto"/>
          <w:szCs w:val="21"/>
          <w:highlight w:val="none"/>
          <w:lang w:eastAsia="zh-CN"/>
        </w:rPr>
        <w:t>，</w:t>
      </w:r>
      <w:r>
        <w:rPr>
          <w:rFonts w:hint="eastAsia" w:ascii="宋体" w:hAnsi="宋体" w:cs="宋体"/>
          <w:color w:val="auto"/>
          <w:szCs w:val="21"/>
          <w:highlight w:val="none"/>
        </w:rPr>
        <w:t>在政府采购活动中视同中小企业。</w:t>
      </w:r>
    </w:p>
    <w:p w14:paraId="6993137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31.1.3在政府采购活动中</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供应商提供的货物、工程或者服务符合下列情形的</w:t>
      </w:r>
      <w:r>
        <w:rPr>
          <w:rFonts w:hint="eastAsia" w:ascii="宋体" w:hAnsi="宋体" w:cs="宋体"/>
          <w:color w:val="auto"/>
          <w:szCs w:val="21"/>
          <w:highlight w:val="none"/>
          <w:lang w:eastAsia="zh-CN"/>
        </w:rPr>
        <w:t>，</w:t>
      </w:r>
      <w:r>
        <w:rPr>
          <w:rFonts w:hint="eastAsia" w:ascii="宋体" w:hAnsi="宋体" w:cs="宋体"/>
          <w:color w:val="auto"/>
          <w:szCs w:val="21"/>
          <w:highlight w:val="none"/>
        </w:rPr>
        <w:t>享受《关于印发&lt;政府采购促进中小企业发展管理办法&gt;的通知》（财库〔2020〕46号）规定的中小企业扶持政策：</w:t>
      </w:r>
    </w:p>
    <w:p w14:paraId="0F83DFC0">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（一）在货物采购项目中</w:t>
      </w:r>
      <w:r>
        <w:rPr>
          <w:rFonts w:hint="eastAsia" w:ascii="宋体" w:hAnsi="宋体" w:cs="宋体"/>
          <w:color w:val="auto"/>
          <w:szCs w:val="21"/>
          <w:highlight w:val="none"/>
          <w:lang w:eastAsia="zh-CN"/>
        </w:rPr>
        <w:t>，</w:t>
      </w:r>
      <w:r>
        <w:rPr>
          <w:rFonts w:hint="eastAsia" w:ascii="宋体" w:hAnsi="宋体" w:cs="宋体"/>
          <w:color w:val="auto"/>
          <w:szCs w:val="21"/>
          <w:highlight w:val="none"/>
        </w:rPr>
        <w:t>货物由中小企业制造</w:t>
      </w:r>
      <w:r>
        <w:rPr>
          <w:rFonts w:hint="eastAsia" w:ascii="宋体" w:hAnsi="宋体" w:cs="宋体"/>
          <w:color w:val="auto"/>
          <w:szCs w:val="21"/>
          <w:highlight w:val="none"/>
          <w:lang w:eastAsia="zh-CN"/>
        </w:rPr>
        <w:t>，</w:t>
      </w:r>
      <w:r>
        <w:rPr>
          <w:rFonts w:hint="eastAsia" w:ascii="宋体" w:hAnsi="宋体" w:cs="宋体"/>
          <w:color w:val="auto"/>
          <w:szCs w:val="21"/>
          <w:highlight w:val="none"/>
        </w:rPr>
        <w:t>即货物由中小企业生产且使用该中小企业商号或者注册商标</w:t>
      </w:r>
      <w:r>
        <w:rPr>
          <w:rFonts w:hint="eastAsia" w:ascii="宋体" w:hAnsi="宋体" w:cs="宋体"/>
          <w:color w:val="auto"/>
          <w:szCs w:val="21"/>
          <w:highlight w:val="none"/>
          <w:lang w:eastAsia="zh-CN"/>
        </w:rPr>
        <w:t>；</w:t>
      </w:r>
    </w:p>
    <w:p w14:paraId="06C8B70B">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（二）在工程采购项目中</w:t>
      </w:r>
      <w:r>
        <w:rPr>
          <w:rFonts w:hint="eastAsia" w:ascii="宋体" w:hAnsi="宋体" w:cs="宋体"/>
          <w:color w:val="auto"/>
          <w:szCs w:val="21"/>
          <w:highlight w:val="none"/>
          <w:lang w:eastAsia="zh-CN"/>
        </w:rPr>
        <w:t>，</w:t>
      </w:r>
      <w:r>
        <w:rPr>
          <w:rFonts w:hint="eastAsia" w:ascii="宋体" w:hAnsi="宋体" w:cs="宋体"/>
          <w:color w:val="auto"/>
          <w:szCs w:val="21"/>
          <w:highlight w:val="none"/>
        </w:rPr>
        <w:t>工程由中小企业承建</w:t>
      </w:r>
      <w:r>
        <w:rPr>
          <w:rFonts w:hint="eastAsia" w:ascii="宋体" w:hAnsi="宋体" w:cs="宋体"/>
          <w:color w:val="auto"/>
          <w:szCs w:val="21"/>
          <w:highlight w:val="none"/>
          <w:lang w:eastAsia="zh-CN"/>
        </w:rPr>
        <w:t>，</w:t>
      </w:r>
      <w:r>
        <w:rPr>
          <w:rFonts w:hint="eastAsia" w:ascii="宋体" w:hAnsi="宋体" w:cs="宋体"/>
          <w:color w:val="auto"/>
          <w:szCs w:val="21"/>
          <w:highlight w:val="none"/>
        </w:rPr>
        <w:t>即工程施工单位为中小企业</w:t>
      </w:r>
      <w:r>
        <w:rPr>
          <w:rFonts w:hint="eastAsia" w:ascii="宋体" w:hAnsi="宋体" w:cs="宋体"/>
          <w:color w:val="auto"/>
          <w:szCs w:val="21"/>
          <w:highlight w:val="none"/>
          <w:lang w:eastAsia="zh-CN"/>
        </w:rPr>
        <w:t>；</w:t>
      </w:r>
    </w:p>
    <w:p w14:paraId="6D38036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（三）在服务采购项目中</w:t>
      </w:r>
      <w:r>
        <w:rPr>
          <w:rFonts w:hint="eastAsia" w:ascii="宋体" w:hAnsi="宋体" w:cs="宋体"/>
          <w:color w:val="auto"/>
          <w:szCs w:val="21"/>
          <w:highlight w:val="none"/>
          <w:lang w:eastAsia="zh-CN"/>
        </w:rPr>
        <w:t>，</w:t>
      </w:r>
      <w:r>
        <w:rPr>
          <w:rFonts w:hint="eastAsia" w:ascii="宋体" w:hAnsi="宋体" w:cs="宋体"/>
          <w:color w:val="auto"/>
          <w:szCs w:val="21"/>
          <w:highlight w:val="none"/>
        </w:rPr>
        <w:t>服务由中小企业承接</w:t>
      </w:r>
      <w:r>
        <w:rPr>
          <w:rFonts w:hint="eastAsia" w:ascii="宋体" w:hAnsi="宋体" w:cs="宋体"/>
          <w:color w:val="auto"/>
          <w:szCs w:val="21"/>
          <w:highlight w:val="none"/>
          <w:lang w:eastAsia="zh-CN"/>
        </w:rPr>
        <w:t>，</w:t>
      </w:r>
      <w:r>
        <w:rPr>
          <w:rFonts w:hint="eastAsia" w:ascii="宋体" w:hAnsi="宋体" w:cs="宋体"/>
          <w:color w:val="auto"/>
          <w:szCs w:val="21"/>
          <w:highlight w:val="none"/>
        </w:rPr>
        <w:t>即提供服务的人员为中小企业依照《中华人民共和国劳动合同法》订立劳动合同的从业人员。</w:t>
      </w:r>
    </w:p>
    <w:p w14:paraId="2DF2D49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31.1.4在货物采购项目中</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供应商提供的货物既有中小企业制造货物</w:t>
      </w:r>
      <w:r>
        <w:rPr>
          <w:rFonts w:hint="eastAsia" w:ascii="宋体" w:hAnsi="宋体" w:cs="宋体"/>
          <w:color w:val="auto"/>
          <w:szCs w:val="21"/>
          <w:highlight w:val="none"/>
          <w:lang w:eastAsia="zh-CN"/>
        </w:rPr>
        <w:t>，</w:t>
      </w:r>
      <w:r>
        <w:rPr>
          <w:rFonts w:hint="eastAsia" w:ascii="宋体" w:hAnsi="宋体" w:cs="宋体"/>
          <w:color w:val="auto"/>
          <w:szCs w:val="21"/>
          <w:highlight w:val="none"/>
        </w:rPr>
        <w:t>也有大型企业制造货物的</w:t>
      </w:r>
      <w:r>
        <w:rPr>
          <w:rFonts w:hint="eastAsia" w:ascii="宋体" w:hAnsi="宋体" w:cs="宋体"/>
          <w:color w:val="auto"/>
          <w:szCs w:val="21"/>
          <w:highlight w:val="none"/>
          <w:lang w:eastAsia="zh-CN"/>
        </w:rPr>
        <w:t>，</w:t>
      </w:r>
      <w:r>
        <w:rPr>
          <w:rFonts w:hint="eastAsia" w:ascii="宋体" w:hAnsi="宋体" w:cs="宋体"/>
          <w:color w:val="auto"/>
          <w:szCs w:val="21"/>
          <w:highlight w:val="none"/>
        </w:rPr>
        <w:t>不享受本办法规定的中小企业扶持政策。</w:t>
      </w:r>
    </w:p>
    <w:p w14:paraId="420EEEF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31.1.5以联合体形式参加政府采购活动</w:t>
      </w:r>
      <w:r>
        <w:rPr>
          <w:rFonts w:hint="eastAsia" w:ascii="宋体" w:hAnsi="宋体" w:cs="宋体"/>
          <w:color w:val="auto"/>
          <w:szCs w:val="21"/>
          <w:highlight w:val="none"/>
          <w:lang w:eastAsia="zh-CN"/>
        </w:rPr>
        <w:t>，</w:t>
      </w:r>
      <w:r>
        <w:rPr>
          <w:rFonts w:hint="eastAsia" w:ascii="宋体" w:hAnsi="宋体" w:cs="宋体"/>
          <w:color w:val="auto"/>
          <w:szCs w:val="21"/>
          <w:highlight w:val="none"/>
        </w:rPr>
        <w:t>联合体各方均为中小企业的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联合体视同中小企业。其中</w:t>
      </w:r>
      <w:r>
        <w:rPr>
          <w:rFonts w:hint="eastAsia" w:ascii="宋体" w:hAnsi="宋体" w:cs="宋体"/>
          <w:color w:val="auto"/>
          <w:szCs w:val="21"/>
          <w:highlight w:val="none"/>
          <w:lang w:eastAsia="zh-CN"/>
        </w:rPr>
        <w:t>，</w:t>
      </w:r>
      <w:r>
        <w:rPr>
          <w:rFonts w:hint="eastAsia" w:ascii="宋体" w:hAnsi="宋体" w:cs="宋体"/>
          <w:color w:val="auto"/>
          <w:szCs w:val="21"/>
          <w:highlight w:val="none"/>
        </w:rPr>
        <w:t>联合体各方均为小微企业的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联合体视同小微企业。</w:t>
      </w:r>
    </w:p>
    <w:p w14:paraId="599CA77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31.1.6中小企业参加政府采购活动</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应当出具《关于印发&lt;政府采购促进中小企业发展管理办法&gt;的通知》（财库〔2020〕46号）规定的《中小企业声明函》</w:t>
      </w:r>
      <w:r>
        <w:rPr>
          <w:rFonts w:hint="eastAsia" w:ascii="宋体" w:hAnsi="宋体" w:cs="宋体"/>
          <w:color w:val="auto"/>
          <w:szCs w:val="21"/>
          <w:highlight w:val="none"/>
          <w:lang w:eastAsia="zh-CN"/>
        </w:rPr>
        <w:t>，</w:t>
      </w:r>
      <w:r>
        <w:rPr>
          <w:rFonts w:hint="eastAsia" w:ascii="宋体" w:hAnsi="宋体" w:cs="宋体"/>
          <w:color w:val="auto"/>
          <w:szCs w:val="21"/>
          <w:highlight w:val="none"/>
        </w:rPr>
        <w:t>否则不得享受相关中小企业扶持政策。</w:t>
      </w:r>
    </w:p>
    <w:p w14:paraId="4C988DC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31.1.7规定依据《关于印发&lt;政府采购促进中小企业发展管理办法&gt;的通知》（财库〔2020〕46号）规定享受扶持政策获得政府采购合同的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小微企业不得将合同分包给大中型企业</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中型企业不得将合同分包给大型企业。</w:t>
      </w:r>
    </w:p>
    <w:p w14:paraId="2DB331F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31.1.8根据《关于印发《政府采购促进中小企业发展管理办法》的通知》（财库〔2020〕46号）的规定</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本项目针对小微企业报价给予10%的扣除</w:t>
      </w:r>
      <w:r>
        <w:rPr>
          <w:rFonts w:hint="eastAsia" w:ascii="宋体" w:hAnsi="宋体" w:cs="宋体"/>
          <w:color w:val="auto"/>
          <w:szCs w:val="21"/>
          <w:highlight w:val="none"/>
          <w:lang w:eastAsia="zh-CN"/>
        </w:rPr>
        <w:t>，</w:t>
      </w:r>
      <w:r>
        <w:rPr>
          <w:rFonts w:hint="eastAsia" w:ascii="宋体" w:hAnsi="宋体" w:cs="宋体"/>
          <w:color w:val="auto"/>
          <w:szCs w:val="21"/>
          <w:highlight w:val="none"/>
        </w:rPr>
        <w:t>用扣除后的价格参与评审。“标的名称”、“所属行业”详见第四章  响应文件格式。</w:t>
      </w:r>
    </w:p>
    <w:p w14:paraId="7DCAC24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31.1.9中标、成交供应商享受本办法规定的中小企业扶持政策的</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采购人、采购代理机构将随中标、成交结果公开中标、成交供应商的《中小企业声明函》。</w:t>
      </w:r>
    </w:p>
    <w:p w14:paraId="1DDCCA5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31.2关于监狱企业：</w:t>
      </w:r>
    </w:p>
    <w:p w14:paraId="471BEFE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31.2.1根据《财政部 司法部关于政府采购支持监狱企业发展有关问题的通知》（财库〔2014〕68号）的规定</w:t>
      </w:r>
      <w:r>
        <w:rPr>
          <w:rFonts w:hint="eastAsia" w:ascii="宋体" w:hAnsi="宋体" w:cs="宋体"/>
          <w:color w:val="auto"/>
          <w:szCs w:val="21"/>
          <w:highlight w:val="none"/>
          <w:lang w:eastAsia="zh-CN"/>
        </w:rPr>
        <w:t>，</w:t>
      </w:r>
      <w:r>
        <w:rPr>
          <w:rFonts w:hint="eastAsia" w:ascii="宋体" w:hAnsi="宋体" w:cs="宋体"/>
          <w:color w:val="auto"/>
          <w:szCs w:val="21"/>
          <w:highlight w:val="none"/>
        </w:rPr>
        <w:t>监狱企业是指由司法部认定的为罪犯、戒毒人员提供生产项目和劳动对象</w:t>
      </w:r>
      <w:r>
        <w:rPr>
          <w:rFonts w:hint="eastAsia" w:ascii="宋体" w:hAnsi="宋体" w:cs="宋体"/>
          <w:color w:val="auto"/>
          <w:szCs w:val="21"/>
          <w:highlight w:val="none"/>
          <w:lang w:eastAsia="zh-CN"/>
        </w:rPr>
        <w:t>，</w:t>
      </w:r>
      <w:r>
        <w:rPr>
          <w:rFonts w:hint="eastAsia" w:ascii="宋体" w:hAnsi="宋体" w:cs="宋体"/>
          <w:color w:val="auto"/>
          <w:szCs w:val="21"/>
          <w:highlight w:val="none"/>
        </w:rPr>
        <w:t>且全部产权属于司法部监狱管理局、戒毒管理局、直属煤矿管理局</w:t>
      </w:r>
      <w:r>
        <w:rPr>
          <w:rFonts w:hint="eastAsia" w:ascii="宋体" w:hAnsi="宋体" w:cs="宋体"/>
          <w:color w:val="auto"/>
          <w:szCs w:val="21"/>
          <w:highlight w:val="none"/>
          <w:lang w:eastAsia="zh-CN"/>
        </w:rPr>
        <w:t>，</w:t>
      </w:r>
      <w:r>
        <w:rPr>
          <w:rFonts w:hint="eastAsia" w:ascii="宋体" w:hAnsi="宋体" w:cs="宋体"/>
          <w:color w:val="auto"/>
          <w:szCs w:val="21"/>
          <w:highlight w:val="none"/>
        </w:rPr>
        <w:t>各省、自治区、直辖市监狱管理局、戒毒管理局</w:t>
      </w:r>
      <w:r>
        <w:rPr>
          <w:rFonts w:hint="eastAsia" w:ascii="宋体" w:hAnsi="宋体" w:cs="宋体"/>
          <w:color w:val="auto"/>
          <w:szCs w:val="21"/>
          <w:highlight w:val="none"/>
          <w:lang w:eastAsia="zh-CN"/>
        </w:rPr>
        <w:t>，</w:t>
      </w:r>
      <w:r>
        <w:rPr>
          <w:rFonts w:hint="eastAsia" w:ascii="宋体" w:hAnsi="宋体" w:cs="宋体"/>
          <w:color w:val="auto"/>
          <w:szCs w:val="21"/>
          <w:highlight w:val="none"/>
        </w:rPr>
        <w:t>各地（设区的市）监狱、强制隔离戒毒所、戒毒康复所</w:t>
      </w:r>
      <w:r>
        <w:rPr>
          <w:rFonts w:hint="eastAsia" w:ascii="宋体" w:hAnsi="宋体" w:cs="宋体"/>
          <w:color w:val="auto"/>
          <w:szCs w:val="21"/>
          <w:highlight w:val="none"/>
          <w:lang w:eastAsia="zh-CN"/>
        </w:rPr>
        <w:t>，</w:t>
      </w:r>
      <w:r>
        <w:rPr>
          <w:rFonts w:hint="eastAsia" w:ascii="宋体" w:hAnsi="宋体" w:cs="宋体"/>
          <w:color w:val="auto"/>
          <w:szCs w:val="21"/>
          <w:highlight w:val="none"/>
        </w:rPr>
        <w:t>以及新疆生产建设兵团监狱管理局、戒毒管理局的企业。</w:t>
      </w:r>
    </w:p>
    <w:p w14:paraId="0C8AA6A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31.2.2监狱企业参加政府采购活动时</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应当提供由省级以上监狱管理局、戒毒管理局（含新疆生产建设兵团）出具的属于监狱企业的证明文件。</w:t>
      </w:r>
    </w:p>
    <w:p w14:paraId="551B9A2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31.2.3在政府采购活动中</w:t>
      </w:r>
      <w:r>
        <w:rPr>
          <w:rFonts w:hint="eastAsia" w:ascii="宋体" w:hAnsi="宋体" w:cs="宋体"/>
          <w:color w:val="auto"/>
          <w:szCs w:val="21"/>
          <w:highlight w:val="none"/>
          <w:lang w:eastAsia="zh-CN"/>
        </w:rPr>
        <w:t>，</w:t>
      </w:r>
      <w:r>
        <w:rPr>
          <w:rFonts w:hint="eastAsia" w:ascii="宋体" w:hAnsi="宋体" w:cs="宋体"/>
          <w:color w:val="auto"/>
          <w:szCs w:val="21"/>
          <w:highlight w:val="none"/>
        </w:rPr>
        <w:t>监狱企业视同小型、微型企业</w:t>
      </w:r>
      <w:r>
        <w:rPr>
          <w:rFonts w:hint="eastAsia" w:ascii="宋体" w:hAnsi="宋体" w:cs="宋体"/>
          <w:color w:val="auto"/>
          <w:szCs w:val="21"/>
          <w:highlight w:val="none"/>
          <w:lang w:eastAsia="zh-CN"/>
        </w:rPr>
        <w:t>，</w:t>
      </w:r>
      <w:r>
        <w:rPr>
          <w:rFonts w:hint="eastAsia" w:ascii="宋体" w:hAnsi="宋体" w:cs="宋体"/>
          <w:color w:val="auto"/>
          <w:szCs w:val="21"/>
          <w:highlight w:val="none"/>
        </w:rPr>
        <w:t>享受预留份额、评审中价格扣除等政府采购促进中小企业发展的政府采购政策。</w:t>
      </w:r>
    </w:p>
    <w:p w14:paraId="2568B6B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31.3关于残疾人福利性单位：</w:t>
      </w:r>
    </w:p>
    <w:p w14:paraId="7C8AFAC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31.3.1根据《三部门联合发布关于促进残疾人就业政府采购政策的通知》（财库〔2017〕141号）的规定</w:t>
      </w:r>
      <w:r>
        <w:rPr>
          <w:rFonts w:hint="eastAsia" w:ascii="宋体" w:hAnsi="宋体" w:cs="宋体"/>
          <w:color w:val="auto"/>
          <w:szCs w:val="21"/>
          <w:highlight w:val="none"/>
          <w:lang w:eastAsia="zh-CN"/>
        </w:rPr>
        <w:t>，</w:t>
      </w:r>
      <w:r>
        <w:rPr>
          <w:rFonts w:hint="eastAsia" w:ascii="宋体" w:hAnsi="宋体" w:cs="宋体"/>
          <w:color w:val="auto"/>
          <w:szCs w:val="21"/>
          <w:highlight w:val="none"/>
        </w:rPr>
        <w:t>享受政府采购支持政策的残疾人福利性单位应当同时满足以下条件：</w:t>
      </w:r>
    </w:p>
    <w:p w14:paraId="54871A99">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（一）安置的残疾人占本单位在职职工人数的比例不低于25%（含25%）</w:t>
      </w:r>
      <w:r>
        <w:rPr>
          <w:rFonts w:hint="eastAsia" w:ascii="宋体" w:hAnsi="宋体" w:cs="宋体"/>
          <w:color w:val="auto"/>
          <w:szCs w:val="21"/>
          <w:highlight w:val="none"/>
          <w:lang w:eastAsia="zh-CN"/>
        </w:rPr>
        <w:t>，</w:t>
      </w:r>
      <w:r>
        <w:rPr>
          <w:rFonts w:hint="eastAsia" w:ascii="宋体" w:hAnsi="宋体" w:cs="宋体"/>
          <w:color w:val="auto"/>
          <w:szCs w:val="21"/>
          <w:highlight w:val="none"/>
        </w:rPr>
        <w:t>并且安置的残疾人人数不少于10人（含10人）</w:t>
      </w:r>
      <w:r>
        <w:rPr>
          <w:rFonts w:hint="eastAsia" w:ascii="宋体" w:hAnsi="宋体" w:cs="宋体"/>
          <w:color w:val="auto"/>
          <w:szCs w:val="21"/>
          <w:highlight w:val="none"/>
          <w:lang w:eastAsia="zh-CN"/>
        </w:rPr>
        <w:t>；</w:t>
      </w:r>
    </w:p>
    <w:p w14:paraId="59941A78">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（二）依法与安置的每位残疾人签订了一年以上（含一年）的劳动合同或服务协议</w:t>
      </w:r>
      <w:r>
        <w:rPr>
          <w:rFonts w:hint="eastAsia" w:ascii="宋体" w:hAnsi="宋体" w:cs="宋体"/>
          <w:color w:val="auto"/>
          <w:szCs w:val="21"/>
          <w:highlight w:val="none"/>
          <w:lang w:eastAsia="zh-CN"/>
        </w:rPr>
        <w:t>；</w:t>
      </w:r>
    </w:p>
    <w:p w14:paraId="4045782D">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（三）为安置的每位残疾人按月足额缴纳了基本养老保险、基本医疗保险、失业保险、工伤保险和生育保险等社会保险费</w:t>
      </w:r>
      <w:r>
        <w:rPr>
          <w:rFonts w:hint="eastAsia" w:ascii="宋体" w:hAnsi="宋体" w:cs="宋体"/>
          <w:color w:val="auto"/>
          <w:szCs w:val="21"/>
          <w:highlight w:val="none"/>
          <w:lang w:eastAsia="zh-CN"/>
        </w:rPr>
        <w:t>；</w:t>
      </w:r>
    </w:p>
    <w:p w14:paraId="316FFFB6">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（四）通过银行等金融机构向安置的每位残疾人</w:t>
      </w:r>
      <w:r>
        <w:rPr>
          <w:rFonts w:hint="eastAsia" w:ascii="宋体" w:hAnsi="宋体" w:cs="宋体"/>
          <w:color w:val="auto"/>
          <w:szCs w:val="21"/>
          <w:highlight w:val="none"/>
          <w:lang w:eastAsia="zh-CN"/>
        </w:rPr>
        <w:t>，</w:t>
      </w:r>
      <w:r>
        <w:rPr>
          <w:rFonts w:hint="eastAsia" w:ascii="宋体" w:hAnsi="宋体" w:cs="宋体"/>
          <w:color w:val="auto"/>
          <w:szCs w:val="21"/>
          <w:highlight w:val="none"/>
        </w:rPr>
        <w:t>按月支付了不低于单位所在区县适用的经省级人民政府批准的月最低工资标准的工资</w:t>
      </w:r>
      <w:r>
        <w:rPr>
          <w:rFonts w:hint="eastAsia" w:ascii="宋体" w:hAnsi="宋体" w:cs="宋体"/>
          <w:color w:val="auto"/>
          <w:szCs w:val="21"/>
          <w:highlight w:val="none"/>
          <w:lang w:eastAsia="zh-CN"/>
        </w:rPr>
        <w:t>；</w:t>
      </w:r>
    </w:p>
    <w:p w14:paraId="49ADB7D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（五）提供本单位制造的货物、承担的工程或者服务（以下简称产品）</w:t>
      </w:r>
      <w:r>
        <w:rPr>
          <w:rFonts w:hint="eastAsia" w:ascii="宋体" w:hAnsi="宋体" w:cs="宋体"/>
          <w:color w:val="auto"/>
          <w:szCs w:val="21"/>
          <w:highlight w:val="none"/>
          <w:lang w:eastAsia="zh-CN"/>
        </w:rPr>
        <w:t>，</w:t>
      </w:r>
      <w:r>
        <w:rPr>
          <w:rFonts w:hint="eastAsia" w:ascii="宋体" w:hAnsi="宋体" w:cs="宋体"/>
          <w:color w:val="auto"/>
          <w:szCs w:val="21"/>
          <w:highlight w:val="none"/>
        </w:rPr>
        <w:t>或者提供其他残疾人福利性单位制造的货物（不包括使用非残疾人福利性单位注册商标的货物）。</w:t>
      </w:r>
    </w:p>
    <w:p w14:paraId="17B7815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前款所称残疾人是指法定劳动年龄内</w:t>
      </w:r>
      <w:r>
        <w:rPr>
          <w:rFonts w:hint="eastAsia" w:ascii="宋体" w:hAnsi="宋体" w:cs="宋体"/>
          <w:color w:val="auto"/>
          <w:szCs w:val="21"/>
          <w:highlight w:val="none"/>
          <w:lang w:eastAsia="zh-CN"/>
        </w:rPr>
        <w:t>，</w:t>
      </w:r>
      <w:r>
        <w:rPr>
          <w:rFonts w:hint="eastAsia" w:ascii="宋体" w:hAnsi="宋体" w:cs="宋体"/>
          <w:color w:val="auto"/>
          <w:szCs w:val="21"/>
          <w:highlight w:val="none"/>
        </w:rPr>
        <w:t>持有《中华人民共和国残疾人证》或者《中华人民共和国残疾军人证（1至8级）》的自然人</w:t>
      </w:r>
      <w:r>
        <w:rPr>
          <w:rFonts w:hint="eastAsia" w:ascii="宋体" w:hAnsi="宋体" w:cs="宋体"/>
          <w:color w:val="auto"/>
          <w:szCs w:val="21"/>
          <w:highlight w:val="none"/>
          <w:lang w:eastAsia="zh-CN"/>
        </w:rPr>
        <w:t>，</w:t>
      </w:r>
      <w:r>
        <w:rPr>
          <w:rFonts w:hint="eastAsia" w:ascii="宋体" w:hAnsi="宋体" w:cs="宋体"/>
          <w:color w:val="auto"/>
          <w:szCs w:val="21"/>
          <w:highlight w:val="none"/>
        </w:rPr>
        <w:t>包括具有劳动条件和劳动意愿的精神残疾人。在职职工人数是指与残疾人福利性单位建立劳动关系并依法签订劳动合同或者服务协议的雇员人数。</w:t>
      </w:r>
    </w:p>
    <w:p w14:paraId="759B44D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31.3.2符合条件的残疾人福利性单位在参加政府采购活动时</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应当按《三部门联合发布关于促进残疾人就业政府采购政策的通知》（财库〔2017〕141号）提供规定的《残疾人福利性单位声明函》</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并对声明的真实性负责。</w:t>
      </w:r>
    </w:p>
    <w:p w14:paraId="235B6A8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31.3.3本项目针对残疾人福利性单位价格给予10%的扣除</w:t>
      </w:r>
      <w:r>
        <w:rPr>
          <w:rFonts w:hint="eastAsia" w:ascii="宋体" w:hAnsi="宋体" w:cs="宋体"/>
          <w:color w:val="auto"/>
          <w:szCs w:val="21"/>
          <w:highlight w:val="none"/>
          <w:lang w:eastAsia="zh-CN"/>
        </w:rPr>
        <w:t>，</w:t>
      </w:r>
      <w:r>
        <w:rPr>
          <w:rFonts w:hint="eastAsia" w:ascii="宋体" w:hAnsi="宋体" w:cs="宋体"/>
          <w:color w:val="auto"/>
          <w:szCs w:val="21"/>
          <w:highlight w:val="none"/>
        </w:rPr>
        <w:t>用扣除后的价格参与评审。残疾人福利性单位属于小型、微型企业的</w:t>
      </w:r>
      <w:r>
        <w:rPr>
          <w:rFonts w:hint="eastAsia" w:ascii="宋体" w:hAnsi="宋体" w:cs="宋体"/>
          <w:color w:val="auto"/>
          <w:szCs w:val="21"/>
          <w:highlight w:val="none"/>
          <w:lang w:eastAsia="zh-CN"/>
        </w:rPr>
        <w:t>，</w:t>
      </w:r>
      <w:r>
        <w:rPr>
          <w:rFonts w:hint="eastAsia" w:ascii="宋体" w:hAnsi="宋体" w:cs="宋体"/>
          <w:color w:val="auto"/>
          <w:szCs w:val="21"/>
          <w:highlight w:val="none"/>
        </w:rPr>
        <w:t>不重复享受政策。</w:t>
      </w:r>
    </w:p>
    <w:p w14:paraId="3289D4C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31.4关于节能产品及环境标志产品：</w:t>
      </w:r>
    </w:p>
    <w:p w14:paraId="1B7FE3F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31.4.1根据《财政部 发展改革委 生态环境部 市场监管总局 关于调整优化节能产品、环境标志产品政府采购执行机制的通知》（财库〔2019〕9号）</w:t>
      </w:r>
      <w:r>
        <w:rPr>
          <w:rFonts w:hint="eastAsia" w:ascii="宋体" w:hAnsi="宋体" w:cs="宋体"/>
          <w:color w:val="auto"/>
          <w:szCs w:val="21"/>
          <w:highlight w:val="none"/>
          <w:lang w:eastAsia="zh-CN"/>
        </w:rPr>
        <w:t>，</w:t>
      </w:r>
      <w:r>
        <w:rPr>
          <w:rFonts w:hint="eastAsia" w:ascii="宋体" w:hAnsi="宋体" w:cs="宋体"/>
          <w:color w:val="auto"/>
          <w:szCs w:val="21"/>
          <w:highlight w:val="none"/>
        </w:rPr>
        <w:t>对政府采购节能产品、环境标志产品实施品目清单管理。</w:t>
      </w:r>
    </w:p>
    <w:p w14:paraId="7223ACA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31.4.2节能产品是指列入财政部和发展改革委公布的《关于印发节能产品政府采购品目清单的通知》（财库〔2019〕19号）《节能产品政府采购品目清单》中的产品</w:t>
      </w:r>
      <w:r>
        <w:rPr>
          <w:rFonts w:hint="eastAsia" w:ascii="宋体" w:hAnsi="宋体" w:cs="宋体"/>
          <w:color w:val="auto"/>
          <w:szCs w:val="21"/>
          <w:highlight w:val="none"/>
          <w:lang w:eastAsia="zh-CN"/>
        </w:rPr>
        <w:t>，</w:t>
      </w:r>
      <w:r>
        <w:rPr>
          <w:rFonts w:hint="eastAsia" w:ascii="宋体" w:hAnsi="宋体" w:cs="宋体"/>
          <w:color w:val="auto"/>
          <w:szCs w:val="21"/>
          <w:highlight w:val="none"/>
        </w:rPr>
        <w:t>其中以“★”标注的为政府强制采购产品。</w:t>
      </w:r>
    </w:p>
    <w:p w14:paraId="5A3306B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31.4.3环境标志产品是指列入财政部和生态环境部公布的《关于印发环境标志产品政府采购品目清单的通知》（财库〔2019〕18号）《环境标志产品政府采购品目清单》中的产品。</w:t>
      </w:r>
    </w:p>
    <w:p w14:paraId="16C3231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31.4.4产品属于节能产品或环境标志产品的</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供应商需在响应文件中提供产品经国家确定的参与实施政府采购节能产品认证机构或参与实施政府采购环境标志产品认证机构出具的、处于有效期之内的节能产品、环境标志产品认证证书</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采购人及采购代理机构将对获得证书的产品实施政府优先采购或强制采购。</w:t>
      </w:r>
    </w:p>
    <w:p w14:paraId="3D4FDCB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31.4.5若供应商在响应文件中未提供或未按要求提供产品经国家确定的参与实施政府采购节能产品认证机构或参与实施政府采购环境标志产品认证机构出具的、处于有效期之内的节能产品、环境标志产品认证证书</w:t>
      </w:r>
      <w:r>
        <w:rPr>
          <w:rFonts w:hint="eastAsia" w:ascii="宋体" w:hAnsi="宋体" w:cs="宋体"/>
          <w:color w:val="auto"/>
          <w:szCs w:val="21"/>
          <w:highlight w:val="none"/>
          <w:lang w:eastAsia="zh-CN"/>
        </w:rPr>
        <w:t>，</w:t>
      </w:r>
      <w:r>
        <w:rPr>
          <w:rFonts w:hint="eastAsia" w:ascii="宋体" w:hAnsi="宋体" w:cs="宋体"/>
          <w:color w:val="auto"/>
          <w:szCs w:val="21"/>
          <w:highlight w:val="none"/>
        </w:rPr>
        <w:t>评标委员会在评审过程中将不予认可</w:t>
      </w:r>
      <w:r>
        <w:rPr>
          <w:rFonts w:hint="eastAsia" w:ascii="宋体" w:hAnsi="宋体" w:cs="宋体"/>
          <w:color w:val="auto"/>
          <w:szCs w:val="21"/>
          <w:highlight w:val="none"/>
          <w:lang w:eastAsia="zh-CN"/>
        </w:rPr>
        <w:t>，</w:t>
      </w:r>
      <w:r>
        <w:rPr>
          <w:rFonts w:hint="eastAsia" w:ascii="宋体" w:hAnsi="宋体" w:cs="宋体"/>
          <w:color w:val="auto"/>
          <w:szCs w:val="21"/>
          <w:highlight w:val="none"/>
        </w:rPr>
        <w:t>由此造成的一切后果供应商自行承担。</w:t>
      </w:r>
    </w:p>
    <w:p w14:paraId="7EA55497">
      <w:pPr>
        <w:tabs>
          <w:tab w:val="left" w:pos="105"/>
          <w:tab w:val="left" w:pos="945"/>
          <w:tab w:val="left" w:pos="3360"/>
        </w:tabs>
        <w:adjustRightInd w:val="0"/>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 xml:space="preserve">31.5其它需要补充的其他内容：以下情况视为供应商同意撤回已上传系统的响应文件或其响应文件无效： </w:t>
      </w:r>
    </w:p>
    <w:p w14:paraId="52DE0309">
      <w:pPr>
        <w:tabs>
          <w:tab w:val="left" w:pos="105"/>
          <w:tab w:val="left" w:pos="945"/>
          <w:tab w:val="left" w:pos="3360"/>
        </w:tabs>
        <w:adjustRightInd w:val="0"/>
        <w:snapToGrid w:val="0"/>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（1）政采云电子平台显示供应商未上传响应文件</w:t>
      </w:r>
      <w:r>
        <w:rPr>
          <w:rFonts w:hint="eastAsia" w:ascii="宋体" w:hAnsi="宋体" w:cs="宋体"/>
          <w:color w:val="auto"/>
          <w:szCs w:val="21"/>
          <w:highlight w:val="none"/>
          <w:lang w:eastAsia="zh-CN"/>
        </w:rPr>
        <w:t>；</w:t>
      </w:r>
    </w:p>
    <w:p w14:paraId="27B7676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（2）因供应商原因上传的响应文件在开启文件时无法解密。</w:t>
      </w:r>
    </w:p>
    <w:p w14:paraId="3998E87B">
      <w:pPr>
        <w:rPr>
          <w:rFonts w:ascii="宋体" w:hAnsi="宋体" w:cs="宋体"/>
          <w:color w:val="auto"/>
          <w:szCs w:val="21"/>
          <w:highlight w:val="none"/>
        </w:rPr>
      </w:pPr>
      <w:r>
        <w:rPr>
          <w:rFonts w:hint="eastAsia" w:ascii="宋体" w:hAnsi="宋体" w:cs="宋体"/>
          <w:color w:val="auto"/>
          <w:szCs w:val="21"/>
          <w:highlight w:val="none"/>
        </w:rPr>
        <w:br w:type="page"/>
      </w:r>
    </w:p>
    <w:p w14:paraId="5BEEB7FF">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附件：</w:t>
      </w:r>
    </w:p>
    <w:p w14:paraId="71A04E4B">
      <w:pPr>
        <w:pStyle w:val="38"/>
        <w:shd w:val="clear" w:color="auto" w:fill="FFFFFF"/>
        <w:adjustRightInd w:val="0"/>
        <w:snapToGrid w:val="0"/>
        <w:spacing w:before="0" w:beforeAutospacing="0" w:after="0" w:afterAutospacing="0" w:line="360" w:lineRule="auto"/>
        <w:jc w:val="center"/>
        <w:rPr>
          <w:rFonts w:cs="宋体"/>
          <w:color w:val="auto"/>
          <w:highlight w:val="none"/>
        </w:rPr>
      </w:pPr>
      <w:r>
        <w:rPr>
          <w:rFonts w:hint="eastAsia" w:cs="宋体"/>
          <w:b/>
          <w:bCs/>
          <w:color w:val="auto"/>
          <w:highlight w:val="none"/>
          <w:shd w:val="clear" w:color="auto" w:fill="FFFFFF"/>
          <w:lang w:bidi="ar"/>
        </w:rPr>
        <w:t>《中小企业划型标准规定》</w:t>
      </w:r>
    </w:p>
    <w:p w14:paraId="13609F11">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一、根据《中华人民共和国中小企业促进法》和《国务院关于进一步促进中小企业发展的若干意见》（国发〔2009〕36号）</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制定本规定。</w:t>
      </w:r>
    </w:p>
    <w:p w14:paraId="15A94800">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二、中小企业划分为中型、小型、微型三种类型</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具体标准根据企业从业人员、营业收入、资产总额等指标</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结合行业特点制定。</w:t>
      </w:r>
    </w:p>
    <w:p w14:paraId="47471C2A">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三、本规定适用的行业包括：农、林、牧、渔业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工业（包括采矿业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制造业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电力、热力、燃气及水生产和供应业）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建筑业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批发业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零售业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交通运输业（不含铁路运输业）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仓储业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邮政业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住宿业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餐饮业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信息传输业（包括电信、互联网和相关服务）</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软件和信息技术服务业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房地产开发经营</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物业管理</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租赁和商务服务业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其他未列明行业（包括科学研究和技术服务业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水利、环境和公共设施管理业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居民服务、修理和其他服务业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社会工作</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文化、体育和娱乐业等）。</w:t>
      </w:r>
    </w:p>
    <w:p w14:paraId="622F27DE">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四、各行业划型标准为：</w:t>
      </w:r>
    </w:p>
    <w:p w14:paraId="20BE04F8">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（一）农、林、牧、渔业。营业收入20000 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营业收入500万元及以上的为中型企业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营业收入50万元及以上的为小型企业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营业收入 50 万元以下的为微型企业。</w:t>
      </w:r>
    </w:p>
    <w:p w14:paraId="3D5D91B7">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（二）工业。从业人员1000人以下或营业收入40000万元以下的为中小微型企业。其中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从业人员300人及以上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且营业收入2000万元及以上的为中型企业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从业人员20人及以上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且营业收入300万元及以上的为小型企业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从业人员20人以下或营业收入300万元以下的为微型企业。</w:t>
      </w:r>
    </w:p>
    <w:p w14:paraId="4C791223">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（三）建筑业。营业收入80000万元以下或资产总额80000万元以下的为中小微型企业。其中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营业收入6000万元及以上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且资产总额5000万元及以上的为中型企业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营业收入300万元及以上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且资产总额300万元及以上的为小型企业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营业收入300万元以下或资产总额300万元以下的为微型企业。</w:t>
      </w:r>
    </w:p>
    <w:p w14:paraId="01A20308">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（四）批发业。从业人员200人以下或营业收入40000万元以下的为中小微型企业。其中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从业人员20人及以上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且营业收入5000万元及以上的为中型企业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从业人员5人及以上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且营业收入1000万元及以上的为小型企业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从业人员5人以下或营业收入1000万元以下的为微型企业。</w:t>
      </w:r>
    </w:p>
    <w:p w14:paraId="50C574F5">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（五）零售业。从业人员300人以下或营业收入20000万元以下的为中小微型企业。其中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从业人员50人及以上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且营业收入500万元及以上的为中型企业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且营业收入100万元及以上的为小型企业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从业人员10人以下或营业收入100万元以下的为微型企业。</w:t>
      </w:r>
    </w:p>
    <w:p w14:paraId="3AAB3DC8">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（六）交通运输业。从业人员1000人以下或营业收入30000万元以下的为中小微型企业。其中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从业人员300人及以上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且营业收入3000万元及以上的为中型企业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从业人员20人及以上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且营业收入200万元及以上的为小型企业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从业人员20人以下或营业收入200万元以下的为微型企业。</w:t>
      </w:r>
    </w:p>
    <w:p w14:paraId="182DADCA">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（七）仓储业。从业人员200人以下或营业收入30000万元以下的为中小微型企业。其中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且营业收入1000万元及以上的为中型企业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从业人员20人及以上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且营业收入100万元及以上的为小型企业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从业人员20人以下或营业收入100万元以下的为微型企业。</w:t>
      </w:r>
    </w:p>
    <w:p w14:paraId="628FA7F8">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（八）邮政业。从业人员1000人以下或营业收入30000万元以下的为中小微型企业。其中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从业人员300人及以上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且营业收入2000万元及以上的为中型企业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从业人员20人及以上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且营业收入100万元及以上的为小型企业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从业人员20人以下或营业收入100万元以下的为微型企业。</w:t>
      </w:r>
    </w:p>
    <w:p w14:paraId="19FFF137">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（九）住宿业。从业人员300人以下或营业收入10000万元以下的为中小微型企业。其中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且营业收入2000万元及以上的为中型企业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且营业收入100万元及以上的为小型企业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从业人员10人以下或营业收入100万元以下的为微型企业。</w:t>
      </w:r>
    </w:p>
    <w:p w14:paraId="413FCC6D">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（十）餐饮业。从业人员300人以下或营业收入10000万元以下的为中小微型企业。其中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且营业收入2000万元及以上的为中型企业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且营业收入100万元及以上的为小型企业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从业人员10人以下或营业收入100万元以下的为微型企业。</w:t>
      </w:r>
    </w:p>
    <w:p w14:paraId="2F4EC982">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（十一）信息传输业。从业人员2000人以下或营业收入100000万元以下的为中小微型企业。其中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且营业收入1000万元及以上的为中型企业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且营业收入100万元及以上的为小型企业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从业人员10人以下或营业收入100万元以下的为微型企业。</w:t>
      </w:r>
    </w:p>
    <w:p w14:paraId="2E387A17">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（十二）软件和信息技术服务业。从业人员300人以下或营业收入10000万元以下的为中小微型企业。其中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且营业收入1000万元及以上的为中型企业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且营业收入50万元及以上的为小型企业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从业人员10人以下或营业收入50万元以下的为微型企业。</w:t>
      </w:r>
    </w:p>
    <w:p w14:paraId="5EA144F4">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（十三）房地产开发经营。营业收入200000万元以下或资产总额10000万元以下的为中小微型企业。其中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营业收入1000万元及以上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且资产总额5000万元及以上的为中型企业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营业收入100万元及以上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且资产总额2000万元及以上的为小型企业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营业收入100万元以下或资产总额2000万元以下的为微型企业。</w:t>
      </w:r>
    </w:p>
    <w:p w14:paraId="305051E3">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（十四）物业管理。从业人员1000人以下或营业收入5000万元以下的为中小微型企业。其中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从业人员300人及以上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且营业收入1000万元及以上的为中型企业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且营业收入500万元及以上的为小型企业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从业人员100人以下或营业收入500万元以下的为微型企业。</w:t>
      </w:r>
    </w:p>
    <w:p w14:paraId="7C1BBA19">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（十五）租赁和商务服务业。从业人员300人以下或资产总额120000万元以下的为中小微型企业。其中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且资产总额8000万元及以上的为中型企业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从业人员10人及以上</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且资产总额100万元及以上的为小型企业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从业人员10人以下或资产总额100万元以下的为微型企业。</w:t>
      </w:r>
    </w:p>
    <w:p w14:paraId="07256E40">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（十六）其他未列明行业。从业人员300人以下的为中小微型企业。其中</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从业人员100人及以上的为中型企业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从业人员10人及以上的为小型企业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从业人员10人以下的为微型企业。</w:t>
      </w:r>
    </w:p>
    <w:p w14:paraId="76C9CADB">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五、企业类型的划分以统计部门的统计数据为依据。</w:t>
      </w:r>
    </w:p>
    <w:p w14:paraId="0E4E3831">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六、本规定适用于在中华人民共和国境内依法设立的各类所有制和各种组织形式的企业。个体工商户和本规定以外的行业</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参照本规定进行划型。</w:t>
      </w:r>
    </w:p>
    <w:p w14:paraId="5AC03BE3">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七、本规定的中型企业标准上限即为大型企业标准的下限</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国家统计部门据此制定大中小微型企业的统计分类。国务院有关部门据此进行相关数据分析</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不得制定与本规定不一致的企业划型标准。</w:t>
      </w:r>
    </w:p>
    <w:p w14:paraId="65F01232">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rPr>
      </w:pPr>
      <w:r>
        <w:rPr>
          <w:rFonts w:hint="eastAsia" w:cs="宋体"/>
          <w:color w:val="auto"/>
          <w:sz w:val="21"/>
          <w:szCs w:val="21"/>
          <w:highlight w:val="none"/>
          <w:shd w:val="clear" w:color="auto" w:fill="FFFFFF"/>
          <w:lang w:bidi="ar"/>
        </w:rPr>
        <w:t>八、本规定由工业和信息化部、国家统计局会同有关部门根据《国民经济行业分类》修订情况和企业发展变化情况适时修订。</w:t>
      </w:r>
    </w:p>
    <w:p w14:paraId="1380D6D8">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shd w:val="clear" w:color="auto" w:fill="FFFFFF"/>
          <w:lang w:bidi="ar"/>
        </w:rPr>
      </w:pPr>
      <w:r>
        <w:rPr>
          <w:rFonts w:hint="eastAsia" w:cs="宋体"/>
          <w:color w:val="auto"/>
          <w:sz w:val="21"/>
          <w:szCs w:val="21"/>
          <w:highlight w:val="none"/>
          <w:shd w:val="clear" w:color="auto" w:fill="FFFFFF"/>
          <w:lang w:bidi="ar"/>
        </w:rPr>
        <w:t>九、本规定由工业和信息化部、国家统计局会同有关部门负责解释。</w:t>
      </w:r>
    </w:p>
    <w:p w14:paraId="76845A3A">
      <w:pPr>
        <w:pStyle w:val="38"/>
        <w:shd w:val="clear" w:color="auto" w:fill="FFFFFF"/>
        <w:adjustRightInd w:val="0"/>
        <w:snapToGrid w:val="0"/>
        <w:spacing w:before="0" w:beforeAutospacing="0" w:after="0" w:afterAutospacing="0" w:line="360" w:lineRule="auto"/>
        <w:ind w:firstLine="420" w:firstLineChars="200"/>
        <w:jc w:val="both"/>
        <w:rPr>
          <w:rFonts w:cs="宋体"/>
          <w:color w:val="auto"/>
          <w:sz w:val="21"/>
          <w:szCs w:val="21"/>
          <w:highlight w:val="none"/>
          <w:shd w:val="clear" w:color="auto" w:fill="FFFFFF"/>
          <w:lang w:bidi="ar"/>
        </w:rPr>
      </w:pPr>
      <w:r>
        <w:rPr>
          <w:rFonts w:hint="eastAsia" w:cs="宋体"/>
          <w:color w:val="auto"/>
          <w:sz w:val="21"/>
          <w:szCs w:val="21"/>
          <w:highlight w:val="none"/>
          <w:shd w:val="clear" w:color="auto" w:fill="FFFFFF"/>
          <w:lang w:bidi="ar"/>
        </w:rPr>
        <w:t>十、本规定自发布之日起执行</w:t>
      </w:r>
      <w:r>
        <w:rPr>
          <w:rFonts w:hint="eastAsia" w:cs="宋体"/>
          <w:color w:val="auto"/>
          <w:sz w:val="21"/>
          <w:szCs w:val="21"/>
          <w:highlight w:val="none"/>
          <w:shd w:val="clear" w:color="auto" w:fill="FFFFFF"/>
          <w:lang w:eastAsia="zh-CN" w:bidi="ar"/>
        </w:rPr>
        <w:t>，</w:t>
      </w:r>
      <w:r>
        <w:rPr>
          <w:rFonts w:hint="eastAsia" w:cs="宋体"/>
          <w:color w:val="auto"/>
          <w:sz w:val="21"/>
          <w:szCs w:val="21"/>
          <w:highlight w:val="none"/>
          <w:shd w:val="clear" w:color="auto" w:fill="FFFFFF"/>
          <w:lang w:bidi="ar"/>
        </w:rPr>
        <w:t>原国家经贸委、原国家计委、财政部和国家统计局2003年颁布的《中小企业标准暂行规定》国经贸中小企〔2003〕143号同时废止。</w:t>
      </w:r>
    </w:p>
    <w:p w14:paraId="7C8B7086">
      <w:pPr>
        <w:adjustRightInd w:val="0"/>
        <w:snapToGrid w:val="0"/>
        <w:spacing w:line="360" w:lineRule="auto"/>
        <w:rPr>
          <w:rFonts w:ascii="宋体" w:hAnsi="宋体" w:cs="宋体"/>
          <w:color w:val="auto"/>
          <w:highlight w:val="none"/>
        </w:rPr>
      </w:pPr>
      <w:r>
        <w:rPr>
          <w:rFonts w:hint="eastAsia" w:ascii="宋体" w:hAnsi="宋体" w:cs="宋体"/>
          <w:color w:val="auto"/>
          <w:highlight w:val="none"/>
        </w:rPr>
        <w:br w:type="page"/>
      </w:r>
    </w:p>
    <w:p w14:paraId="1F43BCFC">
      <w:pPr>
        <w:pStyle w:val="6"/>
        <w:snapToGrid w:val="0"/>
        <w:spacing w:line="360" w:lineRule="auto"/>
        <w:jc w:val="center"/>
        <w:rPr>
          <w:rFonts w:hint="eastAsia" w:ascii="宋体" w:hAnsi="宋体" w:eastAsia="宋体" w:cs="宋体"/>
          <w:color w:val="auto"/>
          <w:sz w:val="32"/>
          <w:szCs w:val="32"/>
          <w:highlight w:val="none"/>
          <w:lang w:eastAsia="zh-CN"/>
        </w:rPr>
      </w:pPr>
      <w:bookmarkStart w:id="125" w:name="_Toc86124078"/>
      <w:bookmarkStart w:id="126" w:name="_Toc7546"/>
      <w:r>
        <w:rPr>
          <w:rFonts w:hint="eastAsia" w:ascii="宋体" w:hAnsi="宋体" w:eastAsia="宋体" w:cs="宋体"/>
          <w:color w:val="auto"/>
          <w:sz w:val="32"/>
          <w:szCs w:val="32"/>
          <w:highlight w:val="none"/>
        </w:rPr>
        <w:t xml:space="preserve">第三章  </w:t>
      </w:r>
      <w:bookmarkEnd w:id="125"/>
      <w:r>
        <w:rPr>
          <w:rFonts w:hint="eastAsia" w:ascii="宋体" w:hAnsi="宋体" w:eastAsia="宋体" w:cs="宋体"/>
          <w:color w:val="auto"/>
          <w:sz w:val="32"/>
          <w:szCs w:val="32"/>
          <w:highlight w:val="none"/>
          <w:lang w:eastAsia="zh-CN"/>
        </w:rPr>
        <w:t>合同书样式及政府采购合同专用条款</w:t>
      </w:r>
      <w:bookmarkEnd w:id="126"/>
    </w:p>
    <w:p w14:paraId="0386A771">
      <w:pPr>
        <w:pStyle w:val="7"/>
        <w:pageBreakBefore w:val="0"/>
        <w:kinsoku/>
        <w:wordWrap/>
        <w:overflowPunct/>
        <w:topLinePunct w:val="0"/>
        <w:bidi w:val="0"/>
        <w:spacing w:before="0" w:line="480" w:lineRule="exact"/>
        <w:jc w:val="center"/>
        <w:textAlignment w:val="auto"/>
        <w:rPr>
          <w:rFonts w:hint="eastAsia" w:ascii="宋体" w:hAnsi="宋体" w:cs="宋体"/>
          <w:color w:val="auto"/>
          <w:spacing w:val="0"/>
          <w:kern w:val="0"/>
          <w:sz w:val="28"/>
          <w:szCs w:val="28"/>
          <w:highlight w:val="none"/>
          <w:lang w:val="en-US" w:eastAsia="zh-CN"/>
        </w:rPr>
      </w:pPr>
      <w:bookmarkStart w:id="127" w:name="_Toc86124081"/>
    </w:p>
    <w:p w14:paraId="33909300">
      <w:pPr>
        <w:keepNext w:val="0"/>
        <w:keepLines w:val="0"/>
        <w:pageBreakBefore w:val="0"/>
        <w:widowControl/>
        <w:suppressLineNumbers w:val="0"/>
        <w:kinsoku/>
        <w:topLinePunct w:val="0"/>
        <w:autoSpaceDE/>
        <w:autoSpaceDN/>
        <w:bidi w:val="0"/>
        <w:spacing w:line="440" w:lineRule="exact"/>
        <w:ind w:left="0"/>
        <w:jc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53D0B5FA">
      <w:pPr>
        <w:keepNext w:val="0"/>
        <w:keepLines w:val="0"/>
        <w:pageBreakBefore w:val="0"/>
        <w:widowControl/>
        <w:suppressLineNumbers w:val="0"/>
        <w:kinsoku/>
        <w:topLinePunct w:val="0"/>
        <w:autoSpaceDE/>
        <w:autoSpaceDN/>
        <w:bidi w:val="0"/>
        <w:spacing w:line="440" w:lineRule="exact"/>
        <w:ind w:left="0"/>
        <w:jc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51D10607">
      <w:pPr>
        <w:keepNext w:val="0"/>
        <w:keepLines w:val="0"/>
        <w:pageBreakBefore w:val="0"/>
        <w:widowControl/>
        <w:suppressLineNumbers w:val="0"/>
        <w:kinsoku/>
        <w:topLinePunct w:val="0"/>
        <w:autoSpaceDE/>
        <w:autoSpaceDN/>
        <w:bidi w:val="0"/>
        <w:spacing w:line="440" w:lineRule="exact"/>
        <w:ind w:left="0"/>
        <w:jc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0C9D10FE">
      <w:pPr>
        <w:keepNext w:val="0"/>
        <w:keepLines w:val="0"/>
        <w:pageBreakBefore w:val="0"/>
        <w:widowControl/>
        <w:suppressLineNumbers w:val="0"/>
        <w:kinsoku/>
        <w:topLinePunct w:val="0"/>
        <w:autoSpaceDE/>
        <w:autoSpaceDN/>
        <w:bidi w:val="0"/>
        <w:spacing w:line="440" w:lineRule="exact"/>
        <w:ind w:left="0"/>
        <w:jc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4FBA4A01">
      <w:pPr>
        <w:keepNext w:val="0"/>
        <w:keepLines w:val="0"/>
        <w:pageBreakBefore w:val="0"/>
        <w:widowControl/>
        <w:suppressLineNumbers w:val="0"/>
        <w:kinsoku/>
        <w:topLinePunct w:val="0"/>
        <w:autoSpaceDE/>
        <w:autoSpaceDN/>
        <w:bidi w:val="0"/>
        <w:spacing w:line="440" w:lineRule="exact"/>
        <w:ind w:left="0"/>
        <w:jc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432EE7ED">
      <w:pPr>
        <w:keepNext w:val="0"/>
        <w:keepLines w:val="0"/>
        <w:pageBreakBefore w:val="0"/>
        <w:widowControl/>
        <w:suppressLineNumbers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color w:val="000000" w:themeColor="text1"/>
          <w:sz w:val="52"/>
          <w:szCs w:val="52"/>
          <w:highlight w:val="none"/>
          <w14:textFill>
            <w14:solidFill>
              <w14:schemeClr w14:val="tx1"/>
            </w14:solidFill>
          </w14:textFill>
        </w:rPr>
      </w:pPr>
      <w:r>
        <w:rPr>
          <w:rFonts w:hint="eastAsia" w:ascii="宋体" w:hAnsi="宋体" w:eastAsia="宋体" w:cs="宋体"/>
          <w:color w:val="000000" w:themeColor="text1"/>
          <w:kern w:val="0"/>
          <w:sz w:val="52"/>
          <w:szCs w:val="52"/>
          <w:highlight w:val="none"/>
          <w:lang w:val="en-US" w:eastAsia="zh-CN" w:bidi="ar"/>
          <w14:textFill>
            <w14:solidFill>
              <w14:schemeClr w14:val="tx1"/>
            </w14:solidFill>
          </w14:textFill>
        </w:rPr>
        <w:t>政府采购合同</w:t>
      </w:r>
    </w:p>
    <w:p w14:paraId="61B2F77F">
      <w:pPr>
        <w:keepNext w:val="0"/>
        <w:keepLines w:val="0"/>
        <w:pageBreakBefore w:val="0"/>
        <w:widowControl/>
        <w:suppressLineNumbers w:val="0"/>
        <w:kinsoku/>
        <w:topLinePunct w:val="0"/>
        <w:autoSpaceDE/>
        <w:autoSpaceDN/>
        <w:bidi w:val="0"/>
        <w:spacing w:line="440" w:lineRule="exact"/>
        <w:ind w:left="0"/>
        <w:jc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426446C0">
      <w:pPr>
        <w:keepNext w:val="0"/>
        <w:keepLines w:val="0"/>
        <w:pageBreakBefore w:val="0"/>
        <w:widowControl/>
        <w:suppressLineNumbers w:val="0"/>
        <w:kinsoku/>
        <w:topLinePunct w:val="0"/>
        <w:autoSpaceDE/>
        <w:autoSpaceDN/>
        <w:bidi w:val="0"/>
        <w:spacing w:line="440" w:lineRule="exact"/>
        <w:ind w:left="0"/>
        <w:jc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4CC090BF">
      <w:pPr>
        <w:keepNext w:val="0"/>
        <w:keepLines w:val="0"/>
        <w:pageBreakBefore w:val="0"/>
        <w:widowControl/>
        <w:suppressLineNumbers w:val="0"/>
        <w:kinsoku/>
        <w:topLinePunct w:val="0"/>
        <w:autoSpaceDE/>
        <w:autoSpaceDN/>
        <w:bidi w:val="0"/>
        <w:spacing w:line="440" w:lineRule="exact"/>
        <w:ind w:left="0" w:firstLine="840" w:firstLineChars="400"/>
        <w:jc w:val="left"/>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580B92C2">
      <w:pPr>
        <w:keepNext w:val="0"/>
        <w:keepLines w:val="0"/>
        <w:pageBreakBefore w:val="0"/>
        <w:widowControl/>
        <w:suppressLineNumbers w:val="0"/>
        <w:kinsoku/>
        <w:topLinePunct w:val="0"/>
        <w:autoSpaceDE/>
        <w:autoSpaceDN/>
        <w:bidi w:val="0"/>
        <w:spacing w:line="440" w:lineRule="exact"/>
        <w:ind w:left="0" w:firstLine="840" w:firstLineChars="4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项 目 名 称：</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昆明市公安局交通管理支队警用无人机装备采购</w:t>
      </w:r>
    </w:p>
    <w:p w14:paraId="5DA1329C">
      <w:pPr>
        <w:keepNext w:val="0"/>
        <w:keepLines w:val="0"/>
        <w:pageBreakBefore w:val="0"/>
        <w:widowControl/>
        <w:suppressLineNumbers w:val="0"/>
        <w:kinsoku/>
        <w:topLinePunct w:val="0"/>
        <w:autoSpaceDE/>
        <w:autoSpaceDN/>
        <w:bidi w:val="0"/>
        <w:spacing w:line="440" w:lineRule="exact"/>
        <w:ind w:left="0"/>
        <w:jc w:val="left"/>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0CFCF943">
      <w:pPr>
        <w:keepNext w:val="0"/>
        <w:keepLines w:val="0"/>
        <w:pageBreakBefore w:val="0"/>
        <w:widowControl/>
        <w:suppressLineNumbers w:val="0"/>
        <w:kinsoku/>
        <w:topLinePunct w:val="0"/>
        <w:autoSpaceDE/>
        <w:autoSpaceDN/>
        <w:bidi w:val="0"/>
        <w:spacing w:line="440" w:lineRule="exact"/>
        <w:ind w:left="0"/>
        <w:jc w:val="left"/>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482919D6">
      <w:pPr>
        <w:keepNext w:val="0"/>
        <w:keepLines w:val="0"/>
        <w:pageBreakBefore w:val="0"/>
        <w:widowControl/>
        <w:suppressLineNumbers w:val="0"/>
        <w:kinsoku/>
        <w:topLinePunct w:val="0"/>
        <w:autoSpaceDE/>
        <w:autoSpaceDN/>
        <w:bidi w:val="0"/>
        <w:spacing w:line="440" w:lineRule="exact"/>
        <w:ind w:left="0" w:firstLine="840" w:firstLineChars="400"/>
        <w:jc w:val="left"/>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合 同 编 号：</w:t>
      </w:r>
      <w:r>
        <w:rPr>
          <w:rFonts w:hint="eastAsia" w:ascii="宋体" w:hAnsi="宋体" w:eastAsia="宋体" w:cs="宋体"/>
          <w:color w:val="000000" w:themeColor="text1"/>
          <w:kern w:val="0"/>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（系统编号）</w:t>
      </w:r>
    </w:p>
    <w:p w14:paraId="3DB76514">
      <w:pPr>
        <w:keepNext w:val="0"/>
        <w:keepLines w:val="0"/>
        <w:pageBreakBefore w:val="0"/>
        <w:widowControl/>
        <w:suppressLineNumbers w:val="0"/>
        <w:kinsoku/>
        <w:topLinePunct w:val="0"/>
        <w:autoSpaceDE/>
        <w:autoSpaceDN/>
        <w:bidi w:val="0"/>
        <w:spacing w:line="440" w:lineRule="exact"/>
        <w:ind w:left="0" w:firstLine="840" w:firstLineChars="400"/>
        <w:jc w:val="left"/>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4F402066">
      <w:pPr>
        <w:keepNext w:val="0"/>
        <w:keepLines w:val="0"/>
        <w:pageBreakBefore w:val="0"/>
        <w:widowControl/>
        <w:suppressLineNumbers w:val="0"/>
        <w:kinsoku/>
        <w:topLinePunct w:val="0"/>
        <w:autoSpaceDE/>
        <w:autoSpaceDN/>
        <w:bidi w:val="0"/>
        <w:spacing w:line="440" w:lineRule="exact"/>
        <w:ind w:left="0"/>
        <w:jc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（自编号，如有）</w:t>
      </w:r>
    </w:p>
    <w:p w14:paraId="3A4DBD53">
      <w:pPr>
        <w:keepNext w:val="0"/>
        <w:keepLines w:val="0"/>
        <w:pageBreakBefore w:val="0"/>
        <w:widowControl/>
        <w:suppressLineNumbers w:val="0"/>
        <w:kinsoku/>
        <w:topLinePunct w:val="0"/>
        <w:autoSpaceDE/>
        <w:autoSpaceDN/>
        <w:bidi w:val="0"/>
        <w:spacing w:line="440" w:lineRule="exact"/>
        <w:ind w:left="0"/>
        <w:jc w:val="left"/>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2EDC33A9">
      <w:pPr>
        <w:keepNext w:val="0"/>
        <w:keepLines w:val="0"/>
        <w:pageBreakBefore w:val="0"/>
        <w:widowControl/>
        <w:suppressLineNumbers w:val="0"/>
        <w:kinsoku/>
        <w:topLinePunct w:val="0"/>
        <w:autoSpaceDE/>
        <w:autoSpaceDN/>
        <w:bidi w:val="0"/>
        <w:spacing w:line="440" w:lineRule="exact"/>
        <w:ind w:left="0" w:firstLine="840" w:firstLineChars="4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甲 方：</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昆明市公安局交通管理支队</w:t>
      </w:r>
    </w:p>
    <w:p w14:paraId="3ECA0C2C">
      <w:pPr>
        <w:keepNext w:val="0"/>
        <w:keepLines w:val="0"/>
        <w:pageBreakBefore w:val="0"/>
        <w:widowControl/>
        <w:suppressLineNumbers w:val="0"/>
        <w:kinsoku/>
        <w:topLinePunct w:val="0"/>
        <w:autoSpaceDE/>
        <w:autoSpaceDN/>
        <w:bidi w:val="0"/>
        <w:spacing w:line="440" w:lineRule="exact"/>
        <w:ind w:left="0"/>
        <w:jc w:val="left"/>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575390DE">
      <w:pPr>
        <w:keepNext w:val="0"/>
        <w:keepLines w:val="0"/>
        <w:pageBreakBefore w:val="0"/>
        <w:widowControl/>
        <w:suppressLineNumbers w:val="0"/>
        <w:kinsoku/>
        <w:topLinePunct w:val="0"/>
        <w:autoSpaceDE/>
        <w:autoSpaceDN/>
        <w:bidi w:val="0"/>
        <w:spacing w:line="440" w:lineRule="exact"/>
        <w:ind w:left="0"/>
        <w:jc w:val="left"/>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p>
    <w:p w14:paraId="54067F3F">
      <w:pPr>
        <w:keepNext w:val="0"/>
        <w:keepLines w:val="0"/>
        <w:pageBreakBefore w:val="0"/>
        <w:widowControl/>
        <w:suppressLineNumbers w:val="0"/>
        <w:kinsoku/>
        <w:topLinePunct w:val="0"/>
        <w:autoSpaceDE/>
        <w:autoSpaceDN/>
        <w:bidi w:val="0"/>
        <w:spacing w:line="440" w:lineRule="exact"/>
        <w:ind w:left="0" w:firstLine="840" w:firstLineChars="4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乙 方：</w:t>
      </w:r>
    </w:p>
    <w:p w14:paraId="1036690B">
      <w:pPr>
        <w:keepLines w:val="0"/>
        <w:pageBreakBefore w:val="0"/>
        <w:kinsoku/>
        <w:topLinePunct w:val="0"/>
        <w:autoSpaceDE/>
        <w:autoSpaceDN/>
        <w:bidi w:val="0"/>
        <w:spacing w:line="440" w:lineRule="exact"/>
        <w:ind w:left="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r>
    </w:p>
    <w:p w14:paraId="4241CA65">
      <w:pPr>
        <w:pStyle w:val="7"/>
        <w:adjustRightInd w:val="0"/>
        <w:snapToGrid w:val="0"/>
        <w:spacing w:beforeLines="0" w:line="400" w:lineRule="exact"/>
        <w:jc w:val="center"/>
        <w:rPr>
          <w:highlight w:val="none"/>
        </w:rPr>
      </w:pPr>
      <w:bookmarkStart w:id="128" w:name="_Toc22209"/>
      <w:bookmarkStart w:id="129" w:name="_Toc9919"/>
      <w:bookmarkStart w:id="130" w:name="_Toc6092"/>
      <w:r>
        <w:rPr>
          <w:rFonts w:hint="eastAsia" w:ascii="宋体" w:hAnsi="宋体" w:eastAsia="宋体" w:cs="宋体"/>
          <w:b w:val="0"/>
          <w:bCs w:val="0"/>
          <w:sz w:val="28"/>
          <w:szCs w:val="28"/>
          <w:highlight w:val="none"/>
        </w:rPr>
        <w:t>第一节 政府采购合同协议书</w:t>
      </w:r>
      <w:bookmarkEnd w:id="128"/>
      <w:bookmarkEnd w:id="129"/>
      <w:bookmarkEnd w:id="130"/>
    </w:p>
    <w:p w14:paraId="6A59F84C">
      <w:pPr>
        <w:jc w:val="center"/>
        <w:rPr>
          <w:rFonts w:hint="eastAsia"/>
          <w:highlight w:val="none"/>
          <w:lang w:eastAsia="zh-CN"/>
        </w:rPr>
      </w:pPr>
    </w:p>
    <w:p w14:paraId="4B53199E">
      <w:pPr>
        <w:jc w:val="center"/>
        <w:rPr>
          <w:rFonts w:hint="eastAsia" w:eastAsia="宋体"/>
          <w:sz w:val="21"/>
          <w:szCs w:val="21"/>
          <w:highlight w:val="none"/>
          <w:lang w:eastAsia="zh-CN"/>
        </w:rPr>
      </w:pPr>
      <w:r>
        <w:rPr>
          <w:rFonts w:hint="eastAsia"/>
          <w:sz w:val="21"/>
          <w:szCs w:val="21"/>
          <w:highlight w:val="none"/>
          <w:lang w:eastAsia="zh-CN"/>
        </w:rPr>
        <w:t>（合同文本仅作为格式模板参考，具体合同内容以双方正式签订合同为准）</w:t>
      </w:r>
    </w:p>
    <w:p w14:paraId="5FA48C96">
      <w:pPr>
        <w:keepNext w:val="0"/>
        <w:keepLines w:val="0"/>
        <w:pageBreakBefore w:val="0"/>
        <w:kinsoku/>
        <w:wordWrap/>
        <w:overflowPunct/>
        <w:topLinePunct w:val="0"/>
        <w:bidi w:val="0"/>
        <w:adjustRightInd w:val="0"/>
        <w:snapToGrid w:val="0"/>
        <w:spacing w:line="44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（采购人）</w:t>
      </w:r>
    </w:p>
    <w:p w14:paraId="7390B65C">
      <w:pPr>
        <w:keepNext w:val="0"/>
        <w:keepLines w:val="0"/>
        <w:pageBreakBefore w:val="0"/>
        <w:kinsoku/>
        <w:wordWrap/>
        <w:overflowPunct/>
        <w:topLinePunct w:val="0"/>
        <w:bidi w:val="0"/>
        <w:adjustRightInd w:val="0"/>
        <w:snapToGrid w:val="0"/>
        <w:spacing w:line="44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（供应商）</w:t>
      </w:r>
    </w:p>
    <w:p w14:paraId="1AA8B2BB">
      <w:pPr>
        <w:keepNext w:val="0"/>
        <w:keepLines w:val="0"/>
        <w:pageBreakBefore w:val="0"/>
        <w:kinsoku/>
        <w:wordWrap/>
        <w:overflowPunct/>
        <w:topLinePunct w:val="0"/>
        <w:bidi w:val="0"/>
        <w:spacing w:line="440" w:lineRule="exact"/>
        <w:textAlignment w:val="auto"/>
        <w:rPr>
          <w:rFonts w:hint="eastAsia" w:ascii="宋体" w:hAnsi="宋体" w:eastAsia="宋体" w:cs="宋体"/>
          <w:sz w:val="21"/>
          <w:szCs w:val="21"/>
          <w:highlight w:val="none"/>
          <w:lang w:val="en-US" w:eastAsia="zh-CN"/>
        </w:rPr>
      </w:pPr>
    </w:p>
    <w:p w14:paraId="37BDDDC8">
      <w:pPr>
        <w:pStyle w:val="18"/>
        <w:keepNext w:val="0"/>
        <w:keepLines w:val="0"/>
        <w:pageBreakBefore w:val="0"/>
        <w:kinsoku/>
        <w:wordWrap/>
        <w:overflowPunct/>
        <w:topLinePunct w:val="0"/>
        <w:bidi w:val="0"/>
        <w:adjustRightInd w:val="0"/>
        <w:snapToGrid w:val="0"/>
        <w:spacing w:after="0" w:line="44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依据《中华人民共和国民法典》</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《中华人民共和国政府采购法》等有关的法律法规，以及</w:t>
      </w:r>
      <w:r>
        <w:rPr>
          <w:rFonts w:hint="eastAsia" w:ascii="宋体" w:hAnsi="宋体" w:eastAsia="宋体" w:cs="宋体"/>
          <w:sz w:val="21"/>
          <w:szCs w:val="21"/>
          <w:highlight w:val="none"/>
          <w:lang w:eastAsia="zh-CN"/>
        </w:rPr>
        <w:t>本采购项目</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eastAsia="zh-CN"/>
        </w:rPr>
        <w:t>招标文件等</w:t>
      </w:r>
      <w:r>
        <w:rPr>
          <w:rFonts w:hint="eastAsia" w:ascii="宋体" w:hAnsi="宋体" w:eastAsia="宋体" w:cs="宋体"/>
          <w:sz w:val="21"/>
          <w:szCs w:val="21"/>
          <w:highlight w:val="none"/>
        </w:rPr>
        <w:t>采购文件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乙方的《</w:t>
      </w:r>
      <w:r>
        <w:rPr>
          <w:rFonts w:hint="eastAsia" w:ascii="宋体" w:hAnsi="宋体" w:eastAsia="宋体" w:cs="宋体"/>
          <w:sz w:val="21"/>
          <w:szCs w:val="21"/>
          <w:highlight w:val="none"/>
          <w:lang w:eastAsia="zh-CN"/>
        </w:rPr>
        <w:t>响应文件</w:t>
      </w:r>
      <w:r>
        <w:rPr>
          <w:rFonts w:hint="eastAsia" w:ascii="宋体" w:hAnsi="宋体" w:eastAsia="宋体" w:cs="宋体"/>
          <w:sz w:val="21"/>
          <w:szCs w:val="21"/>
          <w:highlight w:val="none"/>
        </w:rPr>
        <w:t>》及《</w:t>
      </w:r>
      <w:r>
        <w:rPr>
          <w:rFonts w:hint="eastAsia" w:ascii="宋体" w:hAnsi="宋体" w:eastAsia="宋体" w:cs="宋体"/>
          <w:sz w:val="21"/>
          <w:szCs w:val="21"/>
          <w:highlight w:val="none"/>
          <w:lang w:eastAsia="zh-CN"/>
        </w:rPr>
        <w:t>成交通知书</w:t>
      </w:r>
      <w:r>
        <w:rPr>
          <w:rFonts w:hint="eastAsia" w:ascii="宋体" w:hAnsi="宋体" w:eastAsia="宋体" w:cs="宋体"/>
          <w:sz w:val="21"/>
          <w:szCs w:val="21"/>
          <w:highlight w:val="none"/>
        </w:rPr>
        <w:t>》，甲乙双方同意签订本合同。具体情况及要求如下：</w:t>
      </w:r>
    </w:p>
    <w:p w14:paraId="5D7330F8">
      <w:pPr>
        <w:keepNext w:val="0"/>
        <w:keepLines w:val="0"/>
        <w:pageBreakBefore w:val="0"/>
        <w:numPr>
          <w:ilvl w:val="0"/>
          <w:numId w:val="1"/>
        </w:numPr>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项目信息</w:t>
      </w:r>
    </w:p>
    <w:p w14:paraId="4ADF16C4">
      <w:pPr>
        <w:pStyle w:val="18"/>
        <w:keepNext w:val="0"/>
        <w:keepLines w:val="0"/>
        <w:pageBreakBefore w:val="0"/>
        <w:numPr>
          <w:ilvl w:val="0"/>
          <w:numId w:val="2"/>
        </w:numPr>
        <w:kinsoku/>
        <w:wordWrap/>
        <w:overflowPunct/>
        <w:topLinePunct w:val="0"/>
        <w:bidi w:val="0"/>
        <w:adjustRightInd w:val="0"/>
        <w:snapToGrid w:val="0"/>
        <w:spacing w:after="0" w:line="440" w:lineRule="exact"/>
        <w:ind w:left="0" w:leftChars="0"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采购项目名称：</w:t>
      </w:r>
      <w:r>
        <w:rPr>
          <w:rFonts w:hint="eastAsia" w:ascii="宋体" w:hAnsi="宋体" w:eastAsia="宋体" w:cs="宋体"/>
          <w:sz w:val="21"/>
          <w:szCs w:val="21"/>
          <w:highlight w:val="none"/>
          <w:u w:val="single"/>
        </w:rPr>
        <w:t xml:space="preserve">                                          </w:t>
      </w:r>
    </w:p>
    <w:p w14:paraId="73F94CFD">
      <w:pPr>
        <w:pStyle w:val="18"/>
        <w:keepNext w:val="0"/>
        <w:keepLines w:val="0"/>
        <w:pageBreakBefore w:val="0"/>
        <w:numPr>
          <w:ilvl w:val="-1"/>
          <w:numId w:val="0"/>
        </w:numPr>
        <w:tabs>
          <w:tab w:val="left" w:pos="999"/>
        </w:tabs>
        <w:kinsoku/>
        <w:wordWrap/>
        <w:overflowPunct/>
        <w:topLinePunct w:val="0"/>
        <w:bidi w:val="0"/>
        <w:adjustRightInd w:val="0"/>
        <w:snapToGrid w:val="0"/>
        <w:spacing w:after="0" w:line="440" w:lineRule="exact"/>
        <w:ind w:left="0" w:leftChars="0" w:firstLine="0" w:firstLineChars="0"/>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         采购项目编号：</w:t>
      </w:r>
      <w:r>
        <w:rPr>
          <w:rFonts w:hint="eastAsia" w:ascii="宋体" w:hAnsi="宋体" w:eastAsia="宋体" w:cs="宋体"/>
          <w:sz w:val="21"/>
          <w:szCs w:val="21"/>
          <w:highlight w:val="none"/>
          <w:u w:val="single"/>
        </w:rPr>
        <w:t xml:space="preserve">                                          </w:t>
      </w:r>
    </w:p>
    <w:p w14:paraId="4FE68342">
      <w:pPr>
        <w:pStyle w:val="18"/>
        <w:keepNext w:val="0"/>
        <w:keepLines w:val="0"/>
        <w:pageBreakBefore w:val="0"/>
        <w:kinsoku/>
        <w:wordWrap/>
        <w:overflowPunct/>
        <w:topLinePunct w:val="0"/>
        <w:bidi w:val="0"/>
        <w:adjustRightInd w:val="0"/>
        <w:snapToGrid w:val="0"/>
        <w:spacing w:after="0" w:line="44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（2）采购计划编号：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04DD0C36">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（3）项目内容：</w:t>
      </w:r>
    </w:p>
    <w:p w14:paraId="06AD4479">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采购标的及数量</w:t>
      </w:r>
      <w:r>
        <w:rPr>
          <w:rFonts w:hint="eastAsia" w:ascii="宋体" w:hAnsi="宋体" w:eastAsia="宋体" w:cs="宋体"/>
          <w:sz w:val="21"/>
          <w:szCs w:val="21"/>
          <w:highlight w:val="none"/>
          <w:lang w:val="en-US" w:eastAsia="zh-CN"/>
        </w:rPr>
        <w:t>（台/套</w:t>
      </w:r>
      <w:r>
        <w:rPr>
          <w:rFonts w:hint="eastAsia" w:ascii="宋体" w:hAnsi="宋体" w:eastAsia="宋体" w:cs="宋体"/>
          <w:sz w:val="21"/>
          <w:szCs w:val="21"/>
          <w:highlight w:val="none"/>
          <w:lang w:val="en" w:eastAsia="zh-CN"/>
        </w:rPr>
        <w:t>/个/架/组等</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u w:val="single"/>
          <w:lang w:val="en-US" w:eastAsia="zh-CN"/>
        </w:rPr>
        <w:t xml:space="preserve">                    </w:t>
      </w:r>
    </w:p>
    <w:p w14:paraId="51B21537">
      <w:pPr>
        <w:keepNext w:val="0"/>
        <w:keepLines w:val="0"/>
        <w:pageBreakBefore w:val="0"/>
        <w:numPr>
          <w:ilvl w:val="-1"/>
          <w:numId w:val="0"/>
        </w:numPr>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 w:val="21"/>
          <w:szCs w:val="21"/>
          <w:highlight w:val="none"/>
          <w:lang w:val="en"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 w:eastAsia="zh-CN"/>
        </w:rPr>
        <w:t xml:space="preserve">     </w:t>
      </w:r>
      <w:r>
        <w:rPr>
          <w:rFonts w:hint="eastAsia" w:ascii="宋体" w:hAnsi="宋体" w:eastAsia="宋体" w:cs="宋体"/>
          <w:sz w:val="21"/>
          <w:szCs w:val="21"/>
          <w:highlight w:val="none"/>
          <w:lang w:val="en-US" w:eastAsia="zh-CN"/>
        </w:rPr>
        <w:t>规格型号：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p>
    <w:p w14:paraId="29A1333D">
      <w:pPr>
        <w:keepNext w:val="0"/>
        <w:keepLines w:val="0"/>
        <w:pageBreakBefore w:val="0"/>
        <w:kinsoku/>
        <w:wordWrap/>
        <w:overflowPunct/>
        <w:topLinePunct w:val="0"/>
        <w:bidi w:val="0"/>
        <w:adjustRightInd w:val="0"/>
        <w:snapToGrid w:val="0"/>
        <w:spacing w:line="440" w:lineRule="exact"/>
        <w:ind w:firstLine="945" w:firstLineChars="45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采购标的的技术要求、商务要求具体见附件。</w:t>
      </w:r>
    </w:p>
    <w:p w14:paraId="198A14BB">
      <w:pPr>
        <w:keepNext w:val="0"/>
        <w:keepLines w:val="0"/>
        <w:pageBreakBefore w:val="0"/>
        <w:numPr>
          <w:ilvl w:val="-1"/>
          <w:numId w:val="0"/>
        </w:numPr>
        <w:kinsoku/>
        <w:wordWrap/>
        <w:overflowPunct/>
        <w:topLinePunct w:val="0"/>
        <w:bidi w:val="0"/>
        <w:adjustRightInd w:val="0"/>
        <w:snapToGrid w:val="0"/>
        <w:spacing w:line="440" w:lineRule="exact"/>
        <w:ind w:firstLine="945" w:firstLineChars="45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①涉及信息类产品，请填写该产品关键部件的品牌、型号：</w:t>
      </w:r>
    </w:p>
    <w:p w14:paraId="29F0294D">
      <w:pPr>
        <w:keepNext w:val="0"/>
        <w:keepLines w:val="0"/>
        <w:pageBreakBefore w:val="0"/>
        <w:numPr>
          <w:ilvl w:val="-1"/>
          <w:numId w:val="0"/>
        </w:numPr>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kern w:val="0"/>
          <w:sz w:val="21"/>
          <w:szCs w:val="21"/>
          <w:highlight w:val="none"/>
          <w:u w:val="single"/>
          <w:lang w:val="en-US" w:eastAsia="zh-CN"/>
        </w:rPr>
      </w:pPr>
      <w:r>
        <w:rPr>
          <w:rFonts w:hint="eastAsia" w:ascii="宋体" w:hAnsi="宋体" w:eastAsia="宋体" w:cs="宋体"/>
          <w:sz w:val="21"/>
          <w:szCs w:val="21"/>
          <w:highlight w:val="none"/>
          <w:lang w:val="en-US" w:eastAsia="zh-CN"/>
        </w:rPr>
        <w:t xml:space="preserve">     标的名称：</w:t>
      </w:r>
      <w:r>
        <w:rPr>
          <w:rFonts w:hint="eastAsia" w:ascii="宋体" w:hAnsi="宋体" w:eastAsia="宋体" w:cs="宋体"/>
          <w:kern w:val="0"/>
          <w:sz w:val="21"/>
          <w:szCs w:val="21"/>
          <w:highlight w:val="none"/>
          <w:u w:val="single"/>
          <w:lang w:val="en-US" w:eastAsia="zh-CN"/>
        </w:rPr>
        <w:t xml:space="preserve">      </w:t>
      </w:r>
      <w:r>
        <w:rPr>
          <w:rFonts w:hint="eastAsia" w:ascii="宋体" w:hAnsi="宋体" w:eastAsia="宋体" w:cs="宋体"/>
          <w:kern w:val="0"/>
          <w:sz w:val="21"/>
          <w:szCs w:val="21"/>
          <w:highlight w:val="none"/>
          <w:u w:val="single"/>
          <w:lang w:val="en" w:eastAsia="zh-CN"/>
        </w:rPr>
        <w:t xml:space="preserve">               </w:t>
      </w:r>
      <w:r>
        <w:rPr>
          <w:rFonts w:hint="eastAsia" w:ascii="宋体" w:hAnsi="宋体" w:eastAsia="宋体" w:cs="宋体"/>
          <w:kern w:val="0"/>
          <w:sz w:val="21"/>
          <w:szCs w:val="21"/>
          <w:highlight w:val="none"/>
          <w:u w:val="single"/>
          <w:lang w:val="en-US" w:eastAsia="zh-CN"/>
        </w:rPr>
        <w:t xml:space="preserve">    </w:t>
      </w:r>
    </w:p>
    <w:p w14:paraId="3C929A68">
      <w:pPr>
        <w:keepNext w:val="0"/>
        <w:keepLines w:val="0"/>
        <w:pageBreakBefore w:val="0"/>
        <w:numPr>
          <w:ilvl w:val="-1"/>
          <w:numId w:val="0"/>
        </w:numPr>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     关键部件：</w:t>
      </w:r>
      <w:r>
        <w:rPr>
          <w:rFonts w:hint="eastAsia" w:ascii="宋体" w:hAnsi="宋体" w:eastAsia="宋体" w:cs="宋体"/>
          <w:kern w:val="0"/>
          <w:szCs w:val="21"/>
          <w:highlight w:val="none"/>
          <w:u w:val="single"/>
          <w:lang w:val="en-US" w:eastAsia="zh-CN"/>
        </w:rPr>
        <w:t xml:space="preserve">          </w:t>
      </w:r>
      <w:r>
        <w:rPr>
          <w:rFonts w:hint="eastAsia" w:ascii="宋体" w:hAnsi="宋体" w:eastAsia="宋体" w:cs="宋体"/>
          <w:kern w:val="0"/>
          <w:szCs w:val="21"/>
          <w:highlight w:val="none"/>
          <w:u w:val="none"/>
          <w:lang w:val="en-US" w:eastAsia="zh-CN"/>
        </w:rPr>
        <w:t xml:space="preserve"> </w:t>
      </w:r>
      <w:r>
        <w:rPr>
          <w:rFonts w:hint="eastAsia" w:ascii="宋体" w:hAnsi="宋体" w:eastAsia="宋体" w:cs="宋体"/>
          <w:szCs w:val="21"/>
          <w:highlight w:val="none"/>
          <w:lang w:val="en-US" w:eastAsia="zh-CN"/>
        </w:rPr>
        <w:t>品牌：</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lang w:val="en-US" w:eastAsia="zh-CN"/>
        </w:rPr>
        <w:t>型号：</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w:t>
      </w:r>
    </w:p>
    <w:p w14:paraId="10CAFFE3">
      <w:pPr>
        <w:pStyle w:val="172"/>
        <w:keepNext w:val="0"/>
        <w:keepLines w:val="0"/>
        <w:pageBreakBefore w:val="0"/>
        <w:kinsoku/>
        <w:wordWrap/>
        <w:overflowPunct/>
        <w:topLinePunct w:val="0"/>
        <w:bidi w:val="0"/>
        <w:spacing w:line="44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kern w:val="2"/>
          <w:sz w:val="21"/>
          <w:szCs w:val="21"/>
          <w:highlight w:val="none"/>
          <w:lang w:val="en-US" w:eastAsia="zh-CN"/>
        </w:rPr>
        <w:t>关键部件</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67464BB3">
      <w:pPr>
        <w:pStyle w:val="172"/>
        <w:keepNext w:val="0"/>
        <w:keepLines w:val="0"/>
        <w:pageBreakBefore w:val="0"/>
        <w:kinsoku/>
        <w:wordWrap/>
        <w:overflowPunct/>
        <w:topLinePunct w:val="0"/>
        <w:bidi w:val="0"/>
        <w:spacing w:line="44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p>
    <w:p w14:paraId="30E44EAF">
      <w:pPr>
        <w:pStyle w:val="172"/>
        <w:keepNext w:val="0"/>
        <w:keepLines w:val="0"/>
        <w:pageBreakBefore w:val="0"/>
        <w:numPr>
          <w:ilvl w:val="-1"/>
          <w:numId w:val="0"/>
        </w:numPr>
        <w:kinsoku/>
        <w:wordWrap/>
        <w:overflowPunct/>
        <w:topLinePunct w:val="0"/>
        <w:bidi w:val="0"/>
        <w:adjustRightInd w:val="0"/>
        <w:snapToGrid w:val="0"/>
        <w:spacing w:line="440" w:lineRule="exact"/>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1257E818">
      <w:pPr>
        <w:pStyle w:val="172"/>
        <w:keepNext w:val="0"/>
        <w:keepLines w:val="0"/>
        <w:pageBreakBefore w:val="0"/>
        <w:numPr>
          <w:ilvl w:val="-1"/>
          <w:numId w:val="0"/>
        </w:numPr>
        <w:kinsoku/>
        <w:wordWrap/>
        <w:overflowPunct/>
        <w:topLinePunct w:val="0"/>
        <w:bidi w:val="0"/>
        <w:adjustRightInd w:val="0"/>
        <w:snapToGrid w:val="0"/>
        <w:spacing w:line="440" w:lineRule="exact"/>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②涉及车辆采购，请填写是否属于新能源汽车：</w:t>
      </w:r>
    </w:p>
    <w:p w14:paraId="5E0736B7">
      <w:pPr>
        <w:pStyle w:val="172"/>
        <w:keepNext w:val="0"/>
        <w:keepLines w:val="0"/>
        <w:pageBreakBefore w:val="0"/>
        <w:numPr>
          <w:ilvl w:val="-1"/>
          <w:numId w:val="0"/>
        </w:numPr>
        <w:kinsoku/>
        <w:wordWrap/>
        <w:overflowPunct/>
        <w:topLinePunct w:val="0"/>
        <w:bidi w:val="0"/>
        <w:adjustRightInd w:val="0"/>
        <w:snapToGrid w:val="0"/>
        <w:spacing w:line="440" w:lineRule="exact"/>
        <w:ind w:firstLine="0" w:firstLineChars="0"/>
        <w:textAlignment w:val="auto"/>
        <w:rPr>
          <w:rFonts w:hint="eastAsia" w:ascii="宋体" w:hAnsi="宋体" w:eastAsia="宋体" w:cs="宋体"/>
          <w:iCs w:val="0"/>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，《政府采购品目分类目录》底级品目名称</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数量：</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金额：</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val="0"/>
          <w:sz w:val="21"/>
          <w:szCs w:val="21"/>
          <w:highlight w:val="none"/>
          <w:lang w:val="en-US" w:eastAsia="zh-CN"/>
        </w:rPr>
        <w:t xml:space="preserve"> </w:t>
      </w:r>
    </w:p>
    <w:p w14:paraId="000828F6">
      <w:pPr>
        <w:pStyle w:val="172"/>
        <w:keepNext w:val="0"/>
        <w:keepLines w:val="0"/>
        <w:pageBreakBefore w:val="0"/>
        <w:numPr>
          <w:ilvl w:val="-1"/>
          <w:numId w:val="0"/>
        </w:numPr>
        <w:kinsoku/>
        <w:wordWrap/>
        <w:overflowPunct/>
        <w:topLinePunct w:val="0"/>
        <w:bidi w:val="0"/>
        <w:adjustRightInd w:val="0"/>
        <w:snapToGrid w:val="0"/>
        <w:spacing w:line="440" w:lineRule="exact"/>
        <w:ind w:firstLine="0" w:firstLineChars="0"/>
        <w:textAlignment w:val="auto"/>
        <w:rPr>
          <w:rFonts w:hint="eastAsia" w:ascii="宋体" w:hAnsi="宋体" w:eastAsia="宋体" w:cs="宋体"/>
          <w:iCs w:val="0"/>
          <w:sz w:val="21"/>
          <w:szCs w:val="21"/>
          <w:highlight w:val="none"/>
          <w:lang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否</w:t>
      </w:r>
    </w:p>
    <w:p w14:paraId="30DC4896">
      <w:pPr>
        <w:pStyle w:val="172"/>
        <w:keepNext w:val="0"/>
        <w:keepLines w:val="0"/>
        <w:pageBreakBefore w:val="0"/>
        <w:numPr>
          <w:ilvl w:val="-1"/>
          <w:numId w:val="0"/>
        </w:numPr>
        <w:kinsoku/>
        <w:wordWrap/>
        <w:overflowPunct/>
        <w:topLinePunct w:val="0"/>
        <w:bidi w:val="0"/>
        <w:adjustRightInd w:val="0"/>
        <w:snapToGrid w:val="0"/>
        <w:spacing w:line="440" w:lineRule="exact"/>
        <w:ind w:left="0" w:firstLine="0" w:firstLineChars="0"/>
        <w:textAlignment w:val="auto"/>
        <w:rPr>
          <w:rFonts w:hint="eastAsia" w:ascii="宋体" w:hAnsi="宋体" w:eastAsia="宋体" w:cs="宋体"/>
          <w:iCs w:val="0"/>
          <w:sz w:val="21"/>
          <w:szCs w:val="21"/>
          <w:highlight w:val="none"/>
          <w:lang w:val="en-US"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lang w:val="en" w:eastAsia="zh-CN"/>
        </w:rPr>
        <w:t>4</w:t>
      </w:r>
      <w:r>
        <w:rPr>
          <w:rFonts w:hint="eastAsia" w:ascii="宋体" w:hAnsi="宋体" w:eastAsia="宋体" w:cs="宋体"/>
          <w:iCs w:val="0"/>
          <w:sz w:val="21"/>
          <w:szCs w:val="21"/>
          <w:highlight w:val="none"/>
          <w:lang w:val="en-US" w:eastAsia="zh-CN"/>
        </w:rPr>
        <w:t>）政府采购组织形式：</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政府集中采购</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val="en-US" w:eastAsia="zh-CN"/>
        </w:rPr>
        <w:t xml:space="preserve">部门集中采购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val="en-US" w:eastAsia="zh-CN"/>
        </w:rPr>
        <w:t>分散采购</w:t>
      </w:r>
    </w:p>
    <w:p w14:paraId="025852A7">
      <w:pPr>
        <w:pStyle w:val="172"/>
        <w:keepNext w:val="0"/>
        <w:keepLines w:val="0"/>
        <w:pageBreakBefore w:val="0"/>
        <w:numPr>
          <w:ilvl w:val="-1"/>
          <w:numId w:val="0"/>
        </w:numPr>
        <w:kinsoku/>
        <w:wordWrap/>
        <w:overflowPunct/>
        <w:topLinePunct w:val="0"/>
        <w:bidi w:val="0"/>
        <w:adjustRightInd w:val="0"/>
        <w:snapToGrid w:val="0"/>
        <w:spacing w:line="440" w:lineRule="exact"/>
        <w:ind w:left="0" w:firstLine="420" w:firstLineChars="0"/>
        <w:textAlignment w:val="auto"/>
        <w:rPr>
          <w:rFonts w:hint="eastAsia" w:ascii="宋体" w:hAnsi="宋体" w:eastAsia="宋体" w:cs="宋体"/>
          <w:iCs w:val="0"/>
          <w:sz w:val="21"/>
          <w:szCs w:val="21"/>
          <w:highlight w:val="none"/>
          <w:lang w:eastAsia="zh-CN"/>
        </w:rPr>
      </w:pPr>
      <w:r>
        <w:rPr>
          <w:rFonts w:hint="eastAsia" w:ascii="宋体" w:hAnsi="宋体" w:eastAsia="宋体" w:cs="宋体"/>
          <w:iCs w:val="0"/>
          <w:sz w:val="21"/>
          <w:szCs w:val="21"/>
          <w:highlight w:val="none"/>
          <w:lang w:val="en-US" w:eastAsia="zh-CN"/>
        </w:rPr>
        <w:t>（</w:t>
      </w:r>
      <w:r>
        <w:rPr>
          <w:rFonts w:hint="eastAsia" w:ascii="宋体" w:hAnsi="宋体" w:eastAsia="宋体" w:cs="宋体"/>
          <w:iCs w:val="0"/>
          <w:sz w:val="21"/>
          <w:szCs w:val="21"/>
          <w:highlight w:val="none"/>
          <w:lang w:val="en" w:eastAsia="zh-CN"/>
        </w:rPr>
        <w:t>5</w:t>
      </w:r>
      <w:r>
        <w:rPr>
          <w:rFonts w:hint="eastAsia" w:ascii="宋体" w:hAnsi="宋体" w:eastAsia="宋体" w:cs="宋体"/>
          <w:iCs w:val="0"/>
          <w:sz w:val="21"/>
          <w:szCs w:val="21"/>
          <w:highlight w:val="none"/>
          <w:lang w:val="en-US" w:eastAsia="zh-CN"/>
        </w:rPr>
        <w:t>）政府采购方式：</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公开招标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邀请招标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竞争性谈判</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竞争性磋商</w:t>
      </w:r>
    </w:p>
    <w:p w14:paraId="18D57FD1">
      <w:pPr>
        <w:pStyle w:val="172"/>
        <w:keepNext w:val="0"/>
        <w:keepLines w:val="0"/>
        <w:pageBreakBefore w:val="0"/>
        <w:numPr>
          <w:ilvl w:val="-1"/>
          <w:numId w:val="0"/>
        </w:numPr>
        <w:kinsoku/>
        <w:wordWrap/>
        <w:overflowPunct/>
        <w:topLinePunct w:val="0"/>
        <w:bidi w:val="0"/>
        <w:adjustRightInd w:val="0"/>
        <w:snapToGrid w:val="0"/>
        <w:spacing w:line="440" w:lineRule="exact"/>
        <w:ind w:left="0" w:firstLine="420" w:firstLineChars="0"/>
        <w:textAlignment w:val="auto"/>
        <w:rPr>
          <w:rFonts w:hint="eastAsia" w:ascii="宋体" w:hAnsi="宋体" w:eastAsia="宋体" w:cs="宋体"/>
          <w:iCs w:val="0"/>
          <w:sz w:val="21"/>
          <w:szCs w:val="21"/>
          <w:highlight w:val="none"/>
          <w:u w:val="single"/>
          <w:lang w:val="en-US" w:eastAsia="zh-CN"/>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询价</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单一来源</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框架协议</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其他：</w:t>
      </w:r>
      <w:r>
        <w:rPr>
          <w:rFonts w:hint="eastAsia" w:ascii="宋体" w:hAnsi="宋体" w:eastAsia="宋体" w:cs="宋体"/>
          <w:iCs w:val="0"/>
          <w:sz w:val="21"/>
          <w:szCs w:val="21"/>
          <w:highlight w:val="none"/>
          <w:u w:val="single"/>
          <w:lang w:val="en-US" w:eastAsia="zh-CN"/>
        </w:rPr>
        <w:t xml:space="preserve">          </w:t>
      </w:r>
    </w:p>
    <w:p w14:paraId="1DDC486F">
      <w:pPr>
        <w:pStyle w:val="172"/>
        <w:keepNext w:val="0"/>
        <w:keepLines w:val="0"/>
        <w:pageBreakBefore w:val="0"/>
        <w:numPr>
          <w:ilvl w:val="-1"/>
          <w:numId w:val="0"/>
        </w:numPr>
        <w:kinsoku/>
        <w:wordWrap/>
        <w:overflowPunct/>
        <w:topLinePunct w:val="0"/>
        <w:bidi w:val="0"/>
        <w:adjustRightInd w:val="0"/>
        <w:snapToGrid w:val="0"/>
        <w:spacing w:line="440" w:lineRule="exact"/>
        <w:ind w:left="0" w:firstLine="420" w:firstLineChars="0"/>
        <w:textAlignment w:val="auto"/>
        <w:rPr>
          <w:rFonts w:hint="eastAsia" w:ascii="宋体" w:hAnsi="宋体" w:eastAsia="宋体" w:cs="宋体"/>
          <w:iCs w:val="0"/>
          <w:sz w:val="21"/>
          <w:szCs w:val="21"/>
          <w:highlight w:val="none"/>
          <w:u w:val="none"/>
          <w:lang w:val="en-US" w:eastAsia="zh-CN"/>
        </w:rPr>
      </w:pPr>
      <w:r>
        <w:rPr>
          <w:rFonts w:hint="eastAsia" w:ascii="宋体" w:hAnsi="宋体" w:eastAsia="宋体" w:cs="宋体"/>
          <w:iCs w:val="0"/>
          <w:sz w:val="21"/>
          <w:szCs w:val="21"/>
          <w:highlight w:val="none"/>
          <w:u w:val="none"/>
          <w:lang w:val="en-US" w:eastAsia="zh-CN"/>
        </w:rPr>
        <w:t>（注：在框架协议采购的第二阶段，可选择使用该合同文本）</w:t>
      </w:r>
    </w:p>
    <w:p w14:paraId="1CECCB5B">
      <w:pPr>
        <w:pStyle w:val="172"/>
        <w:keepNext w:val="0"/>
        <w:keepLines w:val="0"/>
        <w:pageBreakBefore w:val="0"/>
        <w:numPr>
          <w:ilvl w:val="-1"/>
          <w:numId w:val="0"/>
        </w:numPr>
        <w:kinsoku/>
        <w:wordWrap/>
        <w:overflowPunct/>
        <w:topLinePunct w:val="0"/>
        <w:bidi w:val="0"/>
        <w:adjustRightInd w:val="0"/>
        <w:snapToGrid w:val="0"/>
        <w:spacing w:line="440" w:lineRule="exact"/>
        <w:ind w:firstLine="220" w:firstLineChars="100"/>
        <w:textAlignment w:val="auto"/>
        <w:rPr>
          <w:rFonts w:hint="eastAsia" w:ascii="宋体" w:hAnsi="宋体" w:eastAsia="宋体" w:cs="宋体"/>
          <w:w w:val="100"/>
          <w:kern w:val="2"/>
          <w:sz w:val="21"/>
          <w:szCs w:val="21"/>
          <w:highlight w:val="none"/>
          <w:lang w:val="en-US" w:eastAsia="zh-CN" w:bidi="ar-SA"/>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en" w:eastAsia="zh-CN"/>
        </w:rPr>
        <w:t>6</w:t>
      </w:r>
      <w:r>
        <w:rPr>
          <w:rFonts w:hint="eastAsia" w:ascii="宋体" w:hAnsi="宋体" w:eastAsia="宋体" w:cs="宋体"/>
          <w:szCs w:val="21"/>
          <w:highlight w:val="none"/>
          <w:lang w:val="en-US" w:eastAsia="zh-CN"/>
        </w:rPr>
        <w:t>）</w:t>
      </w:r>
      <w:r>
        <w:rPr>
          <w:rFonts w:hint="eastAsia" w:ascii="宋体" w:hAnsi="宋体" w:eastAsia="宋体" w:cs="宋体"/>
          <w:w w:val="100"/>
          <w:kern w:val="2"/>
          <w:sz w:val="21"/>
          <w:szCs w:val="21"/>
          <w:highlight w:val="none"/>
          <w:lang w:val="en-US" w:eastAsia="zh-CN" w:bidi="ar-SA"/>
        </w:rPr>
        <w:t>中标（成交）采购标的制造商是否为中小企业：</w:t>
      </w:r>
      <w:r>
        <w:rPr>
          <w:rFonts w:hint="eastAsia" w:ascii="宋体" w:hAnsi="宋体" w:eastAsia="宋体" w:cs="宋体"/>
          <w:w w:val="100"/>
          <w:kern w:val="2"/>
          <w:sz w:val="21"/>
          <w:szCs w:val="21"/>
          <w:highlight w:val="none"/>
          <w:lang w:val="en-US" w:eastAsia="zh-CN" w:bidi="ar-SA"/>
        </w:rPr>
        <w:sym w:font="Wingdings" w:char="00A8"/>
      </w:r>
      <w:r>
        <w:rPr>
          <w:rFonts w:hint="eastAsia" w:ascii="宋体" w:hAnsi="宋体" w:eastAsia="宋体" w:cs="宋体"/>
          <w:w w:val="100"/>
          <w:kern w:val="2"/>
          <w:sz w:val="21"/>
          <w:szCs w:val="21"/>
          <w:highlight w:val="none"/>
          <w:lang w:val="en-US" w:eastAsia="zh-CN" w:bidi="ar-SA"/>
        </w:rPr>
        <w:t xml:space="preserve">是      </w:t>
      </w:r>
      <w:r>
        <w:rPr>
          <w:rFonts w:hint="eastAsia" w:ascii="宋体" w:hAnsi="宋体" w:eastAsia="宋体" w:cs="宋体"/>
          <w:w w:val="100"/>
          <w:kern w:val="2"/>
          <w:sz w:val="21"/>
          <w:szCs w:val="21"/>
          <w:highlight w:val="none"/>
          <w:lang w:val="en-US" w:eastAsia="zh-CN" w:bidi="ar-SA"/>
        </w:rPr>
        <w:sym w:font="Wingdings" w:char="00A8"/>
      </w:r>
      <w:r>
        <w:rPr>
          <w:rFonts w:hint="eastAsia" w:ascii="宋体" w:hAnsi="宋体" w:eastAsia="宋体" w:cs="宋体"/>
          <w:w w:val="100"/>
          <w:kern w:val="2"/>
          <w:sz w:val="21"/>
          <w:szCs w:val="21"/>
          <w:highlight w:val="none"/>
          <w:lang w:val="en-US" w:eastAsia="zh-CN" w:bidi="ar-SA"/>
        </w:rPr>
        <w:t>否</w:t>
      </w:r>
    </w:p>
    <w:p w14:paraId="3DBFC00D">
      <w:pPr>
        <w:keepNext w:val="0"/>
        <w:keepLines w:val="0"/>
        <w:pageBreakBefore w:val="0"/>
        <w:numPr>
          <w:ilvl w:val="-1"/>
          <w:numId w:val="0"/>
        </w:numPr>
        <w:kinsoku/>
        <w:wordWrap/>
        <w:overflowPunct/>
        <w:topLinePunct w:val="0"/>
        <w:bidi w:val="0"/>
        <w:adjustRightInd w:val="0"/>
        <w:snapToGrid w:val="0"/>
        <w:spacing w:line="440" w:lineRule="exact"/>
        <w:ind w:left="0" w:leftChars="0" w:firstLine="0" w:firstLineChars="0"/>
        <w:textAlignment w:val="auto"/>
        <w:rPr>
          <w:rFonts w:hint="eastAsia" w:ascii="宋体" w:hAnsi="宋体" w:eastAsia="宋体" w:cs="宋体"/>
          <w:iCs/>
          <w:szCs w:val="21"/>
          <w:highlight w:val="none"/>
        </w:rPr>
      </w:pPr>
      <w:r>
        <w:rPr>
          <w:rFonts w:hint="eastAsia" w:ascii="宋体" w:hAnsi="宋体" w:eastAsia="宋体" w:cs="宋体"/>
          <w:w w:val="100"/>
          <w:szCs w:val="21"/>
          <w:highlight w:val="none"/>
          <w:lang w:val="en-US" w:eastAsia="zh-CN"/>
        </w:rPr>
        <w:t xml:space="preserve">         本合同</w:t>
      </w:r>
      <w:r>
        <w:rPr>
          <w:rFonts w:hint="eastAsia" w:ascii="宋体" w:hAnsi="宋体" w:eastAsia="宋体" w:cs="宋体"/>
          <w:w w:val="100"/>
          <w:szCs w:val="21"/>
          <w:highlight w:val="none"/>
        </w:rPr>
        <w:t>是否</w:t>
      </w:r>
      <w:r>
        <w:rPr>
          <w:rFonts w:hint="eastAsia" w:ascii="宋体" w:hAnsi="宋体" w:eastAsia="宋体" w:cs="宋体"/>
          <w:w w:val="100"/>
          <w:szCs w:val="21"/>
          <w:highlight w:val="none"/>
          <w:lang w:eastAsia="zh-CN"/>
        </w:rPr>
        <w:t>为专门面向</w:t>
      </w:r>
      <w:r>
        <w:rPr>
          <w:rFonts w:hint="eastAsia" w:ascii="宋体" w:hAnsi="宋体" w:eastAsia="宋体" w:cs="宋体"/>
          <w:w w:val="100"/>
          <w:szCs w:val="21"/>
          <w:highlight w:val="none"/>
        </w:rPr>
        <w:t>中小企业</w:t>
      </w:r>
      <w:r>
        <w:rPr>
          <w:rFonts w:hint="eastAsia" w:ascii="宋体" w:hAnsi="宋体" w:eastAsia="宋体" w:cs="宋体"/>
          <w:w w:val="100"/>
          <w:szCs w:val="21"/>
          <w:highlight w:val="none"/>
          <w:lang w:eastAsia="zh-CN"/>
        </w:rPr>
        <w:t>的采</w:t>
      </w:r>
      <w:r>
        <w:rPr>
          <w:rFonts w:hint="eastAsia" w:ascii="宋体" w:hAnsi="宋体" w:eastAsia="宋体" w:cs="宋体"/>
          <w:w w:val="100"/>
          <w:szCs w:val="21"/>
          <w:highlight w:val="none"/>
          <w:shd w:val="clear"/>
          <w:lang w:eastAsia="zh-CN"/>
        </w:rPr>
        <w:t>购</w:t>
      </w:r>
      <w:r>
        <w:rPr>
          <w:rFonts w:hint="eastAsia" w:ascii="宋体" w:hAnsi="宋体" w:eastAsia="宋体" w:cs="宋体"/>
          <w:w w:val="100"/>
          <w:szCs w:val="21"/>
          <w:highlight w:val="none"/>
          <w:shd w:val="clear"/>
        </w:rPr>
        <w:t>合同</w:t>
      </w:r>
      <w:r>
        <w:rPr>
          <w:rFonts w:hint="eastAsia" w:ascii="宋体" w:hAnsi="宋体" w:eastAsia="宋体" w:cs="宋体"/>
          <w:w w:val="100"/>
          <w:szCs w:val="21"/>
          <w:highlight w:val="none"/>
          <w:shd w:val="clear"/>
          <w:lang w:eastAsia="zh-CN"/>
        </w:rPr>
        <w:t>（中小企业预留合同）</w:t>
      </w:r>
      <w:r>
        <w:rPr>
          <w:rFonts w:hint="eastAsia" w:ascii="宋体" w:hAnsi="宋体" w:eastAsia="宋体" w:cs="宋体"/>
          <w:szCs w:val="21"/>
          <w:highlight w:val="none"/>
          <w:shd w:val="clear"/>
        </w:rPr>
        <w:t>：</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54C50662">
      <w:pPr>
        <w:keepNext w:val="0"/>
        <w:keepLines w:val="0"/>
        <w:pageBreakBefore w:val="0"/>
        <w:numPr>
          <w:ilvl w:val="-1"/>
          <w:numId w:val="0"/>
        </w:numPr>
        <w:kinsoku/>
        <w:wordWrap/>
        <w:overflowPunct/>
        <w:topLinePunct w:val="0"/>
        <w:bidi w:val="0"/>
        <w:adjustRightInd w:val="0"/>
        <w:snapToGrid w:val="0"/>
        <w:spacing w:line="440" w:lineRule="exact"/>
        <w:ind w:firstLine="0" w:firstLineChars="0"/>
        <w:textAlignment w:val="auto"/>
        <w:rPr>
          <w:rFonts w:hint="eastAsia" w:ascii="宋体" w:hAnsi="宋体" w:eastAsia="宋体" w:cs="宋体"/>
          <w:iCs/>
          <w:szCs w:val="21"/>
          <w:highlight w:val="none"/>
        </w:rPr>
      </w:pPr>
      <w:r>
        <w:rPr>
          <w:rFonts w:hint="eastAsia" w:ascii="宋体" w:hAnsi="宋体" w:eastAsia="宋体" w:cs="宋体"/>
          <w:highlight w:val="none"/>
          <w:lang w:val="en-US" w:eastAsia="zh-CN"/>
        </w:rPr>
        <w:t xml:space="preserve">         若本项目不专门面向中小企业采购，是否给予小微企业评审优惠：</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7955A259">
      <w:pPr>
        <w:keepNext w:val="0"/>
        <w:keepLines w:val="0"/>
        <w:pageBreakBefore w:val="0"/>
        <w:numPr>
          <w:ilvl w:val="-1"/>
          <w:numId w:val="0"/>
        </w:numPr>
        <w:kinsoku/>
        <w:wordWrap/>
        <w:overflowPunct/>
        <w:topLinePunct w:val="0"/>
        <w:bidi w:val="0"/>
        <w:adjustRightInd w:val="0"/>
        <w:snapToGrid w:val="0"/>
        <w:spacing w:line="440" w:lineRule="exact"/>
        <w:ind w:firstLine="0" w:firstLineChars="0"/>
        <w:textAlignment w:val="auto"/>
        <w:rPr>
          <w:rFonts w:hint="eastAsia" w:ascii="宋体" w:hAnsi="宋体" w:eastAsia="宋体" w:cs="宋体"/>
          <w:iCs/>
          <w:szCs w:val="21"/>
          <w:highlight w:val="none"/>
        </w:rPr>
      </w:pPr>
      <w:r>
        <w:rPr>
          <w:rFonts w:hint="eastAsia" w:ascii="宋体" w:hAnsi="宋体" w:eastAsia="宋体" w:cs="宋体"/>
          <w:highlight w:val="none"/>
          <w:lang w:val="en-US" w:eastAsia="zh-CN"/>
        </w:rPr>
        <w:t xml:space="preserve">         中标（成交）采购标的制造商是否为残疾人福利性单位：</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23005A81">
      <w:pPr>
        <w:keepNext w:val="0"/>
        <w:keepLines w:val="0"/>
        <w:pageBreakBefore w:val="0"/>
        <w:numPr>
          <w:ilvl w:val="0"/>
          <w:numId w:val="0"/>
        </w:numPr>
        <w:kinsoku/>
        <w:wordWrap/>
        <w:overflowPunct/>
        <w:topLinePunct w:val="0"/>
        <w:bidi w:val="0"/>
        <w:snapToGrid w:val="0"/>
        <w:spacing w:line="440" w:lineRule="exact"/>
        <w:ind w:firstLine="0" w:firstLineChars="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中标（成交）采购标的制造商是否为监狱企业：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69DD8DD6">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 w:eastAsia="zh-CN"/>
        </w:rPr>
        <w:t>7</w:t>
      </w:r>
      <w:r>
        <w:rPr>
          <w:rFonts w:hint="eastAsia" w:ascii="宋体" w:hAnsi="宋体" w:eastAsia="宋体" w:cs="宋体"/>
          <w:szCs w:val="21"/>
          <w:highlight w:val="none"/>
        </w:rPr>
        <w:t>）合同是否分包：</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0767EA64">
      <w:pPr>
        <w:keepNext w:val="0"/>
        <w:keepLines w:val="0"/>
        <w:pageBreakBefore w:val="0"/>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szCs w:val="21"/>
          <w:highlight w:val="none"/>
          <w:u w:val="single"/>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分包主要内容：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11B5B412">
      <w:pPr>
        <w:keepNext w:val="0"/>
        <w:keepLines w:val="0"/>
        <w:pageBreakBefore w:val="0"/>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szCs w:val="21"/>
          <w:highlight w:val="none"/>
          <w:u w:val="single"/>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rPr>
        <w:t>分包供应商</w:t>
      </w:r>
      <w:r>
        <w:rPr>
          <w:rFonts w:hint="eastAsia" w:ascii="宋体" w:hAnsi="宋体" w:eastAsia="宋体" w:cs="宋体"/>
          <w:szCs w:val="21"/>
          <w:highlight w:val="none"/>
          <w:lang w:eastAsia="zh-CN"/>
        </w:rPr>
        <w:t>/制造商</w:t>
      </w:r>
      <w:r>
        <w:rPr>
          <w:rFonts w:hint="eastAsia" w:ascii="宋体" w:hAnsi="宋体" w:eastAsia="宋体" w:cs="宋体"/>
          <w:szCs w:val="21"/>
          <w:highlight w:val="none"/>
        </w:rPr>
        <w:t>名称</w:t>
      </w:r>
      <w:r>
        <w:rPr>
          <w:rFonts w:hint="eastAsia" w:ascii="宋体" w:hAnsi="宋体" w:eastAsia="宋体" w:cs="宋体"/>
          <w:szCs w:val="21"/>
          <w:highlight w:val="none"/>
          <w:lang w:eastAsia="zh-CN"/>
        </w:rPr>
        <w:t>（如供应商和制造商不同，请分别填写）</w:t>
      </w:r>
      <w:r>
        <w:rPr>
          <w:rFonts w:hint="eastAsia" w:ascii="宋体" w:hAnsi="宋体" w:eastAsia="宋体" w:cs="宋体"/>
          <w:szCs w:val="21"/>
          <w:highlight w:val="none"/>
        </w:rPr>
        <w:t>：</w:t>
      </w:r>
      <w:r>
        <w:rPr>
          <w:rFonts w:hint="eastAsia" w:ascii="宋体" w:hAnsi="宋体" w:eastAsia="宋体" w:cs="宋体"/>
          <w:szCs w:val="21"/>
          <w:highlight w:val="none"/>
          <w:u w:val="single"/>
          <w:lang w:val="en-US" w:eastAsia="zh-CN"/>
        </w:rPr>
        <w:t xml:space="preserve"> </w:t>
      </w:r>
    </w:p>
    <w:p w14:paraId="50FAEDF8">
      <w:pPr>
        <w:keepNext w:val="0"/>
        <w:keepLines w:val="0"/>
        <w:pageBreakBefore w:val="0"/>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分包供应商</w:t>
      </w:r>
      <w:r>
        <w:rPr>
          <w:rFonts w:hint="eastAsia" w:ascii="宋体" w:hAnsi="宋体" w:eastAsia="宋体" w:cs="宋体"/>
          <w:szCs w:val="21"/>
          <w:highlight w:val="none"/>
          <w:lang w:val="en-US" w:eastAsia="zh-CN"/>
        </w:rPr>
        <w:t>/</w:t>
      </w:r>
      <w:r>
        <w:rPr>
          <w:rFonts w:hint="eastAsia" w:ascii="宋体" w:hAnsi="宋体" w:eastAsia="宋体" w:cs="宋体"/>
          <w:szCs w:val="21"/>
          <w:highlight w:val="none"/>
          <w:lang w:eastAsia="zh-CN"/>
        </w:rPr>
        <w:t>制造商</w:t>
      </w:r>
      <w:r>
        <w:rPr>
          <w:rFonts w:hint="eastAsia" w:ascii="宋体" w:hAnsi="宋体" w:eastAsia="宋体" w:cs="宋体"/>
          <w:szCs w:val="21"/>
          <w:highlight w:val="none"/>
        </w:rPr>
        <w:t>类型</w:t>
      </w:r>
      <w:r>
        <w:rPr>
          <w:rFonts w:hint="eastAsia" w:ascii="宋体" w:hAnsi="宋体" w:eastAsia="宋体" w:cs="宋体"/>
          <w:szCs w:val="21"/>
          <w:highlight w:val="none"/>
          <w:lang w:eastAsia="zh-CN"/>
        </w:rPr>
        <w:t>（如果供应商和制造商不同，只填写制造商类型）</w:t>
      </w:r>
      <w:r>
        <w:rPr>
          <w:rFonts w:hint="eastAsia" w:ascii="宋体" w:hAnsi="宋体" w:eastAsia="宋体" w:cs="宋体"/>
          <w:szCs w:val="21"/>
          <w:highlight w:val="none"/>
        </w:rPr>
        <w:t>：</w:t>
      </w:r>
    </w:p>
    <w:p w14:paraId="41215294">
      <w:pPr>
        <w:keepNext w:val="0"/>
        <w:keepLines w:val="0"/>
        <w:pageBreakBefore w:val="0"/>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iCs/>
          <w:szCs w:val="21"/>
          <w:highlight w:val="none"/>
          <w:lang w:val="en-US"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大型企业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中型企业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小微型企业</w:t>
      </w:r>
      <w:r>
        <w:rPr>
          <w:rFonts w:hint="eastAsia" w:ascii="宋体" w:hAnsi="宋体" w:eastAsia="宋体" w:cs="宋体"/>
          <w:iCs/>
          <w:szCs w:val="21"/>
          <w:highlight w:val="none"/>
          <w:lang w:val="en-US" w:eastAsia="zh-CN"/>
        </w:rPr>
        <w:t xml:space="preserve">  </w:t>
      </w:r>
    </w:p>
    <w:p w14:paraId="4E406999">
      <w:pPr>
        <w:keepNext w:val="0"/>
        <w:keepLines w:val="0"/>
        <w:pageBreakBefore w:val="0"/>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highlight w:val="none"/>
          <w:u w:val="none"/>
          <w:lang w:val="en-US"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残疾人福利性单位</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监狱</w:t>
      </w:r>
      <w:r>
        <w:rPr>
          <w:rFonts w:hint="eastAsia" w:ascii="宋体" w:hAnsi="宋体" w:eastAsia="宋体" w:cs="宋体"/>
          <w:iCs/>
          <w:szCs w:val="21"/>
          <w:highlight w:val="none"/>
        </w:rPr>
        <w:t>企业</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其他</w:t>
      </w:r>
    </w:p>
    <w:p w14:paraId="47E7DCD4">
      <w:pPr>
        <w:keepNext w:val="0"/>
        <w:keepLines w:val="0"/>
        <w:pageBreakBefore w:val="0"/>
        <w:numPr>
          <w:ilvl w:val="-1"/>
          <w:numId w:val="0"/>
        </w:numPr>
        <w:kinsoku/>
        <w:wordWrap/>
        <w:overflowPunct/>
        <w:topLinePunct w:val="0"/>
        <w:bidi w:val="0"/>
        <w:adjustRightInd w:val="0"/>
        <w:snapToGrid w:val="0"/>
        <w:spacing w:line="440" w:lineRule="exact"/>
        <w:ind w:left="0" w:leftChars="0" w:firstLine="0" w:firstLineChars="0"/>
        <w:textAlignment w:val="auto"/>
        <w:rPr>
          <w:rFonts w:hint="eastAsia" w:ascii="宋体" w:hAnsi="宋体" w:eastAsia="宋体" w:cs="宋体"/>
          <w:iCs/>
          <w:szCs w:val="21"/>
          <w:highlight w:val="none"/>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u w:val="none"/>
          <w:lang w:val="en" w:eastAsia="zh-CN"/>
        </w:rPr>
        <w:t>8</w:t>
      </w:r>
      <w:r>
        <w:rPr>
          <w:rFonts w:hint="eastAsia" w:ascii="宋体" w:hAnsi="宋体" w:eastAsia="宋体" w:cs="宋体"/>
          <w:szCs w:val="21"/>
          <w:highlight w:val="none"/>
          <w:u w:val="none"/>
          <w:lang w:val="en-US" w:eastAsia="zh-CN"/>
        </w:rPr>
        <w:t>）中标（成交）供应商是否为外商投资企业：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3A6A1904">
      <w:pPr>
        <w:pStyle w:val="172"/>
        <w:keepNext w:val="0"/>
        <w:keepLines w:val="0"/>
        <w:pageBreakBefore w:val="0"/>
        <w:tabs>
          <w:tab w:val="left" w:pos="1340"/>
        </w:tabs>
        <w:kinsoku/>
        <w:wordWrap/>
        <w:overflowPunct/>
        <w:topLinePunct w:val="0"/>
        <w:bidi w:val="0"/>
        <w:spacing w:line="440" w:lineRule="exact"/>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13A46D93">
      <w:pPr>
        <w:keepNext w:val="0"/>
        <w:keepLines w:val="0"/>
        <w:pageBreakBefore w:val="0"/>
        <w:numPr>
          <w:ilvl w:val="-1"/>
          <w:numId w:val="0"/>
        </w:numPr>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w:t>
      </w:r>
      <w:r>
        <w:rPr>
          <w:rFonts w:hint="eastAsia" w:ascii="宋体" w:hAnsi="宋体" w:eastAsia="宋体" w:cs="宋体"/>
          <w:b w:val="0"/>
          <w:bCs w:val="0"/>
          <w:sz w:val="21"/>
          <w:szCs w:val="21"/>
          <w:highlight w:val="none"/>
          <w:u w:val="none"/>
          <w:lang w:val="en" w:eastAsia="zh-CN"/>
        </w:rPr>
        <w:t>9</w:t>
      </w:r>
      <w:r>
        <w:rPr>
          <w:rFonts w:hint="eastAsia" w:ascii="宋体" w:hAnsi="宋体" w:eastAsia="宋体" w:cs="宋体"/>
          <w:b w:val="0"/>
          <w:bCs w:val="0"/>
          <w:sz w:val="21"/>
          <w:szCs w:val="21"/>
          <w:highlight w:val="none"/>
          <w:u w:val="none"/>
          <w:lang w:val="en-US" w:eastAsia="zh-CN"/>
        </w:rPr>
        <w:t>）是否涉及进口产品：</w:t>
      </w:r>
    </w:p>
    <w:p w14:paraId="448DE21D">
      <w:pPr>
        <w:keepNext w:val="0"/>
        <w:keepLines w:val="0"/>
        <w:pageBreakBefore w:val="0"/>
        <w:numPr>
          <w:ilvl w:val="-1"/>
          <w:numId w:val="0"/>
        </w:numPr>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szCs w:val="21"/>
          <w:highlight w:val="none"/>
          <w:u w:val="single"/>
          <w:lang w:val="en-US" w:eastAsia="zh-CN"/>
        </w:rPr>
      </w:pPr>
      <w:r>
        <w:rPr>
          <w:rFonts w:hint="eastAsia" w:ascii="宋体" w:hAnsi="宋体" w:eastAsia="宋体" w:cs="宋体"/>
          <w:iCs w:val="0"/>
          <w:szCs w:val="21"/>
          <w:highlight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是</w:t>
      </w:r>
      <w:r>
        <w:rPr>
          <w:rFonts w:hint="eastAsia" w:ascii="宋体" w:hAnsi="宋体" w:eastAsia="宋体" w:cs="宋体"/>
          <w:iCs w:val="0"/>
          <w:szCs w:val="21"/>
          <w:highlight w:val="none"/>
          <w:lang w:eastAsia="zh-CN"/>
        </w:rPr>
        <w:t>，《政府采购品目分类目录》底级品目名称</w:t>
      </w:r>
      <w:r>
        <w:rPr>
          <w:rFonts w:hint="eastAsia" w:ascii="宋体" w:hAnsi="宋体" w:eastAsia="宋体" w:cs="宋体"/>
          <w:szCs w:val="21"/>
          <w:highlight w:val="none"/>
          <w:lang w:val="en-US" w:eastAsia="zh-CN"/>
        </w:rPr>
        <w:t>：</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金额：</w:t>
      </w:r>
      <w:r>
        <w:rPr>
          <w:rFonts w:hint="eastAsia" w:ascii="宋体" w:hAnsi="宋体" w:eastAsia="宋体" w:cs="宋体"/>
          <w:szCs w:val="21"/>
          <w:highlight w:val="none"/>
          <w:u w:val="single"/>
          <w:lang w:val="en-US" w:eastAsia="zh-CN"/>
        </w:rPr>
        <w:t xml:space="preserve">        </w:t>
      </w:r>
    </w:p>
    <w:p w14:paraId="3A08282E">
      <w:pPr>
        <w:keepNext w:val="0"/>
        <w:keepLines w:val="0"/>
        <w:pageBreakBefore w:val="0"/>
        <w:numPr>
          <w:ilvl w:val="-1"/>
          <w:numId w:val="0"/>
        </w:numPr>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iCs w:val="0"/>
          <w:szCs w:val="21"/>
          <w:highlight w:val="none"/>
        </w:rPr>
      </w:pPr>
      <w:r>
        <w:rPr>
          <w:rFonts w:hint="eastAsia" w:ascii="宋体" w:hAnsi="宋体" w:eastAsia="宋体" w:cs="宋体"/>
          <w:szCs w:val="21"/>
          <w:highlight w:val="none"/>
          <w:lang w:val="en-US" w:eastAsia="zh-CN"/>
        </w:rPr>
        <w:t xml:space="preserve">        国别：</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品牌：</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规格型号：</w:t>
      </w:r>
      <w:r>
        <w:rPr>
          <w:rFonts w:hint="eastAsia" w:ascii="宋体" w:hAnsi="宋体" w:eastAsia="宋体" w:cs="宋体"/>
          <w:szCs w:val="21"/>
          <w:highlight w:val="none"/>
          <w:u w:val="single"/>
          <w:lang w:val="en-US" w:eastAsia="zh-CN"/>
        </w:rPr>
        <w:t xml:space="preserve">        </w:t>
      </w:r>
      <w:r>
        <w:rPr>
          <w:rFonts w:hint="eastAsia" w:ascii="宋体" w:hAnsi="宋体" w:eastAsia="宋体" w:cs="宋体"/>
          <w:iCs w:val="0"/>
          <w:szCs w:val="21"/>
          <w:highlight w:val="none"/>
        </w:rPr>
        <w:t xml:space="preserve">      </w:t>
      </w:r>
    </w:p>
    <w:p w14:paraId="38E7F803">
      <w:pPr>
        <w:keepNext w:val="0"/>
        <w:keepLines w:val="0"/>
        <w:pageBreakBefore w:val="0"/>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szCs w:val="21"/>
          <w:highlight w:val="none"/>
          <w:u w:val="none"/>
          <w:lang w:val="en-US" w:eastAsia="zh-CN"/>
        </w:rPr>
      </w:pPr>
      <w:r>
        <w:rPr>
          <w:rFonts w:hint="eastAsia" w:ascii="宋体" w:hAnsi="宋体" w:eastAsia="宋体" w:cs="宋体"/>
          <w:iCs w:val="0"/>
          <w:szCs w:val="21"/>
          <w:highlight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lang w:eastAsia="zh-CN"/>
        </w:rPr>
        <w:t>否</w:t>
      </w:r>
    </w:p>
    <w:p w14:paraId="5EA3CDCB">
      <w:pPr>
        <w:keepNext w:val="0"/>
        <w:keepLines w:val="0"/>
        <w:pageBreakBefore w:val="0"/>
        <w:numPr>
          <w:ilvl w:val="-1"/>
          <w:numId w:val="0"/>
        </w:numPr>
        <w:tabs>
          <w:tab w:val="left" w:pos="740"/>
        </w:tabs>
        <w:kinsoku/>
        <w:wordWrap/>
        <w:overflowPunct/>
        <w:topLinePunct w:val="0"/>
        <w:bidi w:val="0"/>
        <w:adjustRightInd w:val="0"/>
        <w:snapToGrid w:val="0"/>
        <w:spacing w:line="440" w:lineRule="exact"/>
        <w:ind w:left="0" w:firstLine="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（1</w:t>
      </w:r>
      <w:r>
        <w:rPr>
          <w:rFonts w:hint="eastAsia" w:ascii="宋体" w:hAnsi="宋体" w:eastAsia="宋体" w:cs="宋体"/>
          <w:b w:val="0"/>
          <w:bCs w:val="0"/>
          <w:sz w:val="21"/>
          <w:szCs w:val="21"/>
          <w:highlight w:val="none"/>
          <w:u w:val="none"/>
          <w:lang w:val="en" w:eastAsia="zh-CN"/>
        </w:rPr>
        <w:t>0</w:t>
      </w:r>
      <w:r>
        <w:rPr>
          <w:rFonts w:hint="eastAsia" w:ascii="宋体" w:hAnsi="宋体" w:eastAsia="宋体" w:cs="宋体"/>
          <w:b w:val="0"/>
          <w:bCs w:val="0"/>
          <w:sz w:val="21"/>
          <w:szCs w:val="21"/>
          <w:highlight w:val="none"/>
          <w:u w:val="none"/>
          <w:lang w:val="en-US" w:eastAsia="zh-CN"/>
        </w:rPr>
        <w:t>）是否涉及节能产品：</w:t>
      </w:r>
    </w:p>
    <w:p w14:paraId="435A1CF8">
      <w:pPr>
        <w:keepNext w:val="0"/>
        <w:keepLines w:val="0"/>
        <w:pageBreakBefore w:val="0"/>
        <w:numPr>
          <w:ilvl w:val="-1"/>
          <w:numId w:val="0"/>
        </w:numPr>
        <w:tabs>
          <w:tab w:val="left" w:pos="740"/>
        </w:tabs>
        <w:kinsoku/>
        <w:wordWrap/>
        <w:overflowPunct/>
        <w:topLinePunct w:val="0"/>
        <w:bidi w:val="0"/>
        <w:adjustRightInd w:val="0"/>
        <w:snapToGrid w:val="0"/>
        <w:spacing w:line="440" w:lineRule="exact"/>
        <w:ind w:firstLine="0" w:firstLineChars="0"/>
        <w:textAlignment w:val="auto"/>
        <w:rPr>
          <w:rFonts w:hint="eastAsia" w:ascii="宋体" w:hAnsi="宋体" w:eastAsia="宋体" w:cs="宋体"/>
          <w:iCs/>
          <w:szCs w:val="21"/>
          <w:highlight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是</w:t>
      </w:r>
      <w:r>
        <w:rPr>
          <w:rFonts w:hint="eastAsia" w:ascii="宋体" w:hAnsi="宋体" w:eastAsia="宋体" w:cs="宋体"/>
          <w:iCs w:val="0"/>
          <w:szCs w:val="21"/>
          <w:highlight w:val="none"/>
          <w:lang w:eastAsia="zh-CN"/>
        </w:rPr>
        <w:t>，《节能产品政府采购品目清单》的底级品目名称：</w:t>
      </w:r>
      <w:r>
        <w:rPr>
          <w:rFonts w:hint="eastAsia" w:ascii="宋体" w:hAnsi="宋体" w:eastAsia="宋体" w:cs="宋体"/>
          <w:szCs w:val="21"/>
          <w:highlight w:val="none"/>
          <w:u w:val="single"/>
          <w:lang w:val="en-US" w:eastAsia="zh-CN"/>
        </w:rPr>
        <w:t xml:space="preserve">         </w:t>
      </w:r>
      <w:r>
        <w:rPr>
          <w:rFonts w:hint="eastAsia" w:ascii="宋体" w:hAnsi="宋体" w:eastAsia="宋体" w:cs="宋体"/>
          <w:iCs/>
          <w:szCs w:val="21"/>
          <w:highlight w:val="none"/>
          <w:lang w:val="en-US" w:eastAsia="zh-CN"/>
        </w:rPr>
        <w:t xml:space="preserve">     </w:t>
      </w:r>
    </w:p>
    <w:p w14:paraId="7B0E887A">
      <w:pPr>
        <w:keepNext w:val="0"/>
        <w:keepLines w:val="0"/>
        <w:pageBreakBefore w:val="0"/>
        <w:numPr>
          <w:ilvl w:val="-1"/>
          <w:numId w:val="0"/>
        </w:numPr>
        <w:tabs>
          <w:tab w:val="left" w:pos="740"/>
        </w:tabs>
        <w:kinsoku/>
        <w:wordWrap/>
        <w:overflowPunct/>
        <w:topLinePunct w:val="0"/>
        <w:bidi w:val="0"/>
        <w:adjustRightInd w:val="0"/>
        <w:snapToGrid w:val="0"/>
        <w:spacing w:line="440" w:lineRule="exact"/>
        <w:ind w:firstLine="0" w:firstLineChars="0"/>
        <w:textAlignment w:val="auto"/>
        <w:rPr>
          <w:rFonts w:hint="eastAsia" w:ascii="宋体" w:hAnsi="宋体" w:eastAsia="宋体" w:cs="宋体"/>
          <w:iCs/>
          <w:szCs w:val="21"/>
          <w:highlight w:val="none"/>
          <w:lang w:val="en-US"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强制采购</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优先采购</w:t>
      </w:r>
      <w:r>
        <w:rPr>
          <w:rFonts w:hint="eastAsia" w:ascii="宋体" w:hAnsi="宋体" w:eastAsia="宋体" w:cs="宋体"/>
          <w:iCs/>
          <w:szCs w:val="21"/>
          <w:highlight w:val="none"/>
          <w:lang w:val="en-US" w:eastAsia="zh-CN"/>
        </w:rPr>
        <w:t xml:space="preserve">    </w:t>
      </w:r>
    </w:p>
    <w:p w14:paraId="5930BCDB">
      <w:pPr>
        <w:keepNext w:val="0"/>
        <w:keepLines w:val="0"/>
        <w:pageBreakBefore w:val="0"/>
        <w:numPr>
          <w:ilvl w:val="-1"/>
          <w:numId w:val="0"/>
        </w:numPr>
        <w:tabs>
          <w:tab w:val="left" w:pos="740"/>
        </w:tabs>
        <w:kinsoku/>
        <w:wordWrap/>
        <w:overflowPunct/>
        <w:topLinePunct w:val="0"/>
        <w:bidi w:val="0"/>
        <w:adjustRightInd w:val="0"/>
        <w:snapToGrid w:val="0"/>
        <w:spacing w:line="440" w:lineRule="exact"/>
        <w:ind w:firstLine="0" w:firstLineChars="0"/>
        <w:textAlignment w:val="auto"/>
        <w:rPr>
          <w:rFonts w:hint="eastAsia" w:ascii="宋体" w:hAnsi="宋体" w:eastAsia="宋体" w:cs="宋体"/>
          <w:iCs w:val="0"/>
          <w:szCs w:val="21"/>
          <w:highlight w:val="none"/>
        </w:rPr>
      </w:pPr>
      <w:r>
        <w:rPr>
          <w:rFonts w:hint="eastAsia" w:ascii="宋体" w:hAnsi="宋体" w:eastAsia="宋体" w:cs="宋体"/>
          <w:iCs/>
          <w:szCs w:val="21"/>
          <w:highlight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否</w:t>
      </w:r>
    </w:p>
    <w:p w14:paraId="1D8F2F65">
      <w:pPr>
        <w:keepNext w:val="0"/>
        <w:keepLines w:val="0"/>
        <w:pageBreakBefore w:val="0"/>
        <w:numPr>
          <w:ilvl w:val="-1"/>
          <w:numId w:val="0"/>
        </w:numPr>
        <w:tabs>
          <w:tab w:val="left" w:pos="740"/>
        </w:tabs>
        <w:kinsoku/>
        <w:wordWrap/>
        <w:overflowPunct/>
        <w:topLinePunct w:val="0"/>
        <w:bidi w:val="0"/>
        <w:adjustRightInd w:val="0"/>
        <w:snapToGrid w:val="0"/>
        <w:spacing w:line="440" w:lineRule="exact"/>
        <w:ind w:left="0" w:firstLine="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是否涉及环境标志产品：</w:t>
      </w:r>
    </w:p>
    <w:p w14:paraId="3DE41624">
      <w:pPr>
        <w:keepNext w:val="0"/>
        <w:keepLines w:val="0"/>
        <w:pageBreakBefore w:val="0"/>
        <w:numPr>
          <w:ilvl w:val="-1"/>
          <w:numId w:val="0"/>
        </w:numPr>
        <w:tabs>
          <w:tab w:val="left" w:pos="740"/>
        </w:tabs>
        <w:kinsoku/>
        <w:wordWrap/>
        <w:overflowPunct/>
        <w:topLinePunct w:val="0"/>
        <w:bidi w:val="0"/>
        <w:adjustRightInd w:val="0"/>
        <w:snapToGrid w:val="0"/>
        <w:spacing w:line="440" w:lineRule="exact"/>
        <w:ind w:firstLine="0" w:firstLineChars="0"/>
        <w:textAlignment w:val="auto"/>
        <w:rPr>
          <w:rFonts w:hint="eastAsia" w:ascii="宋体" w:hAnsi="宋体" w:eastAsia="宋体" w:cs="宋体"/>
          <w:iCs w:val="0"/>
          <w:szCs w:val="21"/>
          <w:highlight w:val="none"/>
          <w:lang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是</w:t>
      </w:r>
      <w:r>
        <w:rPr>
          <w:rFonts w:hint="eastAsia" w:ascii="宋体" w:hAnsi="宋体" w:eastAsia="宋体" w:cs="宋体"/>
          <w:iCs w:val="0"/>
          <w:szCs w:val="21"/>
          <w:highlight w:val="none"/>
          <w:lang w:eastAsia="zh-CN"/>
        </w:rPr>
        <w:t>，《环境标志产品政府采购品目清单》的底级品目名称：</w:t>
      </w:r>
      <w:r>
        <w:rPr>
          <w:rFonts w:hint="eastAsia" w:ascii="宋体" w:hAnsi="宋体" w:eastAsia="宋体" w:cs="宋体"/>
          <w:szCs w:val="21"/>
          <w:highlight w:val="none"/>
          <w:u w:val="single"/>
          <w:lang w:val="en-US" w:eastAsia="zh-CN"/>
        </w:rPr>
        <w:t xml:space="preserve">         </w:t>
      </w:r>
      <w:r>
        <w:rPr>
          <w:rFonts w:hint="eastAsia" w:ascii="宋体" w:hAnsi="宋体" w:eastAsia="宋体" w:cs="宋体"/>
          <w:iCs/>
          <w:szCs w:val="21"/>
          <w:highlight w:val="none"/>
          <w:lang w:val="en-US" w:eastAsia="zh-CN"/>
        </w:rPr>
        <w:t xml:space="preserve"> </w:t>
      </w:r>
    </w:p>
    <w:p w14:paraId="29AD436E">
      <w:pPr>
        <w:keepNext w:val="0"/>
        <w:keepLines w:val="0"/>
        <w:pageBreakBefore w:val="0"/>
        <w:numPr>
          <w:ilvl w:val="-1"/>
          <w:numId w:val="0"/>
        </w:numPr>
        <w:tabs>
          <w:tab w:val="left" w:pos="740"/>
        </w:tabs>
        <w:kinsoku/>
        <w:wordWrap/>
        <w:overflowPunct/>
        <w:topLinePunct w:val="0"/>
        <w:bidi w:val="0"/>
        <w:adjustRightInd w:val="0"/>
        <w:snapToGrid w:val="0"/>
        <w:spacing w:line="440" w:lineRule="exact"/>
        <w:ind w:firstLine="0" w:firstLineChars="0"/>
        <w:textAlignment w:val="auto"/>
        <w:rPr>
          <w:rFonts w:hint="eastAsia" w:ascii="宋体" w:hAnsi="宋体" w:eastAsia="宋体" w:cs="宋体"/>
          <w:iCs/>
          <w:szCs w:val="21"/>
          <w:highlight w:val="none"/>
          <w:lang w:val="en-US"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强制采购</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优先采购</w:t>
      </w:r>
      <w:r>
        <w:rPr>
          <w:rFonts w:hint="eastAsia" w:ascii="宋体" w:hAnsi="宋体" w:eastAsia="宋体" w:cs="宋体"/>
          <w:iCs/>
          <w:szCs w:val="21"/>
          <w:highlight w:val="none"/>
          <w:lang w:val="en-US" w:eastAsia="zh-CN"/>
        </w:rPr>
        <w:t xml:space="preserve">    </w:t>
      </w:r>
    </w:p>
    <w:p w14:paraId="3AD8909D">
      <w:pPr>
        <w:keepNext w:val="0"/>
        <w:keepLines w:val="0"/>
        <w:pageBreakBefore w:val="0"/>
        <w:numPr>
          <w:ilvl w:val="-1"/>
          <w:numId w:val="0"/>
        </w:numPr>
        <w:tabs>
          <w:tab w:val="left" w:pos="740"/>
        </w:tabs>
        <w:kinsoku/>
        <w:wordWrap/>
        <w:overflowPunct/>
        <w:topLinePunct w:val="0"/>
        <w:bidi w:val="0"/>
        <w:adjustRightInd w:val="0"/>
        <w:snapToGrid w:val="0"/>
        <w:spacing w:line="440" w:lineRule="exact"/>
        <w:ind w:firstLine="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否</w:t>
      </w:r>
    </w:p>
    <w:p w14:paraId="2267B6AE">
      <w:pPr>
        <w:pStyle w:val="172"/>
        <w:keepNext w:val="0"/>
        <w:keepLines w:val="0"/>
        <w:pageBreakBefore w:val="0"/>
        <w:numPr>
          <w:ilvl w:val="-1"/>
          <w:numId w:val="0"/>
        </w:numPr>
        <w:kinsoku/>
        <w:wordWrap/>
        <w:overflowPunct/>
        <w:topLinePunct w:val="0"/>
        <w:bidi w:val="0"/>
        <w:adjustRightInd w:val="0"/>
        <w:snapToGrid w:val="0"/>
        <w:spacing w:line="440" w:lineRule="exact"/>
        <w:ind w:firstLine="0" w:firstLineChars="0"/>
        <w:textAlignment w:val="auto"/>
        <w:rPr>
          <w:rFonts w:hint="eastAsia" w:ascii="宋体" w:hAnsi="宋体" w:eastAsia="宋体" w:cs="宋体"/>
          <w:iCs w:val="0"/>
          <w:kern w:val="2"/>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kern w:val="2"/>
          <w:sz w:val="21"/>
          <w:szCs w:val="21"/>
          <w:highlight w:val="none"/>
          <w:u w:val="none"/>
          <w:lang w:val="en-US" w:eastAsia="zh-CN"/>
        </w:rPr>
        <w:t>是否涉及绿色产品：</w:t>
      </w:r>
      <w:r>
        <w:rPr>
          <w:rFonts w:hint="eastAsia" w:ascii="宋体" w:hAnsi="宋体" w:eastAsia="宋体" w:cs="宋体"/>
          <w:iCs w:val="0"/>
          <w:kern w:val="2"/>
          <w:sz w:val="21"/>
          <w:szCs w:val="21"/>
          <w:highlight w:val="none"/>
          <w:u w:val="none"/>
          <w:lang w:val="en-US" w:eastAsia="zh-CN"/>
        </w:rPr>
        <w:t xml:space="preserve"> </w:t>
      </w:r>
    </w:p>
    <w:p w14:paraId="45A90ADF">
      <w:pPr>
        <w:pStyle w:val="172"/>
        <w:keepNext w:val="0"/>
        <w:keepLines w:val="0"/>
        <w:pageBreakBefore w:val="0"/>
        <w:kinsoku/>
        <w:wordWrap/>
        <w:overflowPunct/>
        <w:topLinePunct w:val="0"/>
        <w:bidi w:val="0"/>
        <w:spacing w:line="440" w:lineRule="exact"/>
        <w:ind w:firstLine="420" w:firstLineChars="0"/>
        <w:textAlignment w:val="auto"/>
        <w:rPr>
          <w:rFonts w:hint="eastAsia" w:ascii="宋体" w:hAnsi="宋体" w:eastAsia="宋体" w:cs="宋体"/>
          <w:szCs w:val="21"/>
          <w:highlight w:val="none"/>
          <w:u w:val="single"/>
          <w:lang w:val="en-US" w:eastAsia="zh-CN"/>
        </w:rPr>
      </w:pPr>
      <w:r>
        <w:rPr>
          <w:rFonts w:hint="eastAsia" w:ascii="宋体" w:hAnsi="宋体" w:eastAsia="宋体" w:cs="宋体"/>
          <w:iCs w:val="0"/>
          <w:kern w:val="2"/>
          <w:sz w:val="21"/>
          <w:szCs w:val="21"/>
          <w:highlight w:val="none"/>
          <w:u w:val="none"/>
          <w:lang w:val="en-US" w:eastAsia="zh-CN"/>
        </w:rPr>
        <w:t xml:space="preserve">     </w:t>
      </w:r>
      <w:r>
        <w:rPr>
          <w:rFonts w:hint="eastAsia" w:ascii="宋体" w:hAnsi="宋体" w:eastAsia="宋体" w:cs="宋体"/>
          <w:iCs w:val="0"/>
          <w:kern w:val="2"/>
          <w:sz w:val="21"/>
          <w:szCs w:val="21"/>
          <w:highlight w:val="none"/>
          <w:u w:val="none"/>
        </w:rPr>
        <w:sym w:font="Wingdings" w:char="00A8"/>
      </w:r>
      <w:r>
        <w:rPr>
          <w:rFonts w:hint="eastAsia" w:ascii="宋体" w:hAnsi="宋体" w:eastAsia="宋体" w:cs="宋体"/>
          <w:iCs w:val="0"/>
          <w:kern w:val="2"/>
          <w:sz w:val="21"/>
          <w:szCs w:val="21"/>
          <w:highlight w:val="none"/>
          <w:u w:val="none"/>
        </w:rPr>
        <w:t>是</w:t>
      </w:r>
      <w:r>
        <w:rPr>
          <w:rFonts w:hint="eastAsia" w:ascii="宋体" w:hAnsi="宋体" w:eastAsia="宋体" w:cs="宋体"/>
          <w:iCs w:val="0"/>
          <w:kern w:val="2"/>
          <w:sz w:val="21"/>
          <w:szCs w:val="21"/>
          <w:highlight w:val="none"/>
          <w:u w:val="none"/>
          <w:lang w:eastAsia="zh-CN"/>
        </w:rPr>
        <w:t>，绿色产品政府采购相关政策确定的底级品目名称：</w:t>
      </w:r>
      <w:r>
        <w:rPr>
          <w:rFonts w:hint="eastAsia" w:ascii="宋体" w:hAnsi="宋体" w:eastAsia="宋体" w:cs="宋体"/>
          <w:szCs w:val="21"/>
          <w:highlight w:val="none"/>
          <w:u w:val="single"/>
          <w:lang w:val="en-US" w:eastAsia="zh-CN"/>
        </w:rPr>
        <w:t xml:space="preserve">         </w:t>
      </w:r>
    </w:p>
    <w:p w14:paraId="4B33A254">
      <w:pPr>
        <w:keepNext w:val="0"/>
        <w:keepLines w:val="0"/>
        <w:pageBreakBefore w:val="0"/>
        <w:numPr>
          <w:ilvl w:val="-1"/>
          <w:numId w:val="0"/>
        </w:numPr>
        <w:tabs>
          <w:tab w:val="left" w:pos="740"/>
        </w:tabs>
        <w:kinsoku/>
        <w:wordWrap/>
        <w:overflowPunct/>
        <w:topLinePunct w:val="0"/>
        <w:bidi w:val="0"/>
        <w:adjustRightInd w:val="0"/>
        <w:snapToGrid w:val="0"/>
        <w:spacing w:line="440" w:lineRule="exact"/>
        <w:ind w:firstLine="0" w:firstLineChars="0"/>
        <w:textAlignment w:val="auto"/>
        <w:rPr>
          <w:rFonts w:hint="eastAsia" w:ascii="宋体" w:hAnsi="宋体" w:eastAsia="宋体" w:cs="宋体"/>
          <w:iCs/>
          <w:szCs w:val="21"/>
          <w:highlight w:val="none"/>
          <w:lang w:val="en-US"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强制采购</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优先采购</w:t>
      </w:r>
      <w:r>
        <w:rPr>
          <w:rFonts w:hint="eastAsia" w:ascii="宋体" w:hAnsi="宋体" w:eastAsia="宋体" w:cs="宋体"/>
          <w:iCs/>
          <w:szCs w:val="21"/>
          <w:highlight w:val="none"/>
          <w:lang w:val="en-US" w:eastAsia="zh-CN"/>
        </w:rPr>
        <w:t xml:space="preserve">    </w:t>
      </w:r>
    </w:p>
    <w:p w14:paraId="4B0FA7A2">
      <w:pPr>
        <w:pStyle w:val="172"/>
        <w:keepNext w:val="0"/>
        <w:keepLines w:val="0"/>
        <w:pageBreakBefore w:val="0"/>
        <w:kinsoku/>
        <w:wordWrap/>
        <w:overflowPunct/>
        <w:topLinePunct w:val="0"/>
        <w:bidi w:val="0"/>
        <w:spacing w:line="440" w:lineRule="exact"/>
        <w:ind w:firstLine="42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iCs w:val="0"/>
          <w:kern w:val="2"/>
          <w:sz w:val="21"/>
          <w:szCs w:val="21"/>
          <w:highlight w:val="none"/>
          <w:u w:val="none"/>
          <w:lang w:val="en-US" w:eastAsia="zh-CN"/>
        </w:rPr>
        <w:t xml:space="preserve">     </w:t>
      </w:r>
      <w:r>
        <w:rPr>
          <w:rFonts w:hint="eastAsia" w:ascii="宋体" w:hAnsi="宋体" w:eastAsia="宋体" w:cs="宋体"/>
          <w:iCs w:val="0"/>
          <w:kern w:val="2"/>
          <w:sz w:val="21"/>
          <w:szCs w:val="21"/>
          <w:highlight w:val="none"/>
          <w:u w:val="none"/>
        </w:rPr>
        <w:sym w:font="Wingdings" w:char="00A8"/>
      </w:r>
      <w:r>
        <w:rPr>
          <w:rFonts w:hint="eastAsia" w:ascii="宋体" w:hAnsi="宋体" w:eastAsia="宋体" w:cs="宋体"/>
          <w:iCs w:val="0"/>
          <w:kern w:val="2"/>
          <w:sz w:val="21"/>
          <w:szCs w:val="21"/>
          <w:highlight w:val="none"/>
          <w:u w:val="none"/>
        </w:rPr>
        <w:t>否</w:t>
      </w:r>
    </w:p>
    <w:p w14:paraId="285D3E80">
      <w:pPr>
        <w:keepNext w:val="0"/>
        <w:keepLines w:val="0"/>
        <w:pageBreakBefore w:val="0"/>
        <w:numPr>
          <w:ilvl w:val="-1"/>
          <w:numId w:val="0"/>
        </w:numPr>
        <w:kinsoku/>
        <w:wordWrap/>
        <w:overflowPunct/>
        <w:topLinePunct w:val="0"/>
        <w:bidi w:val="0"/>
        <w:adjustRightInd w:val="0"/>
        <w:snapToGrid w:val="0"/>
        <w:spacing w:line="440" w:lineRule="exact"/>
        <w:ind w:firstLine="0" w:firstLineChars="0"/>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    （1</w:t>
      </w:r>
      <w:r>
        <w:rPr>
          <w:rFonts w:hint="eastAsia" w:ascii="宋体" w:hAnsi="宋体" w:eastAsia="宋体" w:cs="宋体"/>
          <w:szCs w:val="21"/>
          <w:highlight w:val="none"/>
          <w:lang w:val="en" w:eastAsia="zh-CN"/>
        </w:rPr>
        <w:t>1</w:t>
      </w:r>
      <w:r>
        <w:rPr>
          <w:rFonts w:hint="eastAsia" w:ascii="宋体" w:hAnsi="宋体" w:eastAsia="宋体" w:cs="宋体"/>
          <w:szCs w:val="21"/>
          <w:highlight w:val="none"/>
          <w:lang w:val="en-US" w:eastAsia="zh-CN"/>
        </w:rPr>
        <w:t>）涉及商品包装和快递包装的，是否参考</w:t>
      </w:r>
      <w:r>
        <w:rPr>
          <w:rFonts w:hint="eastAsia" w:ascii="宋体" w:hAnsi="宋体" w:eastAsia="宋体" w:cs="宋体"/>
          <w:szCs w:val="21"/>
          <w:highlight w:val="none"/>
        </w:rPr>
        <w:t>《商品包装政府采购需求标准（试行）》、《快递包装政府采购需求标准（试行）》</w:t>
      </w:r>
      <w:r>
        <w:rPr>
          <w:rFonts w:hint="eastAsia" w:ascii="宋体" w:hAnsi="宋体" w:eastAsia="宋体" w:cs="宋体"/>
          <w:szCs w:val="21"/>
          <w:highlight w:val="none"/>
          <w:lang w:eastAsia="zh-CN"/>
        </w:rPr>
        <w:t>明确产品及相关快递服务的具体包装要求：</w:t>
      </w:r>
    </w:p>
    <w:p w14:paraId="6A4B412D">
      <w:pPr>
        <w:keepNext w:val="0"/>
        <w:keepLines w:val="0"/>
        <w:pageBreakBefore w:val="0"/>
        <w:numPr>
          <w:ilvl w:val="-1"/>
          <w:numId w:val="0"/>
        </w:numPr>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iCs w:val="0"/>
          <w:szCs w:val="21"/>
          <w:highlight w:val="none"/>
          <w:lang w:val="en-US" w:eastAsia="zh-CN"/>
        </w:rPr>
      </w:pP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 xml:space="preserve">是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否</w:t>
      </w:r>
      <w:r>
        <w:rPr>
          <w:rFonts w:hint="eastAsia" w:ascii="宋体" w:hAnsi="宋体" w:eastAsia="宋体" w:cs="宋体"/>
          <w:iCs w:val="0"/>
          <w:szCs w:val="21"/>
          <w:highlight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lang w:eastAsia="zh-CN"/>
        </w:rPr>
        <w:t>不涉及</w:t>
      </w:r>
    </w:p>
    <w:p w14:paraId="0A27BFAC">
      <w:pPr>
        <w:keepNext w:val="0"/>
        <w:keepLines w:val="0"/>
        <w:pageBreakBefore w:val="0"/>
        <w:numPr>
          <w:ilvl w:val="0"/>
          <w:numId w:val="1"/>
        </w:numPr>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
          <w:szCs w:val="21"/>
          <w:highlight w:val="none"/>
        </w:rPr>
      </w:pPr>
      <w:r>
        <w:rPr>
          <w:rFonts w:hint="eastAsia" w:ascii="宋体" w:hAnsi="宋体" w:eastAsia="宋体" w:cs="宋体"/>
          <w:b/>
          <w:szCs w:val="21"/>
          <w:highlight w:val="none"/>
        </w:rPr>
        <w:t>合同金额</w:t>
      </w:r>
    </w:p>
    <w:p w14:paraId="7A5EB1E3">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（1）合同金额小写：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0AD0709E">
      <w:pPr>
        <w:keepNext w:val="0"/>
        <w:keepLines w:val="0"/>
        <w:pageBreakBefore w:val="0"/>
        <w:kinsoku/>
        <w:wordWrap/>
        <w:overflowPunct/>
        <w:topLinePunct w:val="0"/>
        <w:bidi w:val="0"/>
        <w:adjustRightInd w:val="0"/>
        <w:snapToGrid w:val="0"/>
        <w:spacing w:line="440" w:lineRule="exact"/>
        <w:ind w:left="0" w:firstLine="0" w:firstLineChars="0"/>
        <w:textAlignment w:val="auto"/>
        <w:rPr>
          <w:rFonts w:hint="eastAsia" w:ascii="宋体" w:hAnsi="宋体" w:eastAsia="宋体" w:cs="宋体"/>
          <w:szCs w:val="21"/>
          <w:highlight w:val="none"/>
          <w:u w:val="single"/>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58F018CD">
      <w:pPr>
        <w:keepNext w:val="0"/>
        <w:keepLines w:val="0"/>
        <w:pageBreakBefore w:val="0"/>
        <w:kinsoku/>
        <w:wordWrap/>
        <w:overflowPunct/>
        <w:topLinePunct w:val="0"/>
        <w:bidi w:val="0"/>
        <w:adjustRightInd w:val="0"/>
        <w:snapToGrid w:val="0"/>
        <w:spacing w:line="440" w:lineRule="exact"/>
        <w:ind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分包金额</w:t>
      </w:r>
      <w:r>
        <w:rPr>
          <w:rFonts w:hint="eastAsia" w:ascii="宋体" w:hAnsi="宋体" w:eastAsia="宋体" w:cs="宋体"/>
          <w:szCs w:val="21"/>
          <w:highlight w:val="none"/>
          <w:lang w:eastAsia="zh-CN"/>
        </w:rPr>
        <w:t>（如有）</w:t>
      </w:r>
      <w:r>
        <w:rPr>
          <w:rFonts w:hint="eastAsia" w:ascii="宋体" w:hAnsi="宋体" w:eastAsia="宋体" w:cs="宋体"/>
          <w:szCs w:val="21"/>
          <w:highlight w:val="none"/>
        </w:rPr>
        <w:t>小写：</w:t>
      </w:r>
      <w:r>
        <w:rPr>
          <w:rFonts w:hint="eastAsia" w:ascii="宋体" w:hAnsi="宋体" w:eastAsia="宋体" w:cs="宋体"/>
          <w:szCs w:val="21"/>
          <w:highlight w:val="none"/>
          <w:u w:val="single"/>
        </w:rPr>
        <w:t xml:space="preserve">                   </w:t>
      </w:r>
    </w:p>
    <w:p w14:paraId="36139306">
      <w:pPr>
        <w:keepNext w:val="0"/>
        <w:keepLines w:val="0"/>
        <w:pageBreakBefore w:val="0"/>
        <w:kinsoku/>
        <w:wordWrap/>
        <w:overflowPunct/>
        <w:topLinePunct w:val="0"/>
        <w:bidi w:val="0"/>
        <w:adjustRightInd w:val="0"/>
        <w:snapToGrid w:val="0"/>
        <w:spacing w:line="440" w:lineRule="exact"/>
        <w:ind w:firstLine="0" w:firstLineChars="0"/>
        <w:textAlignment w:val="auto"/>
        <w:rPr>
          <w:rFonts w:hint="eastAsia" w:ascii="宋体" w:hAnsi="宋体" w:eastAsia="宋体" w:cs="宋体"/>
          <w:szCs w:val="21"/>
          <w:highlight w:val="none"/>
          <w:u w:val="single"/>
        </w:rPr>
      </w:pPr>
      <w:r>
        <w:rPr>
          <w:rFonts w:hint="eastAsia" w:ascii="宋体" w:hAnsi="宋体" w:eastAsia="宋体" w:cs="宋体"/>
          <w:szCs w:val="21"/>
          <w:highlight w:val="none"/>
          <w:lang w:val="en-US" w:eastAsia="zh-CN"/>
        </w:rPr>
        <w:t xml:space="preserve">                   </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63A1E02B">
      <w:pPr>
        <w:keepNext w:val="0"/>
        <w:keepLines w:val="0"/>
        <w:pageBreakBefore w:val="0"/>
        <w:kinsoku/>
        <w:wordWrap/>
        <w:overflowPunct/>
        <w:topLinePunct w:val="0"/>
        <w:bidi w:val="0"/>
        <w:adjustRightInd w:val="0"/>
        <w:snapToGrid w:val="0"/>
        <w:spacing w:line="440" w:lineRule="exact"/>
        <w:ind w:firstLine="0" w:firstLineChars="0"/>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    （注：固定单价合同应填写单价和最高限价）</w:t>
      </w:r>
    </w:p>
    <w:p w14:paraId="45D3FCEC">
      <w:pPr>
        <w:keepNext w:val="0"/>
        <w:keepLines w:val="0"/>
        <w:pageBreakBefore w:val="0"/>
        <w:numPr>
          <w:ilvl w:val="-1"/>
          <w:numId w:val="0"/>
        </w:numPr>
        <w:kinsoku/>
        <w:wordWrap/>
        <w:overflowPunct/>
        <w:topLinePunct w:val="0"/>
        <w:bidi w:val="0"/>
        <w:adjustRightInd w:val="0"/>
        <w:snapToGrid w:val="0"/>
        <w:spacing w:line="440" w:lineRule="exact"/>
        <w:ind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w:t>
      </w:r>
      <w:r>
        <w:rPr>
          <w:rFonts w:hint="eastAsia" w:ascii="宋体" w:hAnsi="宋体" w:eastAsia="宋体" w:cs="宋体"/>
          <w:szCs w:val="21"/>
          <w:highlight w:val="none"/>
        </w:rPr>
        <w:t>合同定价方式</w:t>
      </w:r>
      <w:r>
        <w:rPr>
          <w:rFonts w:hint="eastAsia" w:ascii="宋体" w:hAnsi="宋体" w:eastAsia="宋体" w:cs="宋体"/>
          <w:szCs w:val="21"/>
          <w:highlight w:val="none"/>
          <w:lang w:eastAsia="zh-CN"/>
        </w:rPr>
        <w:t>（采用组合定价方式的，可以勾选多项）</w:t>
      </w:r>
      <w:r>
        <w:rPr>
          <w:rFonts w:hint="eastAsia" w:ascii="宋体" w:hAnsi="宋体" w:eastAsia="宋体" w:cs="宋体"/>
          <w:szCs w:val="21"/>
          <w:highlight w:val="none"/>
        </w:rPr>
        <w:t>：</w:t>
      </w:r>
    </w:p>
    <w:p w14:paraId="066FEEDD">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lang w:eastAsia="zh-CN"/>
        </w:rPr>
      </w:pP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固定总价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固定单价</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固定费率</w:t>
      </w:r>
      <w:r>
        <w:rPr>
          <w:rFonts w:hint="eastAsia" w:ascii="宋体" w:hAnsi="宋体" w:eastAsia="宋体" w:cs="宋体"/>
          <w:iCs/>
          <w:szCs w:val="21"/>
          <w:highlight w:val="none"/>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成本补偿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绩效激励</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lang w:eastAsia="zh-CN"/>
        </w:rPr>
        <w:t>其他</w:t>
      </w:r>
      <w:r>
        <w:rPr>
          <w:rFonts w:hint="eastAsia" w:ascii="宋体" w:hAnsi="宋体" w:eastAsia="宋体" w:cs="宋体"/>
          <w:szCs w:val="21"/>
          <w:highlight w:val="none"/>
          <w:u w:val="single"/>
        </w:rPr>
        <w:t xml:space="preserve">       </w:t>
      </w:r>
    </w:p>
    <w:p w14:paraId="39BA7ACA">
      <w:pPr>
        <w:pStyle w:val="116"/>
        <w:keepNext w:val="0"/>
        <w:keepLines w:val="0"/>
        <w:pageBreakBefore w:val="0"/>
        <w:kinsoku/>
        <w:wordWrap/>
        <w:overflowPunct/>
        <w:topLinePunct w:val="0"/>
        <w:bidi w:val="0"/>
        <w:spacing w:line="440" w:lineRule="exact"/>
        <w:textAlignment w:val="auto"/>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）付款方式（按项目实际勾选填写）：</w:t>
      </w:r>
    </w:p>
    <w:p w14:paraId="1C14320E">
      <w:pPr>
        <w:keepNext w:val="0"/>
        <w:keepLines w:val="0"/>
        <w:pageBreakBefore w:val="0"/>
        <w:kinsoku/>
        <w:wordWrap/>
        <w:overflowPunct/>
        <w:topLinePunct w:val="0"/>
        <w:bidi w:val="0"/>
        <w:adjustRightInd w:val="0"/>
        <w:snapToGrid w:val="0"/>
        <w:spacing w:line="440" w:lineRule="exact"/>
        <w:ind w:firstLine="630" w:firstLineChars="300"/>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全额付款：</w:t>
      </w:r>
      <w:r>
        <w:rPr>
          <w:rFonts w:hint="eastAsia" w:ascii="宋体" w:hAnsi="宋体" w:eastAsia="宋体" w:cs="宋体"/>
          <w:szCs w:val="21"/>
          <w:highlight w:val="none"/>
          <w:u w:val="single"/>
        </w:rPr>
        <w:t xml:space="preserve">     （应</w:t>
      </w:r>
      <w:r>
        <w:rPr>
          <w:rFonts w:hint="eastAsia" w:ascii="宋体" w:hAnsi="宋体" w:eastAsia="宋体" w:cs="宋体"/>
          <w:szCs w:val="21"/>
          <w:highlight w:val="none"/>
          <w:u w:val="single"/>
          <w:lang w:eastAsia="zh-CN"/>
        </w:rPr>
        <w:t>明确</w:t>
      </w:r>
      <w:r>
        <w:rPr>
          <w:rFonts w:hint="eastAsia" w:ascii="宋体" w:hAnsi="宋体" w:eastAsia="宋体" w:cs="宋体"/>
          <w:szCs w:val="21"/>
          <w:highlight w:val="none"/>
          <w:u w:val="single"/>
        </w:rPr>
        <w:t>一次性支付合同款项</w:t>
      </w:r>
      <w:r>
        <w:rPr>
          <w:rFonts w:hint="eastAsia" w:ascii="宋体" w:hAnsi="宋体" w:eastAsia="宋体" w:cs="宋体"/>
          <w:szCs w:val="21"/>
          <w:highlight w:val="none"/>
          <w:u w:val="single"/>
          <w:lang w:eastAsia="zh-CN"/>
        </w:rPr>
        <w:t>的条件</w:t>
      </w:r>
      <w:r>
        <w:rPr>
          <w:rFonts w:hint="eastAsia" w:ascii="宋体" w:hAnsi="宋体" w:eastAsia="宋体" w:cs="宋体"/>
          <w:szCs w:val="21"/>
          <w:highlight w:val="none"/>
          <w:u w:val="single"/>
        </w:rPr>
        <w:t xml:space="preserve">）                    </w:t>
      </w:r>
    </w:p>
    <w:p w14:paraId="1B348A06">
      <w:pPr>
        <w:keepNext w:val="0"/>
        <w:keepLines w:val="0"/>
        <w:pageBreakBefore w:val="0"/>
        <w:kinsoku/>
        <w:wordWrap/>
        <w:overflowPunct/>
        <w:topLinePunct w:val="0"/>
        <w:bidi w:val="0"/>
        <w:snapToGrid w:val="0"/>
        <w:spacing w:line="440" w:lineRule="exact"/>
        <w:ind w:firstLine="630" w:firstLineChars="300"/>
        <w:textAlignment w:val="auto"/>
        <w:rPr>
          <w:rFonts w:hint="eastAsia" w:ascii="宋体" w:hAnsi="宋体" w:eastAsia="宋体" w:cs="宋体"/>
          <w:highlight w:val="non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分期付款：</w:t>
      </w:r>
      <w:r>
        <w:rPr>
          <w:rFonts w:hint="eastAsia" w:ascii="宋体" w:hAnsi="宋体" w:eastAsia="宋体" w:cs="宋体"/>
          <w:szCs w:val="21"/>
          <w:highlight w:val="none"/>
          <w:u w:val="single"/>
        </w:rPr>
        <w:t xml:space="preserve">  （应明确分期支付合同款项的各期比例和支付条件</w:t>
      </w:r>
      <w:r>
        <w:rPr>
          <w:rFonts w:hint="eastAsia" w:ascii="宋体" w:hAnsi="宋体" w:eastAsia="宋体" w:cs="宋体"/>
          <w:szCs w:val="21"/>
          <w:highlight w:val="none"/>
          <w:u w:val="single"/>
          <w:lang w:eastAsia="zh-CN"/>
        </w:rPr>
        <w:t>，各期支付条件应与分期履约验收情况挂钩</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none"/>
          <w:lang w:eastAsia="zh-CN"/>
        </w:rPr>
        <w:t>，</w:t>
      </w:r>
      <w:r>
        <w:rPr>
          <w:rFonts w:hint="eastAsia" w:ascii="宋体" w:hAnsi="宋体" w:eastAsia="宋体" w:cs="宋体"/>
          <w:szCs w:val="21"/>
          <w:highlight w:val="none"/>
          <w:lang w:eastAsia="zh-CN"/>
        </w:rPr>
        <w:t>其中涉及预付款的</w:t>
      </w:r>
      <w:r>
        <w:rPr>
          <w:rFonts w:hint="eastAsia" w:ascii="宋体" w:hAnsi="宋体" w:eastAsia="宋体" w:cs="宋体"/>
          <w:szCs w:val="21"/>
          <w:highlight w:val="none"/>
        </w:rPr>
        <w:t>：</w:t>
      </w:r>
      <w:r>
        <w:rPr>
          <w:rFonts w:hint="eastAsia" w:ascii="宋体" w:hAnsi="宋体" w:eastAsia="宋体" w:cs="宋体"/>
          <w:szCs w:val="21"/>
          <w:highlight w:val="none"/>
          <w:u w:val="single"/>
        </w:rPr>
        <w:t xml:space="preserve"> （应明确预付款的支付比例和支付条件） </w:t>
      </w:r>
    </w:p>
    <w:p w14:paraId="417EAF01">
      <w:pPr>
        <w:keepNext w:val="0"/>
        <w:keepLines w:val="0"/>
        <w:pageBreakBefore w:val="0"/>
        <w:kinsoku/>
        <w:wordWrap/>
        <w:overflowPunct/>
        <w:topLinePunct w:val="0"/>
        <w:bidi w:val="0"/>
        <w:adjustRightInd w:val="0"/>
        <w:snapToGrid w:val="0"/>
        <w:spacing w:line="440" w:lineRule="exact"/>
        <w:ind w:firstLine="630" w:firstLineChars="300"/>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成本补偿：</w:t>
      </w:r>
      <w:r>
        <w:rPr>
          <w:rFonts w:hint="eastAsia" w:ascii="宋体" w:hAnsi="宋体" w:eastAsia="宋体" w:cs="宋体"/>
          <w:szCs w:val="21"/>
          <w:highlight w:val="none"/>
          <w:u w:val="single"/>
        </w:rPr>
        <w:t xml:space="preserve">      （应明确按照成本补偿方式的支付方式和支付条件）   </w:t>
      </w:r>
    </w:p>
    <w:p w14:paraId="48B326B0">
      <w:pPr>
        <w:keepNext w:val="0"/>
        <w:keepLines w:val="0"/>
        <w:pageBreakBefore w:val="0"/>
        <w:kinsoku/>
        <w:wordWrap/>
        <w:overflowPunct/>
        <w:topLinePunct w:val="0"/>
        <w:bidi w:val="0"/>
        <w:adjustRightInd w:val="0"/>
        <w:snapToGrid w:val="0"/>
        <w:spacing w:line="440" w:lineRule="exact"/>
        <w:ind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绩效激励：</w:t>
      </w:r>
      <w:r>
        <w:rPr>
          <w:rFonts w:hint="eastAsia" w:ascii="宋体" w:hAnsi="宋体" w:eastAsia="宋体" w:cs="宋体"/>
          <w:szCs w:val="21"/>
          <w:highlight w:val="none"/>
          <w:u w:val="single"/>
        </w:rPr>
        <w:t xml:space="preserve">      （应明确按照绩效激励方式的支付方式和支付条件）   </w:t>
      </w:r>
    </w:p>
    <w:p w14:paraId="0BDD7517">
      <w:pPr>
        <w:keepNext w:val="0"/>
        <w:keepLines w:val="0"/>
        <w:pageBreakBefore w:val="0"/>
        <w:numPr>
          <w:ilvl w:val="0"/>
          <w:numId w:val="1"/>
        </w:numPr>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
          <w:bCs w:val="0"/>
          <w:szCs w:val="21"/>
          <w:highlight w:val="none"/>
          <w:u w:val="single"/>
        </w:rPr>
      </w:pPr>
      <w:r>
        <w:rPr>
          <w:rFonts w:hint="eastAsia" w:ascii="宋体" w:hAnsi="宋体" w:eastAsia="宋体" w:cs="宋体"/>
          <w:b/>
          <w:bCs w:val="0"/>
          <w:szCs w:val="21"/>
          <w:highlight w:val="none"/>
        </w:rPr>
        <w:t>合同履行</w:t>
      </w:r>
    </w:p>
    <w:p w14:paraId="0C46F9DD">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1E6B35D2">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（2）</w:t>
      </w:r>
      <w:r>
        <w:rPr>
          <w:rFonts w:hint="eastAsia" w:ascii="宋体" w:hAnsi="宋体" w:eastAsia="宋体" w:cs="宋体"/>
          <w:szCs w:val="21"/>
          <w:highlight w:val="none"/>
          <w:lang w:eastAsia="zh-CN"/>
        </w:rPr>
        <w:t>履约</w:t>
      </w:r>
      <w:r>
        <w:rPr>
          <w:rFonts w:hint="eastAsia" w:ascii="宋体" w:hAnsi="宋体" w:eastAsia="宋体" w:cs="宋体"/>
          <w:szCs w:val="21"/>
          <w:highlight w:val="none"/>
        </w:rPr>
        <w:t>地点</w:t>
      </w:r>
      <w:r>
        <w:rPr>
          <w:rFonts w:hint="eastAsia" w:ascii="宋体" w:hAnsi="宋体" w:eastAsia="宋体" w:cs="宋体"/>
          <w:b w:val="0"/>
          <w:bCs/>
          <w:szCs w:val="21"/>
          <w:highlight w:val="none"/>
        </w:rPr>
        <w:t>：</w:t>
      </w:r>
      <w:r>
        <w:rPr>
          <w:rFonts w:hint="eastAsia" w:ascii="宋体" w:hAnsi="宋体" w:eastAsia="宋体" w:cs="宋体"/>
          <w:szCs w:val="21"/>
          <w:highlight w:val="none"/>
          <w:u w:val="single"/>
        </w:rPr>
        <w:t xml:space="preserve">                             </w:t>
      </w:r>
    </w:p>
    <w:p w14:paraId="5FBFE3A4">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bCs/>
          <w:szCs w:val="21"/>
          <w:highlight w:val="none"/>
        </w:rPr>
        <w:t>（3）履约担保：</w:t>
      </w:r>
      <w:r>
        <w:rPr>
          <w:rFonts w:hint="eastAsia" w:ascii="宋体" w:hAnsi="宋体" w:eastAsia="宋体" w:cs="宋体"/>
          <w:sz w:val="21"/>
          <w:highlight w:val="none"/>
          <w:lang w:val="en-US" w:eastAsia="zh-CN"/>
        </w:rPr>
        <w:t>是否收取履约保证金：</w:t>
      </w: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lang w:eastAsia="zh-CN"/>
        </w:rPr>
        <w:t>是</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lang w:eastAsia="zh-CN"/>
        </w:rPr>
        <w:t>否</w:t>
      </w:r>
    </w:p>
    <w:p w14:paraId="4A5C8A74">
      <w:pPr>
        <w:pStyle w:val="172"/>
        <w:keepNext w:val="0"/>
        <w:keepLines w:val="0"/>
        <w:pageBreakBefore w:val="0"/>
        <w:kinsoku/>
        <w:wordWrap/>
        <w:overflowPunct/>
        <w:topLinePunct w:val="0"/>
        <w:bidi w:val="0"/>
        <w:spacing w:line="440" w:lineRule="exact"/>
        <w:textAlignment w:val="auto"/>
        <w:rPr>
          <w:rFonts w:hint="eastAsia" w:ascii="宋体" w:hAnsi="宋体" w:eastAsia="宋体" w:cs="宋体"/>
          <w:sz w:val="21"/>
          <w:highlight w:val="none"/>
          <w:lang w:val="en-US" w:eastAsia="zh-CN"/>
        </w:rPr>
      </w:pPr>
      <w:r>
        <w:rPr>
          <w:rFonts w:hint="eastAsia" w:ascii="宋体" w:hAnsi="宋体" w:eastAsia="宋体" w:cs="宋体"/>
          <w:bCs/>
          <w:szCs w:val="21"/>
          <w:highlight w:val="none"/>
          <w:u w:val="none"/>
          <w:lang w:val="en-US" w:eastAsia="zh-CN"/>
        </w:rPr>
        <w:t xml:space="preserve">  </w:t>
      </w:r>
      <w:r>
        <w:rPr>
          <w:rFonts w:hint="eastAsia" w:ascii="宋体" w:hAnsi="宋体" w:eastAsia="宋体" w:cs="宋体"/>
          <w:sz w:val="21"/>
          <w:highlight w:val="none"/>
          <w:lang w:val="en-US" w:eastAsia="zh-CN"/>
        </w:rPr>
        <w:t xml:space="preserve">  收取履约保证金形式：</w:t>
      </w:r>
      <w:r>
        <w:rPr>
          <w:rFonts w:hint="eastAsia" w:ascii="宋体" w:hAnsi="宋体" w:eastAsia="宋体" w:cs="宋体"/>
          <w:bCs/>
          <w:sz w:val="21"/>
          <w:szCs w:val="21"/>
          <w:highlight w:val="none"/>
          <w:u w:val="single"/>
        </w:rPr>
        <w:t xml:space="preserve">                            </w:t>
      </w:r>
    </w:p>
    <w:p w14:paraId="033B0C2D">
      <w:pPr>
        <w:pStyle w:val="172"/>
        <w:keepNext w:val="0"/>
        <w:keepLines w:val="0"/>
        <w:pageBreakBefore w:val="0"/>
        <w:kinsoku/>
        <w:wordWrap/>
        <w:overflowPunct/>
        <w:topLinePunct w:val="0"/>
        <w:bidi w:val="0"/>
        <w:spacing w:line="440" w:lineRule="exact"/>
        <w:textAlignment w:val="auto"/>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    收取履约保证金金额：</w:t>
      </w:r>
      <w:r>
        <w:rPr>
          <w:rFonts w:hint="eastAsia" w:ascii="宋体" w:hAnsi="宋体" w:eastAsia="宋体" w:cs="宋体"/>
          <w:bCs/>
          <w:sz w:val="21"/>
          <w:szCs w:val="21"/>
          <w:highlight w:val="none"/>
          <w:u w:val="single"/>
        </w:rPr>
        <w:t xml:space="preserve">                            </w:t>
      </w:r>
    </w:p>
    <w:p w14:paraId="7C9797A5">
      <w:pPr>
        <w:keepNext w:val="0"/>
        <w:keepLines w:val="0"/>
        <w:pageBreakBefore w:val="0"/>
        <w:kinsoku/>
        <w:wordWrap/>
        <w:overflowPunct/>
        <w:topLinePunct w:val="0"/>
        <w:bidi w:val="0"/>
        <w:snapToGrid w:val="0"/>
        <w:spacing w:line="440" w:lineRule="exact"/>
        <w:ind w:firstLine="420" w:firstLineChars="200"/>
        <w:textAlignment w:val="auto"/>
        <w:rPr>
          <w:rFonts w:hint="eastAsia" w:ascii="宋体" w:hAnsi="宋体" w:eastAsia="宋体" w:cs="宋体"/>
          <w:sz w:val="21"/>
          <w:highlight w:val="none"/>
          <w:lang w:val="en-US" w:eastAsia="zh-CN"/>
        </w:rPr>
      </w:pPr>
      <w:r>
        <w:rPr>
          <w:rFonts w:hint="eastAsia" w:ascii="宋体" w:hAnsi="宋体" w:eastAsia="宋体" w:cs="宋体"/>
          <w:bCs/>
          <w:szCs w:val="21"/>
          <w:highlight w:val="none"/>
          <w:u w:val="none"/>
          <w:lang w:val="en-US" w:eastAsia="zh-CN"/>
        </w:rPr>
        <w:t xml:space="preserve">    履约担保期限</w:t>
      </w:r>
      <w:r>
        <w:rPr>
          <w:rFonts w:hint="eastAsia" w:ascii="宋体" w:hAnsi="宋体" w:eastAsia="宋体" w:cs="宋体"/>
          <w:bCs/>
          <w:szCs w:val="21"/>
          <w:highlight w:val="none"/>
          <w:u w:val="none"/>
          <w:lang w:eastAsia="zh-CN"/>
        </w:rPr>
        <w:t>：</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p>
    <w:p w14:paraId="11F72A2A">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（4）分期履行要求：</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Cs/>
          <w:szCs w:val="21"/>
          <w:highlight w:val="none"/>
          <w:u w:val="single"/>
        </w:rPr>
        <w:t xml:space="preserve"> </w:t>
      </w:r>
    </w:p>
    <w:p w14:paraId="512B39CC">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u w:val="single"/>
        </w:rPr>
      </w:pPr>
      <w:r>
        <w:rPr>
          <w:rFonts w:hint="eastAsia" w:ascii="宋体" w:hAnsi="宋体" w:eastAsia="宋体" w:cs="宋体"/>
          <w:bCs/>
          <w:szCs w:val="21"/>
          <w:highlight w:val="none"/>
        </w:rPr>
        <w:t>（5）</w:t>
      </w:r>
      <w:r>
        <w:rPr>
          <w:rFonts w:hint="eastAsia" w:ascii="宋体" w:hAnsi="宋体" w:eastAsia="宋体" w:cs="宋体"/>
          <w:bCs/>
          <w:szCs w:val="21"/>
          <w:highlight w:val="none"/>
          <w:lang w:eastAsia="zh-CN"/>
        </w:rPr>
        <w:t>风险处置措施和替代方案</w:t>
      </w:r>
      <w:r>
        <w:rPr>
          <w:rFonts w:hint="eastAsia" w:ascii="宋体" w:hAnsi="宋体" w:eastAsia="宋体" w:cs="宋体"/>
          <w:bCs/>
          <w:szCs w:val="21"/>
          <w:highlight w:val="none"/>
        </w:rPr>
        <w:t>：</w:t>
      </w:r>
      <w:r>
        <w:rPr>
          <w:rFonts w:hint="eastAsia" w:ascii="宋体" w:hAnsi="宋体" w:eastAsia="宋体" w:cs="宋体"/>
          <w:color w:val="0000FF"/>
          <w:szCs w:val="21"/>
          <w:highlight w:val="none"/>
          <w:u w:val="single"/>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szCs w:val="21"/>
          <w:highlight w:val="none"/>
          <w:u w:val="single"/>
        </w:rPr>
        <w:t xml:space="preserve">                                                </w:t>
      </w:r>
    </w:p>
    <w:p w14:paraId="4B196E93">
      <w:pPr>
        <w:keepNext w:val="0"/>
        <w:keepLines w:val="0"/>
        <w:pageBreakBefore w:val="0"/>
        <w:numPr>
          <w:ilvl w:val="0"/>
          <w:numId w:val="1"/>
        </w:numPr>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
          <w:szCs w:val="21"/>
          <w:highlight w:val="none"/>
        </w:rPr>
      </w:pPr>
      <w:r>
        <w:rPr>
          <w:rFonts w:hint="eastAsia" w:ascii="宋体" w:hAnsi="宋体" w:eastAsia="宋体" w:cs="宋体"/>
          <w:b/>
          <w:szCs w:val="21"/>
          <w:highlight w:val="none"/>
        </w:rPr>
        <w:t>合同验收</w:t>
      </w:r>
    </w:p>
    <w:p w14:paraId="668D54FF">
      <w:pPr>
        <w:keepNext w:val="0"/>
        <w:keepLines w:val="0"/>
        <w:pageBreakBefore w:val="0"/>
        <w:numPr>
          <w:ilvl w:val="0"/>
          <w:numId w:val="3"/>
        </w:numPr>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验收组织方式：</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 xml:space="preserve">自行组织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委托第三方组织</w:t>
      </w:r>
    </w:p>
    <w:p w14:paraId="5546C000">
      <w:pPr>
        <w:keepNext w:val="0"/>
        <w:keepLines w:val="0"/>
        <w:pageBreakBefore w:val="0"/>
        <w:numPr>
          <w:ilvl w:val="0"/>
          <w:numId w:val="0"/>
        </w:numPr>
        <w:kinsoku/>
        <w:wordWrap/>
        <w:overflowPunct/>
        <w:topLinePunct w:val="0"/>
        <w:bidi w:val="0"/>
        <w:adjustRightInd w:val="0"/>
        <w:snapToGrid w:val="0"/>
        <w:spacing w:line="440" w:lineRule="exact"/>
        <w:textAlignment w:val="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验收主体：</w:t>
      </w:r>
      <w:r>
        <w:rPr>
          <w:rFonts w:hint="eastAsia" w:ascii="宋体" w:hAnsi="宋体" w:eastAsia="宋体" w:cs="宋体"/>
          <w:bCs/>
          <w:szCs w:val="21"/>
          <w:highlight w:val="none"/>
          <w:u w:val="single"/>
        </w:rPr>
        <w:t xml:space="preserve">                  </w:t>
      </w:r>
    </w:p>
    <w:p w14:paraId="3F08C9F3">
      <w:pPr>
        <w:keepNext w:val="0"/>
        <w:keepLines w:val="0"/>
        <w:pageBreakBefore w:val="0"/>
        <w:kinsoku/>
        <w:wordWrap/>
        <w:overflowPunct/>
        <w:topLinePunct w:val="0"/>
        <w:bidi w:val="0"/>
        <w:adjustRightInd w:val="0"/>
        <w:snapToGrid w:val="0"/>
        <w:spacing w:line="440" w:lineRule="exact"/>
        <w:ind w:firstLine="0" w:firstLineChars="0"/>
        <w:textAlignment w:val="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是否邀请本项目的其他供应商</w:t>
      </w:r>
      <w:r>
        <w:rPr>
          <w:rFonts w:hint="eastAsia" w:ascii="宋体" w:hAnsi="宋体" w:eastAsia="宋体" w:cs="宋体"/>
          <w:bCs/>
          <w:szCs w:val="21"/>
          <w:highlight w:val="none"/>
          <w:lang w:eastAsia="zh-CN"/>
        </w:rPr>
        <w:t>参加验收</w:t>
      </w:r>
      <w:r>
        <w:rPr>
          <w:rFonts w:hint="eastAsia" w:ascii="宋体" w:hAnsi="宋体" w:eastAsia="宋体" w:cs="宋体"/>
          <w:bCs/>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否</w:t>
      </w:r>
    </w:p>
    <w:p w14:paraId="14CDCB14">
      <w:pPr>
        <w:keepNext w:val="0"/>
        <w:keepLines w:val="0"/>
        <w:pageBreakBefore w:val="0"/>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是否邀请专家</w:t>
      </w:r>
      <w:r>
        <w:rPr>
          <w:rFonts w:hint="eastAsia" w:ascii="宋体" w:hAnsi="宋体" w:eastAsia="宋体" w:cs="宋体"/>
          <w:bCs/>
          <w:szCs w:val="21"/>
          <w:highlight w:val="none"/>
          <w:lang w:eastAsia="zh-CN"/>
        </w:rPr>
        <w:t>参加验收</w:t>
      </w:r>
      <w:r>
        <w:rPr>
          <w:rFonts w:hint="eastAsia" w:ascii="宋体" w:hAnsi="宋体" w:eastAsia="宋体" w:cs="宋体"/>
          <w:bCs/>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否</w:t>
      </w:r>
    </w:p>
    <w:p w14:paraId="55181F77">
      <w:pPr>
        <w:keepNext w:val="0"/>
        <w:keepLines w:val="0"/>
        <w:pageBreakBefore w:val="0"/>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是否邀请服务对象</w:t>
      </w:r>
      <w:r>
        <w:rPr>
          <w:rFonts w:hint="eastAsia" w:ascii="宋体" w:hAnsi="宋体" w:eastAsia="宋体" w:cs="宋体"/>
          <w:bCs/>
          <w:szCs w:val="21"/>
          <w:highlight w:val="none"/>
          <w:lang w:eastAsia="zh-CN"/>
        </w:rPr>
        <w:t>参加验收</w:t>
      </w:r>
      <w:r>
        <w:rPr>
          <w:rFonts w:hint="eastAsia" w:ascii="宋体" w:hAnsi="宋体" w:eastAsia="宋体" w:cs="宋体"/>
          <w:bCs/>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否</w:t>
      </w:r>
    </w:p>
    <w:p w14:paraId="31998967">
      <w:pPr>
        <w:keepNext w:val="0"/>
        <w:keepLines w:val="0"/>
        <w:pageBreakBefore w:val="0"/>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是否邀请第三方检测机构</w:t>
      </w:r>
      <w:r>
        <w:rPr>
          <w:rFonts w:hint="eastAsia" w:ascii="宋体" w:hAnsi="宋体" w:eastAsia="宋体" w:cs="宋体"/>
          <w:bCs/>
          <w:szCs w:val="21"/>
          <w:highlight w:val="none"/>
          <w:lang w:eastAsia="zh-CN"/>
        </w:rPr>
        <w:t>参加验收</w:t>
      </w:r>
      <w:r>
        <w:rPr>
          <w:rFonts w:hint="eastAsia" w:ascii="宋体" w:hAnsi="宋体" w:eastAsia="宋体" w:cs="宋体"/>
          <w:bCs/>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否</w:t>
      </w:r>
    </w:p>
    <w:p w14:paraId="3D4646B6">
      <w:pPr>
        <w:keepNext w:val="0"/>
        <w:keepLines w:val="0"/>
        <w:pageBreakBefore w:val="0"/>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bCs/>
          <w:szCs w:val="21"/>
          <w:highlight w:val="none"/>
        </w:rPr>
      </w:pPr>
      <w:r>
        <w:rPr>
          <w:rFonts w:hint="eastAsia" w:ascii="宋体" w:hAnsi="宋体" w:eastAsia="宋体" w:cs="宋体"/>
          <w:bCs/>
          <w:szCs w:val="21"/>
          <w:highlight w:val="none"/>
          <w:lang w:eastAsia="zh-CN"/>
        </w:rPr>
        <w:t>是否进行抽查检测：</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是</w:t>
      </w:r>
      <w:r>
        <w:rPr>
          <w:rFonts w:hint="eastAsia" w:ascii="宋体" w:hAnsi="宋体" w:eastAsia="宋体" w:cs="宋体"/>
          <w:bCs/>
          <w:szCs w:val="21"/>
          <w:highlight w:val="none"/>
          <w:lang w:eastAsia="zh-CN"/>
        </w:rPr>
        <w:t>，抽查比例：</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Cs/>
          <w:szCs w:val="21"/>
          <w:highlight w:val="none"/>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否</w:t>
      </w:r>
    </w:p>
    <w:p w14:paraId="14046795">
      <w:pPr>
        <w:keepNext w:val="0"/>
        <w:keepLines w:val="0"/>
        <w:pageBreakBefore w:val="0"/>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bCs/>
          <w:szCs w:val="21"/>
          <w:highlight w:val="none"/>
          <w:u w:val="single"/>
          <w:lang w:eastAsia="zh-CN"/>
        </w:rPr>
      </w:pPr>
      <w:r>
        <w:rPr>
          <w:rFonts w:hint="eastAsia" w:ascii="宋体" w:hAnsi="宋体" w:eastAsia="宋体" w:cs="宋体"/>
          <w:bCs/>
          <w:szCs w:val="21"/>
          <w:highlight w:val="none"/>
          <w:lang w:val="en-US" w:eastAsia="zh-CN"/>
        </w:rPr>
        <w:t>是否存在破坏性检测：</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是</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u w:val="single"/>
          <w:lang w:eastAsia="zh-CN"/>
        </w:rPr>
        <w:t>（应明确对被破坏的检测产品的处理方式）</w:t>
      </w:r>
    </w:p>
    <w:p w14:paraId="08EE50CB">
      <w:pPr>
        <w:keepNext w:val="0"/>
        <w:keepLines w:val="0"/>
        <w:pageBreakBefore w:val="0"/>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否</w:t>
      </w:r>
    </w:p>
    <w:p w14:paraId="5DDAC479">
      <w:pPr>
        <w:keepNext w:val="0"/>
        <w:keepLines w:val="0"/>
        <w:pageBreakBefore w:val="0"/>
        <w:kinsoku/>
        <w:wordWrap/>
        <w:overflowPunct/>
        <w:topLinePunct w:val="0"/>
        <w:bidi w:val="0"/>
        <w:adjustRightInd w:val="0"/>
        <w:snapToGrid w:val="0"/>
        <w:spacing w:line="440" w:lineRule="exact"/>
        <w:ind w:firstLine="840" w:firstLineChars="400"/>
        <w:textAlignment w:val="auto"/>
        <w:rPr>
          <w:rFonts w:hint="eastAsia" w:ascii="宋体" w:hAnsi="宋体" w:eastAsia="宋体" w:cs="宋体"/>
          <w:bCs/>
          <w:szCs w:val="21"/>
          <w:highlight w:val="none"/>
          <w:u w:val="single"/>
        </w:rPr>
      </w:pPr>
      <w:r>
        <w:rPr>
          <w:rFonts w:hint="eastAsia" w:ascii="宋体" w:hAnsi="宋体" w:eastAsia="宋体" w:cs="宋体"/>
          <w:bCs/>
          <w:szCs w:val="21"/>
          <w:highlight w:val="none"/>
        </w:rPr>
        <w:t>验收组织的其他事项：</w:t>
      </w:r>
      <w:r>
        <w:rPr>
          <w:rFonts w:hint="eastAsia" w:ascii="宋体" w:hAnsi="宋体" w:eastAsia="宋体" w:cs="宋体"/>
          <w:bCs/>
          <w:szCs w:val="21"/>
          <w:highlight w:val="none"/>
          <w:u w:val="single"/>
        </w:rPr>
        <w:t xml:space="preserve">                </w:t>
      </w:r>
    </w:p>
    <w:p w14:paraId="0700A4D3">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Cs/>
          <w:szCs w:val="21"/>
          <w:highlight w:val="none"/>
          <w:u w:val="single"/>
        </w:rPr>
      </w:pPr>
      <w:r>
        <w:rPr>
          <w:rFonts w:hint="eastAsia" w:ascii="宋体" w:hAnsi="宋体" w:eastAsia="宋体" w:cs="宋体"/>
          <w:bCs/>
          <w:szCs w:val="21"/>
          <w:highlight w:val="none"/>
        </w:rPr>
        <w:t>（2）履约验收时间：</w:t>
      </w:r>
      <w:r>
        <w:rPr>
          <w:rFonts w:hint="eastAsia" w:ascii="宋体" w:hAnsi="宋体" w:eastAsia="宋体" w:cs="宋体"/>
          <w:bCs/>
          <w:szCs w:val="21"/>
          <w:highlight w:val="none"/>
          <w:u w:val="single"/>
        </w:rPr>
        <w:t>（计划于何时验收/供应商提出验收申请之日起   日内组织验收）</w:t>
      </w:r>
      <w:r>
        <w:rPr>
          <w:rFonts w:hint="eastAsia" w:ascii="宋体" w:hAnsi="宋体" w:eastAsia="宋体" w:cs="宋体"/>
          <w:bCs/>
          <w:szCs w:val="21"/>
          <w:highlight w:val="none"/>
          <w:u w:val="single"/>
          <w:lang w:val="en-US" w:eastAsia="zh-CN"/>
        </w:rPr>
        <w:t xml:space="preserve"> </w:t>
      </w:r>
    </w:p>
    <w:p w14:paraId="008610CA">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（3）履约验收方式：</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 xml:space="preserve">一次性验收         </w:t>
      </w:r>
    </w:p>
    <w:p w14:paraId="70CE3041">
      <w:pPr>
        <w:keepNext w:val="0"/>
        <w:keepLines w:val="0"/>
        <w:pageBreakBefore w:val="0"/>
        <w:kinsoku/>
        <w:wordWrap/>
        <w:overflowPunct/>
        <w:topLinePunct w:val="0"/>
        <w:bidi w:val="0"/>
        <w:adjustRightInd w:val="0"/>
        <w:snapToGrid w:val="0"/>
        <w:spacing w:line="440" w:lineRule="exact"/>
        <w:ind w:firstLine="0" w:firstLineChars="0"/>
        <w:textAlignment w:val="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Cs w:val="21"/>
          <w:highlight w:val="none"/>
        </w:rPr>
        <w:t>分期/分项验收</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eastAsia="zh-CN"/>
        </w:rPr>
        <w:t>（应明确分期</w:t>
      </w:r>
      <w:r>
        <w:rPr>
          <w:rFonts w:hint="eastAsia" w:ascii="宋体" w:hAnsi="宋体" w:eastAsia="宋体" w:cs="宋体"/>
          <w:bCs/>
          <w:szCs w:val="21"/>
          <w:highlight w:val="none"/>
          <w:u w:val="single"/>
          <w:lang w:val="en" w:eastAsia="zh-CN"/>
        </w:rPr>
        <w:t>/分项验收的工作安排</w:t>
      </w:r>
      <w:r>
        <w:rPr>
          <w:rFonts w:hint="eastAsia" w:ascii="宋体" w:hAnsi="宋体" w:eastAsia="宋体" w:cs="宋体"/>
          <w:bCs/>
          <w:szCs w:val="21"/>
          <w:highlight w:val="none"/>
          <w:u w:val="single"/>
          <w:lang w:eastAsia="zh-CN"/>
        </w:rPr>
        <w:t>）</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p>
    <w:p w14:paraId="1F1D8D58">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（4）履约验收程序：</w:t>
      </w:r>
      <w:r>
        <w:rPr>
          <w:rFonts w:hint="eastAsia" w:ascii="宋体" w:hAnsi="宋体" w:eastAsia="宋体" w:cs="宋体"/>
          <w:bCs/>
          <w:szCs w:val="21"/>
          <w:highlight w:val="none"/>
          <w:u w:val="single"/>
        </w:rPr>
        <w:t xml:space="preserve">                                         </w:t>
      </w:r>
    </w:p>
    <w:p w14:paraId="2996FF9F">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Cs/>
          <w:szCs w:val="21"/>
          <w:highlight w:val="none"/>
          <w:u w:val="single"/>
        </w:rPr>
      </w:pPr>
      <w:r>
        <w:rPr>
          <w:rFonts w:hint="eastAsia" w:ascii="宋体" w:hAnsi="宋体" w:eastAsia="宋体" w:cs="宋体"/>
          <w:bCs/>
          <w:szCs w:val="21"/>
          <w:highlight w:val="none"/>
        </w:rPr>
        <w:t>（5）履约验收的内容：</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szCs w:val="21"/>
          <w:highlight w:val="none"/>
          <w:u w:val="single"/>
        </w:rPr>
        <w:t xml:space="preserve">                                      </w:t>
      </w:r>
    </w:p>
    <w:p w14:paraId="78569F62">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Cs/>
          <w:szCs w:val="21"/>
          <w:highlight w:val="none"/>
          <w:u w:val="single"/>
        </w:rPr>
      </w:pPr>
      <w:r>
        <w:rPr>
          <w:rFonts w:hint="eastAsia" w:ascii="宋体" w:hAnsi="宋体" w:eastAsia="宋体" w:cs="宋体"/>
          <w:bCs/>
          <w:szCs w:val="21"/>
          <w:highlight w:val="none"/>
        </w:rPr>
        <w:t>（6）履约验收标准：</w:t>
      </w:r>
      <w:r>
        <w:rPr>
          <w:rFonts w:hint="eastAsia" w:ascii="宋体" w:hAnsi="宋体" w:eastAsia="宋体" w:cs="宋体"/>
          <w:bCs/>
          <w:szCs w:val="21"/>
          <w:highlight w:val="none"/>
          <w:u w:val="single"/>
        </w:rPr>
        <w:t xml:space="preserve">                                         </w:t>
      </w:r>
    </w:p>
    <w:p w14:paraId="2FE234FD">
      <w:pPr>
        <w:pStyle w:val="172"/>
        <w:keepNext w:val="0"/>
        <w:keepLines w:val="0"/>
        <w:pageBreakBefore w:val="0"/>
        <w:kinsoku/>
        <w:wordWrap/>
        <w:overflowPunct/>
        <w:topLinePunct w:val="0"/>
        <w:bidi w:val="0"/>
        <w:spacing w:line="440" w:lineRule="exact"/>
        <w:textAlignment w:val="auto"/>
        <w:rPr>
          <w:rFonts w:hint="eastAsia" w:ascii="宋体" w:hAnsi="宋体" w:eastAsia="宋体" w:cs="宋体"/>
          <w:sz w:val="21"/>
          <w:highlight w:val="none"/>
          <w:lang w:eastAsia="zh-CN"/>
        </w:rPr>
      </w:pPr>
      <w:r>
        <w:rPr>
          <w:rFonts w:hint="eastAsia" w:ascii="宋体" w:hAnsi="宋体" w:eastAsia="宋体" w:cs="宋体"/>
          <w:bCs/>
          <w:sz w:val="21"/>
          <w:szCs w:val="21"/>
          <w:highlight w:val="none"/>
          <w:u w:val="none"/>
          <w:lang w:eastAsia="zh-CN"/>
        </w:rPr>
        <w:t>（</w:t>
      </w:r>
      <w:r>
        <w:rPr>
          <w:rFonts w:hint="eastAsia" w:ascii="宋体" w:hAnsi="宋体" w:eastAsia="宋体" w:cs="宋体"/>
          <w:bCs/>
          <w:sz w:val="21"/>
          <w:szCs w:val="21"/>
          <w:highlight w:val="none"/>
          <w:u w:val="none"/>
          <w:lang w:val="en-US" w:eastAsia="zh-CN"/>
        </w:rPr>
        <w:t>7</w:t>
      </w:r>
      <w:r>
        <w:rPr>
          <w:rFonts w:hint="eastAsia" w:ascii="宋体" w:hAnsi="宋体" w:eastAsia="宋体" w:cs="宋体"/>
          <w:bCs/>
          <w:sz w:val="21"/>
          <w:szCs w:val="21"/>
          <w:highlight w:val="none"/>
          <w:u w:val="none"/>
          <w:lang w:eastAsia="zh-CN"/>
        </w:rPr>
        <w:t>）是否以采购活动中供应商提供的样品作为参考：</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0C10C8E3">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Cs/>
          <w:szCs w:val="21"/>
          <w:highlight w:val="none"/>
          <w:u w:val="single"/>
        </w:rPr>
      </w:pPr>
      <w:r>
        <w:rPr>
          <w:rFonts w:hint="eastAsia" w:ascii="宋体" w:hAnsi="宋体" w:eastAsia="宋体" w:cs="宋体"/>
          <w:bCs/>
          <w:szCs w:val="21"/>
          <w:highlight w:val="none"/>
        </w:rPr>
        <w:t>（8）履约验收其他事项：</w:t>
      </w:r>
      <w:r>
        <w:rPr>
          <w:rFonts w:hint="eastAsia" w:ascii="宋体" w:hAnsi="宋体" w:eastAsia="宋体" w:cs="宋体"/>
          <w:bCs/>
          <w:szCs w:val="21"/>
          <w:highlight w:val="none"/>
          <w:u w:val="single"/>
        </w:rPr>
        <w:t xml:space="preserve">      </w:t>
      </w:r>
      <w:r>
        <w:rPr>
          <w:rFonts w:hint="eastAsia" w:ascii="宋体" w:hAnsi="宋体" w:eastAsia="宋体" w:cs="宋体"/>
          <w:bCs/>
          <w:i w:val="0"/>
          <w:iCs w:val="0"/>
          <w:szCs w:val="21"/>
          <w:highlight w:val="none"/>
          <w:u w:val="single"/>
        </w:rPr>
        <w:t>（产权过户登记等）</w:t>
      </w:r>
      <w:r>
        <w:rPr>
          <w:rFonts w:hint="eastAsia" w:ascii="宋体" w:hAnsi="宋体" w:eastAsia="宋体" w:cs="宋体"/>
          <w:bCs/>
          <w:szCs w:val="21"/>
          <w:highlight w:val="none"/>
          <w:u w:val="single"/>
        </w:rPr>
        <w:t xml:space="preserve">          </w:t>
      </w:r>
    </w:p>
    <w:p w14:paraId="4D6E560B">
      <w:pPr>
        <w:keepNext w:val="0"/>
        <w:keepLines w:val="0"/>
        <w:pageBreakBefore w:val="0"/>
        <w:numPr>
          <w:ilvl w:val="0"/>
          <w:numId w:val="1"/>
        </w:numPr>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
          <w:szCs w:val="21"/>
          <w:highlight w:val="none"/>
        </w:rPr>
      </w:pPr>
      <w:r>
        <w:rPr>
          <w:rFonts w:hint="eastAsia" w:ascii="宋体" w:hAnsi="宋体" w:eastAsia="宋体" w:cs="宋体"/>
          <w:b/>
          <w:szCs w:val="21"/>
          <w:highlight w:val="none"/>
        </w:rPr>
        <w:t>组成合同的文件</w:t>
      </w:r>
    </w:p>
    <w:p w14:paraId="6B732724">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本协议书与下列文件一起构成合同文件，如下述文件之间有任何抵触、矛盾或歧义，应按以下顺序解释：</w:t>
      </w:r>
    </w:p>
    <w:p w14:paraId="5A3A90EA">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政府采购</w:t>
      </w:r>
      <w:r>
        <w:rPr>
          <w:rFonts w:hint="eastAsia" w:ascii="宋体" w:hAnsi="宋体" w:eastAsia="宋体" w:cs="宋体"/>
          <w:color w:val="auto"/>
          <w:szCs w:val="21"/>
          <w:highlight w:val="none"/>
        </w:rPr>
        <w:t>合同协议书及其变更、补充</w:t>
      </w:r>
      <w:r>
        <w:rPr>
          <w:rFonts w:hint="eastAsia" w:ascii="宋体" w:hAnsi="宋体" w:eastAsia="宋体" w:cs="宋体"/>
          <w:color w:val="auto"/>
          <w:szCs w:val="21"/>
          <w:highlight w:val="none"/>
          <w:lang w:eastAsia="zh-CN"/>
        </w:rPr>
        <w:t>协议</w:t>
      </w:r>
    </w:p>
    <w:p w14:paraId="054CFA8F">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）政府采购合同专用条款</w:t>
      </w:r>
    </w:p>
    <w:p w14:paraId="10CEB718">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）政府采购合同通用条款</w:t>
      </w:r>
    </w:p>
    <w:p w14:paraId="16DC8D80">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成交通知书</w:t>
      </w:r>
    </w:p>
    <w:p w14:paraId="5B72F783">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w:t>
      </w:r>
      <w:r>
        <w:rPr>
          <w:rFonts w:hint="eastAsia" w:ascii="宋体" w:hAnsi="宋体" w:cs="宋体"/>
          <w:szCs w:val="21"/>
          <w:highlight w:val="none"/>
          <w:lang w:eastAsia="zh-CN"/>
        </w:rPr>
        <w:t>响应文件</w:t>
      </w:r>
    </w:p>
    <w:p w14:paraId="420AAF9D">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（6）采购文件</w:t>
      </w:r>
    </w:p>
    <w:p w14:paraId="050555CA">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（7）有关技术文件，图纸</w:t>
      </w:r>
    </w:p>
    <w:p w14:paraId="33766C46">
      <w:pPr>
        <w:pStyle w:val="172"/>
        <w:keepNext w:val="0"/>
        <w:keepLines w:val="0"/>
        <w:pageBreakBefore w:val="0"/>
        <w:kinsoku/>
        <w:wordWrap/>
        <w:overflowPunct/>
        <w:topLinePunct w:val="0"/>
        <w:bidi w:val="0"/>
        <w:spacing w:line="440" w:lineRule="exact"/>
        <w:textAlignment w:val="auto"/>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14:paraId="416EA130">
      <w:pPr>
        <w:keepNext w:val="0"/>
        <w:keepLines w:val="0"/>
        <w:pageBreakBefore w:val="0"/>
        <w:numPr>
          <w:ilvl w:val="0"/>
          <w:numId w:val="1"/>
        </w:numPr>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
          <w:szCs w:val="21"/>
          <w:highlight w:val="none"/>
        </w:rPr>
      </w:pPr>
      <w:r>
        <w:rPr>
          <w:rFonts w:hint="eastAsia" w:ascii="宋体" w:hAnsi="宋体" w:eastAsia="宋体" w:cs="宋体"/>
          <w:b/>
          <w:szCs w:val="21"/>
          <w:highlight w:val="none"/>
        </w:rPr>
        <w:t>合同生效</w:t>
      </w:r>
    </w:p>
    <w:p w14:paraId="4ED8AB33">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本合同自</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生效。</w:t>
      </w:r>
    </w:p>
    <w:p w14:paraId="4E5F0C85">
      <w:pPr>
        <w:keepNext w:val="0"/>
        <w:keepLines w:val="0"/>
        <w:pageBreakBefore w:val="0"/>
        <w:numPr>
          <w:ilvl w:val="0"/>
          <w:numId w:val="1"/>
        </w:numPr>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b/>
          <w:szCs w:val="21"/>
          <w:highlight w:val="none"/>
        </w:rPr>
      </w:pPr>
      <w:r>
        <w:rPr>
          <w:rFonts w:hint="eastAsia" w:ascii="宋体" w:hAnsi="宋体" w:eastAsia="宋体" w:cs="宋体"/>
          <w:b/>
          <w:szCs w:val="21"/>
          <w:highlight w:val="none"/>
        </w:rPr>
        <w:t>合同份数</w:t>
      </w:r>
    </w:p>
    <w:p w14:paraId="4B5A2A8C">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本合同一式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w:t>
      </w:r>
      <w:r>
        <w:rPr>
          <w:rFonts w:hint="eastAsia" w:ascii="宋体" w:hAnsi="宋体" w:eastAsia="宋体" w:cs="宋体"/>
          <w:szCs w:val="21"/>
          <w:highlight w:val="none"/>
          <w:lang w:eastAsia="zh-CN"/>
        </w:rPr>
        <w:t>甲方</w:t>
      </w:r>
      <w:r>
        <w:rPr>
          <w:rFonts w:hint="eastAsia" w:ascii="宋体" w:hAnsi="宋体" w:eastAsia="宋体" w:cs="宋体"/>
          <w:szCs w:val="21"/>
          <w:highlight w:val="none"/>
        </w:rPr>
        <w:t>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w:t>
      </w:r>
      <w:r>
        <w:rPr>
          <w:rFonts w:hint="eastAsia" w:ascii="宋体" w:hAnsi="宋体" w:eastAsia="宋体" w:cs="宋体"/>
          <w:szCs w:val="21"/>
          <w:highlight w:val="none"/>
          <w:lang w:eastAsia="zh-CN"/>
        </w:rPr>
        <w:t>乙方</w:t>
      </w:r>
      <w:r>
        <w:rPr>
          <w:rFonts w:hint="eastAsia" w:ascii="宋体" w:hAnsi="宋体" w:eastAsia="宋体" w:cs="宋体"/>
          <w:szCs w:val="21"/>
          <w:highlight w:val="none"/>
        </w:rPr>
        <w:t>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份，均具有同等法律效力。</w:t>
      </w:r>
    </w:p>
    <w:p w14:paraId="319AC806">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合同订立时间：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0C08B308">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合同订立地点：</w:t>
      </w:r>
      <w:r>
        <w:rPr>
          <w:rFonts w:hint="eastAsia" w:ascii="宋体" w:hAnsi="宋体" w:eastAsia="宋体" w:cs="宋体"/>
          <w:szCs w:val="21"/>
          <w:highlight w:val="none"/>
          <w:u w:val="single"/>
        </w:rPr>
        <w:t xml:space="preserve">                           </w:t>
      </w:r>
    </w:p>
    <w:p w14:paraId="05622183">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宋体" w:cs="宋体"/>
          <w:highlight w:val="none"/>
        </w:rPr>
      </w:pPr>
      <w:r>
        <w:rPr>
          <w:rFonts w:hint="eastAsia" w:ascii="宋体" w:hAnsi="宋体" w:eastAsia="宋体" w:cs="宋体"/>
          <w:szCs w:val="21"/>
          <w:highlight w:val="none"/>
        </w:rPr>
        <w:t>附件：具体标</w:t>
      </w:r>
      <w:r>
        <w:rPr>
          <w:rFonts w:hint="eastAsia" w:ascii="宋体" w:hAnsi="宋体" w:eastAsia="宋体" w:cs="宋体"/>
          <w:szCs w:val="21"/>
          <w:highlight w:val="none"/>
          <w:lang w:eastAsia="zh-CN"/>
        </w:rPr>
        <w:t>的及其</w:t>
      </w:r>
      <w:r>
        <w:rPr>
          <w:rFonts w:hint="eastAsia" w:ascii="宋体" w:hAnsi="宋体" w:eastAsia="宋体" w:cs="宋体"/>
          <w:szCs w:val="21"/>
          <w:highlight w:val="none"/>
          <w:u w:val="none"/>
          <w:lang w:val="en-US" w:eastAsia="zh-CN"/>
        </w:rPr>
        <w:t>技术要求和商务要求</w:t>
      </w:r>
      <w:r>
        <w:rPr>
          <w:rFonts w:hint="eastAsia" w:ascii="宋体" w:hAnsi="宋体" w:eastAsia="宋体" w:cs="宋体"/>
          <w:szCs w:val="21"/>
          <w:highlight w:val="none"/>
        </w:rPr>
        <w:t>、联合协议、分包</w:t>
      </w:r>
      <w:r>
        <w:rPr>
          <w:rFonts w:hint="eastAsia" w:ascii="宋体" w:hAnsi="宋体" w:eastAsia="宋体" w:cs="宋体"/>
          <w:szCs w:val="21"/>
          <w:highlight w:val="none"/>
          <w:lang w:eastAsia="zh-CN"/>
        </w:rPr>
        <w:t>意向</w:t>
      </w:r>
      <w:r>
        <w:rPr>
          <w:rFonts w:hint="eastAsia" w:ascii="宋体" w:hAnsi="宋体" w:eastAsia="宋体" w:cs="宋体"/>
          <w:szCs w:val="21"/>
          <w:highlight w:val="none"/>
        </w:rPr>
        <w:t>协议等。</w:t>
      </w:r>
    </w:p>
    <w:p w14:paraId="33C1019C">
      <w:pPr>
        <w:pStyle w:val="116"/>
        <w:rPr>
          <w:rFonts w:hint="eastAsia" w:ascii="宋体" w:hAnsi="宋体" w:eastAsia="宋体" w:cs="宋体"/>
          <w:highlight w:val="none"/>
        </w:rPr>
      </w:pPr>
    </w:p>
    <w:tbl>
      <w:tblPr>
        <w:tblStyle w:val="4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0"/>
        <w:gridCol w:w="2412"/>
        <w:gridCol w:w="1979"/>
        <w:gridCol w:w="2117"/>
      </w:tblGrid>
      <w:tr w14:paraId="1771E12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vAlign w:val="center"/>
          </w:tcPr>
          <w:p w14:paraId="71AF07C7">
            <w:pPr>
              <w:adjustRightInd w:val="0"/>
              <w:snapToGrid w:val="0"/>
              <w:spacing w:line="300" w:lineRule="exact"/>
              <w:jc w:val="center"/>
              <w:rPr>
                <w:rFonts w:hint="eastAsia" w:ascii="宋体" w:hAnsi="宋体" w:eastAsia="宋体" w:cs="宋体"/>
                <w:highlight w:val="none"/>
              </w:rPr>
            </w:pPr>
            <w:r>
              <w:rPr>
                <w:rFonts w:hint="eastAsia" w:ascii="宋体" w:hAnsi="宋体" w:eastAsia="宋体" w:cs="宋体"/>
                <w:szCs w:val="21"/>
                <w:highlight w:val="none"/>
              </w:rPr>
              <w:t>甲方（采购人</w:t>
            </w:r>
            <w:r>
              <w:rPr>
                <w:rFonts w:hint="eastAsia" w:ascii="宋体" w:hAnsi="宋体" w:eastAsia="宋体" w:cs="宋体"/>
                <w:szCs w:val="21"/>
                <w:highlight w:val="none"/>
                <w:lang w:eastAsia="zh-CN"/>
              </w:rPr>
              <w:t>、受采购人委托签订合同的单位</w:t>
            </w:r>
            <w:r>
              <w:rPr>
                <w:rFonts w:hint="eastAsia" w:ascii="宋体" w:hAnsi="宋体" w:eastAsia="宋体" w:cs="宋体"/>
                <w:szCs w:val="21"/>
                <w:highlight w:val="none"/>
              </w:rPr>
              <w:t>或采购文件约定的合同甲方）</w:t>
            </w:r>
          </w:p>
        </w:tc>
        <w:tc>
          <w:tcPr>
            <w:tcW w:w="2438" w:type="pct"/>
            <w:gridSpan w:val="2"/>
            <w:tcBorders>
              <w:left w:val="single" w:color="auto" w:sz="2" w:space="0"/>
              <w:bottom w:val="single" w:color="auto" w:sz="2" w:space="0"/>
            </w:tcBorders>
            <w:vAlign w:val="center"/>
          </w:tcPr>
          <w:p w14:paraId="1968C2B8">
            <w:pPr>
              <w:adjustRightInd w:val="0"/>
              <w:snapToGrid w:val="0"/>
              <w:spacing w:line="300" w:lineRule="exact"/>
              <w:jc w:val="center"/>
              <w:rPr>
                <w:rFonts w:hint="eastAsia" w:ascii="宋体" w:hAnsi="宋体" w:eastAsia="宋体" w:cs="宋体"/>
                <w:highlight w:val="none"/>
              </w:rPr>
            </w:pPr>
            <w:r>
              <w:rPr>
                <w:rFonts w:hint="eastAsia" w:ascii="宋体" w:hAnsi="宋体" w:eastAsia="宋体" w:cs="宋体"/>
                <w:szCs w:val="21"/>
                <w:highlight w:val="none"/>
              </w:rPr>
              <w:t>乙方（</w:t>
            </w:r>
            <w:r>
              <w:rPr>
                <w:rFonts w:hint="eastAsia" w:ascii="宋体" w:hAnsi="宋体" w:eastAsia="宋体" w:cs="宋体"/>
                <w:szCs w:val="21"/>
                <w:highlight w:val="none"/>
                <w:lang w:val="en-US" w:eastAsia="zh-CN"/>
              </w:rPr>
              <w:t>中标人</w:t>
            </w:r>
            <w:r>
              <w:rPr>
                <w:rFonts w:hint="eastAsia" w:ascii="宋体" w:hAnsi="宋体" w:eastAsia="宋体" w:cs="宋体"/>
                <w:szCs w:val="21"/>
                <w:highlight w:val="none"/>
              </w:rPr>
              <w:t>）</w:t>
            </w:r>
          </w:p>
        </w:tc>
      </w:tr>
      <w:tr w14:paraId="60FBA7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vAlign w:val="center"/>
          </w:tcPr>
          <w:p w14:paraId="32ED0995">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单位名称（公章</w:t>
            </w:r>
            <w:r>
              <w:rPr>
                <w:rFonts w:hint="eastAsia" w:ascii="宋体" w:hAnsi="宋体" w:eastAsia="宋体" w:cs="宋体"/>
                <w:szCs w:val="21"/>
                <w:highlight w:val="none"/>
                <w:lang w:eastAsia="zh-CN"/>
              </w:rPr>
              <w:t>或合同章</w:t>
            </w:r>
            <w:r>
              <w:rPr>
                <w:rFonts w:hint="eastAsia" w:ascii="宋体" w:hAnsi="宋体" w:eastAsia="宋体" w:cs="宋体"/>
                <w:szCs w:val="21"/>
                <w:highlight w:val="none"/>
              </w:rPr>
              <w:t>）</w:t>
            </w:r>
          </w:p>
        </w:tc>
        <w:tc>
          <w:tcPr>
            <w:tcW w:w="1436" w:type="pct"/>
            <w:tcBorders>
              <w:top w:val="single" w:color="auto" w:sz="2" w:space="0"/>
              <w:left w:val="single" w:color="auto" w:sz="2" w:space="0"/>
              <w:bottom w:val="single" w:color="auto" w:sz="2" w:space="0"/>
              <w:right w:val="single" w:color="auto" w:sz="2" w:space="0"/>
            </w:tcBorders>
            <w:vAlign w:val="center"/>
          </w:tcPr>
          <w:p w14:paraId="7C55E15A">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38DC555">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单位名称（公章</w:t>
            </w:r>
            <w:r>
              <w:rPr>
                <w:rFonts w:hint="eastAsia" w:ascii="宋体" w:hAnsi="宋体" w:eastAsia="宋体" w:cs="宋体"/>
                <w:szCs w:val="21"/>
                <w:highlight w:val="none"/>
                <w:lang w:eastAsia="zh-CN"/>
              </w:rPr>
              <w:t>或合同章</w:t>
            </w:r>
            <w:r>
              <w:rPr>
                <w:rFonts w:hint="eastAsia" w:ascii="宋体" w:hAnsi="宋体" w:eastAsia="宋体" w:cs="宋体"/>
                <w:szCs w:val="21"/>
                <w:highlight w:val="none"/>
              </w:rPr>
              <w:t>）</w:t>
            </w:r>
          </w:p>
        </w:tc>
        <w:tc>
          <w:tcPr>
            <w:tcW w:w="1259" w:type="pct"/>
            <w:tcBorders>
              <w:top w:val="single" w:color="auto" w:sz="2" w:space="0"/>
              <w:left w:val="single" w:color="auto" w:sz="2" w:space="0"/>
              <w:bottom w:val="single" w:color="auto" w:sz="2" w:space="0"/>
            </w:tcBorders>
            <w:vAlign w:val="center"/>
          </w:tcPr>
          <w:p w14:paraId="55E12D05">
            <w:pPr>
              <w:adjustRightInd w:val="0"/>
              <w:snapToGrid w:val="0"/>
              <w:spacing w:line="300" w:lineRule="exact"/>
              <w:jc w:val="center"/>
              <w:rPr>
                <w:rFonts w:hint="eastAsia" w:ascii="宋体" w:hAnsi="宋体" w:eastAsia="宋体" w:cs="宋体"/>
                <w:spacing w:val="20"/>
                <w:szCs w:val="21"/>
                <w:highlight w:val="none"/>
              </w:rPr>
            </w:pPr>
          </w:p>
        </w:tc>
      </w:tr>
      <w:tr w14:paraId="49A4530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vAlign w:val="center"/>
          </w:tcPr>
          <w:p w14:paraId="207D94A7">
            <w:pPr>
              <w:adjustRightInd w:val="0"/>
              <w:snapToGrid w:val="0"/>
              <w:spacing w:line="300" w:lineRule="exact"/>
              <w:ind w:firstLine="100" w:firstLineChars="48"/>
              <w:jc w:val="center"/>
              <w:rPr>
                <w:rFonts w:hint="eastAsia" w:ascii="宋体" w:hAnsi="宋体" w:eastAsia="宋体" w:cs="宋体"/>
                <w:szCs w:val="21"/>
                <w:highlight w:val="none"/>
              </w:rPr>
            </w:pPr>
            <w:r>
              <w:rPr>
                <w:rFonts w:hint="eastAsia" w:ascii="宋体" w:hAnsi="宋体" w:cs="宋体"/>
                <w:szCs w:val="21"/>
                <w:highlight w:val="none"/>
                <w:lang w:val="en-US" w:eastAsia="zh-CN"/>
              </w:rPr>
              <w:t>负责人</w:t>
            </w:r>
            <w:r>
              <w:rPr>
                <w:rFonts w:hint="eastAsia" w:ascii="宋体" w:hAnsi="宋体" w:eastAsia="宋体" w:cs="宋体"/>
                <w:szCs w:val="21"/>
                <w:highlight w:val="none"/>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582ACCFA">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right w:val="single" w:color="auto" w:sz="2" w:space="0"/>
            </w:tcBorders>
            <w:vAlign w:val="center"/>
          </w:tcPr>
          <w:p w14:paraId="5A3B7C02">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法定代表人</w:t>
            </w:r>
          </w:p>
          <w:p w14:paraId="714CE9A1">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或其委托代理人（签章）</w:t>
            </w:r>
          </w:p>
        </w:tc>
        <w:tc>
          <w:tcPr>
            <w:tcW w:w="1259" w:type="pct"/>
            <w:tcBorders>
              <w:top w:val="single" w:color="auto" w:sz="2" w:space="0"/>
              <w:left w:val="single" w:color="auto" w:sz="2" w:space="0"/>
              <w:bottom w:val="single" w:color="auto" w:sz="2" w:space="0"/>
            </w:tcBorders>
            <w:vAlign w:val="center"/>
          </w:tcPr>
          <w:p w14:paraId="086EA5D0">
            <w:pPr>
              <w:adjustRightInd w:val="0"/>
              <w:snapToGrid w:val="0"/>
              <w:spacing w:line="300" w:lineRule="exact"/>
              <w:jc w:val="center"/>
              <w:rPr>
                <w:rFonts w:hint="eastAsia" w:ascii="宋体" w:hAnsi="宋体" w:eastAsia="宋体" w:cs="宋体"/>
                <w:szCs w:val="21"/>
                <w:highlight w:val="none"/>
              </w:rPr>
            </w:pPr>
          </w:p>
        </w:tc>
      </w:tr>
      <w:tr w14:paraId="0075CA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vAlign w:val="center"/>
          </w:tcPr>
          <w:p w14:paraId="2F2495FB">
            <w:pPr>
              <w:adjustRightInd w:val="0"/>
              <w:snapToGrid w:val="0"/>
              <w:spacing w:line="300" w:lineRule="exact"/>
              <w:jc w:val="center"/>
              <w:rPr>
                <w:rFonts w:hint="eastAsia" w:ascii="宋体" w:hAnsi="宋体" w:eastAsia="宋体" w:cs="宋体"/>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14:paraId="185944BA">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5390292">
            <w:pPr>
              <w:adjustRightInd w:val="0"/>
              <w:snapToGrid w:val="0"/>
              <w:spacing w:line="30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拥有者性别</w:t>
            </w:r>
          </w:p>
        </w:tc>
        <w:tc>
          <w:tcPr>
            <w:tcW w:w="1259" w:type="pct"/>
            <w:tcBorders>
              <w:top w:val="single" w:color="auto" w:sz="2" w:space="0"/>
              <w:left w:val="single" w:color="auto" w:sz="2" w:space="0"/>
              <w:bottom w:val="single" w:color="auto" w:sz="2" w:space="0"/>
            </w:tcBorders>
            <w:vAlign w:val="center"/>
          </w:tcPr>
          <w:p w14:paraId="6E169F87">
            <w:pPr>
              <w:adjustRightInd w:val="0"/>
              <w:snapToGrid w:val="0"/>
              <w:spacing w:line="300" w:lineRule="exact"/>
              <w:jc w:val="center"/>
              <w:rPr>
                <w:rFonts w:hint="eastAsia" w:ascii="宋体" w:hAnsi="宋体" w:eastAsia="宋体" w:cs="宋体"/>
                <w:spacing w:val="20"/>
                <w:szCs w:val="21"/>
                <w:highlight w:val="none"/>
              </w:rPr>
            </w:pPr>
          </w:p>
        </w:tc>
      </w:tr>
      <w:tr w14:paraId="174947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3929834">
            <w:pPr>
              <w:adjustRightInd w:val="0"/>
              <w:snapToGrid w:val="0"/>
              <w:spacing w:line="30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住</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33A4B75B">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9C9821C">
            <w:pPr>
              <w:adjustRightInd w:val="0"/>
              <w:snapToGrid w:val="0"/>
              <w:spacing w:line="30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住</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所</w:t>
            </w:r>
          </w:p>
        </w:tc>
        <w:tc>
          <w:tcPr>
            <w:tcW w:w="1259" w:type="pct"/>
            <w:tcBorders>
              <w:top w:val="single" w:color="auto" w:sz="2" w:space="0"/>
              <w:left w:val="single" w:color="auto" w:sz="2" w:space="0"/>
              <w:bottom w:val="single" w:color="auto" w:sz="2" w:space="0"/>
            </w:tcBorders>
            <w:vAlign w:val="center"/>
          </w:tcPr>
          <w:p w14:paraId="035525F6">
            <w:pPr>
              <w:adjustRightInd w:val="0"/>
              <w:snapToGrid w:val="0"/>
              <w:spacing w:line="300" w:lineRule="exact"/>
              <w:jc w:val="center"/>
              <w:rPr>
                <w:rFonts w:hint="eastAsia" w:ascii="宋体" w:hAnsi="宋体" w:eastAsia="宋体" w:cs="宋体"/>
                <w:spacing w:val="20"/>
                <w:szCs w:val="21"/>
                <w:highlight w:val="none"/>
              </w:rPr>
            </w:pPr>
          </w:p>
        </w:tc>
      </w:tr>
      <w:tr w14:paraId="6BB25E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33235F83">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4833FB7E">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F03E1F3">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联 系 人</w:t>
            </w:r>
          </w:p>
        </w:tc>
        <w:tc>
          <w:tcPr>
            <w:tcW w:w="1259" w:type="pct"/>
            <w:tcBorders>
              <w:top w:val="single" w:color="auto" w:sz="2" w:space="0"/>
              <w:left w:val="single" w:color="auto" w:sz="2" w:space="0"/>
              <w:bottom w:val="single" w:color="auto" w:sz="2" w:space="0"/>
            </w:tcBorders>
            <w:vAlign w:val="center"/>
          </w:tcPr>
          <w:p w14:paraId="093924D4">
            <w:pPr>
              <w:adjustRightInd w:val="0"/>
              <w:snapToGrid w:val="0"/>
              <w:spacing w:line="300" w:lineRule="exact"/>
              <w:jc w:val="center"/>
              <w:rPr>
                <w:rFonts w:hint="eastAsia" w:ascii="宋体" w:hAnsi="宋体" w:eastAsia="宋体" w:cs="宋体"/>
                <w:spacing w:val="20"/>
                <w:szCs w:val="21"/>
                <w:highlight w:val="none"/>
              </w:rPr>
            </w:pPr>
          </w:p>
        </w:tc>
      </w:tr>
      <w:tr w14:paraId="298254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2C714447">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60507A94">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087B6EC">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70D867C2">
            <w:pPr>
              <w:adjustRightInd w:val="0"/>
              <w:snapToGrid w:val="0"/>
              <w:spacing w:line="300" w:lineRule="exact"/>
              <w:jc w:val="center"/>
              <w:rPr>
                <w:rFonts w:hint="eastAsia" w:ascii="宋体" w:hAnsi="宋体" w:eastAsia="宋体" w:cs="宋体"/>
                <w:spacing w:val="20"/>
                <w:szCs w:val="21"/>
                <w:highlight w:val="none"/>
              </w:rPr>
            </w:pPr>
          </w:p>
        </w:tc>
      </w:tr>
      <w:tr w14:paraId="2EDC7F8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558B8FE9">
            <w:pPr>
              <w:adjustRightInd w:val="0"/>
              <w:snapToGrid w:val="0"/>
              <w:spacing w:line="30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0DE3690F">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B3B5CBA">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lang w:eastAsia="zh-CN"/>
              </w:rPr>
              <w:t>通信地址</w:t>
            </w:r>
          </w:p>
        </w:tc>
        <w:tc>
          <w:tcPr>
            <w:tcW w:w="1259" w:type="pct"/>
            <w:tcBorders>
              <w:top w:val="single" w:color="auto" w:sz="2" w:space="0"/>
              <w:left w:val="single" w:color="auto" w:sz="2" w:space="0"/>
              <w:bottom w:val="single" w:color="auto" w:sz="2" w:space="0"/>
            </w:tcBorders>
            <w:vAlign w:val="center"/>
          </w:tcPr>
          <w:p w14:paraId="546EBC48">
            <w:pPr>
              <w:adjustRightInd w:val="0"/>
              <w:snapToGrid w:val="0"/>
              <w:spacing w:line="300" w:lineRule="exact"/>
              <w:jc w:val="center"/>
              <w:rPr>
                <w:rFonts w:hint="eastAsia" w:ascii="宋体" w:hAnsi="宋体" w:eastAsia="宋体" w:cs="宋体"/>
                <w:spacing w:val="20"/>
                <w:szCs w:val="21"/>
                <w:highlight w:val="none"/>
              </w:rPr>
            </w:pPr>
          </w:p>
        </w:tc>
      </w:tr>
      <w:tr w14:paraId="31C4528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A321352">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1BEC2C23">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72A87E3">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4566DC36">
            <w:pPr>
              <w:adjustRightInd w:val="0"/>
              <w:snapToGrid w:val="0"/>
              <w:spacing w:line="300" w:lineRule="exact"/>
              <w:jc w:val="center"/>
              <w:rPr>
                <w:rFonts w:hint="eastAsia" w:ascii="宋体" w:hAnsi="宋体" w:eastAsia="宋体" w:cs="宋体"/>
                <w:spacing w:val="20"/>
                <w:szCs w:val="21"/>
                <w:highlight w:val="none"/>
              </w:rPr>
            </w:pPr>
          </w:p>
        </w:tc>
      </w:tr>
      <w:tr w14:paraId="0AA646E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3DBD711D">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7A31E172">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FECE1E0">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14121F0E">
            <w:pPr>
              <w:adjustRightInd w:val="0"/>
              <w:snapToGrid w:val="0"/>
              <w:spacing w:line="300" w:lineRule="exact"/>
              <w:jc w:val="center"/>
              <w:rPr>
                <w:rFonts w:hint="eastAsia" w:ascii="宋体" w:hAnsi="宋体" w:eastAsia="宋体" w:cs="宋体"/>
                <w:spacing w:val="20"/>
                <w:szCs w:val="21"/>
                <w:highlight w:val="none"/>
              </w:rPr>
            </w:pPr>
          </w:p>
        </w:tc>
      </w:tr>
      <w:tr w14:paraId="2DA40DF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4B106ABD">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2ABC4270">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AFEC6AE">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44CEBAB1">
            <w:pPr>
              <w:adjustRightInd w:val="0"/>
              <w:snapToGrid w:val="0"/>
              <w:spacing w:line="300" w:lineRule="exact"/>
              <w:jc w:val="center"/>
              <w:rPr>
                <w:rFonts w:hint="eastAsia" w:ascii="宋体" w:hAnsi="宋体" w:eastAsia="宋体" w:cs="宋体"/>
                <w:spacing w:val="20"/>
                <w:szCs w:val="21"/>
                <w:highlight w:val="none"/>
              </w:rPr>
            </w:pPr>
          </w:p>
        </w:tc>
      </w:tr>
      <w:tr w14:paraId="17F712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6DAE923">
            <w:pPr>
              <w:adjustRightInd w:val="0"/>
              <w:snapToGrid w:val="0"/>
              <w:spacing w:line="300" w:lineRule="exact"/>
              <w:jc w:val="center"/>
              <w:rPr>
                <w:rFonts w:hint="eastAsia" w:ascii="宋体" w:hAnsi="宋体" w:eastAsia="宋体" w:cs="宋体"/>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0D77D522">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1E54CA4">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381130F9">
            <w:pPr>
              <w:adjustRightInd w:val="0"/>
              <w:snapToGrid w:val="0"/>
              <w:spacing w:line="300" w:lineRule="exact"/>
              <w:jc w:val="center"/>
              <w:rPr>
                <w:rFonts w:hint="eastAsia" w:ascii="宋体" w:hAnsi="宋体" w:eastAsia="宋体" w:cs="宋体"/>
                <w:spacing w:val="20"/>
                <w:szCs w:val="21"/>
                <w:highlight w:val="none"/>
              </w:rPr>
            </w:pPr>
          </w:p>
        </w:tc>
      </w:tr>
      <w:tr w14:paraId="144841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03DA905F">
            <w:pPr>
              <w:adjustRightInd w:val="0"/>
              <w:snapToGrid w:val="0"/>
              <w:spacing w:line="300" w:lineRule="exact"/>
              <w:jc w:val="center"/>
              <w:rPr>
                <w:rFonts w:hint="eastAsia" w:ascii="宋体" w:hAnsi="宋体" w:eastAsia="宋体" w:cs="宋体"/>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445AF9D4">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A9FD6F0">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2AA98BFE">
            <w:pPr>
              <w:adjustRightInd w:val="0"/>
              <w:snapToGrid w:val="0"/>
              <w:spacing w:line="300" w:lineRule="exact"/>
              <w:jc w:val="center"/>
              <w:rPr>
                <w:rFonts w:hint="eastAsia" w:ascii="宋体" w:hAnsi="宋体" w:eastAsia="宋体" w:cs="宋体"/>
                <w:spacing w:val="20"/>
                <w:szCs w:val="21"/>
                <w:highlight w:val="none"/>
              </w:rPr>
            </w:pPr>
          </w:p>
        </w:tc>
      </w:tr>
      <w:tr w14:paraId="5D6B6F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7CCA1B37">
            <w:pPr>
              <w:adjustRightInd w:val="0"/>
              <w:snapToGrid w:val="0"/>
              <w:spacing w:line="300" w:lineRule="exact"/>
              <w:jc w:val="center"/>
              <w:rPr>
                <w:rFonts w:hint="eastAsia" w:ascii="宋体" w:hAnsi="宋体" w:eastAsia="宋体" w:cs="宋体"/>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44AB54BD">
            <w:pPr>
              <w:adjustRightInd w:val="0"/>
              <w:snapToGrid w:val="0"/>
              <w:spacing w:line="300" w:lineRule="exact"/>
              <w:jc w:val="center"/>
              <w:rPr>
                <w:rFonts w:hint="eastAsia" w:ascii="宋体" w:hAnsi="宋体" w:eastAsia="宋体" w:cs="宋体"/>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4151680">
            <w:pPr>
              <w:adjustRightInd w:val="0"/>
              <w:snapToGrid w:val="0"/>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40E900BA">
            <w:pPr>
              <w:adjustRightInd w:val="0"/>
              <w:snapToGrid w:val="0"/>
              <w:spacing w:line="300" w:lineRule="exact"/>
              <w:jc w:val="center"/>
              <w:rPr>
                <w:rFonts w:hint="eastAsia" w:ascii="宋体" w:hAnsi="宋体" w:eastAsia="宋体" w:cs="宋体"/>
                <w:spacing w:val="20"/>
                <w:szCs w:val="21"/>
                <w:highlight w:val="none"/>
              </w:rPr>
            </w:pPr>
          </w:p>
        </w:tc>
      </w:tr>
    </w:tbl>
    <w:p w14:paraId="34A43359">
      <w:pPr>
        <w:pStyle w:val="7"/>
        <w:adjustRightInd w:val="0"/>
        <w:snapToGrid w:val="0"/>
        <w:spacing w:before="156" w:beforeLines="50"/>
        <w:jc w:val="center"/>
        <w:rPr>
          <w:rFonts w:hint="eastAsia" w:ascii="宋体" w:hAnsi="宋体" w:eastAsia="宋体" w:cs="宋体"/>
          <w:sz w:val="28"/>
          <w:szCs w:val="28"/>
          <w:highlight w:val="none"/>
        </w:rPr>
      </w:pPr>
      <w:r>
        <w:rPr>
          <w:rFonts w:hint="eastAsia" w:ascii="宋体" w:hAnsi="宋体" w:eastAsia="宋体" w:cs="宋体"/>
          <w:sz w:val="21"/>
          <w:szCs w:val="21"/>
          <w:highlight w:val="none"/>
          <w:u w:val="single"/>
        </w:rPr>
        <w:br w:type="page"/>
      </w:r>
      <w:bookmarkStart w:id="131" w:name="_Toc8260"/>
      <w:bookmarkStart w:id="132" w:name="_Toc26645"/>
      <w:bookmarkStart w:id="133" w:name="_Toc27624"/>
      <w:r>
        <w:rPr>
          <w:rFonts w:hint="eastAsia" w:ascii="宋体" w:hAnsi="宋体" w:eastAsia="宋体" w:cs="宋体"/>
          <w:b w:val="0"/>
          <w:bCs w:val="0"/>
          <w:sz w:val="28"/>
          <w:szCs w:val="28"/>
          <w:highlight w:val="none"/>
        </w:rPr>
        <w:t>第二节 政府采购合同通用条款</w:t>
      </w:r>
      <w:bookmarkEnd w:id="131"/>
      <w:bookmarkEnd w:id="132"/>
      <w:bookmarkEnd w:id="133"/>
    </w:p>
    <w:p w14:paraId="1881D5F2">
      <w:pPr>
        <w:keepNext w:val="0"/>
        <w:keepLines w:val="0"/>
        <w:pageBreakBefore w:val="0"/>
        <w:tabs>
          <w:tab w:val="left" w:pos="8820"/>
          <w:tab w:val="left" w:pos="9345"/>
          <w:tab w:val="left" w:pos="9765"/>
        </w:tabs>
        <w:kinsoku/>
        <w:wordWrap/>
        <w:overflowPunct/>
        <w:topLinePunct w:val="0"/>
        <w:bidi w:val="0"/>
        <w:adjustRightInd w:val="0"/>
        <w:snapToGrid w:val="0"/>
        <w:spacing w:beforeAutospacing="0" w:afterAutospacing="0" w:line="440" w:lineRule="exact"/>
        <w:jc w:val="left"/>
        <w:textAlignment w:val="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1.</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bCs/>
          <w:sz w:val="21"/>
          <w:szCs w:val="21"/>
          <w:highlight w:val="none"/>
        </w:rPr>
        <w:t>定义</w:t>
      </w:r>
    </w:p>
    <w:p w14:paraId="72108A48">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1.1合同当事人</w:t>
      </w:r>
    </w:p>
    <w:p w14:paraId="0826B9D9">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（1）采购人（以下称甲方）是指使用财政性资金，通过政府采购方式向供应商购买货物</w:t>
      </w:r>
      <w:r>
        <w:rPr>
          <w:rFonts w:hint="eastAsia" w:ascii="宋体" w:hAnsi="宋体" w:eastAsia="宋体" w:cs="宋体"/>
          <w:color w:val="auto"/>
          <w:sz w:val="21"/>
          <w:szCs w:val="21"/>
          <w:highlight w:val="none"/>
          <w:lang w:val="en-US" w:eastAsia="zh-CN"/>
        </w:rPr>
        <w:t>及其相关服务的</w:t>
      </w:r>
      <w:r>
        <w:rPr>
          <w:rFonts w:hint="eastAsia" w:ascii="宋体" w:hAnsi="宋体" w:eastAsia="宋体" w:cs="宋体"/>
          <w:color w:val="auto"/>
          <w:sz w:val="21"/>
          <w:szCs w:val="21"/>
          <w:highlight w:val="none"/>
        </w:rPr>
        <w:t>国家机关、事业单位、团体组织。</w:t>
      </w:r>
    </w:p>
    <w:p w14:paraId="7422D64B">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（2）供应商（以下称</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方）是指参加政府采购活动并且中标（成交），向采购人提供</w:t>
      </w:r>
      <w:r>
        <w:rPr>
          <w:rFonts w:hint="eastAsia" w:ascii="宋体" w:hAnsi="宋体" w:eastAsia="宋体" w:cs="宋体"/>
          <w:color w:val="auto"/>
          <w:sz w:val="21"/>
          <w:szCs w:val="21"/>
          <w:highlight w:val="none"/>
          <w:lang w:val="en-US" w:eastAsia="zh-CN"/>
        </w:rPr>
        <w:t>合同约定的货物及其相关服务的法人、非法人组织或者自然人</w:t>
      </w:r>
      <w:r>
        <w:rPr>
          <w:rFonts w:hint="eastAsia" w:ascii="宋体" w:hAnsi="宋体" w:eastAsia="宋体" w:cs="宋体"/>
          <w:color w:val="auto"/>
          <w:sz w:val="21"/>
          <w:szCs w:val="21"/>
          <w:highlight w:val="none"/>
        </w:rPr>
        <w:t>。</w:t>
      </w:r>
    </w:p>
    <w:p w14:paraId="360790DE">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（3）其他合同主体是指除采购人和供应商以外，</w:t>
      </w:r>
      <w:r>
        <w:rPr>
          <w:rFonts w:hint="eastAsia" w:ascii="宋体" w:hAnsi="宋体" w:eastAsia="宋体" w:cs="宋体"/>
          <w:bCs/>
          <w:color w:val="000000" w:themeColor="text1"/>
          <w:sz w:val="21"/>
          <w:szCs w:val="21"/>
          <w:highlight w:val="none"/>
          <w14:textFill>
            <w14:solidFill>
              <w14:schemeClr w14:val="tx1"/>
            </w14:solidFill>
          </w14:textFill>
        </w:rPr>
        <w:t>依法参与合同缔结或履行，享有权利、承担义务的合同当事人</w:t>
      </w:r>
      <w:r>
        <w:rPr>
          <w:rFonts w:hint="eastAsia" w:ascii="宋体" w:hAnsi="宋体" w:eastAsia="宋体" w:cs="宋体"/>
          <w:color w:val="auto"/>
          <w:sz w:val="21"/>
          <w:szCs w:val="21"/>
          <w:highlight w:val="none"/>
        </w:rPr>
        <w:t>。</w:t>
      </w:r>
    </w:p>
    <w:p w14:paraId="3A7A53F7">
      <w:pPr>
        <w:keepNext w:val="0"/>
        <w:keepLines w:val="0"/>
        <w:pageBreakBefore w:val="0"/>
        <w:tabs>
          <w:tab w:val="left" w:pos="570"/>
          <w:tab w:val="left" w:pos="9240"/>
          <w:tab w:val="left" w:pos="9555"/>
        </w:tabs>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1.2本合同下列术语应解释为：</w:t>
      </w:r>
    </w:p>
    <w:p w14:paraId="586B8D9A">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（1）“合同”系指</w:t>
      </w:r>
      <w:r>
        <w:rPr>
          <w:rFonts w:hint="eastAsia" w:ascii="宋体" w:hAnsi="宋体" w:eastAsia="宋体" w:cs="宋体"/>
          <w:bCs/>
          <w:color w:val="000000" w:themeColor="text1"/>
          <w:sz w:val="21"/>
          <w:szCs w:val="21"/>
          <w:highlight w:val="none"/>
          <w14:textFill>
            <w14:solidFill>
              <w14:schemeClr w14:val="tx1"/>
            </w14:solidFill>
          </w14:textFill>
        </w:rPr>
        <w:t>合同当事人意思表示达成一致的任何协议，包括签署的</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r>
        <w:rPr>
          <w:rFonts w:hint="eastAsia" w:ascii="宋体" w:hAnsi="宋体" w:eastAsia="宋体" w:cs="宋体"/>
          <w:sz w:val="21"/>
          <w:szCs w:val="21"/>
          <w:highlight w:val="none"/>
        </w:rPr>
        <w:t>政府采购合同专用条款</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政府采购合同通用条款</w:t>
      </w:r>
      <w:r>
        <w:rPr>
          <w:rFonts w:hint="eastAsia" w:ascii="宋体" w:hAnsi="宋体" w:eastAsia="宋体" w:cs="宋体"/>
          <w:sz w:val="21"/>
          <w:szCs w:val="21"/>
          <w:highlight w:val="none"/>
          <w:lang w:eastAsia="zh-CN"/>
        </w:rPr>
        <w:t>，</w:t>
      </w:r>
      <w:r>
        <w:rPr>
          <w:rFonts w:hint="eastAsia" w:ascii="宋体" w:hAnsi="宋体" w:cs="宋体"/>
          <w:color w:val="auto"/>
          <w:sz w:val="21"/>
          <w:szCs w:val="21"/>
          <w:highlight w:val="none"/>
          <w:lang w:eastAsia="zh-CN"/>
        </w:rPr>
        <w:t>成交通知书</w:t>
      </w:r>
      <w:r>
        <w:rPr>
          <w:rFonts w:hint="eastAsia" w:ascii="宋体" w:hAnsi="宋体" w:eastAsia="宋体" w:cs="宋体"/>
          <w:color w:val="auto"/>
          <w:sz w:val="21"/>
          <w:szCs w:val="21"/>
          <w:highlight w:val="none"/>
          <w:lang w:eastAsia="zh-CN"/>
        </w:rPr>
        <w:t>，</w:t>
      </w:r>
      <w:r>
        <w:rPr>
          <w:rFonts w:hint="eastAsia" w:ascii="宋体" w:hAnsi="宋体" w:cs="宋体"/>
          <w:sz w:val="21"/>
          <w:szCs w:val="21"/>
          <w:highlight w:val="none"/>
          <w:lang w:eastAsia="zh-CN"/>
        </w:rPr>
        <w:t>响应文件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采购文件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有关技术文件</w:t>
      </w:r>
      <w:r>
        <w:rPr>
          <w:rFonts w:hint="eastAsia" w:ascii="宋体" w:hAnsi="宋体" w:eastAsia="宋体" w:cs="宋体"/>
          <w:sz w:val="21"/>
          <w:szCs w:val="21"/>
          <w:highlight w:val="none"/>
          <w:lang w:eastAsia="zh-CN"/>
        </w:rPr>
        <w:t>和</w:t>
      </w:r>
      <w:r>
        <w:rPr>
          <w:rFonts w:hint="eastAsia" w:ascii="宋体" w:hAnsi="宋体" w:eastAsia="宋体" w:cs="宋体"/>
          <w:sz w:val="21"/>
          <w:szCs w:val="21"/>
          <w:highlight w:val="none"/>
        </w:rPr>
        <w:t>图纸</w:t>
      </w:r>
      <w:r>
        <w:rPr>
          <w:rFonts w:hint="eastAsia" w:ascii="宋体" w:hAnsi="宋体" w:eastAsia="宋体" w:cs="宋体"/>
          <w:sz w:val="21"/>
          <w:szCs w:val="21"/>
          <w:highlight w:val="none"/>
          <w:lang w:eastAsia="zh-CN"/>
        </w:rPr>
        <w:t>，以及</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eastAsia="宋体" w:cs="宋体"/>
          <w:color w:val="auto"/>
          <w:sz w:val="21"/>
          <w:szCs w:val="21"/>
          <w:highlight w:val="none"/>
        </w:rPr>
        <w:t>。</w:t>
      </w:r>
    </w:p>
    <w:p w14:paraId="66CD511D">
      <w:pPr>
        <w:keepNext w:val="0"/>
        <w:keepLines w:val="0"/>
        <w:pageBreakBefore w:val="0"/>
        <w:tabs>
          <w:tab w:val="left" w:pos="570"/>
          <w:tab w:val="left" w:pos="9240"/>
          <w:tab w:val="left" w:pos="9555"/>
        </w:tabs>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）“合同价</w:t>
      </w:r>
      <w:r>
        <w:rPr>
          <w:rFonts w:hint="eastAsia" w:ascii="宋体" w:hAnsi="宋体" w:eastAsia="宋体" w:cs="宋体"/>
          <w:color w:val="auto"/>
          <w:sz w:val="21"/>
          <w:szCs w:val="21"/>
          <w:highlight w:val="none"/>
          <w:lang w:val="en-US" w:eastAsia="zh-CN"/>
        </w:rPr>
        <w:t>款</w:t>
      </w:r>
      <w:r>
        <w:rPr>
          <w:rFonts w:hint="eastAsia" w:ascii="宋体" w:hAnsi="宋体" w:eastAsia="宋体" w:cs="宋体"/>
          <w:color w:val="auto"/>
          <w:sz w:val="21"/>
          <w:szCs w:val="21"/>
          <w:highlight w:val="none"/>
        </w:rPr>
        <w:t>”系指根据本合同规定乙方在全面履行合同义务后甲方应支付给乙方的价款。</w:t>
      </w:r>
    </w:p>
    <w:p w14:paraId="3E587279">
      <w:pPr>
        <w:keepNext w:val="0"/>
        <w:keepLines w:val="0"/>
        <w:pageBreakBefore w:val="0"/>
        <w:tabs>
          <w:tab w:val="left" w:pos="570"/>
          <w:tab w:val="left" w:pos="9240"/>
          <w:tab w:val="left" w:pos="9555"/>
        </w:tabs>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）“货物”系指乙方根据本合同规定须向甲方提供的各种形态和种类的物品，包括原材料、设备、产品（</w:t>
      </w:r>
      <w:r>
        <w:rPr>
          <w:rFonts w:hint="eastAsia" w:ascii="宋体" w:hAnsi="宋体" w:eastAsia="宋体" w:cs="宋体"/>
          <w:color w:val="000000" w:themeColor="text1"/>
          <w:sz w:val="21"/>
          <w:szCs w:val="21"/>
          <w:highlight w:val="none"/>
          <w14:textFill>
            <w14:solidFill>
              <w14:schemeClr w14:val="tx1"/>
            </w14:solidFill>
          </w14:textFill>
        </w:rPr>
        <w:t>包括软件）及相关的其备品备件、工具、手册及</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技术资料和材料</w:t>
      </w:r>
      <w:r>
        <w:rPr>
          <w:rFonts w:hint="eastAsia" w:ascii="宋体" w:hAnsi="宋体" w:eastAsia="宋体" w:cs="宋体"/>
          <w:color w:val="000000" w:themeColor="text1"/>
          <w:sz w:val="21"/>
          <w:szCs w:val="21"/>
          <w:highlight w:val="none"/>
          <w:lang w:eastAsia="zh-CN"/>
          <w14:textFill>
            <w14:solidFill>
              <w14:schemeClr w14:val="tx1"/>
            </w14:solidFill>
          </w14:textFill>
        </w:rPr>
        <w:t>等</w:t>
      </w:r>
      <w:r>
        <w:rPr>
          <w:rFonts w:hint="eastAsia" w:ascii="宋体" w:hAnsi="宋体" w:eastAsia="宋体" w:cs="宋体"/>
          <w:color w:val="000000" w:themeColor="text1"/>
          <w:sz w:val="21"/>
          <w:szCs w:val="21"/>
          <w:highlight w:val="none"/>
          <w14:textFill>
            <w14:solidFill>
              <w14:schemeClr w14:val="tx1"/>
            </w14:solidFill>
          </w14:textFill>
        </w:rPr>
        <w:t>。</w:t>
      </w:r>
    </w:p>
    <w:p w14:paraId="516AF75A">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000000" w:themeColor="text1"/>
          <w:sz w:val="21"/>
          <w:szCs w:val="21"/>
          <w:highlight w:val="none"/>
          <w14:textFill>
            <w14:solidFill>
              <w14:schemeClr w14:val="tx1"/>
            </w14:solidFill>
          </w14:textFill>
        </w:rPr>
        <w:t>服务”系指根据合同规定，乙方应提供的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与货物有关的</w:t>
      </w:r>
      <w:r>
        <w:rPr>
          <w:rFonts w:hint="eastAsia" w:ascii="宋体" w:hAnsi="宋体" w:eastAsia="宋体" w:cs="宋体"/>
          <w:color w:val="000000" w:themeColor="text1"/>
          <w:sz w:val="21"/>
          <w:szCs w:val="21"/>
          <w:highlight w:val="none"/>
          <w14:textFill>
            <w14:solidFill>
              <w14:schemeClr w14:val="tx1"/>
            </w14:solidFill>
          </w14:textFill>
        </w:rPr>
        <w:t>技术、管理和</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服务，包括但不限于：管理和质量保证、运输、保险、检验、现场准备、安装、集成、调试、培训、维修、</w:t>
      </w:r>
      <w:r>
        <w:rPr>
          <w:rFonts w:hint="eastAsia" w:ascii="宋体" w:hAnsi="宋体" w:eastAsia="宋体" w:cs="宋体"/>
          <w:color w:val="000000" w:themeColor="text1"/>
          <w:sz w:val="21"/>
          <w:szCs w:val="21"/>
          <w:highlight w:val="none"/>
          <w:lang w:eastAsia="zh-CN"/>
          <w14:textFill>
            <w14:solidFill>
              <w14:schemeClr w14:val="tx1"/>
            </w14:solidFill>
          </w14:textFill>
        </w:rPr>
        <w:t>废弃处置、</w:t>
      </w:r>
      <w:r>
        <w:rPr>
          <w:rFonts w:hint="eastAsia" w:ascii="宋体" w:hAnsi="宋体" w:eastAsia="宋体" w:cs="宋体"/>
          <w:color w:val="000000" w:themeColor="text1"/>
          <w:sz w:val="21"/>
          <w:szCs w:val="21"/>
          <w:highlight w:val="none"/>
          <w14:textFill>
            <w14:solidFill>
              <w14:schemeClr w14:val="tx1"/>
            </w14:solidFill>
          </w14:textFill>
        </w:rPr>
        <w:t>技术支持等以及合同中规定乙方应承担的</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义务。</w:t>
      </w:r>
    </w:p>
    <w:p w14:paraId="135E7D4C">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）“分包”系指中标</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成交</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供应商按采购文件、</w:t>
      </w:r>
      <w:r>
        <w:rPr>
          <w:rFonts w:hint="eastAsia" w:ascii="宋体" w:hAnsi="宋体" w:cs="宋体"/>
          <w:color w:val="000000" w:themeColor="text1"/>
          <w:sz w:val="21"/>
          <w:szCs w:val="21"/>
          <w:highlight w:val="none"/>
          <w:lang w:eastAsia="zh-CN"/>
          <w14:textFill>
            <w14:solidFill>
              <w14:schemeClr w14:val="tx1"/>
            </w14:solidFill>
          </w14:textFill>
        </w:rPr>
        <w:t>响应文件</w:t>
      </w:r>
      <w:r>
        <w:rPr>
          <w:rFonts w:hint="eastAsia" w:ascii="宋体" w:hAnsi="宋体" w:eastAsia="宋体" w:cs="宋体"/>
          <w:color w:val="000000" w:themeColor="text1"/>
          <w:sz w:val="21"/>
          <w:szCs w:val="21"/>
          <w:highlight w:val="none"/>
          <w14:textFill>
            <w14:solidFill>
              <w14:schemeClr w14:val="tx1"/>
            </w14:solidFill>
          </w14:textFill>
        </w:rPr>
        <w:t>的规定，根据分包意向协议，将中标</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成交</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项目中的部分履约内容，分给具有相应资质条件的供应商履行合同的行为。</w:t>
      </w:r>
    </w:p>
    <w:p w14:paraId="259254A5">
      <w:pPr>
        <w:keepNext w:val="0"/>
        <w:keepLines w:val="0"/>
        <w:pageBreakBefore w:val="0"/>
        <w:tabs>
          <w:tab w:val="left" w:pos="570"/>
          <w:tab w:val="left" w:pos="9240"/>
          <w:tab w:val="left" w:pos="9555"/>
        </w:tabs>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sz w:val="21"/>
          <w:szCs w:val="21"/>
          <w:highlight w:val="none"/>
        </w:rPr>
        <w:t>“联合体”系指</w:t>
      </w:r>
      <w:r>
        <w:rPr>
          <w:rFonts w:hint="eastAsia" w:ascii="宋体" w:hAnsi="宋体" w:eastAsia="宋体" w:cs="宋体"/>
          <w:sz w:val="21"/>
          <w:szCs w:val="21"/>
          <w:highlight w:val="none"/>
          <w:lang w:eastAsia="zh-CN"/>
        </w:rPr>
        <w:t>由</w:t>
      </w:r>
      <w:r>
        <w:rPr>
          <w:rFonts w:hint="eastAsia" w:ascii="宋体" w:hAnsi="宋体" w:eastAsia="宋体" w:cs="宋体"/>
          <w:sz w:val="21"/>
          <w:szCs w:val="21"/>
          <w:highlight w:val="none"/>
        </w:rPr>
        <w:t>两个以上的自然人、法人或者</w:t>
      </w:r>
      <w:r>
        <w:rPr>
          <w:rFonts w:hint="eastAsia" w:ascii="宋体" w:hAnsi="宋体" w:eastAsia="宋体" w:cs="宋体"/>
          <w:sz w:val="21"/>
          <w:szCs w:val="21"/>
          <w:highlight w:val="none"/>
          <w:lang w:val="en-US" w:eastAsia="zh-CN"/>
        </w:rPr>
        <w:t>非法人</w:t>
      </w:r>
      <w:r>
        <w:rPr>
          <w:rFonts w:hint="eastAsia" w:ascii="宋体" w:hAnsi="宋体" w:eastAsia="宋体" w:cs="宋体"/>
          <w:sz w:val="21"/>
          <w:szCs w:val="21"/>
          <w:highlight w:val="none"/>
        </w:rPr>
        <w:t>组织组成，</w:t>
      </w:r>
      <w:r>
        <w:rPr>
          <w:rFonts w:hint="eastAsia" w:ascii="宋体" w:hAnsi="宋体" w:eastAsia="宋体" w:cs="宋体"/>
          <w:sz w:val="21"/>
          <w:szCs w:val="21"/>
          <w:highlight w:val="none"/>
          <w:lang w:eastAsia="zh-CN"/>
        </w:rPr>
        <w:t>以一个供应商的身份共同参加政府采购的主体</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1"/>
          <w:szCs w:val="21"/>
          <w:highlight w:val="none"/>
          <w:lang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承担连带责任。联合体具体要求见【</w:t>
      </w:r>
      <w:r>
        <w:rPr>
          <w:rFonts w:hint="eastAsia" w:ascii="宋体" w:hAnsi="宋体" w:eastAsia="宋体" w:cs="宋体"/>
          <w:b/>
          <w:bCs/>
          <w:color w:val="000000" w:themeColor="text1"/>
          <w:sz w:val="21"/>
          <w:szCs w:val="21"/>
          <w:highlight w:val="none"/>
          <w14:textFill>
            <w14:solidFill>
              <w14:schemeClr w14:val="tx1"/>
            </w14:solidFill>
          </w14:textFill>
        </w:rPr>
        <w:t>政府采购合同专用条款</w:t>
      </w:r>
      <w:r>
        <w:rPr>
          <w:rFonts w:hint="eastAsia" w:ascii="宋体" w:hAnsi="宋体" w:eastAsia="宋体" w:cs="宋体"/>
          <w:color w:val="000000" w:themeColor="text1"/>
          <w:sz w:val="21"/>
          <w:szCs w:val="21"/>
          <w:highlight w:val="none"/>
          <w14:textFill>
            <w14:solidFill>
              <w14:schemeClr w14:val="tx1"/>
            </w14:solidFill>
          </w14:textFill>
        </w:rPr>
        <w:t>】。</w:t>
      </w:r>
    </w:p>
    <w:p w14:paraId="796C333D">
      <w:pPr>
        <w:keepNext w:val="0"/>
        <w:keepLines w:val="0"/>
        <w:pageBreakBefore w:val="0"/>
        <w:tabs>
          <w:tab w:val="left" w:pos="570"/>
          <w:tab w:val="left" w:pos="9240"/>
          <w:tab w:val="left" w:pos="9555"/>
        </w:tabs>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）其他术语解释，见【</w:t>
      </w:r>
      <w:r>
        <w:rPr>
          <w:rFonts w:hint="eastAsia" w:ascii="宋体" w:hAnsi="宋体" w:eastAsia="宋体" w:cs="宋体"/>
          <w:b/>
          <w:bCs/>
          <w:color w:val="000000" w:themeColor="text1"/>
          <w:sz w:val="21"/>
          <w:szCs w:val="21"/>
          <w:highlight w:val="none"/>
          <w14:textFill>
            <w14:solidFill>
              <w14:schemeClr w14:val="tx1"/>
            </w14:solidFill>
          </w14:textFill>
        </w:rPr>
        <w:t>政府采购合同专用条款</w:t>
      </w:r>
      <w:r>
        <w:rPr>
          <w:rFonts w:hint="eastAsia" w:ascii="宋体" w:hAnsi="宋体" w:eastAsia="宋体" w:cs="宋体"/>
          <w:color w:val="000000" w:themeColor="text1"/>
          <w:sz w:val="21"/>
          <w:szCs w:val="21"/>
          <w:highlight w:val="none"/>
          <w14:textFill>
            <w14:solidFill>
              <w14:schemeClr w14:val="tx1"/>
            </w14:solidFill>
          </w14:textFill>
        </w:rPr>
        <w:t>】。</w:t>
      </w:r>
    </w:p>
    <w:p w14:paraId="18BDDD8A">
      <w:pPr>
        <w:keepNext w:val="0"/>
        <w:keepLines w:val="0"/>
        <w:pageBreakBefore w:val="0"/>
        <w:numPr>
          <w:ilvl w:val="0"/>
          <w:numId w:val="4"/>
        </w:numPr>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合同标的及金额</w:t>
      </w:r>
    </w:p>
    <w:p w14:paraId="293EB099">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b/>
          <w:bCs/>
          <w:i/>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eastAsia="宋体" w:cs="宋体"/>
          <w:color w:val="000000" w:themeColor="text1"/>
          <w:sz w:val="21"/>
          <w:szCs w:val="21"/>
          <w:highlight w:val="none"/>
          <w:lang w:eastAsia="zh-CN"/>
          <w14:textFill>
            <w14:solidFill>
              <w14:schemeClr w14:val="tx1"/>
            </w14:solidFill>
          </w14:textFill>
        </w:rPr>
        <w:t>价款</w:t>
      </w:r>
      <w:r>
        <w:rPr>
          <w:rFonts w:hint="eastAsia" w:ascii="宋体" w:hAnsi="宋体" w:eastAsia="宋体" w:cs="宋体"/>
          <w:color w:val="000000" w:themeColor="text1"/>
          <w:sz w:val="21"/>
          <w:szCs w:val="21"/>
          <w:highlight w:val="none"/>
          <w14:textFill>
            <w14:solidFill>
              <w14:schemeClr w14:val="tx1"/>
            </w14:solidFill>
          </w14:textFill>
        </w:rPr>
        <w:t>中，甲方不再另行支付</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任何费用。</w:t>
      </w:r>
    </w:p>
    <w:p w14:paraId="72E1D01C">
      <w:pPr>
        <w:keepNext w:val="0"/>
        <w:keepLines w:val="0"/>
        <w:pageBreakBefore w:val="0"/>
        <w:kinsoku/>
        <w:wordWrap/>
        <w:overflowPunct/>
        <w:topLinePunct w:val="0"/>
        <w:bidi w:val="0"/>
        <w:adjustRightInd w:val="0"/>
        <w:snapToGrid w:val="0"/>
        <w:spacing w:beforeAutospacing="0" w:afterAutospacing="0" w:line="440" w:lineRule="exact"/>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履行合同的时间、地点和方式</w:t>
      </w:r>
    </w:p>
    <w:p w14:paraId="3EA585E4">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sz w:val="21"/>
          <w:szCs w:val="21"/>
          <w:highlight w:val="none"/>
        </w:rPr>
        <w:t>乙方应当在约定的时间、地点</w:t>
      </w:r>
      <w:r>
        <w:rPr>
          <w:rFonts w:hint="eastAsia" w:ascii="宋体" w:hAnsi="宋体" w:eastAsia="宋体" w:cs="宋体"/>
          <w:sz w:val="21"/>
          <w:szCs w:val="21"/>
          <w:highlight w:val="none"/>
          <w:lang w:eastAsia="zh-CN"/>
        </w:rPr>
        <w:t>，按照约定</w:t>
      </w:r>
      <w:r>
        <w:rPr>
          <w:rFonts w:hint="eastAsia" w:ascii="宋体" w:hAnsi="宋体" w:eastAsia="宋体" w:cs="宋体"/>
          <w:sz w:val="21"/>
          <w:szCs w:val="21"/>
          <w:highlight w:val="none"/>
        </w:rPr>
        <w:t>方式履行合同。</w:t>
      </w:r>
    </w:p>
    <w:p w14:paraId="61A45DDA">
      <w:pPr>
        <w:keepNext w:val="0"/>
        <w:keepLines w:val="0"/>
        <w:pageBreakBefore w:val="0"/>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甲方的权利和义务</w:t>
      </w:r>
    </w:p>
    <w:p w14:paraId="62DCCF83">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.1 签署合同后，甲方</w:t>
      </w:r>
      <w:r>
        <w:rPr>
          <w:rFonts w:hint="eastAsia" w:ascii="宋体" w:hAnsi="宋体" w:eastAsia="宋体" w:cs="宋体"/>
          <w:color w:val="000000" w:themeColor="text1"/>
          <w:sz w:val="21"/>
          <w:szCs w:val="21"/>
          <w:highlight w:val="none"/>
          <w:lang w:eastAsia="zh-CN"/>
          <w14:textFill>
            <w14:solidFill>
              <w14:schemeClr w14:val="tx1"/>
            </w14:solidFill>
          </w14:textFill>
        </w:rPr>
        <w:t>应</w:t>
      </w:r>
      <w:r>
        <w:rPr>
          <w:rFonts w:hint="eastAsia" w:ascii="宋体" w:hAnsi="宋体" w:eastAsia="宋体" w:cs="宋体"/>
          <w:color w:val="000000" w:themeColor="text1"/>
          <w:sz w:val="21"/>
          <w:szCs w:val="21"/>
          <w:highlight w:val="none"/>
          <w14:textFill>
            <w14:solidFill>
              <w14:schemeClr w14:val="tx1"/>
            </w14:solidFill>
          </w14:textFill>
        </w:rPr>
        <w:t>确定</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1"/>
          <w:szCs w:val="21"/>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14:paraId="589413E8">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14:paraId="2014BAD2">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.3 甲方有权要求乙方对缺陷部分予以修复，并按合同约定享有货物保修及其他合同约定的权利。</w:t>
      </w:r>
    </w:p>
    <w:p w14:paraId="4A01BBA6">
      <w:pPr>
        <w:keepNext w:val="0"/>
        <w:keepLines w:val="0"/>
        <w:pageBreakBefore w:val="0"/>
        <w:kinsoku/>
        <w:wordWrap/>
        <w:overflowPunct/>
        <w:topLinePunct w:val="0"/>
        <w:bidi w:val="0"/>
        <w:snapToGrid w:val="0"/>
        <w:spacing w:beforeAutospacing="0" w:afterAutospacing="0" w:line="44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4.4 甲方应当按照合同约定及时对交付的货物进行验收，</w:t>
      </w:r>
      <w:r>
        <w:rPr>
          <w:rFonts w:hint="eastAsia" w:ascii="宋体" w:hAnsi="宋体" w:eastAsia="宋体" w:cs="宋体"/>
          <w:b w:val="0"/>
          <w:bCs w:val="0"/>
          <w:sz w:val="21"/>
          <w:szCs w:val="21"/>
          <w:highlight w:val="none"/>
          <w:lang w:eastAsia="zh-CN"/>
        </w:rPr>
        <w:t>未</w:t>
      </w:r>
      <w:r>
        <w:rPr>
          <w:rFonts w:hint="eastAsia" w:ascii="宋体" w:hAnsi="宋体" w:eastAsia="宋体" w:cs="宋体"/>
          <w:color w:val="000000" w:themeColor="text1"/>
          <w:sz w:val="21"/>
          <w:szCs w:val="21"/>
          <w:highlight w:val="none"/>
          <w:lang w:val="en-US" w:eastAsia="zh-CN"/>
          <w14:textFill>
            <w14:solidFill>
              <w14:schemeClr w14:val="tx1"/>
            </w14:solidFill>
          </w14:textFill>
        </w:rPr>
        <w:t>在</w:t>
      </w:r>
      <w:r>
        <w:rPr>
          <w:rFonts w:hint="eastAsia" w:ascii="宋体" w:hAnsi="宋体" w:eastAsia="宋体" w:cs="宋体"/>
          <w:b/>
          <w:bCs/>
          <w:sz w:val="21"/>
          <w:szCs w:val="21"/>
          <w:highlight w:val="none"/>
        </w:rPr>
        <w:t>【政府采购合同专用条款】</w:t>
      </w:r>
      <w:r>
        <w:rPr>
          <w:rFonts w:hint="eastAsia" w:ascii="宋体" w:hAnsi="宋体" w:eastAsia="宋体" w:cs="宋体"/>
          <w:b w:val="0"/>
          <w:bCs w:val="0"/>
          <w:sz w:val="21"/>
          <w:szCs w:val="21"/>
          <w:highlight w:val="none"/>
          <w:lang w:eastAsia="zh-CN"/>
        </w:rPr>
        <w:t>约定的期限内对乙方履约提出任何异议或者向乙方作出任何说明的，</w:t>
      </w:r>
      <w:r>
        <w:rPr>
          <w:rFonts w:hint="eastAsia" w:ascii="宋体" w:hAnsi="宋体" w:eastAsia="宋体" w:cs="宋体"/>
          <w:color w:val="000000" w:themeColor="text1"/>
          <w:sz w:val="21"/>
          <w:szCs w:val="21"/>
          <w:highlight w:val="none"/>
          <w:lang w:val="en-US" w:eastAsia="zh-CN"/>
          <w14:textFill>
            <w14:solidFill>
              <w14:schemeClr w14:val="tx1"/>
            </w14:solidFill>
          </w14:textFill>
        </w:rPr>
        <w:t>视为验收通过。</w:t>
      </w:r>
    </w:p>
    <w:p w14:paraId="1EEDEC6C">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1"/>
          <w:szCs w:val="21"/>
          <w:highlight w:val="none"/>
          <w:lang w:eastAsia="zh-CN"/>
          <w14:textFill>
            <w14:solidFill>
              <w14:schemeClr w14:val="tx1"/>
            </w14:solidFill>
          </w14:textFill>
        </w:rPr>
        <w:t>及</w:t>
      </w:r>
      <w:r>
        <w:rPr>
          <w:rFonts w:hint="eastAsia" w:ascii="宋体" w:hAnsi="宋体" w:eastAsia="宋体" w:cs="宋体"/>
          <w:color w:val="000000" w:themeColor="text1"/>
          <w:sz w:val="21"/>
          <w:szCs w:val="21"/>
          <w:highlight w:val="none"/>
          <w14:textFill>
            <w14:solidFill>
              <w14:schemeClr w14:val="tx1"/>
            </w14:solidFill>
          </w14:textFill>
        </w:rPr>
        <w:t>时向乙方支付</w:t>
      </w:r>
      <w:r>
        <w:rPr>
          <w:rFonts w:hint="eastAsia" w:ascii="宋体" w:hAnsi="宋体" w:eastAsia="宋体" w:cs="宋体"/>
          <w:color w:val="000000" w:themeColor="text1"/>
          <w:sz w:val="21"/>
          <w:szCs w:val="21"/>
          <w:highlight w:val="none"/>
          <w:lang w:eastAsia="zh-CN"/>
          <w14:textFill>
            <w14:solidFill>
              <w14:schemeClr w14:val="tx1"/>
            </w14:solidFill>
          </w14:textFill>
        </w:rPr>
        <w:t>合同价款，不得以内部人员变更、履行内部付款流程等为由，拒绝或迟延支付。</w:t>
      </w:r>
    </w:p>
    <w:p w14:paraId="599064AD">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 w:val="21"/>
          <w:szCs w:val="21"/>
          <w:highlight w:val="none"/>
          <w:lang w:eastAsia="zh-CN"/>
          <w14:textFill>
            <w14:solidFill>
              <w14:schemeClr w14:val="tx1"/>
            </w14:solidFill>
          </w14:textFill>
        </w:rPr>
        <w:t>及</w:t>
      </w:r>
      <w:r>
        <w:rPr>
          <w:rFonts w:hint="eastAsia" w:ascii="宋体" w:hAnsi="宋体" w:eastAsia="宋体" w:cs="宋体"/>
          <w:b/>
          <w:bCs/>
          <w:sz w:val="21"/>
          <w:szCs w:val="21"/>
          <w:highlight w:val="none"/>
        </w:rPr>
        <w:t>【政府采购合同专用条款】</w:t>
      </w:r>
      <w:r>
        <w:rPr>
          <w:rFonts w:hint="eastAsia" w:ascii="宋体" w:hAnsi="宋体" w:eastAsia="宋体" w:cs="宋体"/>
          <w:color w:val="000000" w:themeColor="text1"/>
          <w:sz w:val="21"/>
          <w:szCs w:val="21"/>
          <w:highlight w:val="none"/>
          <w:lang w:eastAsia="zh-CN"/>
          <w14:textFill>
            <w14:solidFill>
              <w14:schemeClr w14:val="tx1"/>
            </w14:solidFill>
          </w14:textFill>
        </w:rPr>
        <w:t>约定应</w:t>
      </w:r>
      <w:r>
        <w:rPr>
          <w:rFonts w:hint="eastAsia" w:ascii="宋体" w:hAnsi="宋体" w:eastAsia="宋体" w:cs="宋体"/>
          <w:color w:val="000000" w:themeColor="text1"/>
          <w:sz w:val="21"/>
          <w:szCs w:val="21"/>
          <w:highlight w:val="none"/>
          <w14:textFill>
            <w14:solidFill>
              <w14:schemeClr w14:val="tx1"/>
            </w14:solidFill>
          </w14:textFill>
        </w:rPr>
        <w:t>由甲方承担的其他义务和责任。</w:t>
      </w:r>
    </w:p>
    <w:p w14:paraId="3E3706B9">
      <w:pPr>
        <w:keepNext w:val="0"/>
        <w:keepLines w:val="0"/>
        <w:pageBreakBefore w:val="0"/>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5</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乙方的权利和义务</w:t>
      </w:r>
    </w:p>
    <w:p w14:paraId="3EB395F3">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.1 签署合同后，乙方</w:t>
      </w:r>
      <w:r>
        <w:rPr>
          <w:rFonts w:hint="eastAsia" w:ascii="宋体" w:hAnsi="宋体" w:eastAsia="宋体" w:cs="宋体"/>
          <w:color w:val="000000" w:themeColor="text1"/>
          <w:sz w:val="21"/>
          <w:szCs w:val="21"/>
          <w:highlight w:val="none"/>
          <w:lang w:eastAsia="zh-CN"/>
          <w14:textFill>
            <w14:solidFill>
              <w14:schemeClr w14:val="tx1"/>
            </w14:solidFill>
          </w14:textFill>
        </w:rPr>
        <w:t>应</w:t>
      </w:r>
      <w:r>
        <w:rPr>
          <w:rFonts w:hint="eastAsia" w:ascii="宋体" w:hAnsi="宋体" w:eastAsia="宋体" w:cs="宋体"/>
          <w:color w:val="000000" w:themeColor="text1"/>
          <w:sz w:val="21"/>
          <w:szCs w:val="21"/>
          <w:highlight w:val="none"/>
          <w14:textFill>
            <w14:solidFill>
              <w14:schemeClr w14:val="tx1"/>
            </w14:solidFill>
          </w14:textFill>
        </w:rPr>
        <w:t>确定</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1"/>
          <w:szCs w:val="21"/>
          <w:highlight w:val="none"/>
          <w14:textFill>
            <w14:solidFill>
              <w14:schemeClr w14:val="tx1"/>
            </w14:solidFill>
          </w14:textFill>
        </w:rPr>
        <w:t>，负责与本合同有关的事务。</w:t>
      </w:r>
    </w:p>
    <w:p w14:paraId="352D2D9C">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.2 乙方应按照合同要求履约，充分合理安排，确保提供的货物</w:t>
      </w:r>
      <w:r>
        <w:rPr>
          <w:rFonts w:hint="eastAsia" w:ascii="宋体" w:hAnsi="宋体" w:eastAsia="宋体" w:cs="宋体"/>
          <w:color w:val="000000" w:themeColor="text1"/>
          <w:sz w:val="21"/>
          <w:szCs w:val="21"/>
          <w:highlight w:val="none"/>
          <w:lang w:eastAsia="zh-CN"/>
          <w14:textFill>
            <w14:solidFill>
              <w14:schemeClr w14:val="tx1"/>
            </w14:solidFill>
          </w14:textFill>
        </w:rPr>
        <w:t>及相关</w:t>
      </w:r>
      <w:r>
        <w:rPr>
          <w:rFonts w:hint="eastAsia" w:ascii="宋体" w:hAnsi="宋体" w:eastAsia="宋体" w:cs="宋体"/>
          <w:color w:val="000000" w:themeColor="text1"/>
          <w:sz w:val="21"/>
          <w:szCs w:val="21"/>
          <w:highlight w:val="none"/>
          <w14:textFill>
            <w14:solidFill>
              <w14:schemeClr w14:val="tx1"/>
            </w14:solidFill>
          </w14:textFill>
        </w:rPr>
        <w:t>服务符合合同</w:t>
      </w:r>
      <w:r>
        <w:rPr>
          <w:rFonts w:hint="eastAsia" w:ascii="宋体" w:hAnsi="宋体" w:eastAsia="宋体" w:cs="宋体"/>
          <w:color w:val="000000" w:themeColor="text1"/>
          <w:sz w:val="21"/>
          <w:szCs w:val="21"/>
          <w:highlight w:val="none"/>
          <w:lang w:eastAsia="zh-CN"/>
          <w14:textFill>
            <w14:solidFill>
              <w14:schemeClr w14:val="tx1"/>
            </w14:solidFill>
          </w14:textFill>
        </w:rPr>
        <w:t>有关</w:t>
      </w:r>
      <w:r>
        <w:rPr>
          <w:rFonts w:hint="eastAsia" w:ascii="宋体" w:hAnsi="宋体" w:eastAsia="宋体" w:cs="宋体"/>
          <w:color w:val="000000" w:themeColor="text1"/>
          <w:sz w:val="21"/>
          <w:szCs w:val="21"/>
          <w:highlight w:val="none"/>
          <w14:textFill>
            <w14:solidFill>
              <w14:schemeClr w14:val="tx1"/>
            </w14:solidFill>
          </w14:textFill>
        </w:rPr>
        <w:t>要求。接受项目行业管理部门及政府有关部门的指导，配合甲方的履约检查</w:t>
      </w:r>
      <w:r>
        <w:rPr>
          <w:rFonts w:hint="eastAsia" w:ascii="宋体" w:hAnsi="宋体" w:eastAsia="宋体" w:cs="宋体"/>
          <w:color w:val="000000" w:themeColor="text1"/>
          <w:sz w:val="21"/>
          <w:szCs w:val="21"/>
          <w:highlight w:val="none"/>
          <w:lang w:eastAsia="zh-CN"/>
          <w14:textFill>
            <w14:solidFill>
              <w14:schemeClr w14:val="tx1"/>
            </w14:solidFill>
          </w14:textFill>
        </w:rPr>
        <w:t>及验收</w:t>
      </w:r>
      <w:r>
        <w:rPr>
          <w:rFonts w:hint="eastAsia" w:ascii="宋体" w:hAnsi="宋体" w:eastAsia="宋体" w:cs="宋体"/>
          <w:color w:val="000000" w:themeColor="text1"/>
          <w:sz w:val="21"/>
          <w:szCs w:val="21"/>
          <w:highlight w:val="none"/>
          <w14:textFill>
            <w14:solidFill>
              <w14:schemeClr w14:val="tx1"/>
            </w14:solidFill>
          </w14:textFill>
        </w:rPr>
        <w:t>，并负责项目实施过程中的所有协调工作。</w:t>
      </w:r>
    </w:p>
    <w:p w14:paraId="0CA25F0B">
      <w:pPr>
        <w:pStyle w:val="17"/>
        <w:keepNext w:val="0"/>
        <w:keepLines w:val="0"/>
        <w:pageBreakBefore w:val="0"/>
        <w:kinsoku/>
        <w:wordWrap/>
        <w:overflowPunct/>
        <w:topLinePunct w:val="0"/>
        <w:bidi w:val="0"/>
        <w:spacing w:beforeAutospacing="0" w:afterAutospacing="0" w:line="440" w:lineRule="exact"/>
        <w:ind w:firstLine="369" w:firstLineChars="176"/>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.3乙方有权根据合同约定向甲方收取</w:t>
      </w:r>
      <w:r>
        <w:rPr>
          <w:rFonts w:hint="eastAsia" w:ascii="宋体" w:hAnsi="宋体" w:eastAsia="宋体" w:cs="宋体"/>
          <w:color w:val="000000" w:themeColor="text1"/>
          <w:sz w:val="21"/>
          <w:szCs w:val="21"/>
          <w:highlight w:val="none"/>
          <w:lang w:eastAsia="zh-CN"/>
          <w14:textFill>
            <w14:solidFill>
              <w14:schemeClr w14:val="tx1"/>
            </w14:solidFill>
          </w14:textFill>
        </w:rPr>
        <w:t>合同价款</w:t>
      </w:r>
      <w:r>
        <w:rPr>
          <w:rFonts w:hint="eastAsia" w:ascii="宋体" w:hAnsi="宋体" w:eastAsia="宋体" w:cs="宋体"/>
          <w:color w:val="000000" w:themeColor="text1"/>
          <w:sz w:val="21"/>
          <w:szCs w:val="21"/>
          <w:highlight w:val="none"/>
          <w14:textFill>
            <w14:solidFill>
              <w14:schemeClr w14:val="tx1"/>
            </w14:solidFill>
          </w14:textFill>
        </w:rPr>
        <w:t>。</w:t>
      </w:r>
    </w:p>
    <w:p w14:paraId="4EFDB90A">
      <w:pPr>
        <w:pStyle w:val="17"/>
        <w:keepNext w:val="0"/>
        <w:keepLines w:val="0"/>
        <w:pageBreakBefore w:val="0"/>
        <w:kinsoku/>
        <w:wordWrap/>
        <w:overflowPunct/>
        <w:topLinePunct w:val="0"/>
        <w:bidi w:val="0"/>
        <w:spacing w:beforeAutospacing="0" w:afterAutospacing="0" w:line="440" w:lineRule="exact"/>
        <w:ind w:firstLine="369" w:firstLineChars="176"/>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.4国家法律法规</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eastAsia="zh-CN"/>
        </w:rPr>
        <w:t>及</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lang w:eastAsia="zh-CN"/>
        </w:rPr>
        <w:t>约定应</w:t>
      </w:r>
      <w:r>
        <w:rPr>
          <w:rFonts w:hint="eastAsia" w:ascii="宋体" w:hAnsi="宋体" w:eastAsia="宋体" w:cs="宋体"/>
          <w:color w:val="auto"/>
          <w:sz w:val="21"/>
          <w:szCs w:val="21"/>
          <w:highlight w:val="none"/>
        </w:rPr>
        <w:t>由乙方承担的</w:t>
      </w:r>
      <w:r>
        <w:rPr>
          <w:rFonts w:hint="eastAsia" w:ascii="宋体" w:hAnsi="宋体" w:eastAsia="宋体" w:cs="宋体"/>
          <w:color w:val="000000" w:themeColor="text1"/>
          <w:sz w:val="21"/>
          <w:szCs w:val="21"/>
          <w:highlight w:val="none"/>
          <w14:textFill>
            <w14:solidFill>
              <w14:schemeClr w14:val="tx1"/>
            </w14:solidFill>
          </w14:textFill>
        </w:rPr>
        <w:t>其他义务和责任。</w:t>
      </w:r>
    </w:p>
    <w:p w14:paraId="59CED06C">
      <w:pPr>
        <w:keepNext w:val="0"/>
        <w:keepLines w:val="0"/>
        <w:pageBreakBefore w:val="0"/>
        <w:numPr>
          <w:ilvl w:val="0"/>
          <w:numId w:val="5"/>
        </w:numPr>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合同履</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行</w:t>
      </w:r>
    </w:p>
    <w:p w14:paraId="014B5678">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.1 甲乙双方应当按照</w:t>
      </w:r>
      <w:r>
        <w:rPr>
          <w:rFonts w:hint="eastAsia" w:ascii="宋体" w:hAnsi="宋体" w:eastAsia="宋体" w:cs="宋体"/>
          <w:b/>
          <w:bCs/>
          <w:sz w:val="21"/>
          <w:szCs w:val="21"/>
          <w:highlight w:val="none"/>
        </w:rPr>
        <w:t>【政府采购合同专用条款】</w:t>
      </w:r>
      <w:r>
        <w:rPr>
          <w:rFonts w:hint="eastAsia" w:ascii="宋体" w:hAnsi="宋体" w:eastAsia="宋体" w:cs="宋体"/>
          <w:color w:val="000000" w:themeColor="text1"/>
          <w:sz w:val="21"/>
          <w:szCs w:val="21"/>
          <w:highlight w:val="none"/>
          <w14:textFill>
            <w14:solidFill>
              <w14:schemeClr w14:val="tx1"/>
            </w14:solidFill>
          </w14:textFill>
        </w:rPr>
        <w:t>约定顺序履行合同义务；如果没有先后顺序的，应当同时履行。</w:t>
      </w:r>
    </w:p>
    <w:p w14:paraId="5CBC6339">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71992BA6">
      <w:pPr>
        <w:keepNext w:val="0"/>
        <w:keepLines w:val="0"/>
        <w:pageBreakBefore w:val="0"/>
        <w:kinsoku/>
        <w:wordWrap/>
        <w:overflowPunct/>
        <w:topLinePunct w:val="0"/>
        <w:bidi w:val="0"/>
        <w:adjustRightInd w:val="0"/>
        <w:snapToGrid w:val="0"/>
        <w:spacing w:beforeAutospacing="0" w:afterAutospacing="0" w:line="440" w:lineRule="exact"/>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7</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货物包装、运输</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保险</w:t>
      </w:r>
      <w:r>
        <w:rPr>
          <w:rFonts w:hint="eastAsia" w:ascii="宋体" w:hAnsi="宋体" w:eastAsia="宋体" w:cs="宋体"/>
          <w:b/>
          <w:bCs/>
          <w:color w:val="000000" w:themeColor="text1"/>
          <w:sz w:val="21"/>
          <w:szCs w:val="21"/>
          <w:highlight w:val="none"/>
          <w:lang w:eastAsia="zh-CN"/>
          <w14:textFill>
            <w14:solidFill>
              <w14:schemeClr w14:val="tx1"/>
            </w14:solidFill>
          </w14:textFill>
        </w:rPr>
        <w:t>和交付</w:t>
      </w:r>
      <w:r>
        <w:rPr>
          <w:rFonts w:hint="eastAsia" w:ascii="宋体" w:hAnsi="宋体" w:eastAsia="宋体" w:cs="宋体"/>
          <w:b/>
          <w:bCs/>
          <w:color w:val="000000" w:themeColor="text1"/>
          <w:sz w:val="21"/>
          <w:szCs w:val="21"/>
          <w:highlight w:val="none"/>
          <w14:textFill>
            <w14:solidFill>
              <w14:schemeClr w14:val="tx1"/>
            </w14:solidFill>
          </w14:textFill>
        </w:rPr>
        <w:t>要求</w:t>
      </w:r>
    </w:p>
    <w:p w14:paraId="7B3D70F0">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.1 本合同</w:t>
      </w:r>
      <w:r>
        <w:rPr>
          <w:rFonts w:hint="eastAsia" w:ascii="宋体" w:hAnsi="宋体" w:eastAsia="宋体" w:cs="宋体"/>
          <w:bCs/>
          <w:color w:val="000000" w:themeColor="text1"/>
          <w:sz w:val="21"/>
          <w:szCs w:val="21"/>
          <w:highlight w:val="none"/>
          <w14:textFill>
            <w14:solidFill>
              <w14:schemeClr w14:val="tx1"/>
            </w14:solidFill>
          </w14:textFill>
        </w:rPr>
        <w:t>涉及商品包装</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快递包装的，</w:t>
      </w:r>
      <w:r>
        <w:rPr>
          <w:rFonts w:hint="eastAsia" w:ascii="宋体" w:hAnsi="宋体" w:eastAsia="宋体" w:cs="宋体"/>
          <w:color w:val="000000" w:themeColor="text1"/>
          <w:sz w:val="21"/>
          <w:szCs w:val="21"/>
          <w:highlight w:val="none"/>
          <w14:textFill>
            <w14:solidFill>
              <w14:schemeClr w14:val="tx1"/>
            </w14:solidFill>
          </w14:textFill>
        </w:rPr>
        <w:t>除</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另有</w:t>
      </w:r>
      <w:r>
        <w:rPr>
          <w:rFonts w:hint="eastAsia" w:ascii="宋体" w:hAnsi="宋体" w:eastAsia="宋体" w:cs="宋体"/>
          <w:bCs/>
          <w:color w:val="000000" w:themeColor="text1"/>
          <w:sz w:val="21"/>
          <w:szCs w:val="21"/>
          <w:highlight w:val="none"/>
          <w:lang w:eastAsia="zh-CN"/>
          <w14:textFill>
            <w14:solidFill>
              <w14:schemeClr w14:val="tx1"/>
            </w14:solidFill>
          </w14:textFill>
        </w:rPr>
        <w:t>约</w:t>
      </w:r>
      <w:r>
        <w:rPr>
          <w:rFonts w:hint="eastAsia" w:ascii="宋体" w:hAnsi="宋体" w:eastAsia="宋体" w:cs="宋体"/>
          <w:bCs/>
          <w:color w:val="000000" w:themeColor="text1"/>
          <w:sz w:val="21"/>
          <w:szCs w:val="21"/>
          <w:highlight w:val="none"/>
          <w14:textFill>
            <w14:solidFill>
              <w14:schemeClr w14:val="tx1"/>
            </w14:solidFill>
          </w14:textFill>
        </w:rPr>
        <w:t>定</w:t>
      </w:r>
      <w:r>
        <w:rPr>
          <w:rFonts w:hint="eastAsia" w:ascii="宋体" w:hAnsi="宋体" w:eastAsia="宋体" w:cs="宋体"/>
          <w:bCs/>
          <w:color w:val="000000" w:themeColor="text1"/>
          <w:sz w:val="21"/>
          <w:szCs w:val="21"/>
          <w:highlight w:val="none"/>
          <w:lang w:eastAsia="zh-CN"/>
          <w14:textFill>
            <w14:solidFill>
              <w14:schemeClr w14:val="tx1"/>
            </w14:solidFill>
          </w14:textFill>
        </w:rPr>
        <w:t>外</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约定的</w:t>
      </w:r>
      <w:r>
        <w:rPr>
          <w:rFonts w:hint="eastAsia" w:ascii="宋体" w:hAnsi="宋体" w:eastAsia="宋体" w:cs="宋体"/>
          <w:color w:val="000000" w:themeColor="text1"/>
          <w:sz w:val="21"/>
          <w:szCs w:val="21"/>
          <w:highlight w:val="none"/>
          <w14:textFill>
            <w14:solidFill>
              <w14:schemeClr w14:val="tx1"/>
            </w14:solidFill>
          </w14:textFill>
        </w:rPr>
        <w:t>指定现场。</w:t>
      </w:r>
    </w:p>
    <w:p w14:paraId="1E6D715C">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.2 除</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另有</w:t>
      </w:r>
      <w:r>
        <w:rPr>
          <w:rFonts w:hint="eastAsia" w:ascii="宋体" w:hAnsi="宋体" w:eastAsia="宋体" w:cs="宋体"/>
          <w:bCs/>
          <w:color w:val="000000" w:themeColor="text1"/>
          <w:sz w:val="21"/>
          <w:szCs w:val="21"/>
          <w:highlight w:val="none"/>
          <w:lang w:eastAsia="zh-CN"/>
          <w14:textFill>
            <w14:solidFill>
              <w14:schemeClr w14:val="tx1"/>
            </w14:solidFill>
          </w14:textFill>
        </w:rPr>
        <w:t>约</w:t>
      </w:r>
      <w:r>
        <w:rPr>
          <w:rFonts w:hint="eastAsia" w:ascii="宋体" w:hAnsi="宋体" w:eastAsia="宋体" w:cs="宋体"/>
          <w:bCs/>
          <w:color w:val="000000" w:themeColor="text1"/>
          <w:sz w:val="21"/>
          <w:szCs w:val="21"/>
          <w:highlight w:val="none"/>
          <w14:textFill>
            <w14:solidFill>
              <w14:schemeClr w14:val="tx1"/>
            </w14:solidFill>
          </w14:textFill>
        </w:rPr>
        <w:t>定</w:t>
      </w:r>
      <w:r>
        <w:rPr>
          <w:rFonts w:hint="eastAsia" w:ascii="宋体" w:hAnsi="宋体" w:eastAsia="宋体" w:cs="宋体"/>
          <w:bCs/>
          <w:color w:val="000000" w:themeColor="text1"/>
          <w:sz w:val="21"/>
          <w:szCs w:val="21"/>
          <w:highlight w:val="none"/>
          <w:lang w:eastAsia="zh-CN"/>
          <w14:textFill>
            <w14:solidFill>
              <w14:schemeClr w14:val="tx1"/>
            </w14:solidFill>
          </w14:textFill>
        </w:rPr>
        <w:t>外</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乙方负责办理将货物运抵本合同规定的交货地点</w:t>
      </w:r>
      <w:r>
        <w:rPr>
          <w:rFonts w:hint="eastAsia" w:ascii="宋体" w:hAnsi="宋体" w:eastAsia="宋体" w:cs="宋体"/>
          <w:color w:val="000000" w:themeColor="text1"/>
          <w:sz w:val="21"/>
          <w:szCs w:val="21"/>
          <w:highlight w:val="none"/>
          <w:lang w:eastAsia="zh-CN"/>
          <w14:textFill>
            <w14:solidFill>
              <w14:schemeClr w14:val="tx1"/>
            </w14:solidFill>
          </w14:textFill>
        </w:rPr>
        <w:t>，并装卸、交付至甲方</w:t>
      </w:r>
      <w:r>
        <w:rPr>
          <w:rFonts w:hint="eastAsia" w:ascii="宋体" w:hAnsi="宋体" w:eastAsia="宋体" w:cs="宋体"/>
          <w:color w:val="000000" w:themeColor="text1"/>
          <w:sz w:val="21"/>
          <w:szCs w:val="21"/>
          <w:highlight w:val="none"/>
          <w14:textFill>
            <w14:solidFill>
              <w14:schemeClr w14:val="tx1"/>
            </w14:solidFill>
          </w14:textFill>
        </w:rPr>
        <w:t>的一切运输事项，相关费用应</w:t>
      </w:r>
      <w:r>
        <w:rPr>
          <w:rFonts w:hint="eastAsia" w:ascii="宋体" w:hAnsi="宋体" w:eastAsia="宋体" w:cs="宋体"/>
          <w:color w:val="000000" w:themeColor="text1"/>
          <w:sz w:val="21"/>
          <w:szCs w:val="21"/>
          <w:highlight w:val="none"/>
          <w:lang w:eastAsia="zh-CN"/>
          <w14:textFill>
            <w14:solidFill>
              <w14:schemeClr w14:val="tx1"/>
            </w14:solidFill>
          </w14:textFill>
        </w:rPr>
        <w:t>包含</w:t>
      </w:r>
      <w:r>
        <w:rPr>
          <w:rFonts w:hint="eastAsia" w:ascii="宋体" w:hAnsi="宋体" w:eastAsia="宋体" w:cs="宋体"/>
          <w:color w:val="000000" w:themeColor="text1"/>
          <w:sz w:val="21"/>
          <w:szCs w:val="21"/>
          <w:highlight w:val="none"/>
          <w14:textFill>
            <w14:solidFill>
              <w14:schemeClr w14:val="tx1"/>
            </w14:solidFill>
          </w14:textFill>
        </w:rPr>
        <w:t>在合同</w:t>
      </w:r>
      <w:r>
        <w:rPr>
          <w:rFonts w:hint="eastAsia" w:ascii="宋体" w:hAnsi="宋体" w:eastAsia="宋体" w:cs="宋体"/>
          <w:color w:val="000000" w:themeColor="text1"/>
          <w:sz w:val="21"/>
          <w:szCs w:val="21"/>
          <w:highlight w:val="none"/>
          <w:lang w:eastAsia="zh-CN"/>
          <w14:textFill>
            <w14:solidFill>
              <w14:schemeClr w14:val="tx1"/>
            </w14:solidFill>
          </w14:textFill>
        </w:rPr>
        <w:t>价款</w:t>
      </w:r>
      <w:r>
        <w:rPr>
          <w:rFonts w:hint="eastAsia" w:ascii="宋体" w:hAnsi="宋体" w:eastAsia="宋体" w:cs="宋体"/>
          <w:color w:val="000000" w:themeColor="text1"/>
          <w:sz w:val="21"/>
          <w:szCs w:val="21"/>
          <w:highlight w:val="none"/>
          <w14:textFill>
            <w14:solidFill>
              <w14:schemeClr w14:val="tx1"/>
            </w14:solidFill>
          </w14:textFill>
        </w:rPr>
        <w:t>中。</w:t>
      </w:r>
    </w:p>
    <w:p w14:paraId="6019B4CF">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.3 货物保险要求按</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规定执行</w:t>
      </w:r>
      <w:r>
        <w:rPr>
          <w:rFonts w:hint="eastAsia" w:ascii="宋体" w:hAnsi="宋体" w:eastAsia="宋体" w:cs="宋体"/>
          <w:color w:val="000000" w:themeColor="text1"/>
          <w:sz w:val="21"/>
          <w:szCs w:val="21"/>
          <w:highlight w:val="none"/>
          <w14:textFill>
            <w14:solidFill>
              <w14:schemeClr w14:val="tx1"/>
            </w14:solidFill>
          </w14:textFill>
        </w:rPr>
        <w:t>。</w:t>
      </w:r>
    </w:p>
    <w:p w14:paraId="079337E4">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 xml:space="preserve">.4 </w:t>
      </w:r>
      <w:r>
        <w:rPr>
          <w:rFonts w:hint="eastAsia" w:ascii="宋体" w:hAnsi="宋体" w:eastAsia="宋体" w:cs="宋体"/>
          <w:color w:val="000000" w:themeColor="text1"/>
          <w:sz w:val="21"/>
          <w:szCs w:val="21"/>
          <w:highlight w:val="none"/>
          <w:lang w:val="en-US" w:eastAsia="zh-CN"/>
          <w14:textFill>
            <w14:solidFill>
              <w14:schemeClr w14:val="tx1"/>
            </w14:solidFill>
          </w14:textFill>
        </w:rPr>
        <w:t>除采购活动</w:t>
      </w:r>
      <w:r>
        <w:rPr>
          <w:rFonts w:hint="eastAsia" w:ascii="宋体" w:hAnsi="宋体" w:eastAsia="宋体" w:cs="宋体"/>
          <w:color w:val="000000" w:themeColor="text1"/>
          <w:sz w:val="21"/>
          <w:szCs w:val="21"/>
          <w:highlight w:val="none"/>
          <w14:textFill>
            <w14:solidFill>
              <w14:schemeClr w14:val="tx1"/>
            </w14:solidFill>
          </w14:textFill>
        </w:rPr>
        <w:t>对商品包装</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快递包装</w:t>
      </w:r>
      <w:r>
        <w:rPr>
          <w:rFonts w:hint="eastAsia" w:ascii="宋体" w:hAnsi="宋体" w:eastAsia="宋体" w:cs="宋体"/>
          <w:color w:val="000000" w:themeColor="text1"/>
          <w:sz w:val="21"/>
          <w:szCs w:val="21"/>
          <w:highlight w:val="none"/>
          <w:lang w:val="en-US" w:eastAsia="zh-CN"/>
          <w14:textFill>
            <w14:solidFill>
              <w14:schemeClr w14:val="tx1"/>
            </w14:solidFill>
          </w14:textFill>
        </w:rPr>
        <w:t>达成具体约定外</w:t>
      </w:r>
      <w:r>
        <w:rPr>
          <w:rFonts w:hint="eastAsia" w:ascii="宋体" w:hAnsi="宋体" w:eastAsia="宋体" w:cs="宋体"/>
          <w:color w:val="000000" w:themeColor="text1"/>
          <w:sz w:val="21"/>
          <w:szCs w:val="21"/>
          <w:highlight w:val="none"/>
          <w14:textFill>
            <w14:solidFill>
              <w14:schemeClr w14:val="tx1"/>
            </w14:solidFill>
          </w14:textFill>
        </w:rPr>
        <w:t>，乙方提供产品及相关快递服务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涉及到</w:t>
      </w:r>
      <w:r>
        <w:rPr>
          <w:rFonts w:hint="eastAsia" w:ascii="宋体" w:hAnsi="宋体" w:eastAsia="宋体" w:cs="宋体"/>
          <w:color w:val="000000" w:themeColor="text1"/>
          <w:sz w:val="21"/>
          <w:szCs w:val="21"/>
          <w:highlight w:val="none"/>
          <w14:textFill>
            <w14:solidFill>
              <w14:schemeClr w14:val="tx1"/>
            </w14:solidFill>
          </w14:textFill>
        </w:rPr>
        <w:t>具体包装要求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应</w:t>
      </w:r>
      <w:r>
        <w:rPr>
          <w:rFonts w:hint="eastAsia" w:ascii="宋体" w:hAnsi="宋体" w:eastAsia="宋体" w:cs="宋体"/>
          <w:color w:val="000000" w:themeColor="text1"/>
          <w:sz w:val="21"/>
          <w:szCs w:val="21"/>
          <w:highlight w:val="none"/>
          <w:lang w:val="en-US" w:eastAsia="zh-CN"/>
          <w14:textFill>
            <w14:solidFill>
              <w14:schemeClr w14:val="tx1"/>
            </w14:solidFill>
          </w14:textFill>
        </w:rPr>
        <w:t>不低于</w:t>
      </w:r>
      <w:r>
        <w:rPr>
          <w:rFonts w:hint="eastAsia" w:ascii="宋体" w:hAnsi="宋体" w:eastAsia="宋体" w:cs="宋体"/>
          <w:color w:val="000000" w:themeColor="text1"/>
          <w:sz w:val="21"/>
          <w:szCs w:val="21"/>
          <w:highlight w:val="none"/>
          <w14:textFill>
            <w14:solidFill>
              <w14:schemeClr w14:val="tx1"/>
            </w14:solidFill>
          </w14:textFill>
        </w:rPr>
        <w:t>《商品包装政府采购需求标准（试行）</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快递包装政府采购需求标准（试行）》</w:t>
      </w:r>
      <w:r>
        <w:rPr>
          <w:rFonts w:hint="eastAsia" w:ascii="宋体" w:hAnsi="宋体" w:eastAsia="宋体" w:cs="宋体"/>
          <w:color w:val="000000" w:themeColor="text1"/>
          <w:sz w:val="21"/>
          <w:szCs w:val="21"/>
          <w:highlight w:val="none"/>
          <w:lang w:val="en-US" w:eastAsia="zh-CN"/>
          <w14:textFill>
            <w14:solidFill>
              <w14:schemeClr w14:val="tx1"/>
            </w14:solidFill>
          </w14:textFill>
        </w:rPr>
        <w:t>标准</w:t>
      </w:r>
      <w:r>
        <w:rPr>
          <w:rFonts w:hint="eastAsia" w:ascii="宋体" w:hAnsi="宋体" w:eastAsia="宋体" w:cs="宋体"/>
          <w:color w:val="000000" w:themeColor="text1"/>
          <w:sz w:val="21"/>
          <w:szCs w:val="21"/>
          <w:highlight w:val="none"/>
          <w14:textFill>
            <w14:solidFill>
              <w14:schemeClr w14:val="tx1"/>
            </w14:solidFill>
          </w14:textFill>
        </w:rPr>
        <w:t>，并作为履约验收的内容，必要时甲方可以要求乙方在履约验收环节出具检测报告。</w:t>
      </w:r>
    </w:p>
    <w:p w14:paraId="71F91F05">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7.5 </w:t>
      </w:r>
      <w:r>
        <w:rPr>
          <w:rFonts w:hint="eastAsia" w:ascii="宋体" w:hAnsi="宋体" w:eastAsia="宋体" w:cs="宋体"/>
          <w:color w:val="000000"/>
          <w:sz w:val="21"/>
          <w:szCs w:val="21"/>
          <w:highlight w:val="none"/>
        </w:rPr>
        <w:t>乙方在运输到达之前</w:t>
      </w:r>
      <w:r>
        <w:rPr>
          <w:rFonts w:hint="eastAsia" w:ascii="宋体" w:hAnsi="宋体" w:eastAsia="宋体" w:cs="宋体"/>
          <w:color w:val="000000"/>
          <w:sz w:val="21"/>
          <w:szCs w:val="21"/>
          <w:highlight w:val="none"/>
          <w:lang w:eastAsia="zh-CN"/>
        </w:rPr>
        <w:t>应</w:t>
      </w:r>
      <w:r>
        <w:rPr>
          <w:rFonts w:hint="eastAsia" w:ascii="宋体" w:hAnsi="宋体" w:eastAsia="宋体" w:cs="宋体"/>
          <w:color w:val="000000"/>
          <w:sz w:val="21"/>
          <w:szCs w:val="21"/>
          <w:highlight w:val="none"/>
        </w:rPr>
        <w:t>提前通知</w:t>
      </w:r>
      <w:r>
        <w:rPr>
          <w:rFonts w:hint="eastAsia" w:ascii="宋体" w:hAnsi="宋体" w:eastAsia="宋体" w:cs="宋体"/>
          <w:color w:val="000000"/>
          <w:sz w:val="21"/>
          <w:szCs w:val="21"/>
          <w:highlight w:val="none"/>
          <w:lang w:eastAsia="zh-CN"/>
        </w:rPr>
        <w:t>甲方</w:t>
      </w:r>
      <w:r>
        <w:rPr>
          <w:rFonts w:hint="eastAsia" w:ascii="宋体" w:hAnsi="宋体" w:eastAsia="宋体" w:cs="宋体"/>
          <w:color w:val="000000"/>
          <w:sz w:val="21"/>
          <w:szCs w:val="21"/>
          <w:highlight w:val="none"/>
        </w:rPr>
        <w:t>，并提示货物运输装卸的注意事项</w:t>
      </w:r>
      <w:r>
        <w:rPr>
          <w:rFonts w:hint="eastAsia" w:ascii="宋体" w:hAnsi="宋体" w:eastAsia="宋体" w:cs="宋体"/>
          <w:color w:val="000000"/>
          <w:sz w:val="21"/>
          <w:szCs w:val="21"/>
          <w:highlight w:val="none"/>
          <w:lang w:eastAsia="zh-CN"/>
        </w:rPr>
        <w:t>，甲方配合乙方做好货物的接收工作。</w:t>
      </w:r>
    </w:p>
    <w:p w14:paraId="0299A400">
      <w:pPr>
        <w:pStyle w:val="172"/>
        <w:keepNext w:val="0"/>
        <w:keepLines w:val="0"/>
        <w:pageBreakBefore w:val="0"/>
        <w:kinsoku/>
        <w:wordWrap/>
        <w:overflowPunct/>
        <w:topLinePunct w:val="0"/>
        <w:bidi w:val="0"/>
        <w:spacing w:beforeAutospacing="0" w:afterAutospacing="0" w:line="440" w:lineRule="exact"/>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kern w:val="2"/>
          <w:sz w:val="21"/>
          <w:szCs w:val="21"/>
          <w:highlight w:val="none"/>
        </w:rPr>
        <w:t>如因包装</w:t>
      </w:r>
      <w:r>
        <w:rPr>
          <w:rFonts w:hint="eastAsia" w:ascii="宋体" w:hAnsi="宋体" w:eastAsia="宋体" w:cs="宋体"/>
          <w:color w:val="000000"/>
          <w:kern w:val="2"/>
          <w:sz w:val="21"/>
          <w:szCs w:val="21"/>
          <w:highlight w:val="none"/>
          <w:lang w:eastAsia="zh-CN"/>
        </w:rPr>
        <w:t>、运输</w:t>
      </w:r>
      <w:r>
        <w:rPr>
          <w:rFonts w:hint="eastAsia" w:ascii="宋体" w:hAnsi="宋体" w:eastAsia="宋体" w:cs="宋体"/>
          <w:color w:val="000000"/>
          <w:kern w:val="2"/>
          <w:sz w:val="21"/>
          <w:szCs w:val="21"/>
          <w:highlight w:val="none"/>
        </w:rPr>
        <w:t>问题导致货物</w:t>
      </w:r>
      <w:r>
        <w:rPr>
          <w:rFonts w:hint="eastAsia" w:ascii="宋体" w:hAnsi="宋体" w:eastAsia="宋体" w:cs="宋体"/>
          <w:color w:val="000000" w:themeColor="text1"/>
          <w:kern w:val="2"/>
          <w:sz w:val="21"/>
          <w:szCs w:val="21"/>
          <w:highlight w:val="none"/>
          <w:lang w:eastAsia="zh-CN"/>
          <w14:textFill>
            <w14:solidFill>
              <w14:schemeClr w14:val="tx1"/>
            </w14:solidFill>
          </w14:textFill>
        </w:rPr>
        <w:t>损毁、丢失</w:t>
      </w:r>
      <w:r>
        <w:rPr>
          <w:rFonts w:hint="eastAsia" w:ascii="宋体" w:hAnsi="宋体" w:eastAsia="宋体" w:cs="宋体"/>
          <w:color w:val="000000"/>
          <w:kern w:val="2"/>
          <w:sz w:val="21"/>
          <w:szCs w:val="21"/>
          <w:highlight w:val="none"/>
        </w:rPr>
        <w:t>或者品质下降，</w:t>
      </w:r>
      <w:r>
        <w:rPr>
          <w:rFonts w:hint="eastAsia" w:ascii="宋体" w:hAnsi="宋体" w:eastAsia="宋体" w:cs="宋体"/>
          <w:color w:val="000000"/>
          <w:kern w:val="2"/>
          <w:sz w:val="21"/>
          <w:szCs w:val="21"/>
          <w:highlight w:val="none"/>
          <w:lang w:eastAsia="zh-CN"/>
        </w:rPr>
        <w:t>甲方</w:t>
      </w:r>
      <w:r>
        <w:rPr>
          <w:rFonts w:hint="eastAsia" w:ascii="宋体" w:hAnsi="宋体" w:eastAsia="宋体" w:cs="宋体"/>
          <w:color w:val="000000"/>
          <w:kern w:val="2"/>
          <w:sz w:val="21"/>
          <w:szCs w:val="21"/>
          <w:highlight w:val="none"/>
        </w:rPr>
        <w:t>有权要求降价、换货、拒收部分或整批货物，由此</w:t>
      </w:r>
      <w:r>
        <w:rPr>
          <w:rFonts w:hint="eastAsia" w:ascii="宋体" w:hAnsi="宋体" w:eastAsia="宋体" w:cs="宋体"/>
          <w:color w:val="000000"/>
          <w:kern w:val="2"/>
          <w:sz w:val="21"/>
          <w:szCs w:val="21"/>
          <w:highlight w:val="none"/>
          <w:lang w:eastAsia="zh-CN"/>
        </w:rPr>
        <w:t>产生</w:t>
      </w:r>
      <w:r>
        <w:rPr>
          <w:rFonts w:hint="eastAsia" w:ascii="宋体" w:hAnsi="宋体" w:eastAsia="宋体" w:cs="宋体"/>
          <w:color w:val="000000"/>
          <w:kern w:val="2"/>
          <w:sz w:val="21"/>
          <w:szCs w:val="21"/>
          <w:highlight w:val="none"/>
        </w:rPr>
        <w:t>的费用和损失，均由</w:t>
      </w:r>
      <w:r>
        <w:rPr>
          <w:rFonts w:hint="eastAsia" w:ascii="宋体" w:hAnsi="宋体" w:eastAsia="宋体" w:cs="宋体"/>
          <w:color w:val="000000"/>
          <w:kern w:val="2"/>
          <w:sz w:val="21"/>
          <w:szCs w:val="21"/>
          <w:highlight w:val="none"/>
          <w:lang w:eastAsia="zh-CN"/>
        </w:rPr>
        <w:t>乙方</w:t>
      </w:r>
      <w:r>
        <w:rPr>
          <w:rFonts w:hint="eastAsia" w:ascii="宋体" w:hAnsi="宋体" w:eastAsia="宋体" w:cs="宋体"/>
          <w:color w:val="000000"/>
          <w:kern w:val="2"/>
          <w:sz w:val="21"/>
          <w:szCs w:val="21"/>
          <w:highlight w:val="none"/>
        </w:rPr>
        <w:t>承担。</w:t>
      </w:r>
    </w:p>
    <w:p w14:paraId="53DBEEC3">
      <w:pPr>
        <w:keepNext w:val="0"/>
        <w:keepLines w:val="0"/>
        <w:pageBreakBefore w:val="0"/>
        <w:kinsoku/>
        <w:wordWrap/>
        <w:overflowPunct/>
        <w:topLinePunct w:val="0"/>
        <w:bidi w:val="0"/>
        <w:adjustRightInd w:val="0"/>
        <w:snapToGrid w:val="0"/>
        <w:spacing w:beforeAutospacing="0" w:afterAutospacing="0"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000000" w:themeColor="text1"/>
          <w:sz w:val="21"/>
          <w:szCs w:val="21"/>
          <w:highlight w:val="none"/>
          <w:lang w:eastAsia="zh-CN"/>
          <w14:textFill>
            <w14:solidFill>
              <w14:schemeClr w14:val="tx1"/>
            </w14:solidFill>
          </w14:textFill>
        </w:rPr>
        <w:t>8</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auto"/>
          <w:sz w:val="21"/>
          <w:szCs w:val="21"/>
          <w:highlight w:val="none"/>
        </w:rPr>
        <w:t>质量标准和保证</w:t>
      </w:r>
    </w:p>
    <w:p w14:paraId="1E1ABA2A">
      <w:pPr>
        <w:pStyle w:val="21"/>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.1 质量标准</w:t>
      </w:r>
    </w:p>
    <w:p w14:paraId="6E911AA2">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（1）本合同下</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w:t>
      </w:r>
      <w:r>
        <w:rPr>
          <w:rFonts w:hint="eastAsia" w:ascii="宋体" w:hAnsi="宋体" w:eastAsia="宋体" w:cs="宋体"/>
          <w:color w:val="auto"/>
          <w:sz w:val="21"/>
          <w:szCs w:val="21"/>
          <w:highlight w:val="none"/>
          <w:lang w:eastAsia="zh-CN"/>
        </w:rPr>
        <w:t>合同</w:t>
      </w:r>
      <w:r>
        <w:rPr>
          <w:rFonts w:hint="eastAsia" w:ascii="宋体" w:hAnsi="宋体" w:eastAsia="宋体" w:cs="宋体"/>
          <w:color w:val="000000"/>
          <w:sz w:val="21"/>
          <w:szCs w:val="21"/>
          <w:highlight w:val="none"/>
          <w:lang w:eastAsia="zh-CN"/>
        </w:rPr>
        <w:t>约</w:t>
      </w:r>
      <w:r>
        <w:rPr>
          <w:rFonts w:hint="eastAsia" w:ascii="宋体" w:hAnsi="宋体" w:eastAsia="宋体" w:cs="宋体"/>
          <w:color w:val="000000"/>
          <w:sz w:val="21"/>
          <w:szCs w:val="21"/>
          <w:highlight w:val="none"/>
        </w:rPr>
        <w:t>定的</w:t>
      </w:r>
      <w:r>
        <w:rPr>
          <w:rFonts w:hint="eastAsia" w:ascii="宋体" w:hAnsi="宋体" w:eastAsia="宋体" w:cs="宋体"/>
          <w:sz w:val="21"/>
          <w:szCs w:val="21"/>
          <w:highlight w:val="none"/>
        </w:rPr>
        <w:t>品牌、规格型号、技术性能、配置、质量、数量等要求。</w:t>
      </w:r>
      <w:r>
        <w:rPr>
          <w:rFonts w:hint="eastAsia" w:ascii="宋体" w:hAnsi="宋体" w:eastAsia="宋体" w:cs="宋体"/>
          <w:color w:val="auto"/>
          <w:sz w:val="21"/>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1"/>
          <w:szCs w:val="21"/>
          <w:highlight w:val="none"/>
          <w:lang w:eastAsia="zh-CN"/>
        </w:rPr>
        <w:t>。</w:t>
      </w:r>
    </w:p>
    <w:p w14:paraId="4A4D525E">
      <w:pPr>
        <w:pStyle w:val="21"/>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（2）采用中华人民共和国法定计量单位。</w:t>
      </w:r>
    </w:p>
    <w:p w14:paraId="00BE7112">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的货物应符合国家有关安全、环保、卫生</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规定。</w:t>
      </w:r>
    </w:p>
    <w:p w14:paraId="69BF996E">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（4）乙方应向甲方提交所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货物的技术文件，包括相应的中文技术文件，如：产品目录、图纸、操作手册、使用说明、维护手册或服务指南</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上述</w:t>
      </w:r>
      <w:r>
        <w:rPr>
          <w:rFonts w:hint="eastAsia" w:ascii="宋体" w:hAnsi="宋体" w:eastAsia="宋体" w:cs="宋体"/>
          <w:color w:val="auto"/>
          <w:sz w:val="21"/>
          <w:szCs w:val="21"/>
          <w:highlight w:val="none"/>
        </w:rPr>
        <w:t>文件应包装好随货物一同发运。</w:t>
      </w:r>
    </w:p>
    <w:p w14:paraId="2BD11FF8">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.2 保证</w:t>
      </w:r>
    </w:p>
    <w:p w14:paraId="664B64BF">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（1）乙方应保证</w:t>
      </w:r>
      <w:r>
        <w:rPr>
          <w:rFonts w:hint="eastAsia" w:ascii="宋体" w:hAnsi="宋体" w:eastAsia="宋体" w:cs="宋体"/>
          <w:color w:val="auto"/>
          <w:sz w:val="21"/>
          <w:szCs w:val="21"/>
          <w:highlight w:val="none"/>
          <w:lang w:eastAsia="zh-CN"/>
        </w:rPr>
        <w:t>提供的货物</w:t>
      </w:r>
      <w:r>
        <w:rPr>
          <w:rFonts w:hint="eastAsia" w:ascii="宋体" w:hAnsi="宋体" w:eastAsia="宋体" w:cs="宋体"/>
          <w:color w:val="auto"/>
          <w:sz w:val="21"/>
          <w:szCs w:val="21"/>
          <w:highlight w:val="none"/>
        </w:rPr>
        <w:t>完全符合合同规定的质量、规格和性能要求。乙方应保证货物在正确安装、正常使用和保养条件下，</w:t>
      </w:r>
      <w:r>
        <w:rPr>
          <w:rFonts w:hint="eastAsia" w:ascii="宋体" w:hAnsi="宋体" w:eastAsia="宋体" w:cs="宋体"/>
          <w:sz w:val="21"/>
          <w:szCs w:val="21"/>
          <w:highlight w:val="none"/>
        </w:rPr>
        <w:t>在其使用寿命期内具</w:t>
      </w:r>
      <w:r>
        <w:rPr>
          <w:rFonts w:hint="eastAsia" w:ascii="宋体" w:hAnsi="宋体" w:eastAsia="宋体" w:cs="宋体"/>
          <w:sz w:val="21"/>
          <w:szCs w:val="21"/>
          <w:highlight w:val="none"/>
          <w:lang w:eastAsia="zh-CN"/>
        </w:rPr>
        <w:t>备合同约定</w:t>
      </w:r>
      <w:r>
        <w:rPr>
          <w:rFonts w:hint="eastAsia" w:ascii="宋体" w:hAnsi="宋体" w:eastAsia="宋体" w:cs="宋体"/>
          <w:sz w:val="21"/>
          <w:szCs w:val="21"/>
          <w:highlight w:val="none"/>
        </w:rPr>
        <w:t>的性能</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存在</w:t>
      </w:r>
      <w:r>
        <w:rPr>
          <w:rFonts w:hint="eastAsia" w:ascii="宋体" w:hAnsi="宋体" w:eastAsia="宋体" w:cs="宋体"/>
          <w:color w:val="auto"/>
          <w:sz w:val="21"/>
          <w:szCs w:val="21"/>
          <w:highlight w:val="none"/>
        </w:rPr>
        <w:t>质量保证期的，货物最终交付验收</w:t>
      </w:r>
      <w:r>
        <w:rPr>
          <w:rFonts w:hint="eastAsia" w:ascii="宋体" w:hAnsi="宋体" w:eastAsia="宋体" w:cs="宋体"/>
          <w:color w:val="auto"/>
          <w:sz w:val="21"/>
          <w:szCs w:val="21"/>
          <w:highlight w:val="none"/>
          <w:lang w:eastAsia="zh-CN"/>
        </w:rPr>
        <w:t>合格</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lang w:eastAsia="zh-CN"/>
        </w:rPr>
        <w:t>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规定或乙方</w:t>
      </w:r>
      <w:r>
        <w:rPr>
          <w:rFonts w:hint="eastAsia" w:ascii="宋体" w:hAnsi="宋体" w:eastAsia="宋体" w:cs="宋体"/>
          <w:color w:val="auto"/>
          <w:sz w:val="21"/>
          <w:szCs w:val="21"/>
          <w:highlight w:val="none"/>
          <w:lang w:eastAsia="zh-CN"/>
        </w:rPr>
        <w:t>书面</w:t>
      </w:r>
      <w:r>
        <w:rPr>
          <w:rFonts w:hint="eastAsia" w:ascii="宋体" w:hAnsi="宋体" w:eastAsia="宋体" w:cs="宋体"/>
          <w:color w:val="auto"/>
          <w:sz w:val="21"/>
          <w:szCs w:val="21"/>
          <w:highlight w:val="none"/>
        </w:rPr>
        <w:t>承诺（两者以较长的为准）的质量保证期内，本保证保持有效。</w:t>
      </w:r>
    </w:p>
    <w:p w14:paraId="469DCB38">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（2）在质量保证期内所发现的缺陷，甲方应尽快以书面形式通知乙方。</w:t>
      </w:r>
    </w:p>
    <w:p w14:paraId="2E94F19F">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（3）乙方收到通知后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规定的响应时间内以合理的速度免费维修或更换有缺陷的货物或部件。</w:t>
      </w:r>
    </w:p>
    <w:p w14:paraId="6EC54846">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auto"/>
          <w:sz w:val="21"/>
          <w:szCs w:val="21"/>
          <w:highlight w:val="none"/>
        </w:rPr>
        <w:t>.1条规定以书面形式</w:t>
      </w:r>
      <w:r>
        <w:rPr>
          <w:rFonts w:hint="eastAsia" w:ascii="宋体" w:hAnsi="宋体" w:eastAsia="宋体" w:cs="宋体"/>
          <w:color w:val="000000" w:themeColor="text1"/>
          <w:sz w:val="21"/>
          <w:szCs w:val="21"/>
          <w:highlight w:val="none"/>
          <w:lang w:eastAsia="zh-CN"/>
          <w14:textFill>
            <w14:solidFill>
              <w14:schemeClr w14:val="tx1"/>
            </w14:solidFill>
          </w14:textFill>
        </w:rPr>
        <w:t>追究</w:t>
      </w:r>
      <w:r>
        <w:rPr>
          <w:rFonts w:hint="eastAsia" w:ascii="宋体" w:hAnsi="宋体" w:eastAsia="宋体" w:cs="宋体"/>
          <w:color w:val="auto"/>
          <w:sz w:val="21"/>
          <w:szCs w:val="21"/>
          <w:highlight w:val="none"/>
        </w:rPr>
        <w:t>乙方</w:t>
      </w:r>
      <w:r>
        <w:rPr>
          <w:rFonts w:hint="eastAsia" w:ascii="宋体" w:hAnsi="宋体" w:eastAsia="宋体" w:cs="宋体"/>
          <w:color w:val="000000" w:themeColor="text1"/>
          <w:sz w:val="21"/>
          <w:szCs w:val="21"/>
          <w:highlight w:val="none"/>
          <w:lang w:eastAsia="zh-CN"/>
          <w14:textFill>
            <w14:solidFill>
              <w14:schemeClr w14:val="tx1"/>
            </w14:solidFill>
          </w14:textFill>
        </w:rPr>
        <w:t>的违约责任</w:t>
      </w:r>
      <w:r>
        <w:rPr>
          <w:rFonts w:hint="eastAsia" w:ascii="宋体" w:hAnsi="宋体" w:eastAsia="宋体" w:cs="宋体"/>
          <w:color w:val="auto"/>
          <w:sz w:val="21"/>
          <w:szCs w:val="21"/>
          <w:highlight w:val="none"/>
        </w:rPr>
        <w:t>。</w:t>
      </w:r>
    </w:p>
    <w:p w14:paraId="1100AD97">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对乙方行使的其他权利不受影响。</w:t>
      </w:r>
    </w:p>
    <w:p w14:paraId="4DC97A17">
      <w:pPr>
        <w:keepNext w:val="0"/>
        <w:keepLines w:val="0"/>
        <w:pageBreakBefore w:val="0"/>
        <w:kinsoku/>
        <w:wordWrap/>
        <w:overflowPunct/>
        <w:topLinePunct w:val="0"/>
        <w:bidi w:val="0"/>
        <w:adjustRightInd w:val="0"/>
        <w:snapToGrid w:val="0"/>
        <w:spacing w:beforeAutospacing="0" w:afterAutospacing="0" w:line="44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9</w:t>
      </w:r>
      <w:r>
        <w:rPr>
          <w:rFonts w:hint="eastAsia" w:ascii="宋体" w:hAnsi="宋体" w:eastAsia="宋体" w:cs="宋体"/>
          <w:b/>
          <w:bCs/>
          <w:color w:val="auto"/>
          <w:sz w:val="21"/>
          <w:szCs w:val="21"/>
          <w:highlight w:val="none"/>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auto"/>
          <w:sz w:val="21"/>
          <w:szCs w:val="21"/>
          <w:highlight w:val="none"/>
        </w:rPr>
        <w:t>权利瑕疵担保</w:t>
      </w:r>
    </w:p>
    <w:p w14:paraId="1AFFDA98">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.1 乙方保证对其出售的货物享有合法的权利。</w:t>
      </w:r>
    </w:p>
    <w:p w14:paraId="490B6E0F">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 xml:space="preserve">.2 </w:t>
      </w:r>
      <w:r>
        <w:rPr>
          <w:rFonts w:hint="eastAsia" w:ascii="宋体" w:hAnsi="宋体" w:eastAsia="宋体" w:cs="宋体"/>
          <w:sz w:val="21"/>
          <w:szCs w:val="21"/>
          <w:highlight w:val="none"/>
        </w:rPr>
        <w:t>乙方保证在交付的货物上不存在抵押权等担保物权。</w:t>
      </w:r>
    </w:p>
    <w:p w14:paraId="4E8D2B12">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.3 如甲方使用</w:t>
      </w:r>
      <w:r>
        <w:rPr>
          <w:rFonts w:hint="eastAsia" w:ascii="宋体" w:hAnsi="宋体" w:eastAsia="宋体" w:cs="宋体"/>
          <w:color w:val="000000" w:themeColor="text1"/>
          <w:sz w:val="21"/>
          <w:szCs w:val="21"/>
          <w:highlight w:val="none"/>
          <w:lang w:val="en-US" w:eastAsia="zh-CN"/>
          <w14:textFill>
            <w14:solidFill>
              <w14:schemeClr w14:val="tx1"/>
            </w14:solidFill>
          </w14:textFill>
        </w:rPr>
        <w:t>上述</w:t>
      </w:r>
      <w:r>
        <w:rPr>
          <w:rFonts w:hint="eastAsia" w:ascii="宋体" w:hAnsi="宋体" w:eastAsia="宋体" w:cs="宋体"/>
          <w:color w:val="000000" w:themeColor="text1"/>
          <w:sz w:val="21"/>
          <w:szCs w:val="21"/>
          <w:highlight w:val="none"/>
          <w14:textFill>
            <w14:solidFill>
              <w14:schemeClr w14:val="tx1"/>
            </w14:solidFill>
          </w14:textFill>
        </w:rPr>
        <w:t>货物构成</w:t>
      </w:r>
      <w:r>
        <w:rPr>
          <w:rFonts w:hint="eastAsia" w:ascii="宋体" w:hAnsi="宋体" w:eastAsia="宋体" w:cs="宋体"/>
          <w:color w:val="000000" w:themeColor="text1"/>
          <w:sz w:val="21"/>
          <w:szCs w:val="21"/>
          <w:highlight w:val="none"/>
          <w:lang w:val="en-US" w:eastAsia="zh-CN"/>
          <w14:textFill>
            <w14:solidFill>
              <w14:schemeClr w14:val="tx1"/>
            </w14:solidFill>
          </w14:textFill>
        </w:rPr>
        <w:t>对第三人</w:t>
      </w:r>
      <w:r>
        <w:rPr>
          <w:rFonts w:hint="eastAsia" w:ascii="宋体" w:hAnsi="宋体" w:eastAsia="宋体" w:cs="宋体"/>
          <w:color w:val="000000" w:themeColor="text1"/>
          <w:sz w:val="21"/>
          <w:szCs w:val="21"/>
          <w:highlight w:val="none"/>
          <w14:textFill>
            <w14:solidFill>
              <w14:schemeClr w14:val="tx1"/>
            </w14:solidFill>
          </w14:textFill>
        </w:rPr>
        <w:t>侵权的，则由乙方承担全部责任。</w:t>
      </w:r>
    </w:p>
    <w:p w14:paraId="0F8615CC">
      <w:pPr>
        <w:keepNext w:val="0"/>
        <w:keepLines w:val="0"/>
        <w:pageBreakBefore w:val="0"/>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w:t>
      </w:r>
      <w:r>
        <w:rPr>
          <w:rFonts w:hint="eastAsia" w:ascii="宋体" w:hAnsi="宋体" w:eastAsia="宋体" w:cs="宋体"/>
          <w:b/>
          <w:bCs/>
          <w:color w:val="000000" w:themeColor="text1"/>
          <w:sz w:val="21"/>
          <w:szCs w:val="21"/>
          <w:highlight w:val="none"/>
          <w:lang w:eastAsia="zh-CN"/>
          <w14:textFill>
            <w14:solidFill>
              <w14:schemeClr w14:val="tx1"/>
            </w14:solidFill>
          </w14:textFill>
        </w:rPr>
        <w:t>0</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知识产权保护</w:t>
      </w:r>
    </w:p>
    <w:p w14:paraId="55B9AC56">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.1 乙方对其所销售的货物应当享有知识产权或经权利人合法授权，保证没有侵犯任</w:t>
      </w:r>
      <w:r>
        <w:rPr>
          <w:rFonts w:hint="eastAsia" w:ascii="宋体" w:hAnsi="宋体" w:eastAsia="宋体" w:cs="宋体"/>
          <w:color w:val="auto"/>
          <w:sz w:val="21"/>
          <w:szCs w:val="21"/>
          <w:highlight w:val="none"/>
        </w:rPr>
        <w:t>何第三人的知识产权等权利。</w:t>
      </w:r>
      <w:bookmarkStart w:id="134" w:name="_Hlk163047038"/>
      <w:r>
        <w:rPr>
          <w:rFonts w:hint="eastAsia" w:ascii="宋体" w:hAnsi="宋体" w:eastAsia="宋体" w:cs="宋体"/>
          <w:sz w:val="21"/>
          <w:szCs w:val="21"/>
          <w:highlight w:val="none"/>
        </w:rPr>
        <w:t>因违反前述约定对第三人构成侵权的，应当由乙方向第三人承担法律责任；甲方依法向第三人赔偿后，有权向乙方追偿。甲方有其他损失的，乙方应当赔偿</w:t>
      </w:r>
      <w:bookmarkEnd w:id="134"/>
      <w:r>
        <w:rPr>
          <w:rFonts w:hint="eastAsia" w:ascii="宋体" w:hAnsi="宋体" w:eastAsia="宋体" w:cs="宋体"/>
          <w:color w:val="auto"/>
          <w:sz w:val="21"/>
          <w:szCs w:val="21"/>
          <w:highlight w:val="none"/>
        </w:rPr>
        <w:t>。</w:t>
      </w:r>
    </w:p>
    <w:p w14:paraId="2C16683D">
      <w:pPr>
        <w:keepNext w:val="0"/>
        <w:keepLines w:val="0"/>
        <w:pageBreakBefore w:val="0"/>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保密义务</w:t>
      </w:r>
    </w:p>
    <w:p w14:paraId="08EA2B6A">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11.1 </w:t>
      </w:r>
      <w:r>
        <w:rPr>
          <w:rFonts w:hint="eastAsia" w:ascii="宋体" w:hAnsi="宋体" w:eastAsia="宋体" w:cs="宋体"/>
          <w:sz w:val="21"/>
          <w:szCs w:val="21"/>
          <w:highlight w:val="none"/>
        </w:rPr>
        <w:t>甲、乙双方</w:t>
      </w:r>
      <w:r>
        <w:rPr>
          <w:rFonts w:hint="eastAsia" w:ascii="宋体" w:hAnsi="宋体" w:eastAsia="宋体" w:cs="宋体"/>
          <w:sz w:val="21"/>
          <w:szCs w:val="21"/>
          <w:highlight w:val="none"/>
          <w:lang w:eastAsia="zh-CN"/>
        </w:rPr>
        <w:t>对</w:t>
      </w:r>
      <w:r>
        <w:rPr>
          <w:rFonts w:hint="eastAsia" w:ascii="宋体" w:hAnsi="宋体" w:eastAsia="宋体" w:cs="宋体"/>
          <w:sz w:val="21"/>
          <w:szCs w:val="21"/>
          <w:highlight w:val="none"/>
        </w:rPr>
        <w:t>采购和合同履行过程中所获悉的</w:t>
      </w:r>
      <w:r>
        <w:rPr>
          <w:rFonts w:hint="eastAsia" w:ascii="宋体" w:hAnsi="宋体" w:eastAsia="宋体" w:cs="宋体"/>
          <w:sz w:val="21"/>
          <w:szCs w:val="21"/>
          <w:highlight w:val="none"/>
          <w:lang w:eastAsia="zh-CN"/>
        </w:rPr>
        <w:t>国家秘密、工作秘密、</w:t>
      </w:r>
      <w:r>
        <w:rPr>
          <w:rFonts w:hint="eastAsia" w:ascii="宋体" w:hAnsi="宋体" w:eastAsia="宋体" w:cs="宋体"/>
          <w:sz w:val="21"/>
          <w:szCs w:val="21"/>
          <w:highlight w:val="none"/>
        </w:rPr>
        <w:t>商业秘密或者其他应当保密的信息，均有保密义务</w:t>
      </w:r>
      <w:r>
        <w:rPr>
          <w:rFonts w:hint="eastAsia" w:ascii="宋体" w:hAnsi="宋体" w:eastAsia="宋体" w:cs="宋体"/>
          <w:sz w:val="21"/>
          <w:szCs w:val="21"/>
          <w:highlight w:val="none"/>
          <w:lang w:eastAsia="zh-CN"/>
        </w:rPr>
        <w:t>且不受合同有效期所限，直至该信息成为公开信息</w:t>
      </w:r>
      <w:r>
        <w:rPr>
          <w:rFonts w:hint="eastAsia" w:ascii="宋体" w:hAnsi="宋体" w:eastAsia="宋体" w:cs="宋体"/>
          <w:sz w:val="21"/>
          <w:szCs w:val="21"/>
          <w:highlight w:val="none"/>
        </w:rPr>
        <w:t>。泄露、不正当地使用</w:t>
      </w:r>
      <w:r>
        <w:rPr>
          <w:rFonts w:hint="eastAsia" w:ascii="宋体" w:hAnsi="宋体" w:eastAsia="宋体" w:cs="宋体"/>
          <w:sz w:val="21"/>
          <w:szCs w:val="21"/>
          <w:highlight w:val="none"/>
          <w:lang w:eastAsia="zh-CN"/>
        </w:rPr>
        <w:t>国家秘密、工作秘密、</w:t>
      </w:r>
      <w:r>
        <w:rPr>
          <w:rFonts w:hint="eastAsia" w:ascii="宋体" w:hAnsi="宋体" w:eastAsia="宋体" w:cs="宋体"/>
          <w:sz w:val="21"/>
          <w:szCs w:val="21"/>
          <w:highlight w:val="none"/>
        </w:rPr>
        <w:t>商业秘密或者</w:t>
      </w:r>
      <w:r>
        <w:rPr>
          <w:rFonts w:hint="eastAsia" w:ascii="宋体" w:hAnsi="宋体" w:eastAsia="宋体" w:cs="宋体"/>
          <w:sz w:val="21"/>
          <w:szCs w:val="21"/>
          <w:highlight w:val="none"/>
          <w:lang w:eastAsia="zh-CN"/>
        </w:rPr>
        <w:t>其他应当保密的</w:t>
      </w:r>
      <w:r>
        <w:rPr>
          <w:rFonts w:hint="eastAsia" w:ascii="宋体" w:hAnsi="宋体" w:eastAsia="宋体" w:cs="宋体"/>
          <w:sz w:val="21"/>
          <w:szCs w:val="21"/>
          <w:highlight w:val="none"/>
        </w:rPr>
        <w:t>信息，应当承担</w:t>
      </w:r>
      <w:r>
        <w:rPr>
          <w:rFonts w:hint="eastAsia" w:ascii="宋体" w:hAnsi="宋体" w:eastAsia="宋体" w:cs="宋体"/>
          <w:sz w:val="21"/>
          <w:szCs w:val="21"/>
          <w:highlight w:val="none"/>
          <w:lang w:eastAsia="zh-CN"/>
        </w:rPr>
        <w:t>相应</w:t>
      </w:r>
      <w:r>
        <w:rPr>
          <w:rFonts w:hint="eastAsia" w:ascii="宋体" w:hAnsi="宋体" w:eastAsia="宋体" w:cs="宋体"/>
          <w:sz w:val="21"/>
          <w:szCs w:val="21"/>
          <w:highlight w:val="none"/>
        </w:rPr>
        <w:t>责任。其他应当保密的信息由双方在</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中约定。</w:t>
      </w:r>
    </w:p>
    <w:p w14:paraId="668DFFD7">
      <w:pPr>
        <w:keepNext w:val="0"/>
        <w:keepLines w:val="0"/>
        <w:pageBreakBefore w:val="0"/>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合同价款支付</w:t>
      </w:r>
    </w:p>
    <w:p w14:paraId="6D44E156">
      <w:pPr>
        <w:keepNext w:val="0"/>
        <w:keepLines w:val="0"/>
        <w:pageBreakBefore w:val="0"/>
        <w:kinsoku/>
        <w:wordWrap/>
        <w:overflowPunct/>
        <w:topLinePunct w:val="0"/>
        <w:autoSpaceDE/>
        <w:autoSpaceDN/>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合同价款支付</w:t>
      </w:r>
      <w:r>
        <w:rPr>
          <w:rFonts w:hint="eastAsia" w:ascii="宋体" w:hAnsi="宋体" w:eastAsia="宋体" w:cs="宋体"/>
          <w:color w:val="auto"/>
          <w:sz w:val="21"/>
          <w:szCs w:val="21"/>
          <w:highlight w:val="none"/>
        </w:rPr>
        <w:t>按照国库集中支付</w:t>
      </w:r>
      <w:r>
        <w:rPr>
          <w:rFonts w:hint="eastAsia" w:ascii="宋体" w:hAnsi="宋体" w:eastAsia="宋体" w:cs="宋体"/>
          <w:color w:val="auto"/>
          <w:sz w:val="21"/>
          <w:szCs w:val="21"/>
          <w:highlight w:val="none"/>
          <w:lang w:eastAsia="zh-CN"/>
        </w:rPr>
        <w:t>制度及财政管理相关</w:t>
      </w:r>
      <w:r>
        <w:rPr>
          <w:rFonts w:hint="eastAsia" w:ascii="宋体" w:hAnsi="宋体" w:eastAsia="宋体" w:cs="宋体"/>
          <w:color w:val="auto"/>
          <w:sz w:val="21"/>
          <w:szCs w:val="21"/>
          <w:highlight w:val="none"/>
        </w:rPr>
        <w:t>规定执行。</w:t>
      </w:r>
    </w:p>
    <w:p w14:paraId="1D752E63">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kern w:val="2"/>
          <w:sz w:val="21"/>
          <w:szCs w:val="21"/>
          <w:highlight w:val="none"/>
        </w:rPr>
        <w:t>对于满足合同约定支付条件的，</w:t>
      </w:r>
      <w:r>
        <w:rPr>
          <w:rFonts w:hint="eastAsia" w:ascii="宋体" w:hAnsi="宋体" w:eastAsia="宋体" w:cs="宋体"/>
          <w:b w:val="0"/>
          <w:bCs w:val="0"/>
          <w:color w:val="auto"/>
          <w:kern w:val="2"/>
          <w:sz w:val="21"/>
          <w:szCs w:val="21"/>
          <w:highlight w:val="none"/>
          <w:lang w:val="en-US" w:eastAsia="zh-CN"/>
        </w:rPr>
        <w:t>甲方</w:t>
      </w:r>
      <w:r>
        <w:rPr>
          <w:rFonts w:hint="eastAsia" w:ascii="宋体" w:hAnsi="宋体" w:eastAsia="宋体" w:cs="宋体"/>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宋体"/>
          <w:b w:val="0"/>
          <w:bCs w:val="0"/>
          <w:color w:val="auto"/>
          <w:kern w:val="2"/>
          <w:sz w:val="21"/>
          <w:szCs w:val="21"/>
          <w:highlight w:val="none"/>
        </w:rPr>
        <w:t>将资金支付到合同约定的</w:t>
      </w:r>
      <w:r>
        <w:rPr>
          <w:rFonts w:hint="eastAsia" w:ascii="宋体" w:hAnsi="宋体" w:eastAsia="宋体" w:cs="宋体"/>
          <w:b w:val="0"/>
          <w:bCs w:val="0"/>
          <w:color w:val="auto"/>
          <w:kern w:val="2"/>
          <w:sz w:val="21"/>
          <w:szCs w:val="21"/>
          <w:highlight w:val="none"/>
          <w:lang w:eastAsia="zh-CN"/>
        </w:rPr>
        <w:t>乙方</w:t>
      </w:r>
      <w:r>
        <w:rPr>
          <w:rFonts w:hint="eastAsia" w:ascii="宋体" w:hAnsi="宋体" w:eastAsia="宋体" w:cs="宋体"/>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宋体"/>
          <w:b w:val="0"/>
          <w:bCs w:val="0"/>
          <w:color w:val="auto"/>
          <w:kern w:val="2"/>
          <w:sz w:val="21"/>
          <w:szCs w:val="21"/>
          <w:highlight w:val="none"/>
          <w:lang w:val="en-US" w:eastAsia="zh-CN"/>
        </w:rPr>
        <w:t>乙方</w:t>
      </w:r>
      <w:r>
        <w:rPr>
          <w:rFonts w:hint="eastAsia" w:ascii="宋体" w:hAnsi="宋体" w:eastAsia="宋体" w:cs="宋体"/>
          <w:b w:val="0"/>
          <w:bCs w:val="0"/>
          <w:color w:val="auto"/>
          <w:kern w:val="2"/>
          <w:sz w:val="21"/>
          <w:szCs w:val="21"/>
          <w:highlight w:val="none"/>
        </w:rPr>
        <w:t>付款的条件。具体合同价款支付时间在【</w:t>
      </w:r>
      <w:r>
        <w:rPr>
          <w:rFonts w:hint="eastAsia" w:ascii="宋体" w:hAnsi="宋体" w:eastAsia="宋体" w:cs="宋体"/>
          <w:b/>
          <w:bCs/>
          <w:color w:val="auto"/>
          <w:kern w:val="2"/>
          <w:sz w:val="21"/>
          <w:szCs w:val="21"/>
          <w:highlight w:val="none"/>
        </w:rPr>
        <w:t>政府采购合同专用条款</w:t>
      </w:r>
      <w:r>
        <w:rPr>
          <w:rFonts w:hint="eastAsia" w:ascii="宋体" w:hAnsi="宋体" w:eastAsia="宋体" w:cs="宋体"/>
          <w:b w:val="0"/>
          <w:bCs w:val="0"/>
          <w:color w:val="auto"/>
          <w:kern w:val="2"/>
          <w:sz w:val="21"/>
          <w:szCs w:val="21"/>
          <w:highlight w:val="none"/>
        </w:rPr>
        <w:t>】中</w:t>
      </w:r>
      <w:r>
        <w:rPr>
          <w:rFonts w:hint="eastAsia" w:ascii="宋体" w:hAnsi="宋体" w:eastAsia="宋体" w:cs="宋体"/>
          <w:b w:val="0"/>
          <w:bCs w:val="0"/>
          <w:color w:val="auto"/>
          <w:kern w:val="2"/>
          <w:sz w:val="21"/>
          <w:szCs w:val="21"/>
          <w:highlight w:val="none"/>
          <w:lang w:eastAsia="zh-CN"/>
        </w:rPr>
        <w:t>约</w:t>
      </w:r>
      <w:r>
        <w:rPr>
          <w:rFonts w:hint="eastAsia" w:ascii="宋体" w:hAnsi="宋体" w:eastAsia="宋体" w:cs="宋体"/>
          <w:b w:val="0"/>
          <w:bCs w:val="0"/>
          <w:color w:val="auto"/>
          <w:kern w:val="2"/>
          <w:sz w:val="21"/>
          <w:szCs w:val="21"/>
          <w:highlight w:val="none"/>
        </w:rPr>
        <w:t>定。</w:t>
      </w:r>
    </w:p>
    <w:p w14:paraId="00687536">
      <w:pPr>
        <w:pStyle w:val="17"/>
        <w:keepNext w:val="0"/>
        <w:keepLines w:val="0"/>
        <w:pageBreakBefore w:val="0"/>
        <w:kinsoku/>
        <w:wordWrap/>
        <w:overflowPunct/>
        <w:topLinePunct w:val="0"/>
        <w:bidi w:val="0"/>
        <w:spacing w:beforeAutospacing="0" w:afterAutospacing="0" w:line="44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3</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履约保证金</w:t>
      </w:r>
    </w:p>
    <w:p w14:paraId="5A9FDB72">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 xml:space="preserve">.1 </w:t>
      </w:r>
      <w:r>
        <w:rPr>
          <w:rFonts w:hint="eastAsia" w:ascii="宋体" w:hAnsi="宋体" w:eastAsia="宋体" w:cs="宋体"/>
          <w:sz w:val="21"/>
          <w:szCs w:val="21"/>
          <w:highlight w:val="none"/>
        </w:rPr>
        <w:t>乙方应当以支票、汇票、本票或者金融机构、担保机构出具的保函等非现金形式提交。</w:t>
      </w:r>
    </w:p>
    <w:p w14:paraId="27EF4381">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.2 如果乙方</w:t>
      </w:r>
      <w:r>
        <w:rPr>
          <w:rFonts w:hint="eastAsia" w:ascii="宋体" w:hAnsi="宋体" w:eastAsia="宋体" w:cs="宋体"/>
          <w:color w:val="auto"/>
          <w:sz w:val="21"/>
          <w:szCs w:val="21"/>
          <w:highlight w:val="none"/>
          <w:lang w:eastAsia="zh-CN"/>
        </w:rPr>
        <w:t>出现</w:t>
      </w:r>
      <w:r>
        <w:rPr>
          <w:rFonts w:hint="eastAsia" w:ascii="宋体" w:hAnsi="宋体" w:eastAsia="宋体" w:cs="宋体"/>
          <w:b/>
          <w:bCs/>
          <w:sz w:val="21"/>
          <w:szCs w:val="21"/>
          <w:highlight w:val="none"/>
        </w:rPr>
        <w:t>【政府采购合同专用条款】</w:t>
      </w:r>
      <w:r>
        <w:rPr>
          <w:rFonts w:hint="eastAsia" w:ascii="宋体" w:hAnsi="宋体" w:eastAsia="宋体" w:cs="宋体"/>
          <w:b w:val="0"/>
          <w:bCs w:val="0"/>
          <w:sz w:val="21"/>
          <w:szCs w:val="21"/>
          <w:highlight w:val="none"/>
          <w:lang w:eastAsia="zh-CN"/>
        </w:rPr>
        <w:t>约定情形的</w:t>
      </w:r>
      <w:r>
        <w:rPr>
          <w:rFonts w:hint="eastAsia" w:ascii="宋体" w:hAnsi="宋体" w:eastAsia="宋体" w:cs="宋体"/>
          <w:color w:val="auto"/>
          <w:sz w:val="21"/>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 w:val="21"/>
          <w:szCs w:val="21"/>
          <w:highlight w:val="none"/>
          <w:lang w:eastAsia="zh-CN"/>
        </w:rPr>
        <w:t>且</w:t>
      </w:r>
      <w:r>
        <w:rPr>
          <w:rFonts w:hint="eastAsia" w:ascii="宋体" w:hAnsi="宋体" w:eastAsia="宋体" w:cs="宋体"/>
          <w:color w:val="auto"/>
          <w:sz w:val="21"/>
          <w:szCs w:val="21"/>
          <w:highlight w:val="none"/>
        </w:rPr>
        <w:t>不影响甲方要求乙方承担合同约定的超过履约保证金的违约责任的权利。</w:t>
      </w:r>
    </w:p>
    <w:p w14:paraId="17ACFA22">
      <w:pPr>
        <w:keepNext w:val="0"/>
        <w:keepLines w:val="0"/>
        <w:pageBreakBefore w:val="0"/>
        <w:kinsoku/>
        <w:wordWrap/>
        <w:overflowPunct/>
        <w:topLinePunct w:val="0"/>
        <w:bidi w:val="0"/>
        <w:spacing w:beforeAutospacing="0" w:afterAutospacing="0" w:line="440" w:lineRule="exact"/>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.3 甲方在项目通过验收后按照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规定的时间内将履约保证金退还乙方；逾期退还的，乙方可要求甲方支付违约金，违约金按照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规定支付。</w:t>
      </w:r>
    </w:p>
    <w:p w14:paraId="3AD26025">
      <w:pPr>
        <w:keepNext w:val="0"/>
        <w:keepLines w:val="0"/>
        <w:pageBreakBefore w:val="0"/>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color w:val="auto"/>
          <w:sz w:val="21"/>
          <w:szCs w:val="21"/>
          <w:highlight w:val="none"/>
        </w:rPr>
        <w:t>售后服务</w:t>
      </w:r>
    </w:p>
    <w:p w14:paraId="61D5B4C5">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除项目不涉及或采购活动中明确约定无须承担外，乙方还应提供下列服务：</w:t>
      </w:r>
    </w:p>
    <w:p w14:paraId="4A892BBE">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（1）货物的现场移动、安装、调试、启动监督及技术支持；</w:t>
      </w:r>
    </w:p>
    <w:p w14:paraId="50C1D431">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（2）提供货物组装和维修所需的专用工具和辅助材料；</w:t>
      </w:r>
    </w:p>
    <w:p w14:paraId="4268E4B8">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w:t>
      </w:r>
      <w:r>
        <w:rPr>
          <w:rFonts w:hint="eastAsia" w:ascii="宋体" w:hAnsi="宋体" w:eastAsia="宋体" w:cs="宋体"/>
          <w:b/>
          <w:bCs/>
          <w:sz w:val="21"/>
          <w:szCs w:val="21"/>
          <w:highlight w:val="none"/>
        </w:rPr>
        <w:t>【政府采购合同专用条款】</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的期限内对所有的货物实施运行监督、维修，但前提条件是该服务并不能免除乙方在质量保证期内所承担的义务；</w:t>
      </w:r>
    </w:p>
    <w:p w14:paraId="42D295AD">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（4）在制造商</w:t>
      </w:r>
      <w:r>
        <w:rPr>
          <w:rFonts w:hint="eastAsia" w:ascii="宋体" w:hAnsi="宋体" w:eastAsia="宋体" w:cs="宋体"/>
          <w:color w:val="auto"/>
          <w:sz w:val="21"/>
          <w:szCs w:val="21"/>
          <w:highlight w:val="none"/>
          <w:lang w:eastAsia="zh-CN"/>
        </w:rPr>
        <w:t>所在地</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指定</w:t>
      </w:r>
      <w:r>
        <w:rPr>
          <w:rFonts w:hint="eastAsia" w:ascii="宋体" w:hAnsi="宋体" w:eastAsia="宋体" w:cs="宋体"/>
          <w:color w:val="auto"/>
          <w:sz w:val="21"/>
          <w:szCs w:val="21"/>
          <w:highlight w:val="none"/>
        </w:rPr>
        <w:t>现场就货物的安装、启动、运营、维护</w:t>
      </w:r>
      <w:r>
        <w:rPr>
          <w:rFonts w:hint="eastAsia" w:ascii="宋体" w:hAnsi="宋体" w:eastAsia="宋体" w:cs="宋体"/>
          <w:color w:val="auto"/>
          <w:sz w:val="21"/>
          <w:szCs w:val="21"/>
          <w:highlight w:val="none"/>
          <w:lang w:eastAsia="zh-CN"/>
        </w:rPr>
        <w:t>、废弃处置等</w:t>
      </w:r>
      <w:r>
        <w:rPr>
          <w:rFonts w:hint="eastAsia" w:ascii="宋体" w:hAnsi="宋体" w:eastAsia="宋体" w:cs="宋体"/>
          <w:color w:val="auto"/>
          <w:sz w:val="21"/>
          <w:szCs w:val="21"/>
          <w:highlight w:val="none"/>
        </w:rPr>
        <w:t>对甲方操作人员进行培训</w:t>
      </w:r>
      <w:r>
        <w:rPr>
          <w:rFonts w:hint="eastAsia" w:ascii="宋体" w:hAnsi="宋体" w:eastAsia="宋体" w:cs="宋体"/>
          <w:sz w:val="21"/>
          <w:szCs w:val="21"/>
          <w:highlight w:val="none"/>
          <w:lang w:eastAsia="zh-CN"/>
        </w:rPr>
        <w:t>；</w:t>
      </w:r>
    </w:p>
    <w:p w14:paraId="63F72AD4">
      <w:pPr>
        <w:pStyle w:val="172"/>
        <w:keepNext w:val="0"/>
        <w:keepLines w:val="0"/>
        <w:pageBreakBefore w:val="0"/>
        <w:kinsoku/>
        <w:wordWrap/>
        <w:overflowPunct/>
        <w:topLinePunct w:val="0"/>
        <w:bidi w:val="0"/>
        <w:spacing w:beforeAutospacing="0" w:afterAutospacing="0" w:line="44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（5）依照法律、行政法规的规定或者按照</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约定，货物在有效使用年限届满后应予回收的，乙方负有自行或者委托第三人对货物予以回收的义务；</w:t>
      </w:r>
    </w:p>
    <w:p w14:paraId="09B33062">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规定由乙方提供的其他服务。</w:t>
      </w:r>
    </w:p>
    <w:p w14:paraId="27B3ABEA">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 乙方提供的</w:t>
      </w:r>
      <w:r>
        <w:rPr>
          <w:rFonts w:hint="eastAsia" w:ascii="宋体" w:hAnsi="宋体" w:eastAsia="宋体" w:cs="宋体"/>
          <w:color w:val="auto"/>
          <w:sz w:val="21"/>
          <w:szCs w:val="21"/>
          <w:highlight w:val="none"/>
          <w:lang w:eastAsia="zh-CN"/>
        </w:rPr>
        <w:t>售后</w:t>
      </w:r>
      <w:r>
        <w:rPr>
          <w:rFonts w:hint="eastAsia" w:ascii="宋体" w:hAnsi="宋体" w:eastAsia="宋体" w:cs="宋体"/>
          <w:color w:val="auto"/>
          <w:sz w:val="21"/>
          <w:szCs w:val="21"/>
          <w:highlight w:val="none"/>
        </w:rPr>
        <w:t>服务的费用</w:t>
      </w:r>
      <w:r>
        <w:rPr>
          <w:rFonts w:hint="eastAsia" w:ascii="宋体" w:hAnsi="宋体" w:eastAsia="宋体" w:cs="宋体"/>
          <w:color w:val="auto"/>
          <w:sz w:val="21"/>
          <w:szCs w:val="21"/>
          <w:highlight w:val="none"/>
          <w:lang w:val="en-US" w:eastAsia="zh-CN"/>
        </w:rPr>
        <w:t>已</w:t>
      </w:r>
      <w:r>
        <w:rPr>
          <w:rFonts w:hint="eastAsia" w:ascii="宋体" w:hAnsi="宋体" w:eastAsia="宋体" w:cs="宋体"/>
          <w:color w:val="auto"/>
          <w:sz w:val="21"/>
          <w:szCs w:val="21"/>
          <w:highlight w:val="none"/>
        </w:rPr>
        <w:t>包含在合同价款中，甲方不再另行支付。</w:t>
      </w:r>
    </w:p>
    <w:p w14:paraId="4799DCCC">
      <w:pPr>
        <w:keepNext w:val="0"/>
        <w:keepLines w:val="0"/>
        <w:pageBreakBefore w:val="0"/>
        <w:kinsoku/>
        <w:wordWrap/>
        <w:overflowPunct/>
        <w:topLinePunct w:val="0"/>
        <w:bidi w:val="0"/>
        <w:adjustRightInd w:val="0"/>
        <w:snapToGrid w:val="0"/>
        <w:spacing w:beforeAutospacing="0" w:afterAutospacing="0" w:line="44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违约责任</w:t>
      </w:r>
    </w:p>
    <w:p w14:paraId="52ECBAEA">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.1质量瑕疵的</w:t>
      </w:r>
      <w:r>
        <w:rPr>
          <w:rFonts w:hint="eastAsia" w:ascii="宋体" w:hAnsi="宋体" w:eastAsia="宋体" w:cs="宋体"/>
          <w:bCs/>
          <w:color w:val="auto"/>
          <w:sz w:val="21"/>
          <w:szCs w:val="21"/>
          <w:highlight w:val="none"/>
          <w:lang w:eastAsia="zh-CN"/>
        </w:rPr>
        <w:t>违约责任</w:t>
      </w:r>
    </w:p>
    <w:p w14:paraId="0223C5B2">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的产品不符合</w:t>
      </w:r>
      <w:r>
        <w:rPr>
          <w:rFonts w:hint="eastAsia" w:ascii="宋体" w:hAnsi="宋体" w:eastAsia="宋体" w:cs="宋体"/>
          <w:color w:val="auto"/>
          <w:sz w:val="21"/>
          <w:szCs w:val="21"/>
          <w:highlight w:val="none"/>
          <w:lang w:eastAsia="zh-CN"/>
        </w:rPr>
        <w:t>合同约定的</w:t>
      </w:r>
      <w:r>
        <w:rPr>
          <w:rFonts w:hint="eastAsia" w:ascii="宋体" w:hAnsi="宋体" w:eastAsia="宋体" w:cs="宋体"/>
          <w:color w:val="auto"/>
          <w:sz w:val="21"/>
          <w:szCs w:val="21"/>
          <w:highlight w:val="none"/>
        </w:rPr>
        <w:t>质量标准或存在产品质量缺陷，</w:t>
      </w:r>
      <w:r>
        <w:rPr>
          <w:rFonts w:hint="eastAsia" w:ascii="宋体" w:hAnsi="宋体" w:eastAsia="宋体" w:cs="宋体"/>
          <w:color w:val="auto"/>
          <w:sz w:val="21"/>
          <w:szCs w:val="21"/>
          <w:highlight w:val="none"/>
          <w:lang w:eastAsia="zh-CN"/>
        </w:rPr>
        <w:t>甲方有权要求乙方根据</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要求</w:t>
      </w:r>
      <w:r>
        <w:rPr>
          <w:rFonts w:hint="eastAsia" w:ascii="宋体" w:hAnsi="宋体" w:eastAsia="宋体" w:cs="宋体"/>
          <w:color w:val="auto"/>
          <w:sz w:val="21"/>
          <w:szCs w:val="21"/>
          <w:highlight w:val="none"/>
          <w:lang w:eastAsia="zh-CN"/>
        </w:rPr>
        <w:t>及时修理、重作、更换，并承担由此给甲</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eastAsia="zh-CN"/>
        </w:rPr>
        <w:t>造成的损失</w:t>
      </w:r>
      <w:r>
        <w:rPr>
          <w:rFonts w:hint="eastAsia" w:ascii="宋体" w:hAnsi="宋体" w:eastAsia="宋体" w:cs="宋体"/>
          <w:color w:val="auto"/>
          <w:sz w:val="21"/>
          <w:szCs w:val="21"/>
          <w:highlight w:val="none"/>
        </w:rPr>
        <w:t>。</w:t>
      </w:r>
    </w:p>
    <w:p w14:paraId="52C2F83A">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.2 迟延交货的违约责任</w:t>
      </w:r>
    </w:p>
    <w:p w14:paraId="4A28F57E">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（1）乙方应按照本合同规定的时间、地点交货和提供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服务。在履行合同过程中，如果乙方遇到可能</w:t>
      </w:r>
      <w:r>
        <w:rPr>
          <w:rFonts w:hint="eastAsia" w:ascii="宋体" w:hAnsi="宋体" w:eastAsia="宋体" w:cs="宋体"/>
          <w:color w:val="auto"/>
          <w:sz w:val="21"/>
          <w:szCs w:val="21"/>
          <w:highlight w:val="none"/>
          <w:lang w:eastAsia="zh-CN"/>
        </w:rPr>
        <w:t>影响</w:t>
      </w:r>
      <w:r>
        <w:rPr>
          <w:rFonts w:hint="eastAsia" w:ascii="宋体" w:hAnsi="宋体" w:eastAsia="宋体" w:cs="宋体"/>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1"/>
          <w:szCs w:val="21"/>
          <w:highlight w:val="none"/>
          <w:lang w:eastAsia="zh-CN"/>
        </w:rPr>
        <w:t>长</w:t>
      </w:r>
      <w:r>
        <w:rPr>
          <w:rFonts w:hint="eastAsia" w:ascii="宋体" w:hAnsi="宋体" w:eastAsia="宋体" w:cs="宋体"/>
          <w:color w:val="auto"/>
          <w:sz w:val="21"/>
          <w:szCs w:val="21"/>
          <w:highlight w:val="none"/>
        </w:rPr>
        <w:t>交货时间或延期提供服务。</w:t>
      </w:r>
    </w:p>
    <w:p w14:paraId="2A661519">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（2）如果乙方没有按照合同规定的时间交货和提供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服务，甲方有权从货款中扣除误期赔偿费而不影响合同项下的其他补救方法，赔偿费按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规定执行。如果涉及公共利益，且赔偿金额无法弥补公共利益损失，</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可要求继续履行或者</w:t>
      </w:r>
      <w:r>
        <w:rPr>
          <w:rFonts w:hint="eastAsia" w:ascii="宋体" w:hAnsi="宋体" w:eastAsia="宋体" w:cs="宋体"/>
          <w:color w:val="auto"/>
          <w:sz w:val="21"/>
          <w:szCs w:val="21"/>
          <w:highlight w:val="none"/>
          <w:lang w:eastAsia="zh-CN"/>
        </w:rPr>
        <w:t>采取其他补救措施</w:t>
      </w:r>
      <w:r>
        <w:rPr>
          <w:rFonts w:hint="eastAsia" w:ascii="宋体" w:hAnsi="宋体" w:eastAsia="宋体" w:cs="宋体"/>
          <w:color w:val="auto"/>
          <w:sz w:val="21"/>
          <w:szCs w:val="21"/>
          <w:highlight w:val="none"/>
        </w:rPr>
        <w:t>。</w:t>
      </w:r>
    </w:p>
    <w:p w14:paraId="113C0D91">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.3 迟延支付的违约责任</w:t>
      </w:r>
    </w:p>
    <w:p w14:paraId="0D942F85">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甲方存在迟延支付乙方合同款项的，应当承担</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规定的逾期付款利息。</w:t>
      </w:r>
    </w:p>
    <w:p w14:paraId="5974D0D5">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.4其他违约责任根据项目实际需要按</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规定执行。</w:t>
      </w:r>
    </w:p>
    <w:p w14:paraId="0564811D">
      <w:pPr>
        <w:keepNext w:val="0"/>
        <w:keepLines w:val="0"/>
        <w:pageBreakBefore w:val="0"/>
        <w:numPr>
          <w:ilvl w:val="0"/>
          <w:numId w:val="6"/>
        </w:numPr>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合同变更</w:t>
      </w:r>
      <w:r>
        <w:rPr>
          <w:rFonts w:hint="eastAsia" w:ascii="宋体" w:hAnsi="宋体" w:eastAsia="宋体" w:cs="宋体"/>
          <w:b/>
          <w:color w:val="auto"/>
          <w:sz w:val="21"/>
          <w:szCs w:val="21"/>
          <w:highlight w:val="none"/>
          <w:lang w:eastAsia="zh-CN"/>
        </w:rPr>
        <w:t>、中止与终止</w:t>
      </w:r>
    </w:p>
    <w:p w14:paraId="4622A9C3">
      <w:pPr>
        <w:keepNext w:val="0"/>
        <w:keepLines w:val="0"/>
        <w:pageBreakBefore w:val="0"/>
        <w:kinsoku/>
        <w:wordWrap/>
        <w:overflowPunct/>
        <w:topLinePunct w:val="0"/>
        <w:autoSpaceDE/>
        <w:autoSpaceDN/>
        <w:bidi w:val="0"/>
        <w:adjustRightInd w:val="0"/>
        <w:snapToGrid w:val="0"/>
        <w:spacing w:beforeAutospacing="0" w:afterAutospacing="0" w:line="44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.1合同的</w:t>
      </w:r>
      <w:r>
        <w:rPr>
          <w:rFonts w:hint="eastAsia" w:ascii="宋体" w:hAnsi="宋体" w:eastAsia="宋体" w:cs="宋体"/>
          <w:color w:val="auto"/>
          <w:sz w:val="21"/>
          <w:szCs w:val="21"/>
          <w:highlight w:val="none"/>
          <w:lang w:eastAsia="zh-CN"/>
        </w:rPr>
        <w:t>变更</w:t>
      </w:r>
    </w:p>
    <w:p w14:paraId="6BAD61DB">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政府采购合同履行中，</w:t>
      </w:r>
      <w:r>
        <w:rPr>
          <w:rFonts w:hint="eastAsia" w:ascii="宋体" w:hAnsi="宋体" w:eastAsia="宋体" w:cs="宋体"/>
          <w:color w:val="auto"/>
          <w:sz w:val="21"/>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1"/>
          <w:szCs w:val="21"/>
          <w:highlight w:val="none"/>
          <w:lang w:eastAsia="zh-CN"/>
        </w:rPr>
        <w:t>一致后</w:t>
      </w:r>
      <w:r>
        <w:rPr>
          <w:rFonts w:hint="eastAsia" w:ascii="宋体" w:hAnsi="宋体" w:eastAsia="宋体" w:cs="宋体"/>
          <w:color w:val="auto"/>
          <w:sz w:val="21"/>
          <w:szCs w:val="21"/>
          <w:highlight w:val="none"/>
        </w:rPr>
        <w:t>签订补充协议。</w:t>
      </w:r>
    </w:p>
    <w:p w14:paraId="2CB67E35">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合同的中止</w:t>
      </w:r>
    </w:p>
    <w:p w14:paraId="688184E4">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（1）合同履行过程中因供应商就采购文件、采购过程或结果提起投诉的，甲方认为有必要的，</w:t>
      </w:r>
      <w:r>
        <w:rPr>
          <w:rFonts w:hint="eastAsia" w:ascii="宋体" w:hAnsi="宋体" w:eastAsia="宋体" w:cs="宋体"/>
          <w:color w:val="auto"/>
          <w:sz w:val="21"/>
          <w:szCs w:val="21"/>
          <w:highlight w:val="none"/>
          <w:lang w:eastAsia="zh-CN"/>
        </w:rPr>
        <w:t>可以</w:t>
      </w:r>
      <w:r>
        <w:rPr>
          <w:rFonts w:hint="eastAsia" w:ascii="宋体" w:hAnsi="宋体" w:eastAsia="宋体" w:cs="宋体"/>
          <w:color w:val="auto"/>
          <w:sz w:val="21"/>
          <w:szCs w:val="21"/>
          <w:highlight w:val="none"/>
        </w:rPr>
        <w:t>中止合同的履行。</w:t>
      </w:r>
    </w:p>
    <w:p w14:paraId="5AE2070C">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合同履行过程中，</w:t>
      </w:r>
      <w:r>
        <w:rPr>
          <w:rFonts w:hint="eastAsia" w:ascii="宋体" w:hAnsi="宋体" w:eastAsia="宋体" w:cs="宋体"/>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1"/>
          <w:szCs w:val="21"/>
          <w:highlight w:val="none"/>
          <w:lang w:eastAsia="zh-CN"/>
        </w:rPr>
        <w:t>，乙方有义务及时告知甲方</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以书面形式通知乙方中止合同</w:t>
      </w:r>
      <w:r>
        <w:rPr>
          <w:rFonts w:hint="eastAsia" w:ascii="宋体" w:hAnsi="宋体" w:eastAsia="宋体" w:cs="宋体"/>
          <w:color w:val="auto"/>
          <w:sz w:val="21"/>
          <w:szCs w:val="21"/>
          <w:highlight w:val="none"/>
          <w:lang w:eastAsia="zh-CN"/>
        </w:rPr>
        <w:t>并要求乙方在合理期限内消除相关情形或者提供适当担保。</w:t>
      </w:r>
      <w:r>
        <w:rPr>
          <w:rFonts w:hint="eastAsia" w:ascii="宋体" w:hAnsi="宋体" w:eastAsia="宋体" w:cs="宋体"/>
          <w:color w:val="auto"/>
          <w:sz w:val="21"/>
          <w:szCs w:val="21"/>
          <w:highlight w:val="none"/>
        </w:rPr>
        <w:t>乙方提供适当担保的，</w:t>
      </w:r>
      <w:r>
        <w:rPr>
          <w:rFonts w:hint="eastAsia" w:ascii="宋体" w:hAnsi="宋体" w:eastAsia="宋体" w:cs="宋体"/>
          <w:color w:val="auto"/>
          <w:sz w:val="21"/>
          <w:szCs w:val="21"/>
          <w:highlight w:val="none"/>
          <w:lang w:eastAsia="zh-CN"/>
        </w:rPr>
        <w:t>合同继续</w:t>
      </w:r>
      <w:r>
        <w:rPr>
          <w:rFonts w:hint="eastAsia" w:ascii="宋体" w:hAnsi="宋体" w:eastAsia="宋体" w:cs="宋体"/>
          <w:color w:val="auto"/>
          <w:sz w:val="21"/>
          <w:szCs w:val="21"/>
          <w:highlight w:val="none"/>
        </w:rPr>
        <w:t>履行</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方在合理期限内未恢复履约能力且未提供适当担保的，视为拒绝</w:t>
      </w:r>
      <w:r>
        <w:rPr>
          <w:rFonts w:hint="eastAsia" w:ascii="宋体" w:hAnsi="宋体" w:eastAsia="宋体" w:cs="宋体"/>
          <w:color w:val="auto"/>
          <w:sz w:val="21"/>
          <w:szCs w:val="21"/>
          <w:highlight w:val="none"/>
          <w:lang w:eastAsia="zh-CN"/>
        </w:rPr>
        <w:t>继续</w:t>
      </w:r>
      <w:r>
        <w:rPr>
          <w:rFonts w:hint="eastAsia" w:ascii="宋体" w:hAnsi="宋体" w:eastAsia="宋体" w:cs="宋体"/>
          <w:color w:val="auto"/>
          <w:sz w:val="21"/>
          <w:szCs w:val="21"/>
          <w:highlight w:val="none"/>
        </w:rPr>
        <w:t>履约，甲方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解除合同并要求乙方承担</w:t>
      </w:r>
      <w:r>
        <w:rPr>
          <w:rFonts w:hint="eastAsia" w:ascii="宋体" w:hAnsi="宋体" w:eastAsia="宋体" w:cs="宋体"/>
          <w:color w:val="auto"/>
          <w:sz w:val="21"/>
          <w:szCs w:val="21"/>
          <w:highlight w:val="none"/>
          <w:lang w:eastAsia="zh-CN"/>
        </w:rPr>
        <w:t>由此给甲方造成的损失</w:t>
      </w:r>
      <w:r>
        <w:rPr>
          <w:rFonts w:hint="eastAsia" w:ascii="宋体" w:hAnsi="宋体" w:eastAsia="宋体" w:cs="宋体"/>
          <w:color w:val="auto"/>
          <w:sz w:val="21"/>
          <w:szCs w:val="21"/>
          <w:highlight w:val="none"/>
        </w:rPr>
        <w:t>。</w:t>
      </w:r>
    </w:p>
    <w:p w14:paraId="555CB4C4">
      <w:pPr>
        <w:pStyle w:val="172"/>
        <w:keepNext w:val="0"/>
        <w:keepLines w:val="0"/>
        <w:pageBreakBefore w:val="0"/>
        <w:kinsoku/>
        <w:wordWrap/>
        <w:overflowPunct/>
        <w:topLinePunct w:val="0"/>
        <w:bidi w:val="0"/>
        <w:spacing w:beforeAutospacing="0" w:afterAutospacing="0" w:line="44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（3）乙方分立、合并或者变更住所的，应当及时以书面形式告知甲方。乙方没有</w:t>
      </w:r>
      <w:r>
        <w:rPr>
          <w:rFonts w:hint="eastAsia" w:ascii="宋体" w:hAnsi="宋体" w:eastAsia="宋体" w:cs="宋体"/>
          <w:sz w:val="21"/>
          <w:szCs w:val="21"/>
          <w:highlight w:val="none"/>
          <w:lang w:eastAsia="zh-CN"/>
        </w:rPr>
        <w:t>及时告知</w:t>
      </w:r>
      <w:r>
        <w:rPr>
          <w:rFonts w:hint="eastAsia" w:ascii="宋体" w:hAnsi="宋体" w:eastAsia="宋体" w:cs="宋体"/>
          <w:sz w:val="21"/>
          <w:szCs w:val="21"/>
          <w:highlight w:val="none"/>
        </w:rPr>
        <w:t>甲方，致使</w:t>
      </w:r>
      <w:r>
        <w:rPr>
          <w:rFonts w:hint="eastAsia" w:ascii="宋体" w:hAnsi="宋体" w:eastAsia="宋体" w:cs="宋体"/>
          <w:sz w:val="21"/>
          <w:szCs w:val="21"/>
          <w:highlight w:val="none"/>
          <w:lang w:eastAsia="zh-CN"/>
        </w:rPr>
        <w:t>合同</w:t>
      </w:r>
      <w:r>
        <w:rPr>
          <w:rFonts w:hint="eastAsia" w:ascii="宋体" w:hAnsi="宋体" w:eastAsia="宋体" w:cs="宋体"/>
          <w:sz w:val="21"/>
          <w:szCs w:val="21"/>
          <w:highlight w:val="none"/>
        </w:rPr>
        <w:t>履行发生困难的，甲方可以中止合同履行并要求乙方承担由此给甲方造成的损失。</w:t>
      </w:r>
    </w:p>
    <w:p w14:paraId="20C53F10">
      <w:pPr>
        <w:keepNext w:val="0"/>
        <w:keepLines w:val="0"/>
        <w:pageBreakBefore w:val="0"/>
        <w:kinsoku/>
        <w:wordWrap/>
        <w:overflowPunct/>
        <w:topLinePunct w:val="0"/>
        <w:bidi w:val="0"/>
        <w:snapToGrid w:val="0"/>
        <w:spacing w:beforeAutospacing="0" w:afterAutospacing="0"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）甲方不得以行政区划调整、政府换届、机构或者职能调整以及相关责任人更替为由中止合同。</w:t>
      </w:r>
    </w:p>
    <w:p w14:paraId="27D04949">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合同的终止</w:t>
      </w:r>
    </w:p>
    <w:p w14:paraId="133EAC31">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（1）合同因有效期限届满而终止；</w:t>
      </w:r>
    </w:p>
    <w:p w14:paraId="2601A86F">
      <w:pPr>
        <w:keepNext w:val="0"/>
        <w:keepLines w:val="0"/>
        <w:pageBreakBefore w:val="0"/>
        <w:kinsoku/>
        <w:wordWrap/>
        <w:overflowPunct/>
        <w:topLinePunct w:val="0"/>
        <w:bidi w:val="0"/>
        <w:snapToGrid w:val="0"/>
        <w:spacing w:beforeAutospacing="0" w:afterAutospacing="0" w:line="44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（2）乙方未</w:t>
      </w:r>
      <w:r>
        <w:rPr>
          <w:rFonts w:hint="eastAsia" w:ascii="宋体" w:hAnsi="宋体" w:eastAsia="宋体" w:cs="宋体"/>
          <w:color w:val="auto"/>
          <w:sz w:val="21"/>
          <w:szCs w:val="21"/>
          <w:highlight w:val="none"/>
          <w:lang w:eastAsia="zh-CN"/>
        </w:rPr>
        <w:t>按</w:t>
      </w:r>
      <w:r>
        <w:rPr>
          <w:rFonts w:hint="eastAsia" w:ascii="宋体" w:hAnsi="宋体" w:eastAsia="宋体" w:cs="宋体"/>
          <w:color w:val="auto"/>
          <w:sz w:val="21"/>
          <w:szCs w:val="21"/>
          <w:highlight w:val="none"/>
        </w:rPr>
        <w:t>合同约定履行，构成根本性违约的，甲方有权终止合同</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highlight w:val="none"/>
        </w:rPr>
        <w:t>并追究乙方的违约责</w:t>
      </w:r>
      <w:r>
        <w:rPr>
          <w:rFonts w:hint="eastAsia" w:ascii="宋体" w:hAnsi="宋体" w:eastAsia="宋体" w:cs="宋体"/>
          <w:sz w:val="21"/>
          <w:szCs w:val="21"/>
          <w:highlight w:val="none"/>
          <w:lang w:val="en-US" w:eastAsia="zh-CN"/>
        </w:rPr>
        <w:t>任</w:t>
      </w:r>
      <w:r>
        <w:rPr>
          <w:rFonts w:hint="eastAsia" w:ascii="宋体" w:hAnsi="宋体" w:eastAsia="宋体" w:cs="宋体"/>
          <w:color w:val="auto"/>
          <w:sz w:val="21"/>
          <w:szCs w:val="21"/>
          <w:highlight w:val="none"/>
        </w:rPr>
        <w:t>。</w:t>
      </w:r>
    </w:p>
    <w:p w14:paraId="58345407">
      <w:pPr>
        <w:pStyle w:val="172"/>
        <w:keepNext w:val="0"/>
        <w:keepLines w:val="0"/>
        <w:pageBreakBefore w:val="0"/>
        <w:kinsoku/>
        <w:wordWrap/>
        <w:overflowPunct/>
        <w:topLinePunct w:val="0"/>
        <w:bidi w:val="0"/>
        <w:spacing w:beforeAutospacing="0" w:afterAutospacing="0" w:line="4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16.4 </w:t>
      </w:r>
      <w:r>
        <w:rPr>
          <w:rFonts w:hint="eastAsia" w:ascii="宋体" w:hAnsi="宋体" w:eastAsia="宋体" w:cs="宋体"/>
          <w:color w:val="auto"/>
          <w:kern w:val="2"/>
          <w:sz w:val="21"/>
          <w:szCs w:val="21"/>
          <w:highlight w:val="none"/>
          <w:lang w:val="en-US" w:eastAsia="zh-CN"/>
        </w:rPr>
        <w:t>涉及国家利益、社会公共利益的情形</w:t>
      </w:r>
    </w:p>
    <w:p w14:paraId="1D74AF15">
      <w:pPr>
        <w:pStyle w:val="172"/>
        <w:keepNext w:val="0"/>
        <w:keepLines w:val="0"/>
        <w:pageBreakBefore w:val="0"/>
        <w:kinsoku/>
        <w:wordWrap/>
        <w:overflowPunct/>
        <w:topLinePunct w:val="0"/>
        <w:bidi w:val="0"/>
        <w:spacing w:beforeAutospacing="0" w:afterAutospacing="0" w:line="44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政府采购合同继续履行将损害国家利益和社会公共利益的，双方当事人</w:t>
      </w:r>
      <w:r>
        <w:rPr>
          <w:rFonts w:hint="eastAsia" w:ascii="宋体" w:hAnsi="宋体" w:eastAsia="宋体" w:cs="宋体"/>
          <w:sz w:val="21"/>
          <w:szCs w:val="21"/>
          <w:highlight w:val="none"/>
          <w:lang w:val="en-US" w:eastAsia="zh-CN"/>
        </w:rPr>
        <w:t>应当变更、</w:t>
      </w:r>
      <w:r>
        <w:rPr>
          <w:rFonts w:hint="eastAsia" w:ascii="宋体" w:hAnsi="宋体" w:eastAsia="宋体" w:cs="宋体"/>
          <w:sz w:val="21"/>
          <w:szCs w:val="21"/>
          <w:highlight w:val="none"/>
        </w:rPr>
        <w:t>中止</w:t>
      </w:r>
      <w:r>
        <w:rPr>
          <w:rFonts w:hint="eastAsia" w:ascii="宋体" w:hAnsi="宋体" w:eastAsia="宋体" w:cs="宋体"/>
          <w:sz w:val="21"/>
          <w:szCs w:val="21"/>
          <w:highlight w:val="none"/>
          <w:lang w:eastAsia="zh-CN"/>
        </w:rPr>
        <w:t>或者终止</w:t>
      </w:r>
      <w:r>
        <w:rPr>
          <w:rFonts w:hint="eastAsia" w:ascii="宋体" w:hAnsi="宋体" w:eastAsia="宋体" w:cs="宋体"/>
          <w:sz w:val="21"/>
          <w:szCs w:val="21"/>
          <w:highlight w:val="none"/>
        </w:rPr>
        <w:t>合同。有过错的一方应当承担赔偿责任，双方都有过错的，各自承担相应的责任。</w:t>
      </w:r>
    </w:p>
    <w:p w14:paraId="55C1370F">
      <w:pPr>
        <w:keepNext w:val="0"/>
        <w:keepLines w:val="0"/>
        <w:pageBreakBefore w:val="0"/>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合同分包</w:t>
      </w:r>
    </w:p>
    <w:p w14:paraId="76CF2511">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 乙方不得</w:t>
      </w:r>
      <w:r>
        <w:rPr>
          <w:rFonts w:hint="eastAsia" w:ascii="宋体" w:hAnsi="宋体" w:eastAsia="宋体" w:cs="宋体"/>
          <w:color w:val="auto"/>
          <w:sz w:val="21"/>
          <w:szCs w:val="21"/>
          <w:highlight w:val="none"/>
          <w:lang w:eastAsia="zh-CN"/>
        </w:rPr>
        <w:t>将合同转包给其他供应商。涉及合同分包的，乙方</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根据采购文件和</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lang w:eastAsia="zh-CN"/>
        </w:rPr>
        <w:t>规定进行</w:t>
      </w:r>
      <w:r>
        <w:rPr>
          <w:rFonts w:hint="eastAsia" w:ascii="宋体" w:hAnsi="宋体" w:eastAsia="宋体" w:cs="宋体"/>
          <w:color w:val="auto"/>
          <w:sz w:val="21"/>
          <w:szCs w:val="21"/>
          <w:highlight w:val="none"/>
        </w:rPr>
        <w:t>合同分包。</w:t>
      </w:r>
    </w:p>
    <w:p w14:paraId="536072E0">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乙方执行政府采购政策向中小企业依法分包的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乙方应当按采购文件</w:t>
      </w:r>
      <w:r>
        <w:rPr>
          <w:rFonts w:hint="eastAsia" w:ascii="宋体" w:hAnsi="宋体" w:eastAsia="宋体" w:cs="宋体"/>
          <w:color w:val="auto"/>
          <w:sz w:val="21"/>
          <w:szCs w:val="21"/>
          <w:highlight w:val="none"/>
          <w:lang w:eastAsia="zh-CN"/>
        </w:rPr>
        <w:t>和</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签订分包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协议属于本合同组成部分。</w:t>
      </w:r>
    </w:p>
    <w:p w14:paraId="6236A380">
      <w:pPr>
        <w:keepNext w:val="0"/>
        <w:keepLines w:val="0"/>
        <w:pageBreakBefore w:val="0"/>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不可抗力</w:t>
      </w:r>
    </w:p>
    <w:p w14:paraId="4CEAA28F">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 不可抗力是指合同双方不能预见、不能避免且不能克服的客观情况。</w:t>
      </w:r>
    </w:p>
    <w:p w14:paraId="1764DA7D">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 任何一方对由于不可抗力造成的部分或全部不能履行合同不承担违约责任。但迟延履行后发生不可抗力的，不能免除责任。</w:t>
      </w:r>
    </w:p>
    <w:p w14:paraId="25B88504">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 遇有不可抗力的一方，应及时将事件情况以书面形式</w:t>
      </w:r>
      <w:r>
        <w:rPr>
          <w:rFonts w:hint="eastAsia" w:ascii="宋体" w:hAnsi="宋体" w:eastAsia="宋体" w:cs="宋体"/>
          <w:color w:val="auto"/>
          <w:sz w:val="21"/>
          <w:szCs w:val="21"/>
          <w:highlight w:val="none"/>
          <w:lang w:eastAsia="zh-CN"/>
        </w:rPr>
        <w:t>告</w:t>
      </w:r>
      <w:r>
        <w:rPr>
          <w:rFonts w:hint="eastAsia" w:ascii="宋体" w:hAnsi="宋体" w:eastAsia="宋体" w:cs="宋体"/>
          <w:color w:val="auto"/>
          <w:sz w:val="21"/>
          <w:szCs w:val="21"/>
          <w:highlight w:val="none"/>
        </w:rPr>
        <w:t>知另一方，并在事件发生后及时向另一方提交合同不能履行或部分不能履行或需要延期履行</w:t>
      </w:r>
      <w:r>
        <w:rPr>
          <w:rFonts w:hint="eastAsia" w:ascii="宋体" w:hAnsi="宋体" w:eastAsia="宋体" w:cs="宋体"/>
          <w:color w:val="auto"/>
          <w:sz w:val="21"/>
          <w:szCs w:val="21"/>
          <w:highlight w:val="none"/>
          <w:lang w:eastAsia="zh-CN"/>
        </w:rPr>
        <w:t>的详细</w:t>
      </w:r>
      <w:r>
        <w:rPr>
          <w:rFonts w:hint="eastAsia" w:ascii="宋体" w:hAnsi="宋体" w:eastAsia="宋体" w:cs="宋体"/>
          <w:color w:val="auto"/>
          <w:sz w:val="21"/>
          <w:szCs w:val="21"/>
          <w:highlight w:val="none"/>
        </w:rPr>
        <w:t>报告</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lang w:val="en-US" w:eastAsia="zh-CN"/>
        </w:rPr>
        <w:t>及证明不可抗力发生及其持续时间的证据</w:t>
      </w:r>
      <w:r>
        <w:rPr>
          <w:rFonts w:hint="eastAsia" w:ascii="宋体" w:hAnsi="宋体" w:eastAsia="宋体" w:cs="宋体"/>
          <w:color w:val="auto"/>
          <w:sz w:val="21"/>
          <w:szCs w:val="21"/>
          <w:highlight w:val="none"/>
        </w:rPr>
        <w:t>。</w:t>
      </w:r>
    </w:p>
    <w:p w14:paraId="2D1BDE0B">
      <w:pPr>
        <w:keepNext w:val="0"/>
        <w:keepLines w:val="0"/>
        <w:pageBreakBefore w:val="0"/>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解决争议的方法</w:t>
      </w:r>
    </w:p>
    <w:p w14:paraId="4AD78351">
      <w:pPr>
        <w:pStyle w:val="172"/>
        <w:keepNext w:val="0"/>
        <w:keepLines w:val="0"/>
        <w:pageBreakBefore w:val="0"/>
        <w:kinsoku/>
        <w:wordWrap/>
        <w:overflowPunct/>
        <w:topLinePunct w:val="0"/>
        <w:bidi w:val="0"/>
        <w:spacing w:beforeAutospacing="0" w:afterAutospacing="0" w:line="44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.1 因本合同及合同有关事项发生的争议，由</w:t>
      </w:r>
      <w:r>
        <w:rPr>
          <w:rFonts w:hint="eastAsia" w:ascii="宋体" w:hAnsi="宋体" w:eastAsia="宋体" w:cs="宋体"/>
          <w:sz w:val="21"/>
          <w:szCs w:val="21"/>
          <w:highlight w:val="none"/>
          <w:lang w:eastAsia="zh-CN"/>
        </w:rPr>
        <w:t>甲乙双</w:t>
      </w:r>
      <w:r>
        <w:rPr>
          <w:rFonts w:hint="eastAsia" w:ascii="宋体" w:hAnsi="宋体" w:eastAsia="宋体" w:cs="宋体"/>
          <w:sz w:val="21"/>
          <w:szCs w:val="21"/>
          <w:highlight w:val="none"/>
        </w:rPr>
        <w:t>方友好协商解决。协商不成时，可以</w:t>
      </w:r>
      <w:r>
        <w:rPr>
          <w:rFonts w:hint="eastAsia" w:ascii="宋体" w:hAnsi="宋体" w:eastAsia="宋体" w:cs="宋体"/>
          <w:sz w:val="21"/>
          <w:szCs w:val="21"/>
          <w:highlight w:val="none"/>
          <w:lang w:eastAsia="zh-CN"/>
        </w:rPr>
        <w:t>向有关组织申请</w:t>
      </w:r>
      <w:r>
        <w:rPr>
          <w:rFonts w:hint="eastAsia" w:ascii="宋体" w:hAnsi="宋体" w:eastAsia="宋体" w:cs="宋体"/>
          <w:sz w:val="21"/>
          <w:szCs w:val="21"/>
          <w:highlight w:val="none"/>
        </w:rPr>
        <w:t>调解。合同一方或</w:t>
      </w:r>
      <w:r>
        <w:rPr>
          <w:rFonts w:hint="eastAsia" w:ascii="宋体" w:hAnsi="宋体" w:eastAsia="宋体" w:cs="宋体"/>
          <w:sz w:val="21"/>
          <w:szCs w:val="21"/>
          <w:highlight w:val="none"/>
          <w:lang w:eastAsia="zh-CN"/>
        </w:rPr>
        <w:t>双</w:t>
      </w:r>
      <w:r>
        <w:rPr>
          <w:rFonts w:hint="eastAsia" w:ascii="宋体" w:hAnsi="宋体" w:eastAsia="宋体" w:cs="宋体"/>
          <w:sz w:val="21"/>
          <w:szCs w:val="21"/>
          <w:highlight w:val="none"/>
        </w:rPr>
        <w:t>方不愿调解或调解不成的，可以通过仲裁或诉讼的方式解决争议。</w:t>
      </w:r>
    </w:p>
    <w:p w14:paraId="49E33901">
      <w:pPr>
        <w:pStyle w:val="172"/>
        <w:keepNext w:val="0"/>
        <w:keepLines w:val="0"/>
        <w:pageBreakBefore w:val="0"/>
        <w:kinsoku/>
        <w:wordWrap/>
        <w:overflowPunct/>
        <w:topLinePunct w:val="0"/>
        <w:bidi w:val="0"/>
        <w:spacing w:beforeAutospacing="0" w:afterAutospacing="0" w:line="44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szCs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szCs w:val="21"/>
          <w:highlight w:val="none"/>
        </w:rPr>
        <w:t>中进一步约定选择与争议有实际联系的地点的人民法院管辖，但管辖法院的约定不得违反级别管辖和专属管辖的规定。</w:t>
      </w:r>
    </w:p>
    <w:p w14:paraId="1AD32FC0">
      <w:pPr>
        <w:pStyle w:val="172"/>
        <w:keepNext w:val="0"/>
        <w:keepLines w:val="0"/>
        <w:pageBreakBefore w:val="0"/>
        <w:kinsoku/>
        <w:wordWrap/>
        <w:overflowPunct/>
        <w:topLinePunct w:val="0"/>
        <w:bidi w:val="0"/>
        <w:spacing w:beforeAutospacing="0" w:afterAutospacing="0" w:line="44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.3 如</w:t>
      </w:r>
      <w:r>
        <w:rPr>
          <w:rFonts w:hint="eastAsia" w:ascii="宋体" w:hAnsi="宋体" w:eastAsia="宋体" w:cs="宋体"/>
          <w:sz w:val="21"/>
          <w:szCs w:val="21"/>
          <w:highlight w:val="none"/>
          <w:lang w:eastAsia="zh-CN"/>
        </w:rPr>
        <w:t>甲乙双方</w:t>
      </w:r>
      <w:r>
        <w:rPr>
          <w:rFonts w:hint="eastAsia" w:ascii="宋体" w:hAnsi="宋体" w:eastAsia="宋体" w:cs="宋体"/>
          <w:sz w:val="21"/>
          <w:szCs w:val="21"/>
          <w:highlight w:val="none"/>
        </w:rPr>
        <w:t>有争议的事项不影响合同其他部分的履行，在争议解决期间，合同其他部分应</w:t>
      </w:r>
      <w:r>
        <w:rPr>
          <w:rFonts w:hint="eastAsia" w:ascii="宋体" w:hAnsi="宋体" w:eastAsia="宋体" w:cs="宋体"/>
          <w:sz w:val="21"/>
          <w:szCs w:val="21"/>
          <w:highlight w:val="none"/>
          <w:lang w:eastAsia="zh-CN"/>
        </w:rPr>
        <w:t>当</w:t>
      </w:r>
      <w:r>
        <w:rPr>
          <w:rFonts w:hint="eastAsia" w:ascii="宋体" w:hAnsi="宋体" w:eastAsia="宋体" w:cs="宋体"/>
          <w:sz w:val="21"/>
          <w:szCs w:val="21"/>
          <w:highlight w:val="none"/>
        </w:rPr>
        <w:t>继续履行。</w:t>
      </w:r>
    </w:p>
    <w:p w14:paraId="4FB0CC39">
      <w:pPr>
        <w:keepNext w:val="0"/>
        <w:keepLines w:val="0"/>
        <w:pageBreakBefore w:val="0"/>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政府采购政策</w:t>
      </w:r>
    </w:p>
    <w:p w14:paraId="188095CA">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20.1 </w:t>
      </w:r>
      <w:r>
        <w:rPr>
          <w:rFonts w:hint="eastAsia" w:ascii="宋体" w:hAnsi="宋体" w:eastAsia="宋体" w:cs="宋体"/>
          <w:sz w:val="21"/>
          <w:szCs w:val="21"/>
          <w:highlight w:val="none"/>
          <w:lang w:val="en-GB"/>
        </w:rPr>
        <w:t>本合同应当按照规定执行政府采购政策。</w:t>
      </w:r>
    </w:p>
    <w:p w14:paraId="0863D888">
      <w:pPr>
        <w:keepNext w:val="0"/>
        <w:keepLines w:val="0"/>
        <w:pageBreakBefore w:val="0"/>
        <w:kinsoku/>
        <w:wordWrap/>
        <w:overflowPunct/>
        <w:topLinePunct w:val="0"/>
        <w:autoSpaceDE w:val="0"/>
        <w:autoSpaceDN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本合同依法执行政府采购政策的方式和内容，属于合同履约验收的范围。</w:t>
      </w:r>
      <w:r>
        <w:rPr>
          <w:rFonts w:hint="eastAsia" w:ascii="宋体" w:hAnsi="宋体" w:eastAsia="宋体" w:cs="宋体"/>
          <w:sz w:val="21"/>
          <w:szCs w:val="21"/>
          <w:highlight w:val="none"/>
          <w:lang w:eastAsia="zh-CN"/>
        </w:rPr>
        <w:t>甲乙双方</w:t>
      </w:r>
      <w:r>
        <w:rPr>
          <w:rFonts w:hint="eastAsia" w:ascii="宋体" w:hAnsi="宋体" w:eastAsia="宋体" w:cs="宋体"/>
          <w:sz w:val="21"/>
          <w:szCs w:val="21"/>
          <w:highlight w:val="none"/>
          <w:lang w:val="en-GB"/>
        </w:rPr>
        <w:t>未按规定要求执行政府采购政策造成损失的</w:t>
      </w:r>
      <w:r>
        <w:rPr>
          <w:rFonts w:hint="eastAsia" w:ascii="宋体" w:hAnsi="宋体" w:eastAsia="宋体" w:cs="宋体"/>
          <w:color w:val="auto"/>
          <w:sz w:val="21"/>
          <w:szCs w:val="21"/>
          <w:highlight w:val="none"/>
        </w:rPr>
        <w:t>，有过错的一方应当承担赔偿责任，双方都有过错的，各自承担相应的责任。</w:t>
      </w:r>
    </w:p>
    <w:p w14:paraId="22ECCE1A">
      <w:pPr>
        <w:pStyle w:val="17"/>
        <w:keepNext w:val="0"/>
        <w:keepLines w:val="0"/>
        <w:pageBreakBefore w:val="0"/>
        <w:kinsoku/>
        <w:wordWrap/>
        <w:overflowPunct/>
        <w:topLinePunct w:val="0"/>
        <w:bidi w:val="0"/>
        <w:spacing w:beforeAutospacing="0" w:afterAutospacing="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对于</w:t>
      </w:r>
      <w:r>
        <w:rPr>
          <w:rFonts w:hint="eastAsia" w:ascii="宋体" w:hAnsi="宋体" w:eastAsia="宋体" w:cs="宋体"/>
          <w:color w:val="auto"/>
          <w:sz w:val="21"/>
          <w:szCs w:val="21"/>
          <w:highlight w:val="none"/>
          <w:lang w:eastAsia="zh-CN"/>
        </w:rPr>
        <w:t>为落实中小企业支持政策，</w:t>
      </w:r>
      <w:r>
        <w:rPr>
          <w:rFonts w:hint="eastAsia" w:ascii="宋体" w:hAnsi="宋体" w:eastAsia="宋体" w:cs="宋体"/>
          <w:color w:val="auto"/>
          <w:sz w:val="21"/>
          <w:szCs w:val="21"/>
          <w:highlight w:val="none"/>
        </w:rPr>
        <w:t>通过采购项目</w:t>
      </w:r>
      <w:r>
        <w:rPr>
          <w:rFonts w:hint="eastAsia" w:ascii="宋体" w:hAnsi="宋体" w:eastAsia="宋体" w:cs="宋体"/>
          <w:color w:val="auto"/>
          <w:sz w:val="21"/>
          <w:szCs w:val="21"/>
          <w:highlight w:val="none"/>
          <w:lang w:eastAsia="zh-CN"/>
        </w:rPr>
        <w:t>整体</w:t>
      </w:r>
      <w:r>
        <w:rPr>
          <w:rFonts w:hint="eastAsia" w:ascii="宋体" w:hAnsi="宋体" w:eastAsia="宋体" w:cs="宋体"/>
          <w:color w:val="auto"/>
          <w:sz w:val="21"/>
          <w:szCs w:val="21"/>
          <w:highlight w:val="none"/>
        </w:rPr>
        <w:t>预留、</w:t>
      </w:r>
      <w:r>
        <w:rPr>
          <w:rFonts w:hint="eastAsia" w:ascii="宋体" w:hAnsi="宋体" w:eastAsia="宋体" w:cs="宋体"/>
          <w:color w:val="auto"/>
          <w:sz w:val="21"/>
          <w:szCs w:val="21"/>
          <w:highlight w:val="none"/>
          <w:lang w:eastAsia="zh-CN"/>
        </w:rPr>
        <w:t>设置</w:t>
      </w:r>
      <w:r>
        <w:rPr>
          <w:rFonts w:hint="eastAsia" w:ascii="宋体" w:hAnsi="宋体" w:eastAsia="宋体" w:cs="宋体"/>
          <w:color w:val="auto"/>
          <w:sz w:val="21"/>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B8C3CCC">
      <w:pPr>
        <w:keepNext w:val="0"/>
        <w:keepLines w:val="0"/>
        <w:pageBreakBefore w:val="0"/>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法律适用</w:t>
      </w:r>
    </w:p>
    <w:p w14:paraId="555E2140">
      <w:pPr>
        <w:pStyle w:val="172"/>
        <w:keepNext w:val="0"/>
        <w:keepLines w:val="0"/>
        <w:pageBreakBefore w:val="0"/>
        <w:kinsoku/>
        <w:wordWrap/>
        <w:overflowPunct/>
        <w:topLinePunct w:val="0"/>
        <w:bidi w:val="0"/>
        <w:spacing w:beforeAutospacing="0" w:afterAutospacing="0" w:line="44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.1 本合同的订立、生效、解释、履行及与本合同有关的争议解决，均适用法律、行政法规。</w:t>
      </w:r>
    </w:p>
    <w:p w14:paraId="4775AB4D">
      <w:pPr>
        <w:pStyle w:val="172"/>
        <w:keepNext w:val="0"/>
        <w:keepLines w:val="0"/>
        <w:pageBreakBefore w:val="0"/>
        <w:kinsoku/>
        <w:wordWrap/>
        <w:overflowPunct/>
        <w:topLinePunct w:val="0"/>
        <w:bidi w:val="0"/>
        <w:spacing w:beforeAutospacing="0" w:afterAutospacing="0" w:line="44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.2 本合同条款与法律、行政法规的强制性规定不一致的，双方当事人应按照法律、行政法规的强制性规定修改本合同的相关条款。</w:t>
      </w:r>
    </w:p>
    <w:p w14:paraId="2EC59638">
      <w:pPr>
        <w:keepNext w:val="0"/>
        <w:keepLines w:val="0"/>
        <w:pageBreakBefore w:val="0"/>
        <w:numPr>
          <w:ilvl w:val="-1"/>
          <w:numId w:val="0"/>
        </w:numPr>
        <w:kinsoku/>
        <w:wordWrap/>
        <w:overflowPunct/>
        <w:topLinePunct w:val="0"/>
        <w:autoSpaceDE w:val="0"/>
        <w:autoSpaceDN w:val="0"/>
        <w:bidi w:val="0"/>
        <w:adjustRightInd w:val="0"/>
        <w:snapToGrid w:val="0"/>
        <w:spacing w:beforeAutospacing="0" w:afterAutospacing="0"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22. </w:t>
      </w:r>
      <w:r>
        <w:rPr>
          <w:rFonts w:hint="eastAsia" w:ascii="宋体" w:hAnsi="宋体" w:eastAsia="宋体" w:cs="宋体"/>
          <w:b/>
          <w:color w:val="auto"/>
          <w:sz w:val="21"/>
          <w:szCs w:val="21"/>
          <w:highlight w:val="none"/>
        </w:rPr>
        <w:t>通知</w:t>
      </w:r>
    </w:p>
    <w:p w14:paraId="6A673890">
      <w:pPr>
        <w:pStyle w:val="172"/>
        <w:keepNext w:val="0"/>
        <w:keepLines w:val="0"/>
        <w:pageBreakBefore w:val="0"/>
        <w:kinsoku/>
        <w:wordWrap/>
        <w:overflowPunct/>
        <w:topLinePunct w:val="0"/>
        <w:bidi w:val="0"/>
        <w:spacing w:beforeAutospacing="0" w:afterAutospacing="0" w:line="44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本合同任何一方向对方发出的通知、信件、数据电文等，应当发送至本合同第一部分《政府采购合同协议书》所约定的通讯地址、联系人、联系电话或电子邮箱。</w:t>
      </w:r>
    </w:p>
    <w:p w14:paraId="5E4C1B42">
      <w:pPr>
        <w:pStyle w:val="172"/>
        <w:keepNext w:val="0"/>
        <w:keepLines w:val="0"/>
        <w:pageBreakBefore w:val="0"/>
        <w:kinsoku/>
        <w:wordWrap/>
        <w:overflowPunct/>
        <w:topLinePunct w:val="0"/>
        <w:bidi w:val="0"/>
        <w:spacing w:beforeAutospacing="0" w:afterAutospacing="0" w:line="440" w:lineRule="exact"/>
        <w:ind w:firstLine="0" w:firstLine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一方当事人变更名称、</w:t>
      </w:r>
      <w:r>
        <w:rPr>
          <w:rFonts w:hint="eastAsia" w:ascii="宋体" w:hAnsi="宋体" w:eastAsia="宋体" w:cs="宋体"/>
          <w:sz w:val="21"/>
          <w:szCs w:val="21"/>
          <w:highlight w:val="none"/>
          <w:lang w:eastAsia="zh-CN"/>
        </w:rPr>
        <w:t>住所</w:t>
      </w:r>
      <w:r>
        <w:rPr>
          <w:rFonts w:hint="eastAsia" w:ascii="宋体" w:hAnsi="宋体" w:eastAsia="宋体" w:cs="宋体"/>
          <w:sz w:val="21"/>
          <w:szCs w:val="21"/>
          <w:highlight w:val="none"/>
        </w:rPr>
        <w:t>、联系人、联系电话或电子邮箱</w:t>
      </w:r>
      <w:r>
        <w:rPr>
          <w:rFonts w:hint="eastAsia" w:ascii="宋体" w:hAnsi="宋体" w:eastAsia="宋体" w:cs="宋体"/>
          <w:sz w:val="21"/>
          <w:szCs w:val="21"/>
          <w:highlight w:val="none"/>
          <w:lang w:eastAsia="zh-CN"/>
        </w:rPr>
        <w:t>等信息</w:t>
      </w:r>
      <w:r>
        <w:rPr>
          <w:rFonts w:hint="eastAsia" w:ascii="宋体" w:hAnsi="宋体" w:eastAsia="宋体" w:cs="宋体"/>
          <w:sz w:val="21"/>
          <w:szCs w:val="21"/>
          <w:highlight w:val="none"/>
        </w:rPr>
        <w:t>的，应当在变更后3日内及时书面通知对方，对方实际收到变更通知前的送达仍为有效送达。</w:t>
      </w:r>
    </w:p>
    <w:p w14:paraId="34A70AFA">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本合同一方给另一方的通知均应采用书面形式，传真或快递送到本合同中规定的对方的地址和办理签收手续。</w:t>
      </w:r>
    </w:p>
    <w:p w14:paraId="0A96AA36">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通知以送达之日或通知书中规定的生效之日起生效，两者中以较迟之日为准。</w:t>
      </w:r>
    </w:p>
    <w:p w14:paraId="080EBA78">
      <w:pPr>
        <w:keepNext w:val="0"/>
        <w:keepLines w:val="0"/>
        <w:pageBreakBefore w:val="0"/>
        <w:numPr>
          <w:ilvl w:val="0"/>
          <w:numId w:val="7"/>
        </w:numPr>
        <w:kinsoku/>
        <w:wordWrap/>
        <w:overflowPunct/>
        <w:topLinePunct w:val="0"/>
        <w:bidi w:val="0"/>
        <w:adjustRightInd w:val="0"/>
        <w:snapToGrid w:val="0"/>
        <w:spacing w:beforeAutospacing="0" w:afterAutospacing="0" w:line="44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合同未尽事项</w:t>
      </w:r>
    </w:p>
    <w:p w14:paraId="5A1C4F6C">
      <w:pPr>
        <w:keepNext w:val="0"/>
        <w:keepLines w:val="0"/>
        <w:pageBreakBefore w:val="0"/>
        <w:kinsoku/>
        <w:wordWrap/>
        <w:overflowPunct/>
        <w:topLinePunct w:val="0"/>
        <w:bidi w:val="0"/>
        <w:adjustRightInd w:val="0"/>
        <w:snapToGrid w:val="0"/>
        <w:spacing w:beforeAutospacing="0" w:afterAutospacing="0" w:line="440" w:lineRule="exact"/>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.1合同未尽事项见</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w:t>
      </w:r>
    </w:p>
    <w:p w14:paraId="67D45A45">
      <w:pPr>
        <w:keepNext w:val="0"/>
        <w:keepLines w:val="0"/>
        <w:pageBreakBefore w:val="0"/>
        <w:kinsoku/>
        <w:wordWrap/>
        <w:overflowPunct/>
        <w:topLinePunct w:val="0"/>
        <w:bidi w:val="0"/>
        <w:adjustRightInd w:val="0"/>
        <w:snapToGrid w:val="0"/>
        <w:spacing w:beforeAutospacing="0" w:afterAutospacing="0" w:line="44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    23.2 合同附件与合同正文具有同等的法律效力。</w:t>
      </w:r>
    </w:p>
    <w:p w14:paraId="005B91DC">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r>
    </w:p>
    <w:p w14:paraId="124F6C49">
      <w:pPr>
        <w:pStyle w:val="7"/>
        <w:adjustRightInd w:val="0"/>
        <w:snapToGrid w:val="0"/>
        <w:spacing w:beforeLines="0" w:line="400" w:lineRule="exact"/>
        <w:jc w:val="center"/>
        <w:rPr>
          <w:rFonts w:hint="eastAsia" w:ascii="宋体" w:hAnsi="宋体" w:eastAsia="宋体" w:cs="宋体"/>
          <w:b/>
          <w:bCs/>
          <w:sz w:val="28"/>
          <w:szCs w:val="28"/>
          <w:highlight w:val="none"/>
          <w:lang w:eastAsia="zh-CN"/>
        </w:rPr>
      </w:pPr>
      <w:bookmarkStart w:id="135" w:name="_Toc25991"/>
      <w:bookmarkStart w:id="136" w:name="_Toc20855"/>
      <w:bookmarkStart w:id="137" w:name="_Toc13175"/>
      <w:r>
        <w:rPr>
          <w:rFonts w:hint="eastAsia" w:ascii="宋体" w:hAnsi="宋体" w:eastAsia="宋体" w:cs="宋体"/>
          <w:b/>
          <w:bCs/>
          <w:sz w:val="28"/>
          <w:szCs w:val="28"/>
          <w:highlight w:val="none"/>
          <w:lang w:val="en-US" w:eastAsia="zh-CN"/>
        </w:rPr>
        <w:t>★</w:t>
      </w:r>
      <w:r>
        <w:rPr>
          <w:rFonts w:hint="eastAsia" w:ascii="宋体" w:hAnsi="宋体" w:cs="宋体"/>
          <w:b/>
          <w:bCs/>
          <w:sz w:val="28"/>
          <w:szCs w:val="28"/>
          <w:highlight w:val="none"/>
          <w:lang w:val="en-US" w:eastAsia="zh-CN"/>
        </w:rPr>
        <w:t xml:space="preserve">第三节 </w:t>
      </w:r>
      <w:r>
        <w:rPr>
          <w:rFonts w:hint="eastAsia" w:ascii="宋体" w:hAnsi="宋体" w:eastAsia="宋体" w:cs="宋体"/>
          <w:b/>
          <w:bCs/>
          <w:sz w:val="28"/>
          <w:szCs w:val="28"/>
          <w:highlight w:val="none"/>
          <w:lang w:val="en-US" w:eastAsia="zh-CN"/>
        </w:rPr>
        <w:t>政府采购合同专用条款</w:t>
      </w:r>
      <w:bookmarkEnd w:id="135"/>
      <w:bookmarkEnd w:id="136"/>
      <w:bookmarkEnd w:id="137"/>
    </w:p>
    <w:tbl>
      <w:tblPr>
        <w:tblStyle w:val="42"/>
        <w:tblW w:w="8624"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275"/>
      </w:tblGrid>
      <w:tr w14:paraId="287872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left w:val="single" w:color="auto" w:sz="4" w:space="0"/>
              <w:bottom w:val="single" w:color="auto" w:sz="4" w:space="0"/>
              <w:right w:val="single" w:color="auto" w:sz="4" w:space="0"/>
            </w:tcBorders>
            <w:vAlign w:val="center"/>
          </w:tcPr>
          <w:p w14:paraId="33CBE78A">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序号</w:t>
            </w:r>
          </w:p>
        </w:tc>
        <w:tc>
          <w:tcPr>
            <w:tcW w:w="1742" w:type="dxa"/>
            <w:tcBorders>
              <w:top w:val="single" w:color="auto" w:sz="4" w:space="0"/>
              <w:left w:val="single" w:color="auto" w:sz="4" w:space="0"/>
              <w:bottom w:val="single" w:color="auto" w:sz="4" w:space="0"/>
              <w:right w:val="single" w:color="auto" w:sz="4" w:space="0"/>
            </w:tcBorders>
            <w:vAlign w:val="center"/>
          </w:tcPr>
          <w:p w14:paraId="018C7E67">
            <w:pPr>
              <w:keepNext w:val="0"/>
              <w:keepLines w:val="0"/>
              <w:pageBreakBefore w:val="0"/>
              <w:kinsoku/>
              <w:wordWrap/>
              <w:overflowPunct/>
              <w:topLinePunct w:val="0"/>
              <w:bidi w:val="0"/>
              <w:adjustRightInd w:val="0"/>
              <w:snapToGrid w:val="0"/>
              <w:spacing w:line="440" w:lineRule="exact"/>
              <w:jc w:val="center"/>
              <w:textAlignment w:val="auto"/>
              <w:rPr>
                <w:rFonts w:hint="default" w:ascii="宋体" w:hAnsi="宋体" w:eastAsia="宋体" w:cs="宋体"/>
                <w:b/>
                <w:bCs/>
                <w:sz w:val="21"/>
                <w:szCs w:val="21"/>
                <w:highlight w:val="none"/>
                <w:u w:val="none"/>
                <w:lang w:val="en-US" w:eastAsia="zh-CN"/>
              </w:rPr>
            </w:pPr>
            <w:r>
              <w:rPr>
                <w:rFonts w:hint="eastAsia" w:ascii="宋体" w:hAnsi="宋体" w:cs="宋体"/>
                <w:b/>
                <w:bCs/>
                <w:sz w:val="21"/>
                <w:szCs w:val="21"/>
                <w:highlight w:val="none"/>
                <w:u w:val="none"/>
                <w:lang w:val="en-US" w:eastAsia="zh-CN"/>
              </w:rPr>
              <w:t>商务条款</w:t>
            </w:r>
          </w:p>
        </w:tc>
        <w:tc>
          <w:tcPr>
            <w:tcW w:w="5275" w:type="dxa"/>
            <w:tcBorders>
              <w:top w:val="single" w:color="auto" w:sz="4" w:space="0"/>
              <w:left w:val="single" w:color="auto" w:sz="4" w:space="0"/>
              <w:bottom w:val="single" w:color="auto" w:sz="4" w:space="0"/>
              <w:right w:val="single" w:color="auto" w:sz="4" w:space="0"/>
            </w:tcBorders>
            <w:vAlign w:val="center"/>
          </w:tcPr>
          <w:p w14:paraId="3EC3DE11">
            <w:pPr>
              <w:keepNext w:val="0"/>
              <w:keepLines w:val="0"/>
              <w:pageBreakBefore w:val="0"/>
              <w:kinsoku/>
              <w:wordWrap/>
              <w:overflowPunct/>
              <w:topLinePunct w:val="0"/>
              <w:bidi w:val="0"/>
              <w:adjustRightInd w:val="0"/>
              <w:snapToGrid w:val="0"/>
              <w:spacing w:line="440" w:lineRule="exact"/>
              <w:jc w:val="center"/>
              <w:textAlignment w:val="auto"/>
              <w:rPr>
                <w:rFonts w:hint="default" w:ascii="宋体" w:hAnsi="宋体" w:eastAsia="宋体" w:cs="宋体"/>
                <w:b/>
                <w:bCs/>
                <w:sz w:val="21"/>
                <w:szCs w:val="21"/>
                <w:highlight w:val="none"/>
                <w:u w:val="none"/>
                <w:lang w:val="en-US" w:eastAsia="zh-CN"/>
              </w:rPr>
            </w:pPr>
            <w:r>
              <w:rPr>
                <w:rFonts w:hint="eastAsia" w:ascii="宋体" w:hAnsi="宋体" w:eastAsia="宋体" w:cs="宋体"/>
                <w:b/>
                <w:bCs/>
                <w:sz w:val="21"/>
                <w:szCs w:val="21"/>
                <w:highlight w:val="none"/>
                <w:u w:val="none"/>
                <w:lang w:val="en-US" w:eastAsia="zh-CN"/>
              </w:rPr>
              <w:t>要求</w:t>
            </w:r>
          </w:p>
        </w:tc>
      </w:tr>
      <w:tr w14:paraId="56A93D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left w:val="single" w:color="auto" w:sz="4" w:space="0"/>
              <w:bottom w:val="single" w:color="auto" w:sz="4" w:space="0"/>
              <w:right w:val="single" w:color="auto" w:sz="4" w:space="0"/>
            </w:tcBorders>
            <w:vAlign w:val="center"/>
          </w:tcPr>
          <w:p w14:paraId="2B4E7B54">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第二节</w:t>
            </w:r>
          </w:p>
          <w:p w14:paraId="75382377">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第1.2（</w:t>
            </w:r>
            <w:r>
              <w:rPr>
                <w:rFonts w:hint="eastAsia" w:ascii="宋体" w:hAnsi="宋体" w:eastAsia="宋体" w:cs="宋体"/>
                <w:sz w:val="21"/>
                <w:szCs w:val="21"/>
                <w:highlight w:val="none"/>
                <w:u w:val="none"/>
                <w:lang w:val="en-US" w:eastAsia="zh-CN"/>
              </w:rPr>
              <w:t>6</w:t>
            </w:r>
            <w:r>
              <w:rPr>
                <w:rFonts w:hint="eastAsia" w:ascii="宋体" w:hAnsi="宋体" w:eastAsia="宋体" w:cs="宋体"/>
                <w:sz w:val="21"/>
                <w:szCs w:val="21"/>
                <w:highlight w:val="none"/>
                <w:u w:val="none"/>
              </w:rPr>
              <w:t>）项</w:t>
            </w:r>
          </w:p>
        </w:tc>
        <w:tc>
          <w:tcPr>
            <w:tcW w:w="1742" w:type="dxa"/>
            <w:tcBorders>
              <w:top w:val="single" w:color="auto" w:sz="4" w:space="0"/>
              <w:left w:val="single" w:color="auto" w:sz="4" w:space="0"/>
              <w:bottom w:val="single" w:color="auto" w:sz="4" w:space="0"/>
              <w:right w:val="single" w:color="auto" w:sz="4" w:space="0"/>
            </w:tcBorders>
            <w:vAlign w:val="center"/>
          </w:tcPr>
          <w:p w14:paraId="65077982">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eastAsia="zh-CN"/>
              </w:rPr>
              <w:t>联合体具体要求</w:t>
            </w:r>
          </w:p>
        </w:tc>
        <w:tc>
          <w:tcPr>
            <w:tcW w:w="5275" w:type="dxa"/>
            <w:tcBorders>
              <w:top w:val="single" w:color="auto" w:sz="4" w:space="0"/>
              <w:left w:val="single" w:color="auto" w:sz="4" w:space="0"/>
              <w:bottom w:val="single" w:color="auto" w:sz="4" w:space="0"/>
              <w:right w:val="single" w:color="auto" w:sz="4" w:space="0"/>
            </w:tcBorders>
            <w:vAlign w:val="center"/>
          </w:tcPr>
          <w:p w14:paraId="353C26A5">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rPr>
              <w:t>本项目不接受联合体</w:t>
            </w:r>
            <w:r>
              <w:rPr>
                <w:rFonts w:hint="eastAsia" w:ascii="宋体" w:hAnsi="宋体" w:cs="宋体"/>
                <w:sz w:val="21"/>
                <w:szCs w:val="21"/>
                <w:highlight w:val="none"/>
                <w:u w:val="none"/>
                <w:lang w:eastAsia="zh-CN"/>
              </w:rPr>
              <w:t>。</w:t>
            </w:r>
          </w:p>
        </w:tc>
      </w:tr>
      <w:tr w14:paraId="5D447D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left w:val="single" w:color="auto" w:sz="4" w:space="0"/>
              <w:bottom w:val="single" w:color="auto" w:sz="4" w:space="0"/>
              <w:right w:val="single" w:color="auto" w:sz="4" w:space="0"/>
            </w:tcBorders>
            <w:vAlign w:val="center"/>
          </w:tcPr>
          <w:p w14:paraId="7A98A216">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第二节</w:t>
            </w:r>
          </w:p>
          <w:p w14:paraId="59020CF5">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eastAsia="zh-CN"/>
              </w:rPr>
              <w:t>第</w:t>
            </w:r>
            <w:r>
              <w:rPr>
                <w:rFonts w:hint="eastAsia" w:ascii="宋体" w:hAnsi="宋体" w:eastAsia="宋体" w:cs="宋体"/>
                <w:sz w:val="21"/>
                <w:szCs w:val="21"/>
                <w:highlight w:val="none"/>
                <w:u w:val="none"/>
                <w:lang w:val="en-US" w:eastAsia="zh-CN"/>
              </w:rPr>
              <w:t>4.4款</w:t>
            </w:r>
          </w:p>
        </w:tc>
        <w:tc>
          <w:tcPr>
            <w:tcW w:w="1742" w:type="dxa"/>
            <w:tcBorders>
              <w:top w:val="single" w:color="auto" w:sz="4" w:space="0"/>
              <w:left w:val="single" w:color="auto" w:sz="4" w:space="0"/>
              <w:bottom w:val="single" w:color="auto" w:sz="4" w:space="0"/>
              <w:right w:val="single" w:color="auto" w:sz="4" w:space="0"/>
            </w:tcBorders>
            <w:vAlign w:val="center"/>
          </w:tcPr>
          <w:p w14:paraId="7475430F">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履约验收中甲方提出异议或作出说明的期限</w:t>
            </w:r>
          </w:p>
        </w:tc>
        <w:tc>
          <w:tcPr>
            <w:tcW w:w="5275" w:type="dxa"/>
            <w:tcBorders>
              <w:top w:val="single" w:color="auto" w:sz="4" w:space="0"/>
              <w:left w:val="single" w:color="auto" w:sz="4" w:space="0"/>
              <w:bottom w:val="single" w:color="auto" w:sz="4" w:space="0"/>
              <w:right w:val="single" w:color="auto" w:sz="4" w:space="0"/>
            </w:tcBorders>
            <w:vAlign w:val="center"/>
          </w:tcPr>
          <w:p w14:paraId="3FA22236">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kern w:val="2"/>
                <w:sz w:val="21"/>
                <w:szCs w:val="21"/>
                <w:highlight w:val="none"/>
                <w:u w:val="none"/>
                <w:lang w:val="en-US" w:eastAsia="zh-CN" w:bidi="ar-SA"/>
              </w:rPr>
            </w:pPr>
            <w:r>
              <w:rPr>
                <w:rFonts w:hint="eastAsia" w:ascii="宋体" w:hAnsi="宋体" w:eastAsia="宋体" w:cs="宋体"/>
                <w:kern w:val="2"/>
                <w:sz w:val="21"/>
                <w:szCs w:val="21"/>
                <w:highlight w:val="none"/>
                <w:u w:val="none"/>
                <w:lang w:val="en-US" w:eastAsia="zh-CN" w:bidi="ar-SA"/>
              </w:rPr>
              <w:t>1.产品运达甲方指定的交货地点后，由双方共同对产品数量、外观</w:t>
            </w:r>
            <w:r>
              <w:rPr>
                <w:rFonts w:hint="eastAsia" w:ascii="宋体" w:hAnsi="宋体" w:cs="宋体"/>
                <w:kern w:val="2"/>
                <w:sz w:val="21"/>
                <w:szCs w:val="21"/>
                <w:highlight w:val="none"/>
                <w:u w:val="none"/>
                <w:lang w:val="en-US" w:eastAsia="zh-CN" w:bidi="ar-SA"/>
              </w:rPr>
              <w:t>进行确认。</w:t>
            </w:r>
          </w:p>
          <w:p w14:paraId="48955D01">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kern w:val="2"/>
                <w:sz w:val="21"/>
                <w:szCs w:val="21"/>
                <w:highlight w:val="none"/>
                <w:u w:val="none"/>
                <w:lang w:val="en-US" w:eastAsia="zh-CN" w:bidi="ar-SA"/>
              </w:rPr>
            </w:pPr>
            <w:r>
              <w:rPr>
                <w:rFonts w:hint="eastAsia" w:ascii="宋体" w:hAnsi="宋体" w:eastAsia="宋体" w:cs="宋体"/>
                <w:kern w:val="2"/>
                <w:sz w:val="21"/>
                <w:szCs w:val="21"/>
                <w:highlight w:val="none"/>
                <w:u w:val="none"/>
                <w:lang w:val="en-US" w:eastAsia="zh-CN" w:bidi="ar-SA"/>
              </w:rPr>
              <w:t>2.对产品的质量问题，甲方应在发现后向乙方提出书面异议，乙方在接到书面异议后，应当在5日内负责处理。如果乙方在</w:t>
            </w:r>
            <w:r>
              <w:rPr>
                <w:rFonts w:hint="eastAsia" w:ascii="宋体" w:hAnsi="宋体" w:cs="宋体"/>
                <w:kern w:val="2"/>
                <w:sz w:val="21"/>
                <w:szCs w:val="21"/>
                <w:highlight w:val="none"/>
                <w:u w:val="none"/>
                <w:lang w:val="en-US" w:eastAsia="zh-CN" w:bidi="ar-SA"/>
              </w:rPr>
              <w:t>响应文件</w:t>
            </w:r>
            <w:r>
              <w:rPr>
                <w:rFonts w:hint="eastAsia" w:ascii="宋体" w:hAnsi="宋体" w:eastAsia="宋体" w:cs="宋体"/>
                <w:kern w:val="2"/>
                <w:sz w:val="21"/>
                <w:szCs w:val="21"/>
                <w:highlight w:val="none"/>
                <w:u w:val="none"/>
                <w:lang w:val="en-US" w:eastAsia="zh-CN" w:bidi="ar-SA"/>
              </w:rPr>
              <w:t>及合同谈判过程中做出的书面说明及承诺中，有明确质量保证期的，适用质量保证期。</w:t>
            </w:r>
          </w:p>
          <w:p w14:paraId="1387E6AB">
            <w:pPr>
              <w:keepNext w:val="0"/>
              <w:keepLines w:val="0"/>
              <w:pageBreakBefore w:val="0"/>
              <w:kinsoku/>
              <w:wordWrap/>
              <w:overflowPunct/>
              <w:topLinePunct w:val="0"/>
              <w:bidi w:val="0"/>
              <w:adjustRightInd w:val="0"/>
              <w:snapToGrid w:val="0"/>
              <w:spacing w:line="440" w:lineRule="exact"/>
              <w:jc w:val="left"/>
              <w:textAlignment w:val="auto"/>
              <w:rPr>
                <w:rFonts w:hint="default" w:ascii="宋体" w:hAnsi="宋体" w:eastAsia="宋体" w:cs="宋体"/>
                <w:kern w:val="2"/>
                <w:sz w:val="21"/>
                <w:szCs w:val="21"/>
                <w:highlight w:val="none"/>
                <w:u w:val="none"/>
                <w:lang w:val="en-US" w:eastAsia="zh-CN" w:bidi="ar-SA"/>
              </w:rPr>
            </w:pPr>
            <w:r>
              <w:rPr>
                <w:rFonts w:hint="eastAsia" w:ascii="宋体" w:hAnsi="宋体" w:eastAsia="宋体" w:cs="宋体"/>
                <w:kern w:val="2"/>
                <w:sz w:val="21"/>
                <w:szCs w:val="21"/>
                <w:highlight w:val="none"/>
                <w:u w:val="none"/>
                <w:lang w:val="en-US" w:eastAsia="zh-CN" w:bidi="ar-SA"/>
              </w:rPr>
              <w:t>3.经双方共同验收，若产品达不到合同约定的数量、规格或质量要求的，甲方有权拒绝验收，乙方应在5日内补齐或更换，乙方在期限内补齐或更换的，甲方予以验收，若乙方到期仍未补齐、更换或产品质量达不到合同约定标准的，甲方有权解除合同，不再支付货款，乙方应承担合同总价20%的违约金。</w:t>
            </w:r>
            <w:r>
              <w:rPr>
                <w:rFonts w:hint="eastAsia" w:ascii="宋体" w:hAnsi="宋体" w:cs="宋体"/>
                <w:kern w:val="2"/>
                <w:sz w:val="21"/>
                <w:szCs w:val="21"/>
                <w:highlight w:val="none"/>
                <w:u w:val="none"/>
                <w:lang w:val="en-US" w:eastAsia="zh-CN" w:bidi="ar-SA"/>
              </w:rPr>
              <w:t xml:space="preserve"> </w:t>
            </w:r>
          </w:p>
        </w:tc>
      </w:tr>
      <w:tr w14:paraId="49A8C6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tcBorders>
              <w:top w:val="single" w:color="auto" w:sz="4" w:space="0"/>
              <w:left w:val="single" w:color="auto" w:sz="4" w:space="0"/>
              <w:bottom w:val="single" w:color="auto" w:sz="4" w:space="0"/>
              <w:right w:val="single" w:color="auto" w:sz="4" w:space="0"/>
            </w:tcBorders>
            <w:vAlign w:val="center"/>
          </w:tcPr>
          <w:p w14:paraId="782CB9F0">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第二节</w:t>
            </w:r>
          </w:p>
          <w:p w14:paraId="45A23494">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w:t>
            </w:r>
            <w:r>
              <w:rPr>
                <w:rFonts w:hint="eastAsia" w:ascii="宋体" w:hAnsi="宋体" w:eastAsia="宋体" w:cs="宋体"/>
                <w:sz w:val="21"/>
                <w:szCs w:val="21"/>
                <w:highlight w:val="none"/>
                <w:u w:val="none"/>
                <w:lang w:val="en-US" w:eastAsia="zh-CN"/>
              </w:rPr>
              <w:t>7</w:t>
            </w:r>
            <w:r>
              <w:rPr>
                <w:rFonts w:hint="eastAsia" w:ascii="宋体" w:hAnsi="宋体" w:eastAsia="宋体" w:cs="宋体"/>
                <w:sz w:val="21"/>
                <w:szCs w:val="21"/>
                <w:highlight w:val="none"/>
                <w:u w:val="none"/>
              </w:rPr>
              <w:t>.1</w:t>
            </w:r>
            <w:r>
              <w:rPr>
                <w:rFonts w:hint="eastAsia" w:ascii="宋体" w:hAnsi="宋体" w:eastAsia="宋体" w:cs="宋体"/>
                <w:sz w:val="21"/>
                <w:szCs w:val="21"/>
                <w:highlight w:val="none"/>
                <w:u w:val="none"/>
                <w:lang w:val="en-US" w:eastAsia="zh-CN"/>
              </w:rPr>
              <w:t>款</w:t>
            </w:r>
          </w:p>
        </w:tc>
        <w:tc>
          <w:tcPr>
            <w:tcW w:w="1742" w:type="dxa"/>
            <w:tcBorders>
              <w:top w:val="single" w:color="auto" w:sz="4" w:space="0"/>
              <w:left w:val="single" w:color="auto" w:sz="4" w:space="0"/>
              <w:bottom w:val="single" w:color="auto" w:sz="4" w:space="0"/>
              <w:right w:val="single" w:color="auto" w:sz="4" w:space="0"/>
            </w:tcBorders>
            <w:vAlign w:val="center"/>
          </w:tcPr>
          <w:p w14:paraId="3D4F199F">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包装</w:t>
            </w:r>
            <w:r>
              <w:rPr>
                <w:rFonts w:hint="eastAsia" w:ascii="宋体" w:hAnsi="宋体" w:eastAsia="宋体" w:cs="宋体"/>
                <w:sz w:val="21"/>
                <w:szCs w:val="21"/>
                <w:highlight w:val="none"/>
                <w:u w:val="none"/>
                <w:lang w:eastAsia="zh-CN"/>
              </w:rPr>
              <w:t>特殊要求</w:t>
            </w:r>
          </w:p>
        </w:tc>
        <w:tc>
          <w:tcPr>
            <w:tcW w:w="5275" w:type="dxa"/>
            <w:tcBorders>
              <w:top w:val="single" w:color="auto" w:sz="4" w:space="0"/>
              <w:left w:val="single" w:color="auto" w:sz="4" w:space="0"/>
              <w:bottom w:val="single" w:color="auto" w:sz="4" w:space="0"/>
              <w:right w:val="single" w:color="auto" w:sz="4" w:space="0"/>
            </w:tcBorders>
            <w:vAlign w:val="center"/>
          </w:tcPr>
          <w:p w14:paraId="3D9AC056">
            <w:pPr>
              <w:keepNext w:val="0"/>
              <w:keepLines w:val="0"/>
              <w:pageBreakBefore w:val="0"/>
              <w:kinsoku/>
              <w:wordWrap/>
              <w:overflowPunct/>
              <w:topLinePunct w:val="0"/>
              <w:bidi w:val="0"/>
              <w:spacing w:line="440" w:lineRule="exac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1.乙方提供的全部产品均应按标准保护措施进行包装。该包装应适应于远距离运输、防潮、防震、防锈和防野蛮装卸，以确保产品安全无损运抵甲方指定地点。由于包装不善等引起的产品损失均由乙方承担。</w:t>
            </w:r>
          </w:p>
          <w:p w14:paraId="0391C476">
            <w:pPr>
              <w:keepNext w:val="0"/>
              <w:keepLines w:val="0"/>
              <w:pageBreakBefore w:val="0"/>
              <w:kinsoku/>
              <w:wordWrap/>
              <w:overflowPunct/>
              <w:topLinePunct w:val="0"/>
              <w:bidi w:val="0"/>
              <w:spacing w:line="440" w:lineRule="exac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2.乙方须向甲方提供所交付产品的产地、品牌、型号标志、明显的识别标志、产品检验合格证明、产品技术规格性能保证、出厂证明及生产序号。</w:t>
            </w:r>
          </w:p>
        </w:tc>
      </w:tr>
      <w:tr w14:paraId="3209F7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tcBorders>
              <w:top w:val="single" w:color="auto" w:sz="4" w:space="0"/>
              <w:left w:val="single" w:color="auto" w:sz="4" w:space="0"/>
              <w:bottom w:val="single" w:color="auto" w:sz="4" w:space="0"/>
              <w:right w:val="single" w:color="auto" w:sz="4" w:space="0"/>
            </w:tcBorders>
            <w:vAlign w:val="center"/>
          </w:tcPr>
          <w:p w14:paraId="305E190A">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p>
        </w:tc>
        <w:tc>
          <w:tcPr>
            <w:tcW w:w="1742" w:type="dxa"/>
            <w:tcBorders>
              <w:top w:val="single" w:color="auto" w:sz="4" w:space="0"/>
              <w:left w:val="single" w:color="auto" w:sz="4" w:space="0"/>
              <w:bottom w:val="single" w:color="auto" w:sz="4" w:space="0"/>
              <w:right w:val="single" w:color="auto" w:sz="4" w:space="0"/>
            </w:tcBorders>
            <w:vAlign w:val="center"/>
          </w:tcPr>
          <w:p w14:paraId="643E6881">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指定现场</w:t>
            </w:r>
          </w:p>
        </w:tc>
        <w:tc>
          <w:tcPr>
            <w:tcW w:w="5275" w:type="dxa"/>
            <w:tcBorders>
              <w:top w:val="single" w:color="auto" w:sz="4" w:space="0"/>
              <w:left w:val="single" w:color="auto" w:sz="4" w:space="0"/>
              <w:bottom w:val="single" w:color="auto" w:sz="4" w:space="0"/>
              <w:right w:val="single" w:color="auto" w:sz="4" w:space="0"/>
            </w:tcBorders>
            <w:vAlign w:val="center"/>
          </w:tcPr>
          <w:p w14:paraId="31917710">
            <w:pPr>
              <w:keepNext w:val="0"/>
              <w:keepLines w:val="0"/>
              <w:pageBreakBefore w:val="0"/>
              <w:kinsoku/>
              <w:wordWrap/>
              <w:overflowPunct/>
              <w:topLinePunct w:val="0"/>
              <w:bidi w:val="0"/>
              <w:spacing w:line="440" w:lineRule="exact"/>
              <w:textAlignment w:val="auto"/>
              <w:rPr>
                <w:rFonts w:hint="eastAsia" w:ascii="宋体" w:hAnsi="宋体" w:eastAsia="宋体" w:cs="宋体"/>
                <w:sz w:val="21"/>
                <w:szCs w:val="21"/>
                <w:highlight w:val="none"/>
                <w:u w:val="none"/>
              </w:rPr>
            </w:pPr>
            <w:r>
              <w:rPr>
                <w:rFonts w:hint="eastAsia" w:ascii="宋体" w:hAnsi="宋体" w:cs="宋体"/>
                <w:sz w:val="21"/>
                <w:szCs w:val="21"/>
                <w:highlight w:val="none"/>
                <w:u w:val="none"/>
                <w:lang w:eastAsia="zh-CN"/>
              </w:rPr>
              <w:t>昆明市公安局交通管理支队指定地点</w:t>
            </w:r>
            <w:r>
              <w:rPr>
                <w:rFonts w:hint="eastAsia" w:ascii="宋体" w:hAnsi="宋体" w:eastAsia="宋体" w:cs="宋体"/>
                <w:sz w:val="21"/>
                <w:szCs w:val="21"/>
                <w:highlight w:val="none"/>
                <w:u w:val="none"/>
              </w:rPr>
              <w:t>。</w:t>
            </w:r>
          </w:p>
        </w:tc>
      </w:tr>
      <w:tr w14:paraId="5C72D6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left w:val="single" w:color="auto" w:sz="4" w:space="0"/>
              <w:bottom w:val="single" w:color="auto" w:sz="4" w:space="0"/>
              <w:right w:val="single" w:color="auto" w:sz="4" w:space="0"/>
            </w:tcBorders>
            <w:vAlign w:val="center"/>
          </w:tcPr>
          <w:p w14:paraId="5C6835F6">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第二节</w:t>
            </w:r>
          </w:p>
          <w:p w14:paraId="2D7B9BBB">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w:t>
            </w:r>
            <w:r>
              <w:rPr>
                <w:rFonts w:hint="eastAsia" w:ascii="宋体" w:hAnsi="宋体" w:eastAsia="宋体" w:cs="宋体"/>
                <w:sz w:val="21"/>
                <w:szCs w:val="21"/>
                <w:highlight w:val="none"/>
                <w:u w:val="none"/>
                <w:lang w:val="en-US" w:eastAsia="zh-CN"/>
              </w:rPr>
              <w:t>8</w:t>
            </w:r>
            <w:r>
              <w:rPr>
                <w:rFonts w:hint="eastAsia" w:ascii="宋体" w:hAnsi="宋体" w:eastAsia="宋体" w:cs="宋体"/>
                <w:sz w:val="21"/>
                <w:szCs w:val="21"/>
                <w:highlight w:val="none"/>
                <w:u w:val="none"/>
              </w:rPr>
              <w:t>.2（1）项</w:t>
            </w:r>
          </w:p>
        </w:tc>
        <w:tc>
          <w:tcPr>
            <w:tcW w:w="1742" w:type="dxa"/>
            <w:tcBorders>
              <w:top w:val="single" w:color="auto" w:sz="4" w:space="0"/>
              <w:left w:val="single" w:color="auto" w:sz="4" w:space="0"/>
              <w:bottom w:val="single" w:color="auto" w:sz="4" w:space="0"/>
              <w:right w:val="single" w:color="auto" w:sz="4" w:space="0"/>
            </w:tcBorders>
            <w:vAlign w:val="center"/>
          </w:tcPr>
          <w:p w14:paraId="1E9C516D">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质量保证期</w:t>
            </w:r>
          </w:p>
        </w:tc>
        <w:tc>
          <w:tcPr>
            <w:tcW w:w="5275" w:type="dxa"/>
            <w:tcBorders>
              <w:top w:val="single" w:color="auto" w:sz="4" w:space="0"/>
              <w:left w:val="single" w:color="auto" w:sz="4" w:space="0"/>
              <w:bottom w:val="single" w:color="auto" w:sz="4" w:space="0"/>
              <w:right w:val="single" w:color="auto" w:sz="4" w:space="0"/>
            </w:tcBorders>
            <w:vAlign w:val="center"/>
          </w:tcPr>
          <w:p w14:paraId="2054ED7E">
            <w:pPr>
              <w:keepNext w:val="0"/>
              <w:keepLines w:val="0"/>
              <w:pageBreakBefore w:val="0"/>
              <w:kinsoku/>
              <w:wordWrap/>
              <w:overflowPunct/>
              <w:topLinePunct w:val="0"/>
              <w:bidi w:val="0"/>
              <w:spacing w:line="440" w:lineRule="exac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1.乙方提供的产品须符合国家相关法律法规规定的质量标准，为正规厂家生产、正规渠道销售的全新合格货物，且没有任何质量瑕疵。若因乙方提供的产品质量引起的退、换货等费用均由乙方自行承担。</w:t>
            </w:r>
          </w:p>
          <w:p w14:paraId="538092B5">
            <w:pPr>
              <w:keepNext w:val="0"/>
              <w:keepLines w:val="0"/>
              <w:pageBreakBefore w:val="0"/>
              <w:kinsoku/>
              <w:wordWrap/>
              <w:overflowPunct/>
              <w:topLinePunct w:val="0"/>
              <w:bidi w:val="0"/>
              <w:spacing w:line="440" w:lineRule="exac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2.</w:t>
            </w:r>
            <w:r>
              <w:rPr>
                <w:rFonts w:hint="eastAsia" w:ascii="宋体" w:hAnsi="宋体" w:cs="宋体"/>
                <w:sz w:val="21"/>
                <w:szCs w:val="21"/>
                <w:highlight w:val="none"/>
                <w:u w:val="none"/>
                <w:lang w:eastAsia="zh-CN"/>
              </w:rPr>
              <w:t>乙方所提供的产品质保≥</w:t>
            </w:r>
            <w:r>
              <w:rPr>
                <w:rFonts w:hint="eastAsia" w:ascii="宋体" w:hAnsi="宋体" w:cs="宋体"/>
                <w:sz w:val="21"/>
                <w:szCs w:val="21"/>
                <w:highlight w:val="none"/>
                <w:u w:val="none"/>
                <w:lang w:val="en-US" w:eastAsia="zh-CN"/>
              </w:rPr>
              <w:t>2</w:t>
            </w:r>
            <w:r>
              <w:rPr>
                <w:rFonts w:hint="eastAsia" w:ascii="宋体" w:hAnsi="宋体" w:cs="宋体"/>
                <w:sz w:val="21"/>
                <w:szCs w:val="21"/>
                <w:highlight w:val="none"/>
                <w:u w:val="none"/>
                <w:lang w:eastAsia="zh-CN"/>
              </w:rPr>
              <w:t>年(自验收合格之日起算)</w:t>
            </w:r>
            <w:r>
              <w:rPr>
                <w:rFonts w:hint="eastAsia" w:ascii="宋体" w:hAnsi="宋体" w:eastAsia="宋体" w:cs="宋体"/>
                <w:sz w:val="21"/>
                <w:szCs w:val="21"/>
                <w:highlight w:val="none"/>
                <w:u w:val="none"/>
              </w:rPr>
              <w:t>。</w:t>
            </w:r>
          </w:p>
        </w:tc>
      </w:tr>
      <w:tr w14:paraId="66C216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left w:val="single" w:color="auto" w:sz="4" w:space="0"/>
              <w:bottom w:val="single" w:color="auto" w:sz="4" w:space="0"/>
              <w:right w:val="single" w:color="auto" w:sz="4" w:space="0"/>
            </w:tcBorders>
            <w:vAlign w:val="center"/>
          </w:tcPr>
          <w:p w14:paraId="74AFEB43">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第二节</w:t>
            </w:r>
          </w:p>
          <w:p w14:paraId="2BDA11E2">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w:t>
            </w:r>
            <w:r>
              <w:rPr>
                <w:rFonts w:hint="eastAsia" w:ascii="宋体" w:hAnsi="宋体" w:eastAsia="宋体" w:cs="宋体"/>
                <w:sz w:val="21"/>
                <w:szCs w:val="21"/>
                <w:highlight w:val="none"/>
                <w:u w:val="none"/>
                <w:lang w:val="en-US" w:eastAsia="zh-CN"/>
              </w:rPr>
              <w:t>8</w:t>
            </w:r>
            <w:r>
              <w:rPr>
                <w:rFonts w:hint="eastAsia" w:ascii="宋体" w:hAnsi="宋体" w:eastAsia="宋体" w:cs="宋体"/>
                <w:sz w:val="21"/>
                <w:szCs w:val="21"/>
                <w:highlight w:val="none"/>
                <w:u w:val="none"/>
              </w:rPr>
              <w:t>.2（3）项</w:t>
            </w:r>
          </w:p>
        </w:tc>
        <w:tc>
          <w:tcPr>
            <w:tcW w:w="1742" w:type="dxa"/>
            <w:tcBorders>
              <w:top w:val="single" w:color="auto" w:sz="4" w:space="0"/>
              <w:left w:val="single" w:color="auto" w:sz="4" w:space="0"/>
              <w:bottom w:val="single" w:color="auto" w:sz="4" w:space="0"/>
              <w:right w:val="single" w:color="auto" w:sz="4" w:space="0"/>
            </w:tcBorders>
            <w:vAlign w:val="center"/>
          </w:tcPr>
          <w:p w14:paraId="6BBCED8C">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货物质量缺陷</w:t>
            </w:r>
          </w:p>
          <w:p w14:paraId="1F8D6222">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响应时间</w:t>
            </w:r>
          </w:p>
        </w:tc>
        <w:tc>
          <w:tcPr>
            <w:tcW w:w="5275" w:type="dxa"/>
            <w:tcBorders>
              <w:top w:val="single" w:color="auto" w:sz="4" w:space="0"/>
              <w:left w:val="single" w:color="auto" w:sz="4" w:space="0"/>
              <w:bottom w:val="single" w:color="auto" w:sz="4" w:space="0"/>
              <w:right w:val="single" w:color="auto" w:sz="4" w:space="0"/>
            </w:tcBorders>
            <w:vAlign w:val="center"/>
          </w:tcPr>
          <w:p w14:paraId="35F827EE">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1.甲方在产品使用过程中发生技术或质量问题，乙方应在2小时内响应并提供相应售后服务。乙方应向甲方提供针对本次采购的产品供货、发放、售后服务的人员，负责协调解决有关售后服务的全部事务。</w:t>
            </w:r>
          </w:p>
          <w:p w14:paraId="20BA748D">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2.在质保期内，乙方提供免费的维修服务，根据故障类型，进行零部件的更换或维修。</w:t>
            </w:r>
          </w:p>
          <w:p w14:paraId="5CAC8AF1">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3.在质保期外，乙方应继续为甲方提供维修服务，收取合理的维修费用。维修费用将根据故障类型、所需零部件成本和维修工作量进行计算，在维修前向甲方详细说明，经甲方同意后方可进行维修。</w:t>
            </w:r>
          </w:p>
        </w:tc>
      </w:tr>
      <w:tr w14:paraId="315852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4" w:space="0"/>
              <w:left w:val="single" w:color="auto" w:sz="4" w:space="0"/>
              <w:bottom w:val="single" w:color="auto" w:sz="4" w:space="0"/>
              <w:right w:val="single" w:color="auto" w:sz="4" w:space="0"/>
            </w:tcBorders>
            <w:vAlign w:val="center"/>
          </w:tcPr>
          <w:p w14:paraId="384962CB">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第二节</w:t>
            </w:r>
          </w:p>
          <w:p w14:paraId="07173504">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第1</w:t>
            </w:r>
            <w:r>
              <w:rPr>
                <w:rFonts w:hint="eastAsia" w:ascii="宋体" w:hAnsi="宋体" w:eastAsia="宋体" w:cs="宋体"/>
                <w:sz w:val="21"/>
                <w:szCs w:val="21"/>
                <w:highlight w:val="none"/>
                <w:u w:val="none"/>
                <w:lang w:val="en-US" w:eastAsia="zh-CN"/>
              </w:rPr>
              <w:t>2</w:t>
            </w:r>
            <w:r>
              <w:rPr>
                <w:rFonts w:hint="eastAsia" w:ascii="宋体" w:hAnsi="宋体" w:eastAsia="宋体" w:cs="宋体"/>
                <w:sz w:val="21"/>
                <w:szCs w:val="21"/>
                <w:highlight w:val="none"/>
                <w:u w:val="none"/>
              </w:rPr>
              <w:t>.2款</w:t>
            </w:r>
          </w:p>
        </w:tc>
        <w:tc>
          <w:tcPr>
            <w:tcW w:w="1742" w:type="dxa"/>
            <w:tcBorders>
              <w:top w:val="single" w:color="auto" w:sz="4" w:space="0"/>
              <w:left w:val="single" w:color="auto" w:sz="4" w:space="0"/>
              <w:bottom w:val="single" w:color="auto" w:sz="4" w:space="0"/>
              <w:right w:val="single" w:color="auto" w:sz="4" w:space="0"/>
            </w:tcBorders>
            <w:vAlign w:val="center"/>
          </w:tcPr>
          <w:p w14:paraId="3CED9C7D">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rPr>
              <w:t>合同价款支付</w:t>
            </w:r>
            <w:r>
              <w:rPr>
                <w:rFonts w:hint="eastAsia" w:ascii="宋体" w:hAnsi="宋体" w:eastAsia="宋体" w:cs="宋体"/>
                <w:sz w:val="21"/>
                <w:szCs w:val="21"/>
                <w:highlight w:val="none"/>
                <w:u w:val="none"/>
                <w:lang w:eastAsia="zh-CN"/>
              </w:rPr>
              <w:t>时间</w:t>
            </w:r>
          </w:p>
        </w:tc>
        <w:tc>
          <w:tcPr>
            <w:tcW w:w="5275" w:type="dxa"/>
            <w:tcBorders>
              <w:top w:val="single" w:color="auto" w:sz="4" w:space="0"/>
              <w:left w:val="single" w:color="auto" w:sz="4" w:space="0"/>
              <w:bottom w:val="single" w:color="auto" w:sz="4" w:space="0"/>
              <w:right w:val="single" w:color="auto" w:sz="4" w:space="0"/>
            </w:tcBorders>
            <w:vAlign w:val="center"/>
          </w:tcPr>
          <w:p w14:paraId="09689608">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1.</w:t>
            </w:r>
            <w:r>
              <w:rPr>
                <w:rFonts w:hint="eastAsia" w:ascii="宋体" w:hAnsi="宋体" w:cs="宋体"/>
                <w:sz w:val="21"/>
                <w:szCs w:val="21"/>
                <w:highlight w:val="none"/>
                <w:u w:val="none"/>
                <w:lang w:eastAsia="zh-CN"/>
              </w:rPr>
              <w:t>乙方与甲方签订合同后5个工作日内</w:t>
            </w:r>
            <w:r>
              <w:rPr>
                <w:rFonts w:hint="eastAsia" w:ascii="宋体" w:hAnsi="宋体" w:eastAsia="宋体" w:cs="宋体"/>
                <w:sz w:val="21"/>
                <w:szCs w:val="21"/>
                <w:highlight w:val="none"/>
                <w:u w:val="none"/>
              </w:rPr>
              <w:t>，乙方向</w:t>
            </w:r>
            <w:r>
              <w:rPr>
                <w:rFonts w:hint="eastAsia" w:ascii="宋体" w:hAnsi="宋体" w:cs="宋体"/>
                <w:sz w:val="21"/>
                <w:szCs w:val="21"/>
                <w:highlight w:val="none"/>
                <w:u w:val="none"/>
                <w:lang w:eastAsia="zh-CN"/>
              </w:rPr>
              <w:t>甲方支付</w:t>
            </w:r>
            <w:r>
              <w:rPr>
                <w:rFonts w:hint="eastAsia" w:ascii="宋体" w:hAnsi="宋体" w:eastAsia="宋体" w:cs="宋体"/>
                <w:sz w:val="21"/>
                <w:szCs w:val="21"/>
                <w:highlight w:val="none"/>
                <w:u w:val="none"/>
              </w:rPr>
              <w:t>合同总价款的</w:t>
            </w:r>
            <w:r>
              <w:rPr>
                <w:rFonts w:hint="eastAsia" w:ascii="宋体" w:hAnsi="宋体" w:cs="宋体"/>
                <w:sz w:val="21"/>
                <w:szCs w:val="21"/>
                <w:highlight w:val="none"/>
                <w:u w:val="none"/>
                <w:lang w:eastAsia="zh-CN"/>
              </w:rPr>
              <w:t>5%</w:t>
            </w:r>
            <w:r>
              <w:rPr>
                <w:rFonts w:hint="eastAsia" w:ascii="宋体" w:hAnsi="宋体" w:eastAsia="宋体" w:cs="宋体"/>
                <w:sz w:val="21"/>
                <w:szCs w:val="21"/>
                <w:highlight w:val="none"/>
                <w:u w:val="none"/>
              </w:rPr>
              <w:t>的履约保证金。</w:t>
            </w:r>
          </w:p>
          <w:p w14:paraId="64A3DAC2">
            <w:pPr>
              <w:keepNext w:val="0"/>
              <w:keepLines w:val="0"/>
              <w:pageBreakBefore w:val="0"/>
              <w:kinsoku/>
              <w:wordWrap/>
              <w:overflowPunct/>
              <w:topLinePunct w:val="0"/>
              <w:bidi w:val="0"/>
              <w:adjustRightInd w:val="0"/>
              <w:snapToGrid w:val="0"/>
              <w:spacing w:line="440" w:lineRule="exact"/>
              <w:jc w:val="left"/>
              <w:textAlignment w:val="auto"/>
              <w:rPr>
                <w:rFonts w:hint="default" w:ascii="宋体" w:hAnsi="宋体" w:eastAsia="宋体" w:cs="宋体"/>
                <w:sz w:val="21"/>
                <w:szCs w:val="21"/>
                <w:highlight w:val="none"/>
                <w:u w:val="none"/>
                <w:lang w:val="en-US" w:eastAsia="zh-CN"/>
              </w:rPr>
            </w:pPr>
            <w:r>
              <w:rPr>
                <w:rFonts w:hint="eastAsia" w:ascii="宋体" w:hAnsi="宋体" w:cs="宋体"/>
                <w:sz w:val="21"/>
                <w:szCs w:val="21"/>
                <w:highlight w:val="none"/>
                <w:u w:val="none"/>
                <w:lang w:val="en-US" w:eastAsia="zh-CN"/>
              </w:rPr>
              <w:t>2.</w:t>
            </w:r>
            <w:r>
              <w:rPr>
                <w:rFonts w:hint="eastAsia" w:ascii="宋体" w:hAnsi="宋体" w:cs="宋体"/>
                <w:sz w:val="21"/>
                <w:szCs w:val="21"/>
                <w:highlight w:val="none"/>
                <w:u w:val="none"/>
                <w:lang w:eastAsia="zh-CN"/>
              </w:rPr>
              <w:t>签订合同后，乙方在约定的交货期内完成交货及安装调试，并通过验收后30个日历日内甲方向乙方一次性支付合同价款100%</w:t>
            </w:r>
            <w:r>
              <w:rPr>
                <w:rFonts w:hint="eastAsia" w:ascii="宋体" w:hAnsi="宋体" w:cs="宋体"/>
                <w:sz w:val="21"/>
                <w:szCs w:val="21"/>
                <w:highlight w:val="none"/>
                <w:u w:val="none"/>
                <w:lang w:val="en-US" w:eastAsia="zh-CN"/>
              </w:rPr>
              <w:t>，在甲方付款前乙方应提供对应金额的</w:t>
            </w:r>
            <w:r>
              <w:rPr>
                <w:rFonts w:hint="eastAsia" w:ascii="宋体" w:hAnsi="宋体" w:eastAsia="宋体" w:cs="宋体"/>
                <w:sz w:val="21"/>
                <w:szCs w:val="21"/>
                <w:highlight w:val="none"/>
                <w:u w:val="none"/>
              </w:rPr>
              <w:t>增值税发票</w:t>
            </w:r>
            <w:r>
              <w:rPr>
                <w:rFonts w:hint="eastAsia" w:ascii="宋体" w:hAnsi="宋体" w:cs="宋体"/>
                <w:sz w:val="21"/>
                <w:szCs w:val="21"/>
                <w:highlight w:val="none"/>
                <w:u w:val="none"/>
                <w:lang w:val="en-US" w:eastAsia="zh-CN"/>
              </w:rPr>
              <w:t>。</w:t>
            </w:r>
          </w:p>
          <w:p w14:paraId="6B150B1D">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cs="宋体"/>
                <w:sz w:val="21"/>
                <w:szCs w:val="21"/>
                <w:highlight w:val="none"/>
                <w:u w:val="none"/>
                <w:lang w:val="en-US" w:eastAsia="zh-CN"/>
              </w:rPr>
              <w:t>3</w:t>
            </w:r>
            <w:r>
              <w:rPr>
                <w:rFonts w:hint="eastAsia" w:ascii="宋体" w:hAnsi="宋体" w:eastAsia="宋体" w:cs="宋体"/>
                <w:sz w:val="21"/>
                <w:szCs w:val="21"/>
                <w:highlight w:val="none"/>
                <w:u w:val="none"/>
              </w:rPr>
              <w:t>.鉴于甲方系财政拨款单位，甲方因未收到项目财政拨款经费或收到经费但因办理相关支付、财政手续造成未能及时向乙方支付合同价款的，乙方不认定甲方为违约，乙方应予谅解并保证正常的履约，同时甲方承诺在相关支付、财政手续办理完毕后，及时向乙方支付合同价款。</w:t>
            </w:r>
          </w:p>
          <w:p w14:paraId="33B3E742">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cs="宋体"/>
                <w:sz w:val="21"/>
                <w:szCs w:val="21"/>
                <w:highlight w:val="none"/>
                <w:u w:val="none"/>
                <w:lang w:val="en-US" w:eastAsia="zh-CN"/>
              </w:rPr>
              <w:t>4</w:t>
            </w:r>
            <w:r>
              <w:rPr>
                <w:rFonts w:hint="eastAsia" w:ascii="宋体" w:hAnsi="宋体" w:eastAsia="宋体" w:cs="宋体"/>
                <w:sz w:val="21"/>
                <w:szCs w:val="21"/>
                <w:highlight w:val="none"/>
                <w:u w:val="none"/>
              </w:rPr>
              <w:t>.乙方未开具发票或开具的发票不符合要求的，甲方可拒绝付款且不产生违约责任，乙方应当继续履行合同约定的义务。甲方仅接受乙方出具的增值税发票，概不接受任何第三方出具的增值税发票。</w:t>
            </w:r>
          </w:p>
          <w:p w14:paraId="1D1D55BD">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cs="宋体"/>
                <w:sz w:val="21"/>
                <w:szCs w:val="21"/>
                <w:highlight w:val="none"/>
                <w:u w:val="none"/>
                <w:lang w:val="en-US" w:eastAsia="zh-CN"/>
              </w:rPr>
              <w:t>5</w:t>
            </w:r>
            <w:r>
              <w:rPr>
                <w:rFonts w:hint="eastAsia" w:ascii="宋体" w:hAnsi="宋体" w:eastAsia="宋体" w:cs="宋体"/>
                <w:sz w:val="21"/>
                <w:szCs w:val="21"/>
                <w:highlight w:val="none"/>
                <w:u w:val="none"/>
              </w:rPr>
              <w:t>.</w:t>
            </w:r>
            <w:r>
              <w:rPr>
                <w:rFonts w:hint="eastAsia" w:ascii="宋体" w:hAnsi="宋体" w:cs="宋体"/>
                <w:sz w:val="21"/>
                <w:szCs w:val="21"/>
                <w:highlight w:val="none"/>
                <w:u w:val="none"/>
                <w:lang w:eastAsia="zh-CN"/>
              </w:rPr>
              <w:t>质保期满后</w:t>
            </w:r>
            <w:r>
              <w:rPr>
                <w:rFonts w:hint="eastAsia" w:ascii="宋体" w:hAnsi="宋体" w:eastAsia="宋体" w:cs="宋体"/>
                <w:sz w:val="21"/>
                <w:szCs w:val="21"/>
                <w:highlight w:val="none"/>
                <w:u w:val="none"/>
              </w:rPr>
              <w:t>，由乙方书面申请，</w:t>
            </w:r>
            <w:r>
              <w:rPr>
                <w:rFonts w:hint="eastAsia" w:ascii="宋体" w:hAnsi="宋体" w:cs="宋体"/>
                <w:sz w:val="21"/>
                <w:szCs w:val="21"/>
                <w:highlight w:val="none"/>
                <w:u w:val="none"/>
                <w:lang w:eastAsia="zh-CN"/>
              </w:rPr>
              <w:t>甲方确认后10个工作日内向乙方一次性退还履约保证金</w:t>
            </w:r>
            <w:r>
              <w:rPr>
                <w:rFonts w:hint="eastAsia" w:ascii="宋体" w:hAnsi="宋体" w:eastAsia="宋体" w:cs="宋体"/>
                <w:sz w:val="21"/>
                <w:szCs w:val="21"/>
                <w:highlight w:val="none"/>
                <w:u w:val="none"/>
              </w:rPr>
              <w:t>。</w:t>
            </w:r>
          </w:p>
        </w:tc>
      </w:tr>
      <w:tr w14:paraId="7AAB51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1607" w:type="dxa"/>
            <w:tcBorders>
              <w:top w:val="single" w:color="auto" w:sz="4" w:space="0"/>
              <w:left w:val="single" w:color="auto" w:sz="4" w:space="0"/>
              <w:bottom w:val="single" w:color="auto" w:sz="4" w:space="0"/>
              <w:right w:val="single" w:color="auto" w:sz="4" w:space="0"/>
            </w:tcBorders>
            <w:vAlign w:val="center"/>
          </w:tcPr>
          <w:p w14:paraId="6B8145E4">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第二节</w:t>
            </w:r>
          </w:p>
          <w:p w14:paraId="4D7E324A">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第1</w:t>
            </w:r>
            <w:r>
              <w:rPr>
                <w:rFonts w:hint="eastAsia" w:ascii="宋体" w:hAnsi="宋体" w:eastAsia="宋体" w:cs="宋体"/>
                <w:sz w:val="21"/>
                <w:szCs w:val="21"/>
                <w:highlight w:val="none"/>
                <w:u w:val="none"/>
                <w:lang w:val="en-US" w:eastAsia="zh-CN"/>
              </w:rPr>
              <w:t>4</w:t>
            </w:r>
            <w:r>
              <w:rPr>
                <w:rFonts w:hint="eastAsia" w:ascii="宋体" w:hAnsi="宋体" w:eastAsia="宋体" w:cs="宋体"/>
                <w:sz w:val="21"/>
                <w:szCs w:val="21"/>
                <w:highlight w:val="none"/>
                <w:u w:val="none"/>
              </w:rPr>
              <w:t>.1（</w:t>
            </w:r>
            <w:r>
              <w:rPr>
                <w:rFonts w:hint="eastAsia" w:ascii="宋体" w:hAnsi="宋体" w:eastAsia="宋体" w:cs="宋体"/>
                <w:sz w:val="21"/>
                <w:szCs w:val="21"/>
                <w:highlight w:val="none"/>
                <w:u w:val="none"/>
                <w:lang w:val="en-US" w:eastAsia="zh-CN"/>
              </w:rPr>
              <w:t>6</w:t>
            </w:r>
            <w:r>
              <w:rPr>
                <w:rFonts w:hint="eastAsia" w:ascii="宋体" w:hAnsi="宋体" w:eastAsia="宋体" w:cs="宋体"/>
                <w:sz w:val="21"/>
                <w:szCs w:val="21"/>
                <w:highlight w:val="none"/>
                <w:u w:val="none"/>
              </w:rPr>
              <w:t>）项</w:t>
            </w:r>
          </w:p>
        </w:tc>
        <w:tc>
          <w:tcPr>
            <w:tcW w:w="1742" w:type="dxa"/>
            <w:tcBorders>
              <w:top w:val="single" w:color="auto" w:sz="4" w:space="0"/>
              <w:left w:val="single" w:color="auto" w:sz="4" w:space="0"/>
              <w:bottom w:val="single" w:color="auto" w:sz="4" w:space="0"/>
              <w:right w:val="single" w:color="auto" w:sz="4" w:space="0"/>
            </w:tcBorders>
            <w:vAlign w:val="center"/>
          </w:tcPr>
          <w:p w14:paraId="0FE09110">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乙方提供的其他服务</w:t>
            </w:r>
          </w:p>
        </w:tc>
        <w:tc>
          <w:tcPr>
            <w:tcW w:w="5275" w:type="dxa"/>
            <w:tcBorders>
              <w:top w:val="single" w:color="auto" w:sz="4" w:space="0"/>
              <w:left w:val="single" w:color="auto" w:sz="4" w:space="0"/>
              <w:bottom w:val="single" w:color="auto" w:sz="4" w:space="0"/>
              <w:right w:val="single" w:color="auto" w:sz="4" w:space="0"/>
            </w:tcBorders>
            <w:vAlign w:val="center"/>
          </w:tcPr>
          <w:p w14:paraId="5F3C25C6">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乙方向</w:t>
            </w:r>
            <w:r>
              <w:rPr>
                <w:rFonts w:hint="eastAsia" w:ascii="宋体" w:hAnsi="宋体" w:eastAsia="宋体" w:cs="宋体"/>
                <w:b w:val="0"/>
                <w:bCs w:val="0"/>
                <w:color w:val="auto"/>
                <w:sz w:val="21"/>
                <w:szCs w:val="21"/>
                <w:highlight w:val="none"/>
                <w:u w:val="none"/>
                <w:lang w:val="en-US" w:eastAsia="zh-CN"/>
              </w:rPr>
              <w:t>甲方</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免费提供不少于3天的产品现场培训，直至使用人员能完全掌握使用方法，独立完成操作为止。培训内容包括产品的使用方法、维护保养等，乙方培训人员食宿由乙方自理。</w:t>
            </w:r>
          </w:p>
        </w:tc>
      </w:tr>
      <w:tr w14:paraId="3C47E7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top w:val="single" w:color="auto" w:sz="4" w:space="0"/>
              <w:left w:val="single" w:color="auto" w:sz="4" w:space="0"/>
              <w:bottom w:val="single" w:color="auto" w:sz="4" w:space="0"/>
              <w:right w:val="single" w:color="auto" w:sz="4" w:space="0"/>
            </w:tcBorders>
            <w:vAlign w:val="center"/>
          </w:tcPr>
          <w:p w14:paraId="3F2F7473">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第二节</w:t>
            </w:r>
          </w:p>
          <w:p w14:paraId="1D8427F4">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第1</w:t>
            </w:r>
            <w:r>
              <w:rPr>
                <w:rFonts w:hint="eastAsia" w:ascii="宋体" w:hAnsi="宋体" w:eastAsia="宋体" w:cs="宋体"/>
                <w:sz w:val="21"/>
                <w:szCs w:val="21"/>
                <w:highlight w:val="none"/>
                <w:u w:val="none"/>
                <w:lang w:val="en-US" w:eastAsia="zh-CN"/>
              </w:rPr>
              <w:t>5</w:t>
            </w:r>
            <w:r>
              <w:rPr>
                <w:rFonts w:hint="eastAsia" w:ascii="宋体" w:hAnsi="宋体" w:eastAsia="宋体" w:cs="宋体"/>
                <w:sz w:val="21"/>
                <w:szCs w:val="21"/>
                <w:highlight w:val="none"/>
                <w:u w:val="none"/>
              </w:rPr>
              <w:t>.4</w:t>
            </w:r>
            <w:r>
              <w:rPr>
                <w:rFonts w:hint="eastAsia" w:ascii="宋体" w:hAnsi="宋体" w:eastAsia="宋体" w:cs="宋体"/>
                <w:sz w:val="21"/>
                <w:szCs w:val="21"/>
                <w:highlight w:val="none"/>
                <w:u w:val="none"/>
                <w:lang w:val="en-US" w:eastAsia="zh-CN"/>
              </w:rPr>
              <w:t>款</w:t>
            </w:r>
          </w:p>
        </w:tc>
        <w:tc>
          <w:tcPr>
            <w:tcW w:w="1742" w:type="dxa"/>
            <w:tcBorders>
              <w:top w:val="single" w:color="auto" w:sz="4" w:space="0"/>
              <w:left w:val="single" w:color="auto" w:sz="4" w:space="0"/>
              <w:bottom w:val="single" w:color="auto" w:sz="4" w:space="0"/>
              <w:right w:val="single" w:color="auto" w:sz="4" w:space="0"/>
            </w:tcBorders>
            <w:vAlign w:val="center"/>
          </w:tcPr>
          <w:p w14:paraId="48DC8C10">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其他违约责任</w:t>
            </w:r>
          </w:p>
        </w:tc>
        <w:tc>
          <w:tcPr>
            <w:tcW w:w="5275" w:type="dxa"/>
            <w:tcBorders>
              <w:top w:val="single" w:color="auto" w:sz="4" w:space="0"/>
              <w:left w:val="single" w:color="auto" w:sz="4" w:space="0"/>
              <w:bottom w:val="single" w:color="auto" w:sz="4" w:space="0"/>
              <w:right w:val="single" w:color="auto" w:sz="4" w:space="0"/>
            </w:tcBorders>
            <w:vAlign w:val="center"/>
          </w:tcPr>
          <w:p w14:paraId="66BC3046">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1.除不可抗力外，如果乙方没有按照本合同约定的期限、地点和方式交付货物，甲方可要求乙方支付违约金，违约金按每迟延交付货物一日的应交付而未交付货物价格的万分之一计算，最高限额为本合同总价的10%；迟延交付货物的违约金计算数额达到前述最高限额之日起，甲方有权在要求乙方支付违约金的同时，书面通知乙方解除本合同；</w:t>
            </w:r>
          </w:p>
          <w:p w14:paraId="26E25F74">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2.除本合同另有约定及不可抗力外，如甲方未按照本合同约定的付款方式付款，那么乙方可要求甲方支付违约金，违约金按每迟延付款一日的应付而未付款的万分之一计算，最高限额为本合同总价的10%；迟延付款的违约金计算数额达到前述最高限额之日起，乙方有权在要求甲方支付违约金的同时，书面通知甲方解除本合同；</w:t>
            </w:r>
          </w:p>
          <w:p w14:paraId="2860E641">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3C826457">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1B14AD56">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6075F09">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6.如果出现政府采购监督管理部门在处理投诉事项期间，书面通知甲方暂停采购活动的情形，或者询问或质疑事项可能影响中标结果的，导致甲方中止履行合同的情形，均不视为甲方违约。</w:t>
            </w:r>
          </w:p>
          <w:p w14:paraId="2CE419B6">
            <w:pPr>
              <w:keepNext w:val="0"/>
              <w:keepLines w:val="0"/>
              <w:pageBreakBefore w:val="0"/>
              <w:kinsoku/>
              <w:wordWrap/>
              <w:overflowPunct/>
              <w:topLinePunct w:val="0"/>
              <w:bidi w:val="0"/>
              <w:adjustRightInd w:val="0"/>
              <w:snapToGrid w:val="0"/>
              <w:spacing w:line="440" w:lineRule="exact"/>
              <w:jc w:val="left"/>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7.甲方的损失包括但不限于诉讼费、公告费、律师费、保险费、担保费、证据保全费、公证费、差旅费、评估费、鉴定费等其他费用。</w:t>
            </w:r>
          </w:p>
        </w:tc>
      </w:tr>
      <w:tr w14:paraId="6B8528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4" w:space="0"/>
              <w:left w:val="single" w:color="auto" w:sz="4" w:space="0"/>
              <w:bottom w:val="single" w:color="auto" w:sz="4" w:space="0"/>
              <w:right w:val="single" w:color="auto" w:sz="4" w:space="0"/>
            </w:tcBorders>
            <w:vAlign w:val="center"/>
          </w:tcPr>
          <w:p w14:paraId="57EC300C">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第二节</w:t>
            </w:r>
          </w:p>
          <w:p w14:paraId="75198E9E">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第</w:t>
            </w:r>
            <w:r>
              <w:rPr>
                <w:rFonts w:hint="eastAsia" w:ascii="宋体" w:hAnsi="宋体" w:eastAsia="宋体" w:cs="宋体"/>
                <w:sz w:val="21"/>
                <w:szCs w:val="21"/>
                <w:highlight w:val="none"/>
                <w:u w:val="none"/>
                <w:lang w:val="en-US" w:eastAsia="zh-CN"/>
              </w:rPr>
              <w:t>19</w:t>
            </w:r>
            <w:r>
              <w:rPr>
                <w:rFonts w:hint="eastAsia" w:ascii="宋体" w:hAnsi="宋体" w:eastAsia="宋体" w:cs="宋体"/>
                <w:sz w:val="21"/>
                <w:szCs w:val="21"/>
                <w:highlight w:val="none"/>
                <w:u w:val="none"/>
              </w:rPr>
              <w:t>.2</w:t>
            </w:r>
            <w:r>
              <w:rPr>
                <w:rFonts w:hint="eastAsia" w:ascii="宋体" w:hAnsi="宋体" w:eastAsia="宋体" w:cs="宋体"/>
                <w:sz w:val="21"/>
                <w:szCs w:val="21"/>
                <w:highlight w:val="none"/>
                <w:u w:val="none"/>
                <w:lang w:val="en-US" w:eastAsia="zh-CN"/>
              </w:rPr>
              <w:t>款</w:t>
            </w:r>
          </w:p>
        </w:tc>
        <w:tc>
          <w:tcPr>
            <w:tcW w:w="1742" w:type="dxa"/>
            <w:tcBorders>
              <w:top w:val="single" w:color="auto" w:sz="4" w:space="0"/>
              <w:left w:val="single" w:color="auto" w:sz="4" w:space="0"/>
              <w:bottom w:val="single" w:color="auto" w:sz="4" w:space="0"/>
              <w:right w:val="single" w:color="auto" w:sz="4" w:space="0"/>
            </w:tcBorders>
            <w:vAlign w:val="center"/>
          </w:tcPr>
          <w:p w14:paraId="2AC02700">
            <w:pPr>
              <w:keepNext w:val="0"/>
              <w:keepLines w:val="0"/>
              <w:pageBreakBefore w:val="0"/>
              <w:kinsoku/>
              <w:wordWrap/>
              <w:overflowPunct/>
              <w:topLinePunct w:val="0"/>
              <w:bidi w:val="0"/>
              <w:adjustRightInd w:val="0"/>
              <w:snapToGrid w:val="0"/>
              <w:spacing w:line="440" w:lineRule="exact"/>
              <w:jc w:val="center"/>
              <w:textAlignment w:val="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解决争议的方法</w:t>
            </w:r>
          </w:p>
        </w:tc>
        <w:tc>
          <w:tcPr>
            <w:tcW w:w="5275" w:type="dxa"/>
            <w:tcBorders>
              <w:top w:val="single" w:color="auto" w:sz="4" w:space="0"/>
              <w:left w:val="single" w:color="auto" w:sz="4" w:space="0"/>
              <w:bottom w:val="single" w:color="auto" w:sz="4" w:space="0"/>
              <w:right w:val="single" w:color="auto" w:sz="4" w:space="0"/>
            </w:tcBorders>
            <w:vAlign w:val="center"/>
          </w:tcPr>
          <w:p w14:paraId="53170B91">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b w:val="0"/>
                <w:bCs w:val="0"/>
                <w:iCs/>
                <w:sz w:val="21"/>
                <w:szCs w:val="21"/>
                <w:highlight w:val="none"/>
                <w:u w:val="none"/>
              </w:rPr>
            </w:pPr>
            <w:r>
              <w:rPr>
                <w:rFonts w:hint="eastAsia" w:ascii="宋体" w:hAnsi="宋体" w:eastAsia="宋体" w:cs="宋体"/>
                <w:b w:val="0"/>
                <w:bCs w:val="0"/>
                <w:iCs/>
                <w:sz w:val="21"/>
                <w:szCs w:val="21"/>
                <w:highlight w:val="none"/>
                <w:u w:val="none"/>
              </w:rPr>
              <w:t>因本合同及合同有关事项发生的争议，按下列第</w:t>
            </w:r>
            <w:r>
              <w:rPr>
                <w:rFonts w:hint="eastAsia" w:ascii="宋体" w:hAnsi="宋体" w:cs="宋体"/>
                <w:b w:val="0"/>
                <w:bCs w:val="0"/>
                <w:iCs/>
                <w:sz w:val="21"/>
                <w:szCs w:val="21"/>
                <w:highlight w:val="none"/>
                <w:u w:val="none"/>
                <w:lang w:val="en-US" w:eastAsia="zh-CN"/>
              </w:rPr>
              <w:t>2</w:t>
            </w:r>
            <w:r>
              <w:rPr>
                <w:rFonts w:hint="eastAsia" w:ascii="宋体" w:hAnsi="宋体" w:eastAsia="宋体" w:cs="宋体"/>
                <w:b w:val="0"/>
                <w:bCs w:val="0"/>
                <w:iCs/>
                <w:sz w:val="21"/>
                <w:szCs w:val="21"/>
                <w:highlight w:val="none"/>
                <w:u w:val="none"/>
              </w:rPr>
              <w:t>种方式解决：</w:t>
            </w:r>
          </w:p>
          <w:p w14:paraId="7610B8AC">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b w:val="0"/>
                <w:bCs w:val="0"/>
                <w:iCs/>
                <w:sz w:val="21"/>
                <w:szCs w:val="21"/>
                <w:highlight w:val="none"/>
                <w:u w:val="none"/>
              </w:rPr>
            </w:pPr>
            <w:r>
              <w:rPr>
                <w:rFonts w:hint="eastAsia" w:ascii="宋体" w:hAnsi="宋体" w:eastAsia="宋体" w:cs="宋体"/>
                <w:b w:val="0"/>
                <w:bCs w:val="0"/>
                <w:iCs/>
                <w:sz w:val="21"/>
                <w:szCs w:val="21"/>
                <w:highlight w:val="none"/>
                <w:u w:val="none"/>
              </w:rPr>
              <w:t>（1）向</w:t>
            </w:r>
            <w:r>
              <w:rPr>
                <w:rFonts w:hint="eastAsia" w:ascii="宋体" w:hAnsi="宋体" w:eastAsia="宋体" w:cs="宋体"/>
                <w:b w:val="0"/>
                <w:bCs w:val="0"/>
                <w:iCs/>
                <w:sz w:val="21"/>
                <w:szCs w:val="21"/>
                <w:highlight w:val="none"/>
                <w:u w:val="single"/>
              </w:rPr>
              <w:t xml:space="preserve">                    </w:t>
            </w:r>
            <w:r>
              <w:rPr>
                <w:rFonts w:hint="eastAsia" w:ascii="宋体" w:hAnsi="宋体" w:eastAsia="宋体" w:cs="宋体"/>
                <w:b w:val="0"/>
                <w:bCs w:val="0"/>
                <w:iCs/>
                <w:sz w:val="21"/>
                <w:szCs w:val="21"/>
                <w:highlight w:val="none"/>
                <w:u w:val="none"/>
              </w:rPr>
              <w:t>仲裁委员会申请仲裁，仲裁地点为</w:t>
            </w:r>
            <w:r>
              <w:rPr>
                <w:rFonts w:hint="eastAsia" w:ascii="宋体" w:hAnsi="宋体" w:eastAsia="宋体" w:cs="宋体"/>
                <w:b w:val="0"/>
                <w:bCs w:val="0"/>
                <w:iCs/>
                <w:sz w:val="21"/>
                <w:szCs w:val="21"/>
                <w:highlight w:val="none"/>
                <w:u w:val="single"/>
              </w:rPr>
              <w:t xml:space="preserve">                    </w:t>
            </w:r>
            <w:r>
              <w:rPr>
                <w:rFonts w:hint="eastAsia" w:ascii="宋体" w:hAnsi="宋体" w:eastAsia="宋体" w:cs="宋体"/>
                <w:b w:val="0"/>
                <w:bCs w:val="0"/>
                <w:iCs/>
                <w:sz w:val="21"/>
                <w:szCs w:val="21"/>
                <w:highlight w:val="none"/>
                <w:u w:val="none"/>
              </w:rPr>
              <w:t>；</w:t>
            </w:r>
          </w:p>
          <w:p w14:paraId="549C4F27">
            <w:pPr>
              <w:keepNext w:val="0"/>
              <w:keepLines w:val="0"/>
              <w:pageBreakBefore w:val="0"/>
              <w:kinsoku/>
              <w:wordWrap/>
              <w:overflowPunct/>
              <w:topLinePunct w:val="0"/>
              <w:bidi w:val="0"/>
              <w:adjustRightInd w:val="0"/>
              <w:snapToGrid w:val="0"/>
              <w:spacing w:line="440" w:lineRule="exact"/>
              <w:ind w:firstLine="0" w:firstLineChars="0"/>
              <w:jc w:val="left"/>
              <w:textAlignment w:val="auto"/>
              <w:rPr>
                <w:rFonts w:hint="eastAsia" w:ascii="宋体" w:hAnsi="宋体" w:eastAsia="宋体" w:cs="宋体"/>
                <w:sz w:val="21"/>
                <w:szCs w:val="21"/>
                <w:highlight w:val="none"/>
                <w:u w:val="none"/>
              </w:rPr>
            </w:pPr>
            <w:r>
              <w:rPr>
                <w:rFonts w:hint="eastAsia" w:ascii="宋体" w:hAnsi="宋体" w:eastAsia="宋体" w:cs="宋体"/>
                <w:b w:val="0"/>
                <w:bCs w:val="0"/>
                <w:iCs/>
                <w:sz w:val="21"/>
                <w:szCs w:val="21"/>
                <w:highlight w:val="none"/>
                <w:u w:val="none"/>
              </w:rPr>
              <w:t>（2）向</w:t>
            </w:r>
            <w:r>
              <w:rPr>
                <w:rFonts w:hint="eastAsia" w:ascii="宋体" w:hAnsi="宋体" w:eastAsia="宋体" w:cs="宋体"/>
                <w:b w:val="0"/>
                <w:bCs w:val="0"/>
                <w:iCs/>
                <w:sz w:val="21"/>
                <w:szCs w:val="21"/>
                <w:highlight w:val="none"/>
                <w:u w:val="single"/>
              </w:rPr>
              <w:t xml:space="preserve"> 甲方所在地</w:t>
            </w:r>
            <w:r>
              <w:rPr>
                <w:rFonts w:hint="eastAsia" w:ascii="宋体" w:hAnsi="宋体" w:cs="宋体"/>
                <w:b w:val="0"/>
                <w:bCs w:val="0"/>
                <w:iCs/>
                <w:sz w:val="21"/>
                <w:szCs w:val="21"/>
                <w:highlight w:val="none"/>
                <w:u w:val="single"/>
                <w:lang w:val="en-US" w:eastAsia="zh-CN"/>
              </w:rPr>
              <w:t>有</w:t>
            </w:r>
            <w:r>
              <w:rPr>
                <w:rFonts w:hint="eastAsia" w:ascii="宋体" w:hAnsi="宋体" w:eastAsia="宋体" w:cs="宋体"/>
                <w:b w:val="0"/>
                <w:bCs w:val="0"/>
                <w:iCs/>
                <w:sz w:val="21"/>
                <w:szCs w:val="21"/>
                <w:highlight w:val="none"/>
                <w:u w:val="single"/>
              </w:rPr>
              <w:t>管辖</w:t>
            </w:r>
            <w:r>
              <w:rPr>
                <w:rFonts w:hint="eastAsia" w:ascii="宋体" w:hAnsi="宋体" w:cs="宋体"/>
                <w:b w:val="0"/>
                <w:bCs w:val="0"/>
                <w:iCs/>
                <w:sz w:val="21"/>
                <w:szCs w:val="21"/>
                <w:highlight w:val="none"/>
                <w:u w:val="single"/>
                <w:lang w:val="en-US" w:eastAsia="zh-CN"/>
              </w:rPr>
              <w:t>权</w:t>
            </w:r>
            <w:r>
              <w:rPr>
                <w:rFonts w:hint="eastAsia" w:ascii="宋体" w:hAnsi="宋体" w:eastAsia="宋体" w:cs="宋体"/>
                <w:b w:val="0"/>
                <w:bCs w:val="0"/>
                <w:iCs/>
                <w:sz w:val="21"/>
                <w:szCs w:val="21"/>
                <w:highlight w:val="none"/>
                <w:u w:val="single"/>
              </w:rPr>
              <w:t xml:space="preserve"> </w:t>
            </w:r>
            <w:r>
              <w:rPr>
                <w:rFonts w:hint="eastAsia" w:ascii="宋体" w:hAnsi="宋体" w:eastAsia="宋体" w:cs="宋体"/>
                <w:b w:val="0"/>
                <w:bCs w:val="0"/>
                <w:iCs/>
                <w:sz w:val="21"/>
                <w:szCs w:val="21"/>
                <w:highlight w:val="none"/>
                <w:u w:val="none"/>
              </w:rPr>
              <w:t>人民法院起诉。</w:t>
            </w:r>
          </w:p>
        </w:tc>
      </w:tr>
    </w:tbl>
    <w:p w14:paraId="50A7D861">
      <w:pPr>
        <w:rPr>
          <w:highlight w:val="none"/>
        </w:rPr>
      </w:pPr>
    </w:p>
    <w:p w14:paraId="2AB70211">
      <w:pPr>
        <w:keepNext w:val="0"/>
        <w:keepLines w:val="0"/>
        <w:pageBreakBefore w:val="0"/>
        <w:kinsoku/>
        <w:wordWrap/>
        <w:overflowPunct/>
        <w:topLinePunct w:val="0"/>
        <w:bidi w:val="0"/>
        <w:adjustRightInd w:val="0"/>
        <w:snapToGrid w:val="0"/>
        <w:spacing w:after="0" w:line="360" w:lineRule="auto"/>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br w:type="page"/>
      </w:r>
    </w:p>
    <w:p w14:paraId="16F0425D">
      <w:pPr>
        <w:adjustRightInd w:val="0"/>
        <w:snapToGrid w:val="0"/>
        <w:spacing w:line="360" w:lineRule="auto"/>
        <w:rPr>
          <w:rFonts w:ascii="宋体" w:hAnsi="宋体" w:cs="宋体"/>
          <w:color w:val="auto"/>
          <w:highlight w:val="none"/>
        </w:rPr>
      </w:pPr>
    </w:p>
    <w:p w14:paraId="1ED5C67D">
      <w:pPr>
        <w:adjustRightInd w:val="0"/>
        <w:snapToGrid w:val="0"/>
        <w:spacing w:line="360" w:lineRule="auto"/>
        <w:rPr>
          <w:rFonts w:ascii="宋体" w:hAnsi="宋体" w:cs="宋体"/>
          <w:color w:val="auto"/>
          <w:highlight w:val="none"/>
        </w:rPr>
      </w:pPr>
    </w:p>
    <w:p w14:paraId="4CC3892F">
      <w:pPr>
        <w:adjustRightInd w:val="0"/>
        <w:snapToGrid w:val="0"/>
        <w:spacing w:line="360" w:lineRule="auto"/>
        <w:rPr>
          <w:rFonts w:ascii="宋体" w:hAnsi="宋体" w:cs="宋体"/>
          <w:color w:val="auto"/>
          <w:highlight w:val="none"/>
        </w:rPr>
      </w:pPr>
    </w:p>
    <w:p w14:paraId="34288743">
      <w:pPr>
        <w:adjustRightInd w:val="0"/>
        <w:snapToGrid w:val="0"/>
        <w:spacing w:line="360" w:lineRule="auto"/>
        <w:rPr>
          <w:rFonts w:ascii="宋体" w:hAnsi="宋体" w:cs="宋体"/>
          <w:color w:val="auto"/>
          <w:highlight w:val="none"/>
        </w:rPr>
      </w:pPr>
    </w:p>
    <w:p w14:paraId="199D9624">
      <w:pPr>
        <w:adjustRightInd w:val="0"/>
        <w:snapToGrid w:val="0"/>
        <w:spacing w:line="360" w:lineRule="auto"/>
        <w:rPr>
          <w:rFonts w:ascii="宋体" w:hAnsi="宋体" w:cs="宋体"/>
          <w:color w:val="auto"/>
          <w:highlight w:val="none"/>
        </w:rPr>
      </w:pPr>
    </w:p>
    <w:p w14:paraId="4EA0EBF8">
      <w:pPr>
        <w:adjustRightInd w:val="0"/>
        <w:snapToGrid w:val="0"/>
        <w:spacing w:line="360" w:lineRule="auto"/>
        <w:rPr>
          <w:rFonts w:ascii="宋体" w:hAnsi="宋体" w:cs="宋体"/>
          <w:color w:val="auto"/>
          <w:highlight w:val="none"/>
        </w:rPr>
      </w:pPr>
    </w:p>
    <w:p w14:paraId="46749A7D">
      <w:pPr>
        <w:adjustRightInd w:val="0"/>
        <w:snapToGrid w:val="0"/>
        <w:spacing w:line="360" w:lineRule="auto"/>
        <w:rPr>
          <w:rFonts w:ascii="宋体" w:hAnsi="宋体" w:cs="宋体"/>
          <w:color w:val="auto"/>
          <w:highlight w:val="none"/>
        </w:rPr>
      </w:pPr>
    </w:p>
    <w:p w14:paraId="38ABB51E">
      <w:pPr>
        <w:adjustRightInd w:val="0"/>
        <w:snapToGrid w:val="0"/>
        <w:spacing w:line="360" w:lineRule="auto"/>
        <w:rPr>
          <w:rFonts w:ascii="宋体" w:hAnsi="宋体" w:cs="宋体"/>
          <w:color w:val="auto"/>
          <w:highlight w:val="none"/>
        </w:rPr>
      </w:pPr>
    </w:p>
    <w:p w14:paraId="6FDAEB1D">
      <w:pPr>
        <w:adjustRightInd w:val="0"/>
        <w:snapToGrid w:val="0"/>
        <w:spacing w:line="360" w:lineRule="auto"/>
        <w:rPr>
          <w:rFonts w:ascii="宋体" w:hAnsi="宋体" w:cs="宋体"/>
          <w:color w:val="auto"/>
          <w:highlight w:val="none"/>
        </w:rPr>
      </w:pPr>
    </w:p>
    <w:p w14:paraId="7FEDF49E">
      <w:pPr>
        <w:adjustRightInd w:val="0"/>
        <w:snapToGrid w:val="0"/>
        <w:spacing w:line="360" w:lineRule="auto"/>
        <w:rPr>
          <w:rFonts w:ascii="宋体" w:hAnsi="宋体" w:cs="宋体"/>
          <w:color w:val="auto"/>
          <w:highlight w:val="none"/>
        </w:rPr>
      </w:pPr>
    </w:p>
    <w:p w14:paraId="737289F7">
      <w:pPr>
        <w:adjustRightInd w:val="0"/>
        <w:snapToGrid w:val="0"/>
        <w:spacing w:line="360" w:lineRule="auto"/>
        <w:rPr>
          <w:rFonts w:ascii="宋体" w:hAnsi="宋体" w:cs="宋体"/>
          <w:color w:val="auto"/>
          <w:highlight w:val="none"/>
        </w:rPr>
      </w:pPr>
    </w:p>
    <w:p w14:paraId="7650A40D">
      <w:pPr>
        <w:adjustRightInd w:val="0"/>
        <w:snapToGrid w:val="0"/>
        <w:spacing w:line="360" w:lineRule="auto"/>
        <w:rPr>
          <w:rFonts w:ascii="宋体" w:hAnsi="宋体" w:cs="宋体"/>
          <w:color w:val="auto"/>
          <w:highlight w:val="none"/>
        </w:rPr>
      </w:pPr>
    </w:p>
    <w:p w14:paraId="40549FFE">
      <w:pPr>
        <w:adjustRightInd w:val="0"/>
        <w:snapToGrid w:val="0"/>
        <w:spacing w:line="360" w:lineRule="auto"/>
        <w:rPr>
          <w:rFonts w:ascii="宋体" w:hAnsi="宋体" w:cs="宋体"/>
          <w:color w:val="auto"/>
          <w:highlight w:val="none"/>
        </w:rPr>
      </w:pPr>
    </w:p>
    <w:p w14:paraId="5172057C">
      <w:pPr>
        <w:adjustRightInd w:val="0"/>
        <w:snapToGrid w:val="0"/>
        <w:spacing w:line="360" w:lineRule="auto"/>
        <w:rPr>
          <w:rFonts w:ascii="宋体" w:hAnsi="宋体" w:cs="宋体"/>
          <w:color w:val="auto"/>
          <w:highlight w:val="none"/>
        </w:rPr>
      </w:pPr>
    </w:p>
    <w:p w14:paraId="0C29C9B4">
      <w:pPr>
        <w:pStyle w:val="6"/>
        <w:snapToGrid w:val="0"/>
        <w:spacing w:line="360" w:lineRule="auto"/>
        <w:ind w:firstLine="643"/>
        <w:jc w:val="center"/>
        <w:rPr>
          <w:rFonts w:ascii="宋体" w:hAnsi="宋体" w:eastAsia="宋体" w:cs="宋体"/>
          <w:color w:val="auto"/>
          <w:sz w:val="32"/>
          <w:szCs w:val="32"/>
          <w:highlight w:val="none"/>
        </w:rPr>
      </w:pPr>
      <w:bookmarkStart w:id="138" w:name="_Toc27373"/>
      <w:bookmarkStart w:id="317" w:name="_GoBack"/>
      <w:bookmarkEnd w:id="317"/>
      <w:r>
        <w:rPr>
          <w:rFonts w:hint="eastAsia" w:ascii="宋体" w:hAnsi="宋体" w:eastAsia="宋体" w:cs="宋体"/>
          <w:color w:val="auto"/>
          <w:sz w:val="32"/>
          <w:szCs w:val="32"/>
          <w:highlight w:val="none"/>
        </w:rPr>
        <w:t>第四章  响应文件格式</w:t>
      </w:r>
      <w:bookmarkEnd w:id="127"/>
      <w:bookmarkEnd w:id="138"/>
    </w:p>
    <w:p w14:paraId="02E37DA9">
      <w:pPr>
        <w:adjustRightInd w:val="0"/>
        <w:snapToGrid w:val="0"/>
        <w:spacing w:line="360" w:lineRule="auto"/>
        <w:ind w:firstLine="480"/>
        <w:jc w:val="left"/>
        <w:rPr>
          <w:rFonts w:ascii="宋体" w:hAnsi="宋体" w:cs="宋体"/>
          <w:color w:val="auto"/>
          <w:sz w:val="24"/>
          <w:highlight w:val="none"/>
        </w:rPr>
      </w:pPr>
    </w:p>
    <w:p w14:paraId="5941DD36">
      <w:pPr>
        <w:widowControl/>
        <w:adjustRightInd w:val="0"/>
        <w:snapToGrid w:val="0"/>
        <w:spacing w:line="360" w:lineRule="auto"/>
        <w:ind w:firstLine="883"/>
        <w:jc w:val="left"/>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14:paraId="0A8B7681">
      <w:pPr>
        <w:adjustRightInd w:val="0"/>
        <w:snapToGrid w:val="0"/>
        <w:spacing w:line="360" w:lineRule="auto"/>
        <w:jc w:val="center"/>
        <w:rPr>
          <w:rFonts w:ascii="宋体" w:hAnsi="宋体" w:cs="宋体"/>
          <w:b/>
          <w:bCs/>
          <w:snapToGrid w:val="0"/>
          <w:color w:val="auto"/>
          <w:kern w:val="21"/>
          <w:sz w:val="28"/>
          <w:szCs w:val="32"/>
          <w:highlight w:val="none"/>
        </w:rPr>
      </w:pPr>
      <w:bookmarkStart w:id="139" w:name="_Toc8306"/>
      <w:bookmarkStart w:id="140" w:name="_Toc491307484"/>
      <w:bookmarkStart w:id="141" w:name="_Toc5069"/>
      <w:bookmarkStart w:id="142" w:name="_Toc491307302"/>
      <w:bookmarkStart w:id="143" w:name="_Toc26152"/>
      <w:bookmarkStart w:id="144" w:name="_Toc494043338"/>
      <w:bookmarkStart w:id="145" w:name="_Toc14582"/>
      <w:bookmarkStart w:id="146" w:name="_Toc19640"/>
      <w:bookmarkStart w:id="147" w:name="_Toc491307364"/>
      <w:bookmarkStart w:id="148" w:name="_Toc491307345"/>
      <w:bookmarkStart w:id="149" w:name="_Toc491307283"/>
      <w:bookmarkStart w:id="150" w:name="_Toc491307465"/>
      <w:r>
        <w:rPr>
          <w:rFonts w:hint="eastAsia" w:ascii="宋体" w:hAnsi="宋体" w:cs="宋体"/>
          <w:b/>
          <w:bCs/>
          <w:snapToGrid w:val="0"/>
          <w:color w:val="auto"/>
          <w:kern w:val="21"/>
          <w:sz w:val="28"/>
          <w:szCs w:val="32"/>
          <w:highlight w:val="none"/>
        </w:rPr>
        <w:t>一、资格证明文件</w:t>
      </w:r>
      <w:bookmarkEnd w:id="139"/>
      <w:bookmarkEnd w:id="140"/>
      <w:bookmarkEnd w:id="141"/>
      <w:bookmarkEnd w:id="142"/>
      <w:bookmarkEnd w:id="143"/>
      <w:bookmarkEnd w:id="144"/>
      <w:bookmarkEnd w:id="145"/>
      <w:bookmarkEnd w:id="146"/>
      <w:bookmarkEnd w:id="147"/>
    </w:p>
    <w:p w14:paraId="6F388B86">
      <w:pPr>
        <w:adjustRightInd w:val="0"/>
        <w:snapToGrid w:val="0"/>
        <w:spacing w:line="360" w:lineRule="auto"/>
        <w:ind w:firstLine="420" w:firstLineChars="200"/>
        <w:rPr>
          <w:rFonts w:ascii="宋体" w:hAnsi="宋体" w:cs="宋体"/>
          <w:snapToGrid w:val="0"/>
          <w:color w:val="auto"/>
          <w:kern w:val="21"/>
          <w:szCs w:val="21"/>
          <w:highlight w:val="none"/>
        </w:rPr>
      </w:pPr>
      <w:r>
        <w:rPr>
          <w:rFonts w:hint="eastAsia" w:ascii="宋体" w:hAnsi="宋体" w:cs="宋体"/>
          <w:snapToGrid w:val="0"/>
          <w:color w:val="auto"/>
          <w:kern w:val="21"/>
          <w:szCs w:val="21"/>
          <w:highlight w:val="none"/>
        </w:rPr>
        <w:t>1.供应商应填写和提交下述规定的有关资料。</w:t>
      </w:r>
    </w:p>
    <w:p w14:paraId="74F7922D">
      <w:pPr>
        <w:adjustRightInd w:val="0"/>
        <w:snapToGrid w:val="0"/>
        <w:spacing w:line="360" w:lineRule="auto"/>
        <w:ind w:firstLine="420" w:firstLineChars="200"/>
        <w:rPr>
          <w:rFonts w:ascii="宋体" w:hAnsi="宋体" w:cs="宋体"/>
          <w:snapToGrid w:val="0"/>
          <w:color w:val="auto"/>
          <w:kern w:val="21"/>
          <w:szCs w:val="21"/>
          <w:highlight w:val="none"/>
        </w:rPr>
      </w:pPr>
      <w:r>
        <w:rPr>
          <w:rFonts w:hint="eastAsia" w:ascii="宋体" w:hAnsi="宋体" w:cs="宋体"/>
          <w:snapToGrid w:val="0"/>
          <w:color w:val="auto"/>
          <w:kern w:val="21"/>
          <w:szCs w:val="21"/>
          <w:highlight w:val="none"/>
        </w:rPr>
        <w:t>2.所附格式要求填写的全部内容都必须填写。</w:t>
      </w:r>
    </w:p>
    <w:p w14:paraId="6F9405CE">
      <w:pPr>
        <w:adjustRightInd w:val="0"/>
        <w:snapToGrid w:val="0"/>
        <w:spacing w:line="360" w:lineRule="auto"/>
        <w:ind w:firstLine="420" w:firstLineChars="200"/>
        <w:rPr>
          <w:rFonts w:ascii="宋体" w:hAnsi="宋体" w:cs="宋体"/>
          <w:snapToGrid w:val="0"/>
          <w:color w:val="auto"/>
          <w:kern w:val="21"/>
          <w:szCs w:val="21"/>
          <w:highlight w:val="none"/>
        </w:rPr>
      </w:pPr>
      <w:r>
        <w:rPr>
          <w:rFonts w:hint="eastAsia" w:ascii="宋体" w:hAnsi="宋体" w:cs="宋体"/>
          <w:snapToGrid w:val="0"/>
          <w:color w:val="auto"/>
          <w:kern w:val="21"/>
          <w:szCs w:val="21"/>
          <w:highlight w:val="none"/>
        </w:rPr>
        <w:t>3.供应商应保证全部声明和填写的内容是真实的和正确的。</w:t>
      </w:r>
    </w:p>
    <w:p w14:paraId="55C4E4EC">
      <w:pPr>
        <w:adjustRightInd w:val="0"/>
        <w:snapToGrid w:val="0"/>
        <w:spacing w:line="360" w:lineRule="auto"/>
        <w:ind w:firstLine="562"/>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14:paraId="688DCE8F">
      <w:pPr>
        <w:keepNext/>
        <w:keepLines/>
        <w:adjustRightInd w:val="0"/>
        <w:snapToGrid w:val="0"/>
        <w:spacing w:line="360" w:lineRule="auto"/>
        <w:jc w:val="left"/>
        <w:rPr>
          <w:rFonts w:ascii="宋体" w:hAnsi="宋体" w:cs="宋体"/>
          <w:b/>
          <w:color w:val="auto"/>
          <w:sz w:val="28"/>
          <w:szCs w:val="28"/>
          <w:highlight w:val="none"/>
        </w:rPr>
      </w:pPr>
      <w:r>
        <w:rPr>
          <w:rFonts w:hint="eastAsia" w:ascii="宋体" w:hAnsi="宋体" w:cs="宋体"/>
          <w:b/>
          <w:color w:val="auto"/>
          <w:sz w:val="28"/>
          <w:szCs w:val="28"/>
          <w:highlight w:val="none"/>
        </w:rPr>
        <w:t>格式1</w:t>
      </w:r>
    </w:p>
    <w:p w14:paraId="05999E55">
      <w:pPr>
        <w:keepNext/>
        <w:keepLines/>
        <w:adjustRightInd w:val="0"/>
        <w:snapToGrid w:val="0"/>
        <w:spacing w:line="360" w:lineRule="auto"/>
        <w:jc w:val="left"/>
        <w:rPr>
          <w:rFonts w:ascii="宋体" w:hAnsi="宋体" w:cs="宋体"/>
          <w:b/>
          <w:bCs/>
          <w:color w:val="auto"/>
          <w:highlight w:val="none"/>
        </w:rPr>
      </w:pPr>
      <w:r>
        <w:rPr>
          <w:rFonts w:hint="eastAsia" w:ascii="宋体" w:hAnsi="宋体" w:cs="宋体"/>
          <w:b/>
          <w:bCs/>
          <w:color w:val="auto"/>
          <w:highlight w:val="none"/>
        </w:rPr>
        <w:t>供应商须具有独立承担民事责任的能力：</w:t>
      </w:r>
    </w:p>
    <w:p w14:paraId="74392249">
      <w:pPr>
        <w:keepNext/>
        <w:keepLines/>
        <w:adjustRightInd w:val="0"/>
        <w:snapToGrid w:val="0"/>
        <w:spacing w:line="360" w:lineRule="auto"/>
        <w:jc w:val="left"/>
        <w:rPr>
          <w:rFonts w:ascii="宋体" w:hAnsi="宋体" w:cs="宋体"/>
          <w:b/>
          <w:bCs/>
          <w:color w:val="auto"/>
          <w:highlight w:val="none"/>
        </w:rPr>
      </w:pPr>
      <w:r>
        <w:rPr>
          <w:rFonts w:hint="eastAsia" w:ascii="宋体" w:hAnsi="宋体" w:cs="宋体"/>
          <w:b/>
          <w:bCs/>
          <w:color w:val="auto"/>
          <w:highlight w:val="none"/>
          <w:lang w:eastAsia="zh-CN"/>
        </w:rPr>
        <w:t>供应商须在中华人民共和国境内注册，提供市场监督管理部门核发的有效的三证合一营业执照或其他组织形式的相关主体资格证明材料</w:t>
      </w:r>
      <w:r>
        <w:rPr>
          <w:rFonts w:hint="eastAsia" w:ascii="宋体" w:hAnsi="宋体" w:cs="宋体"/>
          <w:b/>
          <w:bCs/>
          <w:color w:val="auto"/>
          <w:highlight w:val="none"/>
        </w:rPr>
        <w:t>（扫描件加盖供应商电子公章）</w:t>
      </w:r>
    </w:p>
    <w:p w14:paraId="5B4E9738">
      <w:pPr>
        <w:keepNext/>
        <w:keepLines/>
        <w:adjustRightInd w:val="0"/>
        <w:snapToGrid w:val="0"/>
        <w:spacing w:line="360" w:lineRule="auto"/>
        <w:jc w:val="left"/>
        <w:rPr>
          <w:rFonts w:ascii="宋体" w:hAnsi="宋体" w:cs="宋体"/>
          <w:b/>
          <w:color w:val="auto"/>
          <w:sz w:val="28"/>
          <w:szCs w:val="28"/>
          <w:highlight w:val="none"/>
        </w:rPr>
      </w:pPr>
      <w:r>
        <w:rPr>
          <w:rFonts w:hint="eastAsia" w:ascii="宋体" w:hAnsi="宋体" w:cs="宋体"/>
          <w:b/>
          <w:bCs/>
          <w:color w:val="auto"/>
          <w:sz w:val="28"/>
          <w:szCs w:val="32"/>
          <w:highlight w:val="none"/>
        </w:rPr>
        <w:br w:type="page"/>
      </w:r>
      <w:bookmarkStart w:id="151" w:name="_Toc491307305"/>
      <w:bookmarkStart w:id="152" w:name="_Toc491307487"/>
      <w:bookmarkStart w:id="153" w:name="_Toc491307367"/>
      <w:r>
        <w:rPr>
          <w:rFonts w:hint="eastAsia" w:ascii="宋体" w:hAnsi="宋体" w:cs="宋体"/>
          <w:b/>
          <w:color w:val="auto"/>
          <w:sz w:val="28"/>
          <w:szCs w:val="28"/>
          <w:highlight w:val="none"/>
        </w:rPr>
        <w:t>格式</w:t>
      </w:r>
      <w:bookmarkEnd w:id="151"/>
      <w:bookmarkEnd w:id="152"/>
      <w:bookmarkEnd w:id="153"/>
      <w:r>
        <w:rPr>
          <w:rFonts w:hint="eastAsia" w:ascii="宋体" w:hAnsi="宋体" w:cs="宋体"/>
          <w:b/>
          <w:color w:val="auto"/>
          <w:sz w:val="28"/>
          <w:szCs w:val="28"/>
          <w:highlight w:val="none"/>
        </w:rPr>
        <w:t>2</w:t>
      </w:r>
    </w:p>
    <w:p w14:paraId="7175EFCE">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供应商须具有良好的商业信誉和健全的财务会计制度：</w:t>
      </w:r>
    </w:p>
    <w:p w14:paraId="28BD40A1">
      <w:pPr>
        <w:keepNext/>
        <w:keepLines/>
        <w:adjustRightInd w:val="0"/>
        <w:snapToGrid w:val="0"/>
        <w:spacing w:line="360" w:lineRule="auto"/>
        <w:jc w:val="left"/>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提供供应商2024年度经第三方审计的财务报告及报表（报表至少应包括资产负债表、利润表（损益表）、现金流量表）或提供自提交响应文件截止时间前三个月内基本开户银行出具的资信证明（扫描件加盖供应商电子公章），至响应文件提交截止时间止成立不足一年的供应商可提供相关情况说明（加盖供应商电子公章）</w:t>
      </w:r>
    </w:p>
    <w:p w14:paraId="4339DD7E">
      <w:pPr>
        <w:keepNext/>
        <w:keepLines/>
        <w:adjustRightInd w:val="0"/>
        <w:snapToGrid w:val="0"/>
        <w:spacing w:line="360" w:lineRule="auto"/>
        <w:jc w:val="left"/>
        <w:rPr>
          <w:rFonts w:ascii="宋体" w:hAnsi="宋体" w:cs="宋体"/>
          <w:b/>
          <w:color w:val="auto"/>
          <w:sz w:val="28"/>
          <w:szCs w:val="28"/>
          <w:highlight w:val="none"/>
        </w:rPr>
      </w:pPr>
      <w:r>
        <w:rPr>
          <w:rFonts w:hint="eastAsia" w:ascii="宋体" w:hAnsi="宋体" w:cs="宋体"/>
          <w:b/>
          <w:bCs/>
          <w:color w:val="auto"/>
          <w:sz w:val="28"/>
          <w:szCs w:val="32"/>
          <w:highlight w:val="none"/>
        </w:rPr>
        <w:br w:type="page"/>
      </w:r>
      <w:bookmarkStart w:id="154" w:name="_Toc491307369"/>
      <w:bookmarkStart w:id="155" w:name="_Toc491307307"/>
      <w:bookmarkStart w:id="156" w:name="_Toc491307489"/>
      <w:r>
        <w:rPr>
          <w:rFonts w:hint="eastAsia" w:ascii="宋体" w:hAnsi="宋体" w:cs="宋体"/>
          <w:b/>
          <w:color w:val="auto"/>
          <w:sz w:val="28"/>
          <w:szCs w:val="28"/>
          <w:highlight w:val="none"/>
        </w:rPr>
        <w:t>格式</w:t>
      </w:r>
      <w:bookmarkEnd w:id="154"/>
      <w:bookmarkEnd w:id="155"/>
      <w:bookmarkEnd w:id="156"/>
      <w:r>
        <w:rPr>
          <w:rFonts w:hint="eastAsia" w:ascii="宋体" w:hAnsi="宋体" w:cs="宋体"/>
          <w:b/>
          <w:color w:val="auto"/>
          <w:sz w:val="28"/>
          <w:szCs w:val="28"/>
          <w:highlight w:val="none"/>
        </w:rPr>
        <w:t>3</w:t>
      </w:r>
    </w:p>
    <w:p w14:paraId="68CFAD85">
      <w:pPr>
        <w:keepNext/>
        <w:keepLines/>
        <w:adjustRightInd w:val="0"/>
        <w:snapToGrid w:val="0"/>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具有履行合同所必需的设备和专业技术能力：</w:t>
      </w:r>
    </w:p>
    <w:p w14:paraId="779E2D71">
      <w:pPr>
        <w:keepNext/>
        <w:keepLines/>
        <w:adjustRightInd w:val="0"/>
        <w:snapToGrid w:val="0"/>
        <w:spacing w:line="360" w:lineRule="auto"/>
        <w:jc w:val="left"/>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提供供应商具有履行合同所必需的设备和专业技术能力证明材料（扫描件加盖供应商电子公章）或书面声明（加盖供应商电子公章）</w:t>
      </w:r>
    </w:p>
    <w:p w14:paraId="57C63DA2">
      <w:pPr>
        <w:keepNext/>
        <w:keepLines/>
        <w:adjustRightInd w:val="0"/>
        <w:snapToGrid w:val="0"/>
        <w:spacing w:line="360" w:lineRule="auto"/>
        <w:jc w:val="left"/>
        <w:rPr>
          <w:rFonts w:ascii="宋体" w:hAnsi="宋体" w:cs="宋体"/>
          <w:b/>
          <w:color w:val="auto"/>
          <w:sz w:val="28"/>
          <w:szCs w:val="28"/>
          <w:highlight w:val="none"/>
        </w:rPr>
      </w:pPr>
      <w:r>
        <w:rPr>
          <w:rFonts w:hint="eastAsia" w:ascii="宋体" w:hAnsi="宋体" w:cs="宋体"/>
          <w:b/>
          <w:bCs/>
          <w:color w:val="auto"/>
          <w:sz w:val="28"/>
          <w:szCs w:val="32"/>
          <w:highlight w:val="none"/>
        </w:rPr>
        <w:br w:type="page"/>
      </w:r>
      <w:bookmarkStart w:id="157" w:name="_Toc491307491"/>
      <w:bookmarkStart w:id="158" w:name="_Toc491307309"/>
      <w:bookmarkStart w:id="159" w:name="_Toc491307371"/>
      <w:r>
        <w:rPr>
          <w:rFonts w:hint="eastAsia" w:ascii="宋体" w:hAnsi="宋体" w:cs="宋体"/>
          <w:b/>
          <w:color w:val="auto"/>
          <w:sz w:val="28"/>
          <w:szCs w:val="28"/>
          <w:highlight w:val="none"/>
        </w:rPr>
        <w:t>格式</w:t>
      </w:r>
      <w:bookmarkEnd w:id="157"/>
      <w:bookmarkEnd w:id="158"/>
      <w:bookmarkEnd w:id="159"/>
      <w:r>
        <w:rPr>
          <w:rFonts w:hint="eastAsia" w:ascii="宋体" w:hAnsi="宋体" w:cs="宋体"/>
          <w:b/>
          <w:color w:val="auto"/>
          <w:sz w:val="28"/>
          <w:szCs w:val="28"/>
          <w:highlight w:val="none"/>
        </w:rPr>
        <w:t>4</w:t>
      </w:r>
    </w:p>
    <w:p w14:paraId="4180F5DB">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供应商须具有依法缴纳税收和社会保障资金的良好记录：</w:t>
      </w:r>
    </w:p>
    <w:p w14:paraId="4DB9FCB4">
      <w:pPr>
        <w:adjustRightInd w:val="0"/>
        <w:snapToGrid w:val="0"/>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1.</w:t>
      </w:r>
      <w:r>
        <w:rPr>
          <w:rFonts w:hint="eastAsia" w:ascii="宋体" w:hAnsi="宋体" w:cs="宋体"/>
          <w:b/>
          <w:bCs/>
          <w:color w:val="auto"/>
          <w:szCs w:val="21"/>
          <w:highlight w:val="none"/>
          <w:lang w:eastAsia="zh-CN"/>
        </w:rPr>
        <w:t>提供供应商缴税所属时间在2024年01月至本项目提交响应文件截止时间前任意1个月的税务局税收通用缴款书或银行电子缴税（费）凭证或税务局出具纳税情况的相关证明，依法免税的，应提供依法免税的相关证明文件（扫描件加盖供应商电子公章），至响应文件提交截止时间止成立不足一年的供应商可提供相关情况说明（加盖供应商电子公章）</w:t>
      </w:r>
    </w:p>
    <w:p w14:paraId="710D5B44">
      <w:pPr>
        <w:adjustRightInd w:val="0"/>
        <w:snapToGrid w:val="0"/>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2.</w:t>
      </w:r>
      <w:r>
        <w:rPr>
          <w:rFonts w:hint="eastAsia" w:ascii="宋体" w:hAnsi="宋体" w:cs="宋体"/>
          <w:b/>
          <w:bCs/>
          <w:color w:val="auto"/>
          <w:szCs w:val="21"/>
          <w:highlight w:val="none"/>
          <w:lang w:eastAsia="zh-CN"/>
        </w:rPr>
        <w:t>提供供应商缴费所属时间在2024年01月至本项目提交响应文件截止时间前任意1个月的社会保险费缴款书或银行电子缴税（费）凭证或社保管理部门出具的有效的缴款证明，依法免缴的，应提供依法免缴的相关证明文件（扫描件加盖供应商电子公章），至响应文件提交截止时间止成立不足一年的供应商可提供相关情况说明（加盖供应商电子公章）</w:t>
      </w:r>
    </w:p>
    <w:p w14:paraId="49A25C0F">
      <w:pPr>
        <w:keepNext/>
        <w:keepLines/>
        <w:adjustRightInd w:val="0"/>
        <w:snapToGrid w:val="0"/>
        <w:spacing w:line="360" w:lineRule="auto"/>
        <w:jc w:val="left"/>
        <w:rPr>
          <w:rFonts w:ascii="宋体" w:hAnsi="宋体" w:cs="宋体"/>
          <w:b/>
          <w:color w:val="auto"/>
          <w:sz w:val="28"/>
          <w:szCs w:val="28"/>
          <w:highlight w:val="none"/>
        </w:rPr>
      </w:pPr>
      <w:r>
        <w:rPr>
          <w:rFonts w:hint="eastAsia" w:ascii="宋体" w:hAnsi="宋体" w:cs="宋体"/>
          <w:color w:val="auto"/>
          <w:szCs w:val="21"/>
          <w:highlight w:val="none"/>
        </w:rPr>
        <w:br w:type="page"/>
      </w:r>
      <w:bookmarkStart w:id="160" w:name="_Toc491307311"/>
      <w:bookmarkStart w:id="161" w:name="_Toc491307493"/>
      <w:bookmarkStart w:id="162" w:name="_Toc491307373"/>
      <w:r>
        <w:rPr>
          <w:rFonts w:hint="eastAsia" w:ascii="宋体" w:hAnsi="宋体" w:cs="宋体"/>
          <w:b/>
          <w:color w:val="auto"/>
          <w:sz w:val="28"/>
          <w:szCs w:val="28"/>
          <w:highlight w:val="none"/>
        </w:rPr>
        <w:t>格式</w:t>
      </w:r>
      <w:bookmarkEnd w:id="160"/>
      <w:bookmarkEnd w:id="161"/>
      <w:bookmarkEnd w:id="162"/>
      <w:r>
        <w:rPr>
          <w:rFonts w:hint="eastAsia" w:ascii="宋体" w:hAnsi="宋体" w:cs="宋体"/>
          <w:b/>
          <w:color w:val="auto"/>
          <w:sz w:val="28"/>
          <w:szCs w:val="28"/>
          <w:highlight w:val="none"/>
        </w:rPr>
        <w:t>5</w:t>
      </w:r>
    </w:p>
    <w:p w14:paraId="3B036A03">
      <w:pPr>
        <w:keepNext/>
        <w:keepLines/>
        <w:adjustRightInd w:val="0"/>
        <w:snapToGrid w:val="0"/>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参加政府采购活动前三年内</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在经营活动中没有重大违法记录：</w:t>
      </w:r>
    </w:p>
    <w:p w14:paraId="3C224D5B">
      <w:pPr>
        <w:keepNext/>
        <w:keepLines/>
        <w:adjustRightInd w:val="0"/>
        <w:snapToGrid w:val="0"/>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提供供应商参加政府采购活动前三年内</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在经营活动中没有重大违法记录（重大违法记录</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是指供应商因违法经营受到刑事处罚或者责令停产停业、吊销许可证或者执照、较大数额罚款等行政处罚）的书面声明（加盖供应商电子公章）</w:t>
      </w:r>
    </w:p>
    <w:p w14:paraId="204978F3">
      <w:pPr>
        <w:rPr>
          <w:rFonts w:ascii="宋体" w:hAnsi="宋体" w:cs="宋体"/>
          <w:b/>
          <w:bCs/>
          <w:color w:val="auto"/>
          <w:sz w:val="28"/>
          <w:szCs w:val="32"/>
          <w:highlight w:val="none"/>
        </w:rPr>
      </w:pPr>
      <w:r>
        <w:rPr>
          <w:rFonts w:hint="eastAsia" w:ascii="宋体" w:hAnsi="宋体" w:cs="宋体"/>
          <w:b/>
          <w:bCs/>
          <w:color w:val="auto"/>
          <w:sz w:val="28"/>
          <w:szCs w:val="32"/>
          <w:highlight w:val="none"/>
        </w:rPr>
        <w:br w:type="page"/>
      </w:r>
    </w:p>
    <w:p w14:paraId="065A19DE">
      <w:pPr>
        <w:keepNext/>
        <w:keepLines/>
        <w:adjustRightInd w:val="0"/>
        <w:snapToGrid w:val="0"/>
        <w:spacing w:line="360" w:lineRule="auto"/>
        <w:jc w:val="left"/>
        <w:rPr>
          <w:rFonts w:ascii="宋体" w:hAnsi="宋体" w:cs="宋体"/>
          <w:b/>
          <w:color w:val="auto"/>
          <w:sz w:val="28"/>
          <w:szCs w:val="28"/>
          <w:highlight w:val="none"/>
        </w:rPr>
      </w:pPr>
      <w:r>
        <w:rPr>
          <w:rFonts w:hint="eastAsia" w:ascii="宋体" w:hAnsi="宋体" w:cs="宋体"/>
          <w:b/>
          <w:color w:val="auto"/>
          <w:sz w:val="28"/>
          <w:szCs w:val="28"/>
          <w:highlight w:val="none"/>
        </w:rPr>
        <w:t>格式6</w:t>
      </w:r>
    </w:p>
    <w:p w14:paraId="71509AA1">
      <w:pPr>
        <w:keepNext/>
        <w:keepLines/>
        <w:adjustRightInd w:val="0"/>
        <w:snapToGrid w:val="0"/>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法律、行政法规规定的其他条件：</w:t>
      </w:r>
    </w:p>
    <w:p w14:paraId="5A3C7464">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1.单位负责人为同一人或者存在直接控股、管理关系不同的供应商</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不得同时参与本项目的采购活动（提供承诺函加盖供应商电子公章）。</w:t>
      </w:r>
    </w:p>
    <w:p w14:paraId="08F6E04E">
      <w:pPr>
        <w:rPr>
          <w:rFonts w:ascii="宋体" w:hAnsi="宋体" w:cs="宋体"/>
          <w:b/>
          <w:bCs/>
          <w:color w:val="auto"/>
          <w:szCs w:val="21"/>
          <w:highlight w:val="none"/>
        </w:rPr>
      </w:pPr>
      <w:r>
        <w:rPr>
          <w:rFonts w:hint="eastAsia" w:ascii="宋体" w:hAnsi="宋体" w:cs="宋体"/>
          <w:b/>
          <w:bCs/>
          <w:color w:val="auto"/>
          <w:szCs w:val="21"/>
          <w:highlight w:val="none"/>
        </w:rPr>
        <w:br w:type="page"/>
      </w:r>
    </w:p>
    <w:p w14:paraId="0EFF72F5">
      <w:pPr>
        <w:keepNext/>
        <w:keepLines/>
        <w:adjustRightInd w:val="0"/>
        <w:snapToGrid w:val="0"/>
        <w:spacing w:line="360" w:lineRule="auto"/>
        <w:jc w:val="left"/>
        <w:rPr>
          <w:rFonts w:ascii="宋体" w:hAnsi="宋体" w:cs="宋体"/>
          <w:b/>
          <w:color w:val="auto"/>
          <w:sz w:val="28"/>
          <w:szCs w:val="28"/>
          <w:highlight w:val="none"/>
        </w:rPr>
      </w:pPr>
      <w:r>
        <w:rPr>
          <w:rFonts w:hint="eastAsia" w:ascii="宋体" w:hAnsi="宋体" w:cs="宋体"/>
          <w:b/>
          <w:color w:val="auto"/>
          <w:sz w:val="28"/>
          <w:szCs w:val="28"/>
          <w:highlight w:val="none"/>
        </w:rPr>
        <w:t>格式7</w:t>
      </w:r>
    </w:p>
    <w:p w14:paraId="79F9A0EE">
      <w:pPr>
        <w:keepNext/>
        <w:keepLines/>
        <w:adjustRightInd w:val="0"/>
        <w:snapToGrid w:val="0"/>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法律、行政法规规定的其他条件：</w:t>
      </w:r>
    </w:p>
    <w:p w14:paraId="183FD8DB">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2.为采购项目提供整体设计、规范编制和项目管理、监理、检测等服务的供应商</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不得参与本项目采购活动（提供承诺函加盖供应商电子公章）。</w:t>
      </w:r>
    </w:p>
    <w:p w14:paraId="4A9DB43A">
      <w:pPr>
        <w:adjustRightInd w:val="0"/>
        <w:snapToGrid w:val="0"/>
        <w:spacing w:line="360" w:lineRule="auto"/>
        <w:rPr>
          <w:rFonts w:ascii="宋体" w:hAnsi="宋体" w:cs="宋体"/>
          <w:b/>
          <w:color w:val="auto"/>
          <w:sz w:val="28"/>
          <w:szCs w:val="28"/>
          <w:highlight w:val="none"/>
        </w:rPr>
      </w:pPr>
      <w:r>
        <w:rPr>
          <w:rFonts w:hint="eastAsia" w:ascii="宋体" w:hAnsi="宋体" w:cs="宋体"/>
          <w:b/>
          <w:bCs/>
          <w:color w:val="auto"/>
          <w:szCs w:val="21"/>
          <w:highlight w:val="none"/>
        </w:rPr>
        <w:t xml:space="preserve"> </w:t>
      </w:r>
      <w:r>
        <w:rPr>
          <w:rFonts w:hint="eastAsia" w:ascii="宋体" w:hAnsi="宋体" w:cs="宋体"/>
          <w:b/>
          <w:bCs/>
          <w:color w:val="auto"/>
          <w:sz w:val="28"/>
          <w:szCs w:val="32"/>
          <w:highlight w:val="none"/>
        </w:rPr>
        <w:br w:type="page"/>
      </w:r>
    </w:p>
    <w:p w14:paraId="2E412215">
      <w:pPr>
        <w:keepNext/>
        <w:keepLines/>
        <w:adjustRightInd w:val="0"/>
        <w:snapToGrid w:val="0"/>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二、报价文件</w:t>
      </w:r>
    </w:p>
    <w:p w14:paraId="33D477C0">
      <w:pPr>
        <w:keepNext/>
        <w:keepLines/>
        <w:adjustRightInd w:val="0"/>
        <w:snapToGrid w:val="0"/>
        <w:spacing w:line="360" w:lineRule="auto"/>
        <w:jc w:val="left"/>
        <w:rPr>
          <w:rFonts w:ascii="宋体" w:hAnsi="宋体" w:cs="宋体"/>
          <w:b/>
          <w:bCs/>
          <w:color w:val="auto"/>
          <w:sz w:val="28"/>
          <w:szCs w:val="21"/>
          <w:highlight w:val="none"/>
        </w:rPr>
      </w:pPr>
      <w:r>
        <w:rPr>
          <w:rFonts w:hint="eastAsia" w:ascii="宋体" w:hAnsi="宋体" w:cs="宋体"/>
          <w:b/>
          <w:color w:val="auto"/>
          <w:sz w:val="28"/>
          <w:szCs w:val="28"/>
          <w:highlight w:val="none"/>
        </w:rPr>
        <w:t>格式</w:t>
      </w:r>
      <w:bookmarkEnd w:id="148"/>
      <w:bookmarkEnd w:id="149"/>
      <w:bookmarkEnd w:id="150"/>
      <w:r>
        <w:rPr>
          <w:rFonts w:hint="eastAsia" w:ascii="宋体" w:hAnsi="宋体" w:cs="宋体"/>
          <w:b/>
          <w:color w:val="auto"/>
          <w:sz w:val="28"/>
          <w:szCs w:val="28"/>
          <w:highlight w:val="none"/>
        </w:rPr>
        <w:t>8</w:t>
      </w:r>
    </w:p>
    <w:p w14:paraId="446903C3">
      <w:pPr>
        <w:keepNext/>
        <w:keepLines/>
        <w:adjustRightInd w:val="0"/>
        <w:snapToGrid w:val="0"/>
        <w:spacing w:line="360" w:lineRule="auto"/>
        <w:jc w:val="center"/>
        <w:outlineLvl w:val="1"/>
        <w:rPr>
          <w:rFonts w:ascii="宋体" w:hAnsi="宋体" w:cs="宋体"/>
          <w:b/>
          <w:bCs/>
          <w:color w:val="auto"/>
          <w:sz w:val="28"/>
          <w:szCs w:val="32"/>
          <w:highlight w:val="none"/>
        </w:rPr>
      </w:pPr>
      <w:bookmarkStart w:id="163" w:name="_Toc491307466"/>
      <w:bookmarkStart w:id="164" w:name="_Toc491307284"/>
      <w:bookmarkStart w:id="165" w:name="_Toc491307346"/>
      <w:bookmarkStart w:id="166" w:name="_Toc383175510"/>
      <w:bookmarkStart w:id="167" w:name="_Toc415662825"/>
      <w:r>
        <w:rPr>
          <w:rFonts w:hint="eastAsia" w:ascii="宋体" w:hAnsi="宋体" w:cs="宋体"/>
          <w:b/>
          <w:bCs/>
          <w:color w:val="auto"/>
          <w:sz w:val="28"/>
          <w:szCs w:val="32"/>
          <w:highlight w:val="none"/>
        </w:rPr>
        <w:t>谈判报价一览表</w:t>
      </w:r>
      <w:bookmarkEnd w:id="163"/>
      <w:bookmarkEnd w:id="164"/>
      <w:bookmarkEnd w:id="165"/>
    </w:p>
    <w:p w14:paraId="5A1CB046">
      <w:pPr>
        <w:autoSpaceDE w:val="0"/>
        <w:autoSpaceDN w:val="0"/>
        <w:adjustRightInd w:val="0"/>
        <w:snapToGrid w:val="0"/>
        <w:spacing w:line="360" w:lineRule="auto"/>
        <w:jc w:val="left"/>
        <w:rPr>
          <w:rFonts w:ascii="宋体" w:hAnsi="宋体" w:cs="宋体"/>
          <w:b/>
          <w:color w:val="auto"/>
          <w:kern w:val="0"/>
          <w:szCs w:val="21"/>
          <w:highlight w:val="none"/>
          <w:u w:val="single"/>
        </w:rPr>
      </w:pPr>
      <w:r>
        <w:rPr>
          <w:rFonts w:hint="eastAsia" w:ascii="宋体" w:hAnsi="宋体" w:cs="宋体"/>
          <w:b/>
          <w:color w:val="auto"/>
          <w:kern w:val="0"/>
          <w:szCs w:val="21"/>
          <w:highlight w:val="none"/>
        </w:rPr>
        <w:t>项目名称：</w:t>
      </w:r>
    </w:p>
    <w:p w14:paraId="2DB00B7B">
      <w:pPr>
        <w:autoSpaceDE w:val="0"/>
        <w:autoSpaceDN w:val="0"/>
        <w:adjustRightInd w:val="0"/>
        <w:snapToGrid w:val="0"/>
        <w:spacing w:line="360" w:lineRule="auto"/>
        <w:jc w:val="left"/>
        <w:rPr>
          <w:rFonts w:ascii="宋体" w:hAnsi="宋体" w:cs="宋体"/>
          <w:b/>
          <w:color w:val="auto"/>
          <w:kern w:val="0"/>
          <w:szCs w:val="21"/>
          <w:highlight w:val="none"/>
        </w:rPr>
      </w:pPr>
      <w:r>
        <w:rPr>
          <w:rFonts w:hint="eastAsia" w:ascii="宋体" w:hAnsi="宋体" w:cs="宋体"/>
          <w:b/>
          <w:color w:val="auto"/>
          <w:kern w:val="0"/>
          <w:szCs w:val="21"/>
          <w:highlight w:val="none"/>
        </w:rPr>
        <w:t>项目编号：</w:t>
      </w:r>
    </w:p>
    <w:tbl>
      <w:tblPr>
        <w:tblStyle w:val="42"/>
        <w:tblW w:w="7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5408"/>
      </w:tblGrid>
      <w:tr w14:paraId="6135C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20FF7D26">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供应商名称</w:t>
            </w:r>
          </w:p>
        </w:tc>
        <w:tc>
          <w:tcPr>
            <w:tcW w:w="5408" w:type="dxa"/>
            <w:tcBorders>
              <w:top w:val="single" w:color="auto" w:sz="4" w:space="0"/>
              <w:left w:val="single" w:color="auto" w:sz="4" w:space="0"/>
              <w:bottom w:val="single" w:color="auto" w:sz="4" w:space="0"/>
              <w:right w:val="single" w:color="auto" w:sz="4" w:space="0"/>
            </w:tcBorders>
            <w:vAlign w:val="center"/>
          </w:tcPr>
          <w:p w14:paraId="151C5DC0">
            <w:pPr>
              <w:adjustRightInd w:val="0"/>
              <w:snapToGrid w:val="0"/>
              <w:spacing w:line="360" w:lineRule="auto"/>
              <w:jc w:val="center"/>
              <w:rPr>
                <w:rFonts w:ascii="宋体" w:hAnsi="宋体" w:cs="宋体"/>
                <w:color w:val="auto"/>
                <w:szCs w:val="21"/>
                <w:highlight w:val="none"/>
              </w:rPr>
            </w:pPr>
          </w:p>
        </w:tc>
      </w:tr>
      <w:tr w14:paraId="67319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45F5A313">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谈判报价（元）</w:t>
            </w:r>
          </w:p>
        </w:tc>
        <w:tc>
          <w:tcPr>
            <w:tcW w:w="5408" w:type="dxa"/>
            <w:tcBorders>
              <w:top w:val="single" w:color="auto" w:sz="4" w:space="0"/>
              <w:left w:val="single" w:color="auto" w:sz="4" w:space="0"/>
              <w:bottom w:val="single" w:color="auto" w:sz="4" w:space="0"/>
              <w:right w:val="single" w:color="auto" w:sz="4" w:space="0"/>
            </w:tcBorders>
            <w:vAlign w:val="center"/>
          </w:tcPr>
          <w:p w14:paraId="7720A026">
            <w:pPr>
              <w:adjustRightInd w:val="0"/>
              <w:snapToGrid w:val="0"/>
              <w:spacing w:line="360" w:lineRule="auto"/>
              <w:rPr>
                <w:rFonts w:ascii="宋体" w:hAnsi="宋体" w:cs="宋体"/>
                <w:color w:val="auto"/>
                <w:szCs w:val="21"/>
                <w:highlight w:val="none"/>
              </w:rPr>
            </w:pPr>
          </w:p>
        </w:tc>
      </w:tr>
      <w:tr w14:paraId="217E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6FCCADDC">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交货期</w:t>
            </w:r>
          </w:p>
        </w:tc>
        <w:tc>
          <w:tcPr>
            <w:tcW w:w="5408" w:type="dxa"/>
            <w:tcBorders>
              <w:top w:val="single" w:color="auto" w:sz="4" w:space="0"/>
              <w:left w:val="single" w:color="auto" w:sz="4" w:space="0"/>
              <w:bottom w:val="single" w:color="auto" w:sz="4" w:space="0"/>
              <w:right w:val="single" w:color="auto" w:sz="4" w:space="0"/>
            </w:tcBorders>
            <w:vAlign w:val="center"/>
          </w:tcPr>
          <w:p w14:paraId="35CA72A7">
            <w:pPr>
              <w:adjustRightInd w:val="0"/>
              <w:snapToGrid w:val="0"/>
              <w:spacing w:line="360" w:lineRule="auto"/>
              <w:rPr>
                <w:rFonts w:ascii="宋体" w:hAnsi="宋体" w:cs="宋体"/>
                <w:color w:val="auto"/>
                <w:szCs w:val="21"/>
                <w:highlight w:val="none"/>
              </w:rPr>
            </w:pPr>
          </w:p>
        </w:tc>
      </w:tr>
      <w:tr w14:paraId="17415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7AF506F4">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交货地点</w:t>
            </w:r>
          </w:p>
        </w:tc>
        <w:tc>
          <w:tcPr>
            <w:tcW w:w="5408" w:type="dxa"/>
            <w:tcBorders>
              <w:top w:val="single" w:color="auto" w:sz="4" w:space="0"/>
              <w:left w:val="single" w:color="auto" w:sz="4" w:space="0"/>
              <w:bottom w:val="single" w:color="auto" w:sz="4" w:space="0"/>
              <w:right w:val="single" w:color="auto" w:sz="4" w:space="0"/>
            </w:tcBorders>
            <w:vAlign w:val="center"/>
          </w:tcPr>
          <w:p w14:paraId="4CBD4D6C">
            <w:pPr>
              <w:adjustRightInd w:val="0"/>
              <w:snapToGrid w:val="0"/>
              <w:spacing w:line="360" w:lineRule="auto"/>
              <w:rPr>
                <w:rFonts w:ascii="宋体" w:hAnsi="宋体" w:cs="宋体"/>
                <w:color w:val="auto"/>
                <w:szCs w:val="21"/>
                <w:highlight w:val="none"/>
              </w:rPr>
            </w:pPr>
          </w:p>
        </w:tc>
      </w:tr>
      <w:tr w14:paraId="0B645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4D3B2BC">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谈判保证金形式</w:t>
            </w:r>
          </w:p>
        </w:tc>
        <w:tc>
          <w:tcPr>
            <w:tcW w:w="5408" w:type="dxa"/>
            <w:tcBorders>
              <w:top w:val="single" w:color="auto" w:sz="4" w:space="0"/>
              <w:left w:val="single" w:color="auto" w:sz="4" w:space="0"/>
              <w:bottom w:val="single" w:color="auto" w:sz="4" w:space="0"/>
              <w:right w:val="single" w:color="auto" w:sz="4" w:space="0"/>
            </w:tcBorders>
            <w:vAlign w:val="center"/>
          </w:tcPr>
          <w:p w14:paraId="0D69D793">
            <w:pPr>
              <w:adjustRightInd w:val="0"/>
              <w:snapToGrid w:val="0"/>
              <w:spacing w:line="360" w:lineRule="auto"/>
              <w:rPr>
                <w:rFonts w:ascii="宋体" w:hAnsi="宋体" w:cs="宋体"/>
                <w:color w:val="auto"/>
                <w:szCs w:val="21"/>
                <w:highlight w:val="none"/>
              </w:rPr>
            </w:pPr>
          </w:p>
        </w:tc>
      </w:tr>
      <w:tr w14:paraId="3346F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7876" w:type="dxa"/>
            <w:gridSpan w:val="2"/>
            <w:tcBorders>
              <w:top w:val="single" w:color="auto" w:sz="4" w:space="0"/>
              <w:left w:val="single" w:color="auto" w:sz="4" w:space="0"/>
              <w:bottom w:val="single" w:color="auto" w:sz="4" w:space="0"/>
              <w:right w:val="single" w:color="auto" w:sz="4" w:space="0"/>
            </w:tcBorders>
            <w:vAlign w:val="center"/>
          </w:tcPr>
          <w:p w14:paraId="2CACB849">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备 注</w:t>
            </w:r>
          </w:p>
        </w:tc>
      </w:tr>
    </w:tbl>
    <w:p w14:paraId="21298345">
      <w:pPr>
        <w:adjustRightInd w:val="0"/>
        <w:snapToGrid w:val="0"/>
        <w:spacing w:line="360" w:lineRule="auto"/>
        <w:ind w:firstLine="2" w:firstLineChars="1"/>
        <w:jc w:val="left"/>
        <w:rPr>
          <w:rFonts w:ascii="宋体" w:hAnsi="宋体" w:cs="宋体"/>
          <w:color w:val="auto"/>
          <w:szCs w:val="21"/>
          <w:highlight w:val="none"/>
        </w:rPr>
      </w:pPr>
    </w:p>
    <w:p w14:paraId="3B11571C">
      <w:pPr>
        <w:adjustRightInd w:val="0"/>
        <w:snapToGrid w:val="0"/>
        <w:spacing w:line="360" w:lineRule="auto"/>
        <w:ind w:firstLine="2" w:firstLineChars="1"/>
        <w:jc w:val="left"/>
        <w:rPr>
          <w:rFonts w:ascii="宋体" w:hAnsi="宋体" w:cs="宋体"/>
          <w:color w:val="auto"/>
          <w:szCs w:val="21"/>
          <w:highlight w:val="none"/>
        </w:rPr>
      </w:pPr>
      <w:r>
        <w:rPr>
          <w:rFonts w:hint="eastAsia" w:ascii="宋体" w:hAnsi="宋体" w:cs="宋体"/>
          <w:color w:val="auto"/>
          <w:szCs w:val="21"/>
          <w:highlight w:val="none"/>
        </w:rPr>
        <w:t>供应商：（加盖供应商电子公章）</w:t>
      </w:r>
    </w:p>
    <w:p w14:paraId="63CA07C7">
      <w:pPr>
        <w:adjustRightInd w:val="0"/>
        <w:snapToGrid w:val="0"/>
        <w:spacing w:line="360" w:lineRule="auto"/>
        <w:ind w:firstLine="2" w:firstLineChars="1"/>
        <w:jc w:val="left"/>
        <w:rPr>
          <w:rFonts w:ascii="宋体" w:hAnsi="宋体" w:cs="宋体"/>
          <w:color w:val="auto"/>
          <w:highlight w:val="none"/>
        </w:rPr>
      </w:pPr>
    </w:p>
    <w:p w14:paraId="0FFC8B08">
      <w:pPr>
        <w:adjustRightInd w:val="0"/>
        <w:snapToGrid w:val="0"/>
        <w:spacing w:line="360" w:lineRule="auto"/>
        <w:ind w:firstLine="2" w:firstLineChars="1"/>
        <w:jc w:val="left"/>
        <w:rPr>
          <w:rFonts w:ascii="宋体" w:hAnsi="宋体" w:cs="宋体"/>
          <w:color w:val="auto"/>
          <w:szCs w:val="21"/>
          <w:highlight w:val="none"/>
        </w:rPr>
      </w:pPr>
      <w:r>
        <w:rPr>
          <w:rFonts w:hint="eastAsia" w:ascii="宋体" w:hAnsi="宋体" w:cs="宋体"/>
          <w:color w:val="auto"/>
          <w:szCs w:val="21"/>
          <w:highlight w:val="none"/>
        </w:rPr>
        <w:t>法定代表人或委托代理人：（电子签名或盖章）</w:t>
      </w:r>
    </w:p>
    <w:p w14:paraId="5C742D9F">
      <w:pPr>
        <w:adjustRightInd w:val="0"/>
        <w:snapToGrid w:val="0"/>
        <w:spacing w:line="360" w:lineRule="auto"/>
        <w:ind w:firstLine="2" w:firstLineChars="1"/>
        <w:jc w:val="left"/>
        <w:rPr>
          <w:rFonts w:ascii="宋体" w:hAnsi="宋体" w:cs="宋体"/>
          <w:color w:val="auto"/>
          <w:szCs w:val="21"/>
          <w:highlight w:val="none"/>
        </w:rPr>
      </w:pPr>
    </w:p>
    <w:p w14:paraId="4EC5D7AB">
      <w:pPr>
        <w:adjustRightInd w:val="0"/>
        <w:snapToGrid w:val="0"/>
        <w:spacing w:line="360" w:lineRule="auto"/>
        <w:ind w:firstLine="2" w:firstLineChars="1"/>
        <w:jc w:val="left"/>
        <w:rPr>
          <w:rFonts w:ascii="宋体" w:hAnsi="宋体" w:cs="宋体"/>
          <w:color w:val="auto"/>
          <w:szCs w:val="21"/>
          <w:highlight w:val="none"/>
        </w:rPr>
      </w:pPr>
      <w:r>
        <w:rPr>
          <w:rFonts w:hint="eastAsia" w:ascii="宋体" w:hAnsi="宋体" w:cs="宋体"/>
          <w:color w:val="auto"/>
          <w:szCs w:val="21"/>
          <w:highlight w:val="none"/>
        </w:rPr>
        <w:t>日期：</w:t>
      </w:r>
    </w:p>
    <w:p w14:paraId="47DEC7DA">
      <w:pPr>
        <w:rPr>
          <w:rFonts w:ascii="宋体" w:hAnsi="宋体" w:cs="宋体"/>
          <w:color w:val="auto"/>
          <w:szCs w:val="21"/>
          <w:highlight w:val="none"/>
        </w:rPr>
      </w:pPr>
      <w:bookmarkStart w:id="168" w:name="_Toc488633616"/>
      <w:bookmarkStart w:id="169" w:name="_Toc491307467"/>
      <w:bookmarkStart w:id="170" w:name="_Toc481694845"/>
      <w:bookmarkStart w:id="171" w:name="_Toc491307285"/>
      <w:bookmarkStart w:id="172" w:name="_Toc491307347"/>
      <w:r>
        <w:rPr>
          <w:rFonts w:hint="eastAsia" w:ascii="宋体" w:hAnsi="宋体" w:cs="宋体"/>
          <w:color w:val="auto"/>
          <w:szCs w:val="21"/>
          <w:highlight w:val="none"/>
        </w:rPr>
        <w:br w:type="page"/>
      </w:r>
    </w:p>
    <w:p w14:paraId="2039D0BE">
      <w:pPr>
        <w:adjustRightInd w:val="0"/>
        <w:snapToGrid w:val="0"/>
        <w:spacing w:line="360" w:lineRule="auto"/>
        <w:jc w:val="center"/>
        <w:rPr>
          <w:rFonts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三、商务技术文件</w:t>
      </w:r>
    </w:p>
    <w:p w14:paraId="313C355D">
      <w:pPr>
        <w:keepNext/>
        <w:keepLines/>
        <w:adjustRightInd w:val="0"/>
        <w:snapToGrid w:val="0"/>
        <w:spacing w:line="360" w:lineRule="auto"/>
        <w:jc w:val="left"/>
        <w:rPr>
          <w:rFonts w:ascii="宋体" w:hAnsi="宋体" w:cs="宋体"/>
          <w:b/>
          <w:color w:val="auto"/>
          <w:sz w:val="28"/>
          <w:szCs w:val="28"/>
          <w:highlight w:val="none"/>
        </w:rPr>
      </w:pPr>
      <w:r>
        <w:rPr>
          <w:rFonts w:hint="eastAsia" w:ascii="宋体" w:hAnsi="宋体" w:cs="宋体"/>
          <w:b/>
          <w:color w:val="auto"/>
          <w:sz w:val="28"/>
          <w:szCs w:val="28"/>
          <w:highlight w:val="none"/>
        </w:rPr>
        <w:t>格式9</w:t>
      </w:r>
    </w:p>
    <w:p w14:paraId="55508B45">
      <w:pPr>
        <w:keepNext/>
        <w:keepLines/>
        <w:adjustRightInd w:val="0"/>
        <w:snapToGrid w:val="0"/>
        <w:spacing w:line="360" w:lineRule="auto"/>
        <w:jc w:val="center"/>
        <w:outlineLvl w:val="1"/>
        <w:rPr>
          <w:rFonts w:ascii="宋体" w:hAnsi="宋体" w:cs="宋体"/>
          <w:b/>
          <w:bCs/>
          <w:color w:val="auto"/>
          <w:sz w:val="28"/>
          <w:szCs w:val="32"/>
          <w:highlight w:val="none"/>
        </w:rPr>
      </w:pPr>
      <w:bookmarkStart w:id="173" w:name="_Toc491307286"/>
      <w:bookmarkStart w:id="174" w:name="_Toc491307468"/>
      <w:bookmarkStart w:id="175" w:name="_Toc491307348"/>
      <w:r>
        <w:rPr>
          <w:rFonts w:hint="eastAsia" w:ascii="宋体" w:hAnsi="宋体" w:cs="宋体"/>
          <w:b/>
          <w:bCs/>
          <w:color w:val="auto"/>
          <w:sz w:val="28"/>
          <w:szCs w:val="32"/>
          <w:highlight w:val="none"/>
        </w:rPr>
        <w:t>谈判申请函</w:t>
      </w:r>
      <w:bookmarkEnd w:id="173"/>
      <w:bookmarkEnd w:id="174"/>
      <w:bookmarkEnd w:id="175"/>
    </w:p>
    <w:p w14:paraId="3F301C63">
      <w:pPr>
        <w:pStyle w:val="21"/>
        <w:snapToGrid w:val="0"/>
        <w:spacing w:line="360" w:lineRule="auto"/>
        <w:rPr>
          <w:rFonts w:hAnsi="宋体" w:cs="宋体"/>
          <w:color w:val="auto"/>
          <w:sz w:val="21"/>
          <w:szCs w:val="21"/>
          <w:highlight w:val="none"/>
        </w:rPr>
      </w:pPr>
      <w:r>
        <w:rPr>
          <w:rFonts w:hint="eastAsia" w:hAnsi="宋体" w:cs="宋体"/>
          <w:color w:val="auto"/>
          <w:sz w:val="21"/>
          <w:szCs w:val="21"/>
          <w:highlight w:val="none"/>
        </w:rPr>
        <w:t>致：</w:t>
      </w:r>
      <w:r>
        <w:rPr>
          <w:rFonts w:hint="eastAsia" w:hAnsi="宋体" w:cs="宋体"/>
          <w:color w:val="auto"/>
          <w:sz w:val="21"/>
          <w:szCs w:val="21"/>
          <w:highlight w:val="none"/>
          <w:u w:val="single"/>
        </w:rPr>
        <w:t>（采购人名称）</w:t>
      </w:r>
    </w:p>
    <w:p w14:paraId="47BDF865">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我方仔细研究了</w:t>
      </w:r>
      <w:r>
        <w:rPr>
          <w:rFonts w:hint="eastAsia" w:hAnsi="宋体" w:cs="宋体"/>
          <w:color w:val="auto"/>
          <w:sz w:val="21"/>
          <w:szCs w:val="21"/>
          <w:highlight w:val="none"/>
          <w:u w:val="single"/>
        </w:rPr>
        <w:t>（项目名称）   （项目编号：）</w:t>
      </w:r>
      <w:r>
        <w:rPr>
          <w:rFonts w:hint="eastAsia" w:hAnsi="宋体" w:cs="宋体"/>
          <w:color w:val="auto"/>
          <w:sz w:val="21"/>
          <w:szCs w:val="21"/>
          <w:highlight w:val="none"/>
        </w:rPr>
        <w:t>项目谈判文件的全部内容</w:t>
      </w:r>
      <w:r>
        <w:rPr>
          <w:rFonts w:hint="eastAsia" w:hAnsi="宋体" w:cs="宋体"/>
          <w:color w:val="auto"/>
          <w:sz w:val="21"/>
          <w:szCs w:val="21"/>
          <w:highlight w:val="none"/>
          <w:lang w:eastAsia="zh-CN"/>
        </w:rPr>
        <w:t>，</w:t>
      </w:r>
      <w:r>
        <w:rPr>
          <w:rFonts w:hint="eastAsia" w:hAnsi="宋体" w:cs="宋体"/>
          <w:color w:val="auto"/>
          <w:sz w:val="21"/>
          <w:szCs w:val="21"/>
          <w:highlight w:val="none"/>
        </w:rPr>
        <w:t>正式授权</w:t>
      </w:r>
      <w:r>
        <w:rPr>
          <w:rFonts w:hint="eastAsia" w:hAnsi="宋体" w:cs="宋体"/>
          <w:color w:val="auto"/>
          <w:sz w:val="21"/>
          <w:szCs w:val="21"/>
          <w:highlight w:val="none"/>
          <w:u w:val="single"/>
        </w:rPr>
        <w:t xml:space="preserve">   （姓名和职务）     </w:t>
      </w:r>
      <w:r>
        <w:rPr>
          <w:rFonts w:hint="eastAsia" w:hAnsi="宋体" w:cs="宋体"/>
          <w:color w:val="auto"/>
          <w:sz w:val="21"/>
          <w:szCs w:val="21"/>
          <w:highlight w:val="none"/>
        </w:rPr>
        <w:t>全权代表供应商</w:t>
      </w:r>
      <w:r>
        <w:rPr>
          <w:rFonts w:hint="eastAsia" w:hAnsi="宋体" w:cs="宋体"/>
          <w:color w:val="auto"/>
          <w:sz w:val="21"/>
          <w:szCs w:val="21"/>
          <w:highlight w:val="none"/>
          <w:u w:val="single"/>
        </w:rPr>
        <w:t xml:space="preserve">  （供应商全称）   </w:t>
      </w:r>
      <w:r>
        <w:rPr>
          <w:rFonts w:hint="eastAsia" w:hAnsi="宋体" w:cs="宋体"/>
          <w:color w:val="auto"/>
          <w:sz w:val="21"/>
          <w:szCs w:val="21"/>
          <w:highlight w:val="none"/>
        </w:rPr>
        <w:t>参加谈判</w:t>
      </w:r>
      <w:r>
        <w:rPr>
          <w:rFonts w:hint="eastAsia" w:hAnsi="宋体" w:cs="宋体"/>
          <w:color w:val="auto"/>
          <w:sz w:val="21"/>
          <w:szCs w:val="21"/>
          <w:highlight w:val="none"/>
          <w:lang w:eastAsia="zh-CN"/>
        </w:rPr>
        <w:t>，</w:t>
      </w:r>
      <w:r>
        <w:rPr>
          <w:rFonts w:hint="eastAsia" w:hAnsi="宋体" w:cs="宋体"/>
          <w:color w:val="auto"/>
          <w:sz w:val="21"/>
          <w:szCs w:val="21"/>
          <w:highlight w:val="none"/>
        </w:rPr>
        <w:t>并提交响应文件。</w:t>
      </w:r>
    </w:p>
    <w:p w14:paraId="2B21F202">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据此函</w:t>
      </w:r>
      <w:r>
        <w:rPr>
          <w:rFonts w:hint="eastAsia" w:hAnsi="宋体" w:cs="宋体"/>
          <w:color w:val="auto"/>
          <w:sz w:val="21"/>
          <w:szCs w:val="21"/>
          <w:highlight w:val="none"/>
          <w:lang w:eastAsia="zh-CN"/>
        </w:rPr>
        <w:t>，</w:t>
      </w:r>
      <w:r>
        <w:rPr>
          <w:rFonts w:hint="eastAsia" w:hAnsi="宋体" w:cs="宋体"/>
          <w:color w:val="auto"/>
          <w:sz w:val="21"/>
          <w:szCs w:val="21"/>
          <w:highlight w:val="none"/>
        </w:rPr>
        <w:t>兹宣布同意如下：</w:t>
      </w:r>
    </w:p>
    <w:p w14:paraId="5D9D5C5E">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1.按谈判文件及采购需求和谈判报价明细表</w:t>
      </w:r>
      <w:r>
        <w:rPr>
          <w:rFonts w:hint="eastAsia" w:hAnsi="宋体" w:cs="宋体"/>
          <w:color w:val="auto"/>
          <w:sz w:val="21"/>
          <w:szCs w:val="21"/>
          <w:highlight w:val="none"/>
          <w:lang w:eastAsia="zh-CN"/>
        </w:rPr>
        <w:t>，</w:t>
      </w:r>
      <w:r>
        <w:rPr>
          <w:rFonts w:hint="eastAsia" w:hAnsi="宋体" w:cs="宋体"/>
          <w:color w:val="auto"/>
          <w:sz w:val="21"/>
          <w:szCs w:val="21"/>
          <w:highlight w:val="none"/>
        </w:rPr>
        <w:t>谈判报价（大写）</w:t>
      </w:r>
      <w:r>
        <w:rPr>
          <w:rFonts w:hint="eastAsia" w:hAnsi="宋体" w:cs="宋体"/>
          <w:color w:val="auto"/>
          <w:sz w:val="21"/>
          <w:szCs w:val="21"/>
          <w:highlight w:val="none"/>
          <w:u w:val="single"/>
        </w:rPr>
        <w:t xml:space="preserve">          </w:t>
      </w:r>
      <w:r>
        <w:rPr>
          <w:rFonts w:hint="eastAsia" w:hAnsi="宋体" w:cs="宋体"/>
          <w:color w:val="auto"/>
          <w:sz w:val="21"/>
          <w:szCs w:val="21"/>
          <w:highlight w:val="none"/>
          <w:lang w:eastAsia="zh-CN"/>
        </w:rPr>
        <w:t>，</w:t>
      </w:r>
      <w:r>
        <w:rPr>
          <w:rFonts w:hint="eastAsia" w:hAnsi="宋体" w:cs="宋体"/>
          <w:color w:val="auto"/>
          <w:sz w:val="21"/>
          <w:szCs w:val="21"/>
          <w:highlight w:val="none"/>
        </w:rPr>
        <w:t>人民币（￥</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w:t>
      </w:r>
      <w:r>
        <w:rPr>
          <w:rFonts w:hint="eastAsia" w:hAnsi="宋体" w:cs="宋体"/>
          <w:color w:val="auto"/>
          <w:sz w:val="21"/>
          <w:szCs w:val="21"/>
          <w:highlight w:val="none"/>
          <w:lang w:eastAsia="zh-CN"/>
        </w:rPr>
        <w:t>，</w:t>
      </w:r>
      <w:r>
        <w:rPr>
          <w:rFonts w:hint="eastAsia" w:hAnsi="宋体" w:cs="宋体"/>
          <w:color w:val="auto"/>
          <w:sz w:val="21"/>
          <w:szCs w:val="21"/>
          <w:highlight w:val="none"/>
        </w:rPr>
        <w:t>交货期：</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w:t>
      </w:r>
    </w:p>
    <w:p w14:paraId="4F12BD6F">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2.我方已详细审查谈判文件的全部内容</w:t>
      </w:r>
      <w:r>
        <w:rPr>
          <w:rFonts w:hint="eastAsia" w:hAnsi="宋体" w:cs="宋体"/>
          <w:color w:val="auto"/>
          <w:sz w:val="21"/>
          <w:szCs w:val="21"/>
          <w:highlight w:val="none"/>
          <w:lang w:eastAsia="zh-CN"/>
        </w:rPr>
        <w:t>，</w:t>
      </w:r>
      <w:r>
        <w:rPr>
          <w:rFonts w:hint="eastAsia" w:hAnsi="宋体" w:cs="宋体"/>
          <w:color w:val="auto"/>
          <w:sz w:val="21"/>
          <w:szCs w:val="21"/>
          <w:highlight w:val="none"/>
        </w:rPr>
        <w:t>包括</w:t>
      </w:r>
      <w:r>
        <w:rPr>
          <w:rFonts w:hint="eastAsia" w:hAnsi="宋体" w:cs="宋体"/>
          <w:color w:val="auto"/>
          <w:sz w:val="21"/>
          <w:szCs w:val="21"/>
          <w:highlight w:val="none"/>
          <w:u w:val="single"/>
        </w:rPr>
        <w:t>（澄清文件）（如果有）</w:t>
      </w:r>
      <w:r>
        <w:rPr>
          <w:rFonts w:hint="eastAsia" w:hAnsi="宋体" w:cs="宋体"/>
          <w:color w:val="auto"/>
          <w:sz w:val="21"/>
          <w:szCs w:val="21"/>
          <w:highlight w:val="none"/>
        </w:rPr>
        <w:t>。我方完全理解谈判文件相关要求</w:t>
      </w:r>
      <w:r>
        <w:rPr>
          <w:rFonts w:hint="eastAsia" w:hAnsi="宋体" w:cs="宋体"/>
          <w:color w:val="auto"/>
          <w:sz w:val="21"/>
          <w:szCs w:val="21"/>
          <w:highlight w:val="none"/>
          <w:lang w:eastAsia="zh-CN"/>
        </w:rPr>
        <w:t>，</w:t>
      </w:r>
      <w:r>
        <w:rPr>
          <w:rFonts w:hint="eastAsia" w:hAnsi="宋体" w:cs="宋体"/>
          <w:color w:val="auto"/>
          <w:sz w:val="21"/>
          <w:szCs w:val="21"/>
          <w:highlight w:val="none"/>
        </w:rPr>
        <w:t>并承担对谈判文件有不明及误解的后果。</w:t>
      </w:r>
    </w:p>
    <w:p w14:paraId="7423FB6E">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3.在供应商须知规定的提交日期起遵循本谈判文件</w:t>
      </w:r>
      <w:r>
        <w:rPr>
          <w:rFonts w:hint="eastAsia" w:hAnsi="宋体" w:cs="宋体"/>
          <w:color w:val="auto"/>
          <w:sz w:val="21"/>
          <w:szCs w:val="21"/>
          <w:highlight w:val="none"/>
          <w:lang w:eastAsia="zh-CN"/>
        </w:rPr>
        <w:t>，</w:t>
      </w:r>
      <w:r>
        <w:rPr>
          <w:rFonts w:hint="eastAsia" w:hAnsi="宋体" w:cs="宋体"/>
          <w:color w:val="auto"/>
          <w:sz w:val="21"/>
          <w:szCs w:val="21"/>
          <w:highlight w:val="none"/>
        </w:rPr>
        <w:t>并在供应商须知第17.1条规定的响应文件有效期届满之日前均具有约束力。</w:t>
      </w:r>
    </w:p>
    <w:p w14:paraId="3D8BA2D7">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4.同意谈判文件中关于没收谈判保证金的规定。</w:t>
      </w:r>
    </w:p>
    <w:p w14:paraId="311B0CD5">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5.同意应贵方要求提供与本项目有关的任何数据或资料</w:t>
      </w:r>
      <w:r>
        <w:rPr>
          <w:rFonts w:hint="eastAsia" w:hAnsi="宋体" w:cs="宋体"/>
          <w:color w:val="auto"/>
          <w:sz w:val="21"/>
          <w:szCs w:val="21"/>
          <w:highlight w:val="none"/>
          <w:lang w:eastAsia="zh-CN"/>
        </w:rPr>
        <w:t>，</w:t>
      </w:r>
      <w:r>
        <w:rPr>
          <w:rFonts w:hint="eastAsia" w:hAnsi="宋体" w:cs="宋体"/>
          <w:color w:val="auto"/>
          <w:sz w:val="21"/>
          <w:szCs w:val="21"/>
          <w:highlight w:val="none"/>
        </w:rPr>
        <w:t>并保证数据和资料的完整性和真实性。</w:t>
      </w:r>
    </w:p>
    <w:p w14:paraId="137B2E7E">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6.如我方成交：</w:t>
      </w:r>
    </w:p>
    <w:p w14:paraId="052F8B63">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（1）我方承诺在收到成交通知书后</w:t>
      </w:r>
      <w:r>
        <w:rPr>
          <w:rFonts w:hint="eastAsia" w:hAnsi="宋体" w:cs="宋体"/>
          <w:color w:val="auto"/>
          <w:sz w:val="21"/>
          <w:szCs w:val="21"/>
          <w:highlight w:val="none"/>
          <w:lang w:eastAsia="zh-CN"/>
        </w:rPr>
        <w:t>，</w:t>
      </w:r>
      <w:r>
        <w:rPr>
          <w:rFonts w:hint="eastAsia" w:hAnsi="宋体" w:cs="宋体"/>
          <w:color w:val="auto"/>
          <w:sz w:val="21"/>
          <w:szCs w:val="21"/>
          <w:highlight w:val="none"/>
        </w:rPr>
        <w:t>在成交通知书规定的期限内与你方签订合同</w:t>
      </w:r>
      <w:r>
        <w:rPr>
          <w:rFonts w:hint="eastAsia" w:hAnsi="宋体" w:cs="宋体"/>
          <w:color w:val="auto"/>
          <w:sz w:val="21"/>
          <w:szCs w:val="21"/>
          <w:highlight w:val="none"/>
          <w:lang w:eastAsia="zh-CN"/>
        </w:rPr>
        <w:t>，</w:t>
      </w:r>
      <w:r>
        <w:rPr>
          <w:rFonts w:hint="eastAsia" w:hAnsi="宋体" w:cs="宋体"/>
          <w:color w:val="auto"/>
          <w:sz w:val="21"/>
          <w:szCs w:val="21"/>
          <w:highlight w:val="none"/>
        </w:rPr>
        <w:t>并履行相应的合同责任和义务。</w:t>
      </w:r>
    </w:p>
    <w:p w14:paraId="3D85B4C6">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（2）我方承诺按照竞争性谈判文件的规定向你方递交履约保证金。</w:t>
      </w:r>
    </w:p>
    <w:p w14:paraId="3595EBF1">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（3）我方承诺将承担售后服务及质量责任。</w:t>
      </w:r>
    </w:p>
    <w:p w14:paraId="56D46CD3">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7.我方在此声明</w:t>
      </w:r>
      <w:r>
        <w:rPr>
          <w:rFonts w:hint="eastAsia" w:hAnsi="宋体" w:cs="宋体"/>
          <w:color w:val="auto"/>
          <w:sz w:val="21"/>
          <w:szCs w:val="21"/>
          <w:highlight w:val="none"/>
          <w:lang w:eastAsia="zh-CN"/>
        </w:rPr>
        <w:t>，</w:t>
      </w:r>
      <w:r>
        <w:rPr>
          <w:rFonts w:hint="eastAsia" w:hAnsi="宋体" w:cs="宋体"/>
          <w:color w:val="auto"/>
          <w:sz w:val="21"/>
          <w:szCs w:val="21"/>
          <w:highlight w:val="none"/>
        </w:rPr>
        <w:t>所递交的响应文件及有关资料内容完整、真实和准确。</w:t>
      </w:r>
    </w:p>
    <w:p w14:paraId="173EFFA8">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8.</w:t>
      </w:r>
      <w:r>
        <w:rPr>
          <w:rFonts w:hint="eastAsia" w:hAnsi="宋体" w:cs="宋体"/>
          <w:color w:val="auto"/>
          <w:sz w:val="21"/>
          <w:szCs w:val="21"/>
          <w:highlight w:val="none"/>
          <w:u w:val="single"/>
        </w:rPr>
        <w:t>（其他补充说明）</w:t>
      </w:r>
      <w:r>
        <w:rPr>
          <w:rFonts w:hint="eastAsia" w:hAnsi="宋体" w:cs="宋体"/>
          <w:color w:val="auto"/>
          <w:sz w:val="21"/>
          <w:szCs w:val="21"/>
          <w:highlight w:val="none"/>
        </w:rPr>
        <w:t>。</w:t>
      </w:r>
    </w:p>
    <w:p w14:paraId="348ABBA0">
      <w:pPr>
        <w:pStyle w:val="21"/>
        <w:snapToGrid w:val="0"/>
        <w:spacing w:line="360" w:lineRule="auto"/>
        <w:ind w:firstLine="420"/>
        <w:rPr>
          <w:rFonts w:hAnsi="宋体" w:cs="宋体"/>
          <w:color w:val="auto"/>
          <w:sz w:val="21"/>
          <w:szCs w:val="21"/>
          <w:highlight w:val="none"/>
        </w:rPr>
      </w:pPr>
    </w:p>
    <w:p w14:paraId="6012A218">
      <w:pPr>
        <w:pStyle w:val="21"/>
        <w:snapToGrid w:val="0"/>
        <w:spacing w:line="360" w:lineRule="auto"/>
        <w:ind w:firstLine="422"/>
        <w:rPr>
          <w:rFonts w:hAnsi="宋体" w:cs="宋体"/>
          <w:b/>
          <w:bCs/>
          <w:color w:val="auto"/>
          <w:sz w:val="21"/>
          <w:szCs w:val="21"/>
          <w:highlight w:val="none"/>
        </w:rPr>
      </w:pPr>
      <w:r>
        <w:rPr>
          <w:rFonts w:hint="eastAsia" w:hAnsi="宋体" w:cs="宋体"/>
          <w:b/>
          <w:bCs/>
          <w:color w:val="auto"/>
          <w:sz w:val="21"/>
          <w:szCs w:val="21"/>
          <w:highlight w:val="none"/>
        </w:rPr>
        <w:t>我单位正式通讯地址为：</w:t>
      </w:r>
    </w:p>
    <w:p w14:paraId="17B8CB70">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统一社会信用代码：</w:t>
      </w:r>
    </w:p>
    <w:p w14:paraId="2BDB1DAB">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地址：</w:t>
      </w:r>
    </w:p>
    <w:p w14:paraId="0D5105F3">
      <w:pPr>
        <w:pStyle w:val="21"/>
        <w:snapToGrid w:val="0"/>
        <w:spacing w:line="360" w:lineRule="auto"/>
        <w:ind w:firstLine="420"/>
        <w:rPr>
          <w:rFonts w:hAnsi="宋体" w:cs="宋体"/>
          <w:color w:val="auto"/>
          <w:sz w:val="21"/>
          <w:szCs w:val="21"/>
          <w:highlight w:val="none"/>
          <w:u w:val="single"/>
        </w:rPr>
      </w:pPr>
      <w:r>
        <w:rPr>
          <w:rFonts w:hint="eastAsia" w:hAnsi="宋体" w:cs="宋体"/>
          <w:color w:val="auto"/>
          <w:sz w:val="21"/>
          <w:szCs w:val="21"/>
          <w:highlight w:val="none"/>
        </w:rPr>
        <w:t>邮政编码：</w:t>
      </w:r>
    </w:p>
    <w:p w14:paraId="3EEF0069">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电话：</w:t>
      </w:r>
    </w:p>
    <w:p w14:paraId="773114DF">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售后服务联系人：</w:t>
      </w:r>
    </w:p>
    <w:p w14:paraId="23871465">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售后服务联系电话：</w:t>
      </w:r>
    </w:p>
    <w:p w14:paraId="3E64F56C">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售后服务联系地址：</w:t>
      </w:r>
    </w:p>
    <w:p w14:paraId="648E519C">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邮箱：</w:t>
      </w:r>
    </w:p>
    <w:p w14:paraId="3F7413D7">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传真：</w:t>
      </w:r>
    </w:p>
    <w:p w14:paraId="269CBD32">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开户名称：</w:t>
      </w:r>
    </w:p>
    <w:p w14:paraId="1F6C2F5A">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开户银行：</w:t>
      </w:r>
    </w:p>
    <w:p w14:paraId="1EBE34F2">
      <w:pPr>
        <w:pStyle w:val="21"/>
        <w:snapToGrid w:val="0"/>
        <w:spacing w:line="360" w:lineRule="auto"/>
        <w:ind w:firstLine="420"/>
        <w:rPr>
          <w:rFonts w:hAnsi="宋体" w:cs="宋体"/>
          <w:color w:val="auto"/>
          <w:sz w:val="21"/>
          <w:szCs w:val="21"/>
          <w:highlight w:val="none"/>
        </w:rPr>
      </w:pPr>
      <w:r>
        <w:rPr>
          <w:rFonts w:hint="eastAsia" w:hAnsi="宋体" w:cs="宋体"/>
          <w:color w:val="auto"/>
          <w:sz w:val="21"/>
          <w:szCs w:val="21"/>
          <w:highlight w:val="none"/>
        </w:rPr>
        <w:t>帐号：</w:t>
      </w:r>
    </w:p>
    <w:p w14:paraId="72D25D65">
      <w:pPr>
        <w:adjustRightInd w:val="0"/>
        <w:snapToGrid w:val="0"/>
        <w:spacing w:line="360" w:lineRule="auto"/>
        <w:rPr>
          <w:rFonts w:ascii="宋体" w:hAnsi="宋体" w:cs="宋体"/>
          <w:color w:val="auto"/>
          <w:szCs w:val="21"/>
          <w:highlight w:val="none"/>
        </w:rPr>
      </w:pPr>
    </w:p>
    <w:p w14:paraId="61C8856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供应商：（加盖供应商电子公章）</w:t>
      </w:r>
    </w:p>
    <w:p w14:paraId="18928D75">
      <w:pPr>
        <w:adjustRightInd w:val="0"/>
        <w:snapToGrid w:val="0"/>
        <w:spacing w:line="360" w:lineRule="auto"/>
        <w:ind w:firstLine="2" w:firstLineChars="1"/>
        <w:jc w:val="left"/>
        <w:rPr>
          <w:rFonts w:ascii="宋体" w:hAnsi="宋体" w:cs="宋体"/>
          <w:color w:val="auto"/>
          <w:highlight w:val="none"/>
        </w:rPr>
      </w:pPr>
    </w:p>
    <w:p w14:paraId="624088E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法定代表人或委托代理人：（电子签名或盖章）</w:t>
      </w:r>
    </w:p>
    <w:p w14:paraId="612D1A5B">
      <w:pPr>
        <w:adjustRightInd w:val="0"/>
        <w:snapToGrid w:val="0"/>
        <w:spacing w:line="360" w:lineRule="auto"/>
        <w:ind w:firstLine="2" w:firstLineChars="1"/>
        <w:jc w:val="left"/>
        <w:rPr>
          <w:rFonts w:ascii="宋体" w:hAnsi="宋体" w:cs="宋体"/>
          <w:color w:val="auto"/>
          <w:szCs w:val="21"/>
          <w:highlight w:val="none"/>
        </w:rPr>
      </w:pPr>
    </w:p>
    <w:p w14:paraId="351BA40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日期：</w:t>
      </w:r>
    </w:p>
    <w:p w14:paraId="44AE0AD9">
      <w:pPr>
        <w:rPr>
          <w:rFonts w:ascii="宋体" w:hAnsi="宋体" w:cs="宋体"/>
          <w:color w:val="auto"/>
          <w:szCs w:val="21"/>
          <w:highlight w:val="none"/>
        </w:rPr>
        <w:sectPr>
          <w:footerReference r:id="rId8" w:type="first"/>
          <w:footerReference r:id="rId7" w:type="default"/>
          <w:pgSz w:w="11906" w:h="16838"/>
          <w:pgMar w:top="1440" w:right="1800" w:bottom="1440" w:left="1800" w:header="510" w:footer="680" w:gutter="0"/>
          <w:pgNumType w:start="1"/>
          <w:cols w:space="720" w:num="1"/>
          <w:titlePg/>
          <w:docGrid w:type="linesAndChars" w:linePitch="312" w:charSpace="0"/>
        </w:sectPr>
      </w:pPr>
      <w:r>
        <w:rPr>
          <w:rFonts w:hint="eastAsia" w:ascii="宋体" w:hAnsi="宋体" w:cs="宋体"/>
          <w:color w:val="auto"/>
          <w:szCs w:val="21"/>
          <w:highlight w:val="none"/>
        </w:rPr>
        <w:br w:type="page"/>
      </w:r>
    </w:p>
    <w:p w14:paraId="2EB94307">
      <w:pPr>
        <w:keepNext/>
        <w:keepLines/>
        <w:adjustRightInd w:val="0"/>
        <w:snapToGrid w:val="0"/>
        <w:spacing w:line="360" w:lineRule="auto"/>
        <w:jc w:val="left"/>
        <w:rPr>
          <w:rFonts w:ascii="宋体" w:hAnsi="宋体" w:cs="宋体"/>
          <w:b/>
          <w:color w:val="auto"/>
          <w:sz w:val="28"/>
          <w:szCs w:val="28"/>
          <w:highlight w:val="none"/>
        </w:rPr>
      </w:pPr>
      <w:r>
        <w:rPr>
          <w:rFonts w:hint="eastAsia" w:ascii="宋体" w:hAnsi="宋体" w:cs="宋体"/>
          <w:b/>
          <w:color w:val="auto"/>
          <w:sz w:val="28"/>
          <w:szCs w:val="28"/>
          <w:highlight w:val="none"/>
        </w:rPr>
        <w:t>格式10</w:t>
      </w:r>
    </w:p>
    <w:p w14:paraId="3E629DA7">
      <w:pPr>
        <w:keepNext/>
        <w:keepLines/>
        <w:adjustRightInd w:val="0"/>
        <w:snapToGrid w:val="0"/>
        <w:spacing w:line="360" w:lineRule="auto"/>
        <w:jc w:val="center"/>
        <w:outlineLvl w:val="1"/>
        <w:rPr>
          <w:rFonts w:ascii="宋体" w:hAnsi="宋体" w:cs="宋体"/>
          <w:b/>
          <w:bCs/>
          <w:color w:val="auto"/>
          <w:sz w:val="32"/>
          <w:szCs w:val="32"/>
          <w:highlight w:val="none"/>
        </w:rPr>
      </w:pPr>
      <w:bookmarkStart w:id="176" w:name="_Toc18853"/>
      <w:bookmarkStart w:id="177" w:name="_Toc3586"/>
      <w:r>
        <w:rPr>
          <w:rFonts w:hint="eastAsia" w:ascii="宋体" w:hAnsi="宋体" w:cs="宋体"/>
          <w:b/>
          <w:bCs/>
          <w:color w:val="auto"/>
          <w:sz w:val="32"/>
          <w:szCs w:val="32"/>
          <w:highlight w:val="none"/>
        </w:rPr>
        <w:t>报价汇总表</w:t>
      </w:r>
      <w:bookmarkEnd w:id="176"/>
      <w:bookmarkEnd w:id="177"/>
    </w:p>
    <w:p w14:paraId="54074B6E">
      <w:pPr>
        <w:pStyle w:val="21"/>
        <w:spacing w:line="360" w:lineRule="auto"/>
        <w:rPr>
          <w:rFonts w:hAnsi="宋体" w:cs="宋体"/>
          <w:b/>
          <w:color w:val="auto"/>
          <w:sz w:val="21"/>
          <w:szCs w:val="21"/>
          <w:highlight w:val="none"/>
          <w:u w:val="single"/>
        </w:rPr>
      </w:pPr>
      <w:r>
        <w:rPr>
          <w:rFonts w:hint="eastAsia" w:hAnsi="宋体" w:cs="宋体"/>
          <w:b/>
          <w:color w:val="auto"/>
          <w:sz w:val="21"/>
          <w:szCs w:val="21"/>
          <w:highlight w:val="none"/>
        </w:rPr>
        <w:t>项目名称：</w:t>
      </w:r>
    </w:p>
    <w:p w14:paraId="5FE8DEFA">
      <w:pPr>
        <w:pStyle w:val="21"/>
        <w:spacing w:line="360" w:lineRule="auto"/>
        <w:rPr>
          <w:rFonts w:hAnsi="宋体" w:cs="宋体"/>
          <w:b/>
          <w:color w:val="auto"/>
          <w:sz w:val="21"/>
          <w:szCs w:val="21"/>
          <w:highlight w:val="none"/>
        </w:rPr>
      </w:pPr>
      <w:r>
        <w:rPr>
          <w:rFonts w:hint="eastAsia" w:hAnsi="宋体" w:cs="宋体"/>
          <w:b/>
          <w:color w:val="auto"/>
          <w:sz w:val="21"/>
          <w:szCs w:val="21"/>
          <w:highlight w:val="none"/>
        </w:rPr>
        <w:t>项目编号：</w:t>
      </w:r>
    </w:p>
    <w:tbl>
      <w:tblPr>
        <w:tblStyle w:val="42"/>
        <w:tblW w:w="13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84"/>
        <w:gridCol w:w="2086"/>
        <w:gridCol w:w="876"/>
        <w:gridCol w:w="1221"/>
        <w:gridCol w:w="1469"/>
        <w:gridCol w:w="958"/>
        <w:gridCol w:w="1157"/>
        <w:gridCol w:w="1507"/>
        <w:gridCol w:w="1624"/>
        <w:gridCol w:w="1539"/>
        <w:gridCol w:w="765"/>
      </w:tblGrid>
      <w:tr w14:paraId="7A70F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76" w:hRule="atLeast"/>
          <w:jc w:val="center"/>
        </w:trPr>
        <w:tc>
          <w:tcPr>
            <w:tcW w:w="584" w:type="dxa"/>
            <w:vAlign w:val="center"/>
          </w:tcPr>
          <w:p w14:paraId="0F4D252F">
            <w:pPr>
              <w:widowControl/>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2086" w:type="dxa"/>
            <w:vAlign w:val="center"/>
          </w:tcPr>
          <w:p w14:paraId="4A8028C2">
            <w:pPr>
              <w:widowControl/>
              <w:spacing w:line="360" w:lineRule="auto"/>
              <w:jc w:val="center"/>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产品（标的）名称</w:t>
            </w:r>
          </w:p>
        </w:tc>
        <w:tc>
          <w:tcPr>
            <w:tcW w:w="876" w:type="dxa"/>
            <w:vAlign w:val="center"/>
          </w:tcPr>
          <w:p w14:paraId="3344916D">
            <w:pPr>
              <w:widowControl/>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品牌</w:t>
            </w:r>
          </w:p>
        </w:tc>
        <w:tc>
          <w:tcPr>
            <w:tcW w:w="1221" w:type="dxa"/>
            <w:vAlign w:val="center"/>
          </w:tcPr>
          <w:p w14:paraId="6E3F7EB9">
            <w:pPr>
              <w:widowControl/>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型号和规格</w:t>
            </w:r>
          </w:p>
        </w:tc>
        <w:tc>
          <w:tcPr>
            <w:tcW w:w="1469" w:type="dxa"/>
            <w:vAlign w:val="center"/>
          </w:tcPr>
          <w:p w14:paraId="0DCB1C5D">
            <w:pPr>
              <w:widowControl/>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生产制造商名称、国别</w:t>
            </w:r>
          </w:p>
        </w:tc>
        <w:tc>
          <w:tcPr>
            <w:tcW w:w="958" w:type="dxa"/>
            <w:shd w:val="clear" w:color="auto" w:fill="auto"/>
            <w:vAlign w:val="center"/>
          </w:tcPr>
          <w:p w14:paraId="39C2B480">
            <w:pPr>
              <w:widowControl/>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数量</w:t>
            </w:r>
          </w:p>
        </w:tc>
        <w:tc>
          <w:tcPr>
            <w:tcW w:w="1157" w:type="dxa"/>
            <w:shd w:val="clear" w:color="auto" w:fill="auto"/>
            <w:vAlign w:val="center"/>
          </w:tcPr>
          <w:p w14:paraId="41F0C092">
            <w:pPr>
              <w:widowControl/>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计量单位</w:t>
            </w:r>
          </w:p>
        </w:tc>
        <w:tc>
          <w:tcPr>
            <w:tcW w:w="1507" w:type="dxa"/>
            <w:vAlign w:val="center"/>
          </w:tcPr>
          <w:p w14:paraId="2F7388EB">
            <w:pPr>
              <w:widowControl/>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单价最高限价（元）</w:t>
            </w:r>
          </w:p>
        </w:tc>
        <w:tc>
          <w:tcPr>
            <w:tcW w:w="1624" w:type="dxa"/>
            <w:vAlign w:val="center"/>
          </w:tcPr>
          <w:p w14:paraId="6DA6DAD7">
            <w:pPr>
              <w:widowControl/>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单价（元）</w:t>
            </w:r>
          </w:p>
        </w:tc>
        <w:tc>
          <w:tcPr>
            <w:tcW w:w="1539" w:type="dxa"/>
            <w:vAlign w:val="center"/>
          </w:tcPr>
          <w:p w14:paraId="4DD31E89">
            <w:pPr>
              <w:widowControl/>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合计（元）</w:t>
            </w:r>
          </w:p>
        </w:tc>
        <w:tc>
          <w:tcPr>
            <w:tcW w:w="765" w:type="dxa"/>
            <w:vAlign w:val="center"/>
          </w:tcPr>
          <w:p w14:paraId="4E8DB6AB">
            <w:pPr>
              <w:widowControl/>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备注</w:t>
            </w:r>
          </w:p>
        </w:tc>
      </w:tr>
      <w:tr w14:paraId="21E0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70E5941A">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p>
        </w:tc>
        <w:tc>
          <w:tcPr>
            <w:tcW w:w="2086" w:type="dxa"/>
            <w:shd w:val="clear" w:color="auto" w:fill="auto"/>
            <w:vAlign w:val="center"/>
          </w:tcPr>
          <w:p w14:paraId="234BFD65">
            <w:pPr>
              <w:widowControl/>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手持式无人机A套装</w:t>
            </w:r>
          </w:p>
        </w:tc>
        <w:tc>
          <w:tcPr>
            <w:tcW w:w="876" w:type="dxa"/>
            <w:vAlign w:val="center"/>
          </w:tcPr>
          <w:p w14:paraId="5B3FF4F9">
            <w:pPr>
              <w:widowControl/>
              <w:spacing w:line="360" w:lineRule="auto"/>
              <w:jc w:val="center"/>
              <w:rPr>
                <w:rFonts w:ascii="宋体" w:hAnsi="宋体" w:cs="宋体"/>
                <w:color w:val="auto"/>
                <w:szCs w:val="21"/>
                <w:highlight w:val="none"/>
              </w:rPr>
            </w:pPr>
          </w:p>
        </w:tc>
        <w:tc>
          <w:tcPr>
            <w:tcW w:w="1221" w:type="dxa"/>
            <w:vAlign w:val="center"/>
          </w:tcPr>
          <w:p w14:paraId="3A2717D8">
            <w:pPr>
              <w:widowControl/>
              <w:spacing w:line="360" w:lineRule="auto"/>
              <w:jc w:val="center"/>
              <w:rPr>
                <w:rFonts w:ascii="宋体" w:hAnsi="宋体" w:cs="宋体"/>
                <w:color w:val="auto"/>
                <w:szCs w:val="21"/>
                <w:highlight w:val="none"/>
              </w:rPr>
            </w:pPr>
          </w:p>
        </w:tc>
        <w:tc>
          <w:tcPr>
            <w:tcW w:w="1469" w:type="dxa"/>
            <w:vAlign w:val="center"/>
          </w:tcPr>
          <w:p w14:paraId="404955AB">
            <w:pPr>
              <w:widowControl/>
              <w:spacing w:line="360" w:lineRule="auto"/>
              <w:jc w:val="center"/>
              <w:rPr>
                <w:rFonts w:ascii="宋体" w:hAnsi="宋体" w:cs="宋体"/>
                <w:color w:val="auto"/>
                <w:szCs w:val="21"/>
                <w:highlight w:val="none"/>
              </w:rPr>
            </w:pPr>
          </w:p>
        </w:tc>
        <w:tc>
          <w:tcPr>
            <w:tcW w:w="958" w:type="dxa"/>
            <w:shd w:val="clear" w:color="auto" w:fill="auto"/>
            <w:vAlign w:val="center"/>
          </w:tcPr>
          <w:p w14:paraId="05CFC96A">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p>
        </w:tc>
        <w:tc>
          <w:tcPr>
            <w:tcW w:w="1157" w:type="dxa"/>
            <w:shd w:val="clear" w:color="auto" w:fill="auto"/>
            <w:vAlign w:val="center"/>
          </w:tcPr>
          <w:p w14:paraId="31AAD3AF">
            <w:pPr>
              <w:widowControl/>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套</w:t>
            </w:r>
          </w:p>
        </w:tc>
        <w:tc>
          <w:tcPr>
            <w:tcW w:w="1507" w:type="dxa"/>
            <w:shd w:val="clear" w:color="000000" w:fill="FFFFFF"/>
            <w:vAlign w:val="center"/>
          </w:tcPr>
          <w:p w14:paraId="652A8CAB">
            <w:pPr>
              <w:widowControl/>
              <w:spacing w:line="360"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98716.00 </w:t>
            </w:r>
          </w:p>
        </w:tc>
        <w:tc>
          <w:tcPr>
            <w:tcW w:w="1624" w:type="dxa"/>
            <w:vAlign w:val="center"/>
          </w:tcPr>
          <w:p w14:paraId="06ABC097">
            <w:pPr>
              <w:widowControl/>
              <w:spacing w:line="360" w:lineRule="auto"/>
              <w:jc w:val="center"/>
              <w:rPr>
                <w:rFonts w:ascii="宋体" w:hAnsi="宋体" w:cs="宋体"/>
                <w:color w:val="auto"/>
                <w:szCs w:val="21"/>
                <w:highlight w:val="none"/>
              </w:rPr>
            </w:pPr>
          </w:p>
        </w:tc>
        <w:tc>
          <w:tcPr>
            <w:tcW w:w="1539" w:type="dxa"/>
            <w:vAlign w:val="center"/>
          </w:tcPr>
          <w:p w14:paraId="436AF20C">
            <w:pPr>
              <w:widowControl/>
              <w:spacing w:line="360" w:lineRule="auto"/>
              <w:jc w:val="center"/>
              <w:rPr>
                <w:rFonts w:ascii="宋体" w:hAnsi="宋体" w:cs="宋体"/>
                <w:color w:val="auto"/>
                <w:szCs w:val="21"/>
                <w:highlight w:val="none"/>
              </w:rPr>
            </w:pPr>
          </w:p>
        </w:tc>
        <w:tc>
          <w:tcPr>
            <w:tcW w:w="765" w:type="dxa"/>
            <w:vAlign w:val="center"/>
          </w:tcPr>
          <w:p w14:paraId="79AA29DF">
            <w:pPr>
              <w:widowControl/>
              <w:spacing w:line="360" w:lineRule="auto"/>
              <w:jc w:val="center"/>
              <w:rPr>
                <w:rFonts w:ascii="宋体" w:hAnsi="宋体" w:cs="宋体"/>
                <w:color w:val="auto"/>
                <w:szCs w:val="21"/>
                <w:highlight w:val="none"/>
              </w:rPr>
            </w:pPr>
          </w:p>
        </w:tc>
      </w:tr>
      <w:tr w14:paraId="57243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0B3E9832">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w:t>
            </w:r>
          </w:p>
        </w:tc>
        <w:tc>
          <w:tcPr>
            <w:tcW w:w="2086" w:type="dxa"/>
            <w:shd w:val="clear" w:color="auto" w:fill="auto"/>
            <w:vAlign w:val="center"/>
          </w:tcPr>
          <w:p w14:paraId="3248C4A3">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手持式无人机B套装</w:t>
            </w:r>
          </w:p>
        </w:tc>
        <w:tc>
          <w:tcPr>
            <w:tcW w:w="876" w:type="dxa"/>
            <w:vAlign w:val="center"/>
          </w:tcPr>
          <w:p w14:paraId="16F09A65">
            <w:pPr>
              <w:widowControl/>
              <w:spacing w:line="360" w:lineRule="auto"/>
              <w:jc w:val="center"/>
              <w:rPr>
                <w:rFonts w:ascii="宋体" w:hAnsi="宋体" w:cs="宋体"/>
                <w:color w:val="auto"/>
                <w:szCs w:val="21"/>
                <w:highlight w:val="none"/>
              </w:rPr>
            </w:pPr>
          </w:p>
        </w:tc>
        <w:tc>
          <w:tcPr>
            <w:tcW w:w="1221" w:type="dxa"/>
            <w:vAlign w:val="center"/>
          </w:tcPr>
          <w:p w14:paraId="7D6078B1">
            <w:pPr>
              <w:widowControl/>
              <w:spacing w:line="360" w:lineRule="auto"/>
              <w:jc w:val="center"/>
              <w:rPr>
                <w:rFonts w:ascii="宋体" w:hAnsi="宋体" w:cs="宋体"/>
                <w:color w:val="auto"/>
                <w:szCs w:val="21"/>
                <w:highlight w:val="none"/>
              </w:rPr>
            </w:pPr>
          </w:p>
        </w:tc>
        <w:tc>
          <w:tcPr>
            <w:tcW w:w="1469" w:type="dxa"/>
            <w:vAlign w:val="center"/>
          </w:tcPr>
          <w:p w14:paraId="4E12DC19">
            <w:pPr>
              <w:widowControl/>
              <w:spacing w:line="360" w:lineRule="auto"/>
              <w:jc w:val="center"/>
              <w:rPr>
                <w:rFonts w:ascii="宋体" w:hAnsi="宋体" w:cs="宋体"/>
                <w:color w:val="auto"/>
                <w:szCs w:val="21"/>
                <w:highlight w:val="none"/>
              </w:rPr>
            </w:pPr>
          </w:p>
        </w:tc>
        <w:tc>
          <w:tcPr>
            <w:tcW w:w="958" w:type="dxa"/>
            <w:shd w:val="clear" w:color="auto" w:fill="auto"/>
            <w:vAlign w:val="center"/>
          </w:tcPr>
          <w:p w14:paraId="0885BAE8">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p>
        </w:tc>
        <w:tc>
          <w:tcPr>
            <w:tcW w:w="1157" w:type="dxa"/>
            <w:shd w:val="clear" w:color="auto" w:fill="auto"/>
            <w:vAlign w:val="center"/>
          </w:tcPr>
          <w:p w14:paraId="56942DDE">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套</w:t>
            </w:r>
          </w:p>
        </w:tc>
        <w:tc>
          <w:tcPr>
            <w:tcW w:w="1507" w:type="dxa"/>
            <w:shd w:val="clear" w:color="000000" w:fill="FFFFFF"/>
            <w:vAlign w:val="center"/>
          </w:tcPr>
          <w:p w14:paraId="54274FCD">
            <w:pPr>
              <w:widowControl/>
              <w:spacing w:line="360"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104386.00 </w:t>
            </w:r>
          </w:p>
        </w:tc>
        <w:tc>
          <w:tcPr>
            <w:tcW w:w="1624" w:type="dxa"/>
            <w:vAlign w:val="center"/>
          </w:tcPr>
          <w:p w14:paraId="4333B434">
            <w:pPr>
              <w:widowControl/>
              <w:spacing w:line="360" w:lineRule="auto"/>
              <w:jc w:val="center"/>
              <w:rPr>
                <w:rFonts w:ascii="宋体" w:hAnsi="宋体" w:cs="宋体"/>
                <w:color w:val="auto"/>
                <w:szCs w:val="21"/>
                <w:highlight w:val="none"/>
              </w:rPr>
            </w:pPr>
          </w:p>
        </w:tc>
        <w:tc>
          <w:tcPr>
            <w:tcW w:w="1539" w:type="dxa"/>
            <w:vAlign w:val="center"/>
          </w:tcPr>
          <w:p w14:paraId="3F8D32D3">
            <w:pPr>
              <w:widowControl/>
              <w:spacing w:line="360" w:lineRule="auto"/>
              <w:jc w:val="center"/>
              <w:rPr>
                <w:rFonts w:ascii="宋体" w:hAnsi="宋体" w:cs="宋体"/>
                <w:color w:val="auto"/>
                <w:szCs w:val="21"/>
                <w:highlight w:val="none"/>
              </w:rPr>
            </w:pPr>
          </w:p>
        </w:tc>
        <w:tc>
          <w:tcPr>
            <w:tcW w:w="765" w:type="dxa"/>
            <w:vAlign w:val="center"/>
          </w:tcPr>
          <w:p w14:paraId="3E10610E">
            <w:pPr>
              <w:widowControl/>
              <w:spacing w:line="360" w:lineRule="auto"/>
              <w:jc w:val="center"/>
              <w:rPr>
                <w:rFonts w:ascii="宋体" w:hAnsi="宋体" w:cs="宋体"/>
                <w:color w:val="auto"/>
                <w:szCs w:val="21"/>
                <w:highlight w:val="none"/>
              </w:rPr>
            </w:pPr>
          </w:p>
        </w:tc>
      </w:tr>
      <w:tr w14:paraId="0F74C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84" w:type="dxa"/>
            <w:shd w:val="clear" w:color="auto" w:fill="auto"/>
            <w:vAlign w:val="center"/>
          </w:tcPr>
          <w:p w14:paraId="50321F98">
            <w:pPr>
              <w:widowControl/>
              <w:spacing w:line="360" w:lineRule="auto"/>
              <w:jc w:val="center"/>
              <w:rPr>
                <w:rFonts w:hint="eastAsia" w:ascii="宋体" w:hAnsi="宋体" w:eastAsia="宋体" w:cs="宋体"/>
                <w:color w:val="auto"/>
                <w:szCs w:val="21"/>
                <w:highlight w:val="none"/>
                <w:lang w:val="en-US" w:eastAsia="zh-CN"/>
              </w:rPr>
            </w:pPr>
            <w:bookmarkStart w:id="178" w:name="OLE_LINK1"/>
            <w:r>
              <w:rPr>
                <w:rFonts w:hint="eastAsia" w:ascii="宋体" w:hAnsi="宋体" w:eastAsia="宋体" w:cs="宋体"/>
                <w:color w:val="auto"/>
                <w:szCs w:val="21"/>
                <w:highlight w:val="none"/>
              </w:rPr>
              <w:t>3</w:t>
            </w:r>
          </w:p>
          <w:bookmarkEnd w:id="178"/>
        </w:tc>
        <w:tc>
          <w:tcPr>
            <w:tcW w:w="2086" w:type="dxa"/>
            <w:shd w:val="clear" w:color="auto" w:fill="auto"/>
            <w:vAlign w:val="center"/>
          </w:tcPr>
          <w:p w14:paraId="442C5F3A">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机场式无人机C套装</w:t>
            </w:r>
          </w:p>
        </w:tc>
        <w:tc>
          <w:tcPr>
            <w:tcW w:w="876" w:type="dxa"/>
            <w:vAlign w:val="center"/>
          </w:tcPr>
          <w:p w14:paraId="1A1E3054">
            <w:pPr>
              <w:widowControl/>
              <w:spacing w:line="360" w:lineRule="auto"/>
              <w:jc w:val="center"/>
              <w:rPr>
                <w:rFonts w:ascii="宋体" w:hAnsi="宋体" w:cs="宋体"/>
                <w:color w:val="auto"/>
                <w:szCs w:val="21"/>
                <w:highlight w:val="none"/>
              </w:rPr>
            </w:pPr>
          </w:p>
        </w:tc>
        <w:tc>
          <w:tcPr>
            <w:tcW w:w="1221" w:type="dxa"/>
            <w:vAlign w:val="center"/>
          </w:tcPr>
          <w:p w14:paraId="1E19AFDF">
            <w:pPr>
              <w:widowControl/>
              <w:spacing w:line="360" w:lineRule="auto"/>
              <w:jc w:val="center"/>
              <w:rPr>
                <w:rFonts w:ascii="宋体" w:hAnsi="宋体" w:cs="宋体"/>
                <w:color w:val="auto"/>
                <w:szCs w:val="21"/>
                <w:highlight w:val="none"/>
              </w:rPr>
            </w:pPr>
          </w:p>
        </w:tc>
        <w:tc>
          <w:tcPr>
            <w:tcW w:w="1469" w:type="dxa"/>
            <w:vAlign w:val="center"/>
          </w:tcPr>
          <w:p w14:paraId="387B372C">
            <w:pPr>
              <w:widowControl/>
              <w:spacing w:line="360" w:lineRule="auto"/>
              <w:jc w:val="center"/>
              <w:rPr>
                <w:rFonts w:ascii="宋体" w:hAnsi="宋体" w:cs="宋体"/>
                <w:color w:val="auto"/>
                <w:szCs w:val="21"/>
                <w:highlight w:val="none"/>
              </w:rPr>
            </w:pPr>
          </w:p>
        </w:tc>
        <w:tc>
          <w:tcPr>
            <w:tcW w:w="958" w:type="dxa"/>
            <w:shd w:val="clear" w:color="auto" w:fill="auto"/>
            <w:vAlign w:val="center"/>
          </w:tcPr>
          <w:p w14:paraId="7E7971BB">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1157" w:type="dxa"/>
            <w:shd w:val="clear" w:color="auto" w:fill="auto"/>
            <w:vAlign w:val="center"/>
          </w:tcPr>
          <w:p w14:paraId="19793A23">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套</w:t>
            </w:r>
          </w:p>
        </w:tc>
        <w:tc>
          <w:tcPr>
            <w:tcW w:w="1507" w:type="dxa"/>
            <w:shd w:val="clear" w:color="000000" w:fill="FFFFFF"/>
            <w:vAlign w:val="center"/>
          </w:tcPr>
          <w:p w14:paraId="5FC79162">
            <w:pPr>
              <w:widowControl/>
              <w:spacing w:line="360"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838630.00 </w:t>
            </w:r>
          </w:p>
        </w:tc>
        <w:tc>
          <w:tcPr>
            <w:tcW w:w="1624" w:type="dxa"/>
            <w:vAlign w:val="center"/>
          </w:tcPr>
          <w:p w14:paraId="32957149">
            <w:pPr>
              <w:widowControl/>
              <w:spacing w:line="360" w:lineRule="auto"/>
              <w:jc w:val="center"/>
              <w:rPr>
                <w:rFonts w:ascii="宋体" w:hAnsi="宋体" w:cs="宋体"/>
                <w:color w:val="auto"/>
                <w:szCs w:val="21"/>
                <w:highlight w:val="none"/>
              </w:rPr>
            </w:pPr>
          </w:p>
        </w:tc>
        <w:tc>
          <w:tcPr>
            <w:tcW w:w="1539" w:type="dxa"/>
            <w:vAlign w:val="center"/>
          </w:tcPr>
          <w:p w14:paraId="0373CE23">
            <w:pPr>
              <w:widowControl/>
              <w:spacing w:line="360" w:lineRule="auto"/>
              <w:jc w:val="center"/>
              <w:rPr>
                <w:rFonts w:ascii="宋体" w:hAnsi="宋体" w:cs="宋体"/>
                <w:color w:val="auto"/>
                <w:szCs w:val="21"/>
                <w:highlight w:val="none"/>
              </w:rPr>
            </w:pPr>
          </w:p>
        </w:tc>
        <w:tc>
          <w:tcPr>
            <w:tcW w:w="765" w:type="dxa"/>
            <w:vAlign w:val="center"/>
          </w:tcPr>
          <w:p w14:paraId="0C2ECA7C">
            <w:pPr>
              <w:widowControl/>
              <w:spacing w:line="360" w:lineRule="auto"/>
              <w:jc w:val="center"/>
              <w:rPr>
                <w:rFonts w:ascii="宋体" w:hAnsi="宋体" w:cs="宋体"/>
                <w:color w:val="auto"/>
                <w:szCs w:val="21"/>
                <w:highlight w:val="none"/>
              </w:rPr>
            </w:pPr>
          </w:p>
        </w:tc>
      </w:tr>
      <w:tr w14:paraId="1F64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6" w:hRule="atLeast"/>
          <w:jc w:val="center"/>
        </w:trPr>
        <w:tc>
          <w:tcPr>
            <w:tcW w:w="584" w:type="dxa"/>
            <w:shd w:val="clear" w:color="auto" w:fill="auto"/>
            <w:vAlign w:val="center"/>
          </w:tcPr>
          <w:p w14:paraId="60040EC2">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4</w:t>
            </w:r>
          </w:p>
        </w:tc>
        <w:tc>
          <w:tcPr>
            <w:tcW w:w="2086" w:type="dxa"/>
            <w:shd w:val="clear" w:color="auto" w:fill="auto"/>
            <w:vAlign w:val="center"/>
          </w:tcPr>
          <w:p w14:paraId="3D8EFBDA">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机场式无人机D套装</w:t>
            </w:r>
          </w:p>
        </w:tc>
        <w:tc>
          <w:tcPr>
            <w:tcW w:w="876" w:type="dxa"/>
            <w:vAlign w:val="center"/>
          </w:tcPr>
          <w:p w14:paraId="20838533">
            <w:pPr>
              <w:widowControl/>
              <w:spacing w:line="360" w:lineRule="auto"/>
              <w:jc w:val="center"/>
              <w:rPr>
                <w:rFonts w:ascii="宋体" w:hAnsi="宋体" w:cs="宋体"/>
                <w:color w:val="auto"/>
                <w:szCs w:val="21"/>
                <w:highlight w:val="none"/>
              </w:rPr>
            </w:pPr>
          </w:p>
        </w:tc>
        <w:tc>
          <w:tcPr>
            <w:tcW w:w="1221" w:type="dxa"/>
            <w:vAlign w:val="center"/>
          </w:tcPr>
          <w:p w14:paraId="049A33A0">
            <w:pPr>
              <w:widowControl/>
              <w:spacing w:line="360" w:lineRule="auto"/>
              <w:jc w:val="center"/>
              <w:rPr>
                <w:rFonts w:ascii="宋体" w:hAnsi="宋体" w:cs="宋体"/>
                <w:color w:val="auto"/>
                <w:szCs w:val="21"/>
                <w:highlight w:val="none"/>
              </w:rPr>
            </w:pPr>
          </w:p>
        </w:tc>
        <w:tc>
          <w:tcPr>
            <w:tcW w:w="1469" w:type="dxa"/>
            <w:vAlign w:val="center"/>
          </w:tcPr>
          <w:p w14:paraId="234F631A">
            <w:pPr>
              <w:widowControl/>
              <w:spacing w:line="360" w:lineRule="auto"/>
              <w:jc w:val="center"/>
              <w:rPr>
                <w:rFonts w:ascii="宋体" w:hAnsi="宋体" w:cs="宋体"/>
                <w:color w:val="auto"/>
                <w:szCs w:val="21"/>
                <w:highlight w:val="none"/>
              </w:rPr>
            </w:pPr>
          </w:p>
        </w:tc>
        <w:tc>
          <w:tcPr>
            <w:tcW w:w="958" w:type="dxa"/>
            <w:shd w:val="clear" w:color="auto" w:fill="auto"/>
            <w:vAlign w:val="center"/>
          </w:tcPr>
          <w:p w14:paraId="6AB7F71B">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1157" w:type="dxa"/>
            <w:shd w:val="clear" w:color="auto" w:fill="auto"/>
            <w:vAlign w:val="center"/>
          </w:tcPr>
          <w:p w14:paraId="1C125015">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套</w:t>
            </w:r>
          </w:p>
        </w:tc>
        <w:tc>
          <w:tcPr>
            <w:tcW w:w="1507" w:type="dxa"/>
            <w:shd w:val="clear" w:color="auto" w:fill="auto"/>
            <w:vAlign w:val="center"/>
          </w:tcPr>
          <w:p w14:paraId="43CED389">
            <w:pPr>
              <w:widowControl/>
              <w:spacing w:line="360"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278870.00 </w:t>
            </w:r>
          </w:p>
        </w:tc>
        <w:tc>
          <w:tcPr>
            <w:tcW w:w="1624" w:type="dxa"/>
            <w:vAlign w:val="center"/>
          </w:tcPr>
          <w:p w14:paraId="3FBF3244">
            <w:pPr>
              <w:widowControl/>
              <w:spacing w:line="360" w:lineRule="auto"/>
              <w:jc w:val="center"/>
              <w:rPr>
                <w:rFonts w:ascii="宋体" w:hAnsi="宋体" w:cs="宋体"/>
                <w:color w:val="auto"/>
                <w:szCs w:val="21"/>
                <w:highlight w:val="none"/>
              </w:rPr>
            </w:pPr>
          </w:p>
        </w:tc>
        <w:tc>
          <w:tcPr>
            <w:tcW w:w="1539" w:type="dxa"/>
            <w:vAlign w:val="center"/>
          </w:tcPr>
          <w:p w14:paraId="02DE72AD">
            <w:pPr>
              <w:widowControl/>
              <w:spacing w:line="360" w:lineRule="auto"/>
              <w:jc w:val="center"/>
              <w:rPr>
                <w:rFonts w:ascii="宋体" w:hAnsi="宋体" w:cs="宋体"/>
                <w:color w:val="auto"/>
                <w:szCs w:val="21"/>
                <w:highlight w:val="none"/>
              </w:rPr>
            </w:pPr>
          </w:p>
        </w:tc>
        <w:tc>
          <w:tcPr>
            <w:tcW w:w="765" w:type="dxa"/>
            <w:vAlign w:val="center"/>
          </w:tcPr>
          <w:p w14:paraId="60B4F7D3">
            <w:pPr>
              <w:widowControl/>
              <w:spacing w:line="360" w:lineRule="auto"/>
              <w:jc w:val="center"/>
              <w:rPr>
                <w:rFonts w:ascii="宋体" w:hAnsi="宋体" w:cs="宋体"/>
                <w:color w:val="auto"/>
                <w:szCs w:val="21"/>
                <w:highlight w:val="none"/>
              </w:rPr>
            </w:pPr>
          </w:p>
        </w:tc>
      </w:tr>
      <w:tr w14:paraId="49AE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6" w:hRule="atLeast"/>
          <w:jc w:val="center"/>
        </w:trPr>
        <w:tc>
          <w:tcPr>
            <w:tcW w:w="9858" w:type="dxa"/>
            <w:gridSpan w:val="8"/>
            <w:shd w:val="clear" w:color="auto" w:fill="auto"/>
            <w:vAlign w:val="center"/>
          </w:tcPr>
          <w:p w14:paraId="72FF53E8">
            <w:pPr>
              <w:widowControl/>
              <w:adjustRightInd w:val="0"/>
              <w:snapToGrid w:val="0"/>
              <w:spacing w:line="360" w:lineRule="auto"/>
              <w:jc w:val="center"/>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bidi="ar"/>
              </w:rPr>
              <w:t>谈判报价</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val="en-US" w:eastAsia="zh-CN" w:bidi="ar"/>
              </w:rPr>
              <w:t>元</w:t>
            </w:r>
            <w:r>
              <w:rPr>
                <w:rFonts w:hint="eastAsia" w:ascii="宋体" w:hAnsi="宋体" w:eastAsia="宋体" w:cs="宋体"/>
                <w:color w:val="auto"/>
                <w:kern w:val="0"/>
                <w:szCs w:val="21"/>
                <w:highlight w:val="none"/>
                <w:lang w:eastAsia="zh-CN" w:bidi="ar"/>
              </w:rPr>
              <w:t>）</w:t>
            </w:r>
          </w:p>
        </w:tc>
        <w:tc>
          <w:tcPr>
            <w:tcW w:w="3928" w:type="dxa"/>
            <w:gridSpan w:val="3"/>
            <w:shd w:val="clear" w:color="auto" w:fill="auto"/>
            <w:vAlign w:val="center"/>
          </w:tcPr>
          <w:p w14:paraId="723AD93F">
            <w:pPr>
              <w:widowControl/>
              <w:adjustRightInd w:val="0"/>
              <w:snapToGrid w:val="0"/>
              <w:spacing w:line="360" w:lineRule="auto"/>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小写：</w:t>
            </w:r>
          </w:p>
          <w:p w14:paraId="222AEDF7">
            <w:pPr>
              <w:widowControl/>
              <w:adjustRightInd w:val="0"/>
              <w:snapToGrid w:val="0"/>
              <w:spacing w:line="360" w:lineRule="auto"/>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大写：</w:t>
            </w:r>
          </w:p>
        </w:tc>
      </w:tr>
    </w:tbl>
    <w:p w14:paraId="7A15555E">
      <w:pPr>
        <w:pStyle w:val="21"/>
        <w:snapToGrid w:val="0"/>
        <w:spacing w:line="360" w:lineRule="auto"/>
        <w:ind w:firstLine="422"/>
        <w:rPr>
          <w:rFonts w:hAnsi="宋体" w:cs="宋体"/>
          <w:b/>
          <w:color w:val="auto"/>
          <w:sz w:val="21"/>
          <w:szCs w:val="21"/>
          <w:highlight w:val="none"/>
        </w:rPr>
      </w:pPr>
    </w:p>
    <w:p w14:paraId="5F983507">
      <w:pPr>
        <w:pStyle w:val="21"/>
        <w:snapToGrid w:val="0"/>
        <w:spacing w:line="360" w:lineRule="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注：</w:t>
      </w:r>
    </w:p>
    <w:p w14:paraId="1CF8A36C">
      <w:pPr>
        <w:pStyle w:val="21"/>
        <w:snapToGrid w:val="0"/>
        <w:spacing w:line="360" w:lineRule="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1.供应商必须按竞争性谈判文件第五章“采购需求”中采购货物顺序逐项填报此表</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rPr>
        <w:t>不得缺项、漏项</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rPr>
        <w:t>否则响应文件将按无效处理。谈判报价包括但不限于各种货款、安装调试、备品备件、专用工具、零星耗材、包装装卸、运输保险、检测验收、采购代理服务费以及税收等所有费用</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rPr>
        <w:t>在合同期内采购人不接受任何方式的调价申请</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rPr>
        <w:t>表中各项费用不得填报为0。</w:t>
      </w:r>
    </w:p>
    <w:p w14:paraId="6E0FAB59">
      <w:pPr>
        <w:pStyle w:val="21"/>
        <w:snapToGrid w:val="0"/>
        <w:spacing w:line="360" w:lineRule="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2.本表中“谈判报价”项应与谈判报价一览表中“谈判报价（元）”一致。</w:t>
      </w:r>
    </w:p>
    <w:p w14:paraId="439B938D">
      <w:pPr>
        <w:adjustRightInd w:val="0"/>
        <w:snapToGrid w:val="0"/>
        <w:spacing w:line="360" w:lineRule="auto"/>
        <w:jc w:val="left"/>
        <w:rPr>
          <w:rFonts w:ascii="宋体" w:hAnsi="宋体" w:cs="宋体"/>
          <w:color w:val="auto"/>
          <w:szCs w:val="21"/>
          <w:highlight w:val="none"/>
        </w:rPr>
      </w:pPr>
    </w:p>
    <w:p w14:paraId="62E68F7E">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供应商：（加盖供应商电子公章）</w:t>
      </w:r>
    </w:p>
    <w:p w14:paraId="61FCA68C">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法定代表人或委托代理人：（电子签名或盖章）</w:t>
      </w:r>
    </w:p>
    <w:p w14:paraId="695A24E5">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日期：</w:t>
      </w:r>
    </w:p>
    <w:p w14:paraId="1245FCBB">
      <w:pPr>
        <w:rPr>
          <w:rFonts w:ascii="宋体" w:hAnsi="宋体" w:cs="宋体"/>
          <w:color w:val="auto"/>
          <w:szCs w:val="21"/>
          <w:highlight w:val="none"/>
        </w:rPr>
        <w:sectPr>
          <w:pgSz w:w="16838" w:h="11906" w:orient="landscape"/>
          <w:pgMar w:top="1800" w:right="1440" w:bottom="1800" w:left="1440" w:header="510" w:footer="680" w:gutter="0"/>
          <w:cols w:space="720" w:num="1"/>
          <w:titlePg/>
          <w:docGrid w:type="linesAndChars" w:linePitch="312" w:charSpace="0"/>
        </w:sectPr>
      </w:pPr>
      <w:r>
        <w:rPr>
          <w:rFonts w:hint="eastAsia" w:ascii="宋体" w:hAnsi="宋体" w:cs="宋体"/>
          <w:color w:val="auto"/>
          <w:szCs w:val="21"/>
          <w:highlight w:val="none"/>
        </w:rPr>
        <w:br w:type="page"/>
      </w:r>
    </w:p>
    <w:p w14:paraId="7B42B5BC">
      <w:pPr>
        <w:pStyle w:val="21"/>
        <w:snapToGrid w:val="0"/>
        <w:spacing w:line="360" w:lineRule="auto"/>
        <w:rPr>
          <w:rFonts w:hAnsi="宋体" w:cs="宋体"/>
          <w:b/>
          <w:color w:val="auto"/>
          <w:sz w:val="28"/>
          <w:szCs w:val="28"/>
          <w:highlight w:val="none"/>
        </w:rPr>
      </w:pPr>
      <w:r>
        <w:rPr>
          <w:rFonts w:hint="eastAsia" w:hAnsi="宋体" w:cs="宋体"/>
          <w:b/>
          <w:color w:val="auto"/>
          <w:sz w:val="28"/>
          <w:szCs w:val="28"/>
          <w:highlight w:val="none"/>
        </w:rPr>
        <w:t>格式11</w:t>
      </w:r>
    </w:p>
    <w:p w14:paraId="3D494791">
      <w:pPr>
        <w:keepNext/>
        <w:keepLines/>
        <w:adjustRightInd w:val="0"/>
        <w:snapToGrid w:val="0"/>
        <w:spacing w:line="360" w:lineRule="auto"/>
        <w:jc w:val="center"/>
        <w:rPr>
          <w:rFonts w:ascii="宋体" w:hAnsi="宋体" w:cs="宋体"/>
          <w:b/>
          <w:bCs/>
          <w:color w:val="auto"/>
          <w:sz w:val="32"/>
          <w:szCs w:val="36"/>
          <w:highlight w:val="none"/>
        </w:rPr>
      </w:pPr>
      <w:r>
        <w:rPr>
          <w:rFonts w:hint="eastAsia" w:ascii="宋体" w:hAnsi="宋体" w:cs="宋体"/>
          <w:b/>
          <w:bCs/>
          <w:color w:val="auto"/>
          <w:sz w:val="32"/>
          <w:szCs w:val="36"/>
          <w:highlight w:val="none"/>
        </w:rPr>
        <w:t>随机专用工具明细表</w:t>
      </w:r>
    </w:p>
    <w:p w14:paraId="74D99F0D">
      <w:pPr>
        <w:pStyle w:val="21"/>
        <w:snapToGrid w:val="0"/>
        <w:spacing w:line="360" w:lineRule="auto"/>
        <w:jc w:val="center"/>
        <w:rPr>
          <w:rFonts w:hint="eastAsia" w:hAnsi="宋体" w:eastAsia="宋体" w:cs="宋体"/>
          <w:b/>
          <w:color w:val="auto"/>
          <w:szCs w:val="21"/>
          <w:highlight w:val="none"/>
          <w:lang w:eastAsia="zh-CN"/>
        </w:rPr>
      </w:pP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本表可不填写或删除</w:t>
      </w:r>
      <w:r>
        <w:rPr>
          <w:rFonts w:hint="eastAsia" w:hAnsi="宋体" w:cs="宋体"/>
          <w:b/>
          <w:color w:val="auto"/>
          <w:szCs w:val="21"/>
          <w:highlight w:val="none"/>
          <w:lang w:eastAsia="zh-CN"/>
        </w:rPr>
        <w:t>）</w:t>
      </w:r>
    </w:p>
    <w:p w14:paraId="28DE5676">
      <w:pPr>
        <w:pStyle w:val="21"/>
        <w:snapToGrid w:val="0"/>
        <w:spacing w:line="360" w:lineRule="auto"/>
        <w:rPr>
          <w:rFonts w:hAnsi="宋体" w:cs="宋体"/>
          <w:b/>
          <w:color w:val="auto"/>
          <w:szCs w:val="21"/>
          <w:highlight w:val="none"/>
        </w:rPr>
      </w:pPr>
      <w:r>
        <w:rPr>
          <w:rFonts w:hint="eastAsia" w:hAnsi="宋体" w:cs="宋体"/>
          <w:b/>
          <w:color w:val="auto"/>
          <w:szCs w:val="21"/>
          <w:highlight w:val="none"/>
        </w:rPr>
        <w:t>项目名称：</w:t>
      </w:r>
    </w:p>
    <w:p w14:paraId="4C12F131">
      <w:pPr>
        <w:pStyle w:val="21"/>
        <w:snapToGrid w:val="0"/>
        <w:spacing w:line="360" w:lineRule="auto"/>
        <w:rPr>
          <w:rFonts w:hAnsi="宋体" w:cs="宋体"/>
          <w:b/>
          <w:color w:val="auto"/>
          <w:szCs w:val="21"/>
          <w:highlight w:val="none"/>
        </w:rPr>
      </w:pPr>
      <w:r>
        <w:rPr>
          <w:rFonts w:hint="eastAsia" w:hAnsi="宋体" w:cs="宋体"/>
          <w:b/>
          <w:color w:val="auto"/>
          <w:szCs w:val="21"/>
          <w:highlight w:val="none"/>
        </w:rPr>
        <w:t>项目编号：</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2400"/>
        <w:gridCol w:w="1279"/>
        <w:gridCol w:w="1383"/>
        <w:gridCol w:w="733"/>
        <w:gridCol w:w="1088"/>
        <w:gridCol w:w="708"/>
      </w:tblGrid>
      <w:tr w14:paraId="3BD7C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vAlign w:val="center"/>
          </w:tcPr>
          <w:p w14:paraId="5AA30297">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400" w:type="dxa"/>
            <w:vAlign w:val="center"/>
          </w:tcPr>
          <w:p w14:paraId="4EC7AAC4">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1279" w:type="dxa"/>
            <w:vAlign w:val="center"/>
          </w:tcPr>
          <w:p w14:paraId="37D37325">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型号和规格</w:t>
            </w:r>
          </w:p>
        </w:tc>
        <w:tc>
          <w:tcPr>
            <w:tcW w:w="1383" w:type="dxa"/>
            <w:vAlign w:val="center"/>
          </w:tcPr>
          <w:p w14:paraId="426EA3DA">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生产制造商名称、国别</w:t>
            </w:r>
          </w:p>
        </w:tc>
        <w:tc>
          <w:tcPr>
            <w:tcW w:w="733" w:type="dxa"/>
            <w:vAlign w:val="center"/>
          </w:tcPr>
          <w:p w14:paraId="34533754">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088" w:type="dxa"/>
            <w:vAlign w:val="center"/>
          </w:tcPr>
          <w:p w14:paraId="690952BA">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计量单位</w:t>
            </w:r>
          </w:p>
        </w:tc>
        <w:tc>
          <w:tcPr>
            <w:tcW w:w="708" w:type="dxa"/>
            <w:vAlign w:val="center"/>
          </w:tcPr>
          <w:p w14:paraId="4D034A08">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693F9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tcPr>
          <w:p w14:paraId="0EA8E7B2">
            <w:pPr>
              <w:adjustRightInd w:val="0"/>
              <w:snapToGrid w:val="0"/>
              <w:spacing w:line="360" w:lineRule="auto"/>
              <w:rPr>
                <w:rFonts w:ascii="宋体" w:hAnsi="宋体" w:cs="宋体"/>
                <w:color w:val="auto"/>
                <w:szCs w:val="21"/>
                <w:highlight w:val="none"/>
              </w:rPr>
            </w:pPr>
          </w:p>
        </w:tc>
        <w:tc>
          <w:tcPr>
            <w:tcW w:w="2400" w:type="dxa"/>
          </w:tcPr>
          <w:p w14:paraId="27652C96">
            <w:pPr>
              <w:adjustRightInd w:val="0"/>
              <w:snapToGrid w:val="0"/>
              <w:spacing w:line="360" w:lineRule="auto"/>
              <w:rPr>
                <w:rFonts w:ascii="宋体" w:hAnsi="宋体" w:cs="宋体"/>
                <w:color w:val="auto"/>
                <w:szCs w:val="21"/>
                <w:highlight w:val="none"/>
              </w:rPr>
            </w:pPr>
          </w:p>
        </w:tc>
        <w:tc>
          <w:tcPr>
            <w:tcW w:w="1279" w:type="dxa"/>
          </w:tcPr>
          <w:p w14:paraId="22E2FC17">
            <w:pPr>
              <w:adjustRightInd w:val="0"/>
              <w:snapToGrid w:val="0"/>
              <w:spacing w:line="360" w:lineRule="auto"/>
              <w:rPr>
                <w:rFonts w:ascii="宋体" w:hAnsi="宋体" w:cs="宋体"/>
                <w:color w:val="auto"/>
                <w:szCs w:val="21"/>
                <w:highlight w:val="none"/>
              </w:rPr>
            </w:pPr>
          </w:p>
        </w:tc>
        <w:tc>
          <w:tcPr>
            <w:tcW w:w="1383" w:type="dxa"/>
          </w:tcPr>
          <w:p w14:paraId="1CC9F790">
            <w:pPr>
              <w:adjustRightInd w:val="0"/>
              <w:snapToGrid w:val="0"/>
              <w:spacing w:line="360" w:lineRule="auto"/>
              <w:rPr>
                <w:rFonts w:ascii="宋体" w:hAnsi="宋体" w:cs="宋体"/>
                <w:color w:val="auto"/>
                <w:szCs w:val="21"/>
                <w:highlight w:val="none"/>
              </w:rPr>
            </w:pPr>
          </w:p>
        </w:tc>
        <w:tc>
          <w:tcPr>
            <w:tcW w:w="733" w:type="dxa"/>
          </w:tcPr>
          <w:p w14:paraId="45BD62D6">
            <w:pPr>
              <w:adjustRightInd w:val="0"/>
              <w:snapToGrid w:val="0"/>
              <w:spacing w:line="360" w:lineRule="auto"/>
              <w:rPr>
                <w:rFonts w:ascii="宋体" w:hAnsi="宋体" w:cs="宋体"/>
                <w:color w:val="auto"/>
                <w:szCs w:val="21"/>
                <w:highlight w:val="none"/>
              </w:rPr>
            </w:pPr>
          </w:p>
        </w:tc>
        <w:tc>
          <w:tcPr>
            <w:tcW w:w="1088" w:type="dxa"/>
          </w:tcPr>
          <w:p w14:paraId="0D739FC7">
            <w:pPr>
              <w:adjustRightInd w:val="0"/>
              <w:snapToGrid w:val="0"/>
              <w:spacing w:line="360" w:lineRule="auto"/>
              <w:rPr>
                <w:rFonts w:ascii="宋体" w:hAnsi="宋体" w:cs="宋体"/>
                <w:color w:val="auto"/>
                <w:szCs w:val="21"/>
                <w:highlight w:val="none"/>
              </w:rPr>
            </w:pPr>
          </w:p>
        </w:tc>
        <w:tc>
          <w:tcPr>
            <w:tcW w:w="708" w:type="dxa"/>
          </w:tcPr>
          <w:p w14:paraId="7197B432">
            <w:pPr>
              <w:adjustRightInd w:val="0"/>
              <w:snapToGrid w:val="0"/>
              <w:spacing w:line="360" w:lineRule="auto"/>
              <w:rPr>
                <w:rFonts w:ascii="宋体" w:hAnsi="宋体" w:cs="宋体"/>
                <w:color w:val="auto"/>
                <w:szCs w:val="21"/>
                <w:highlight w:val="none"/>
              </w:rPr>
            </w:pPr>
          </w:p>
        </w:tc>
      </w:tr>
      <w:tr w14:paraId="10B6C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tcPr>
          <w:p w14:paraId="52F3AD93">
            <w:pPr>
              <w:adjustRightInd w:val="0"/>
              <w:snapToGrid w:val="0"/>
              <w:spacing w:line="360" w:lineRule="auto"/>
              <w:rPr>
                <w:rFonts w:ascii="宋体" w:hAnsi="宋体" w:cs="宋体"/>
                <w:color w:val="auto"/>
                <w:szCs w:val="21"/>
                <w:highlight w:val="none"/>
              </w:rPr>
            </w:pPr>
          </w:p>
        </w:tc>
        <w:tc>
          <w:tcPr>
            <w:tcW w:w="2400" w:type="dxa"/>
          </w:tcPr>
          <w:p w14:paraId="68910F72">
            <w:pPr>
              <w:adjustRightInd w:val="0"/>
              <w:snapToGrid w:val="0"/>
              <w:spacing w:line="360" w:lineRule="auto"/>
              <w:rPr>
                <w:rFonts w:ascii="宋体" w:hAnsi="宋体" w:cs="宋体"/>
                <w:color w:val="auto"/>
                <w:szCs w:val="21"/>
                <w:highlight w:val="none"/>
              </w:rPr>
            </w:pPr>
          </w:p>
        </w:tc>
        <w:tc>
          <w:tcPr>
            <w:tcW w:w="1279" w:type="dxa"/>
          </w:tcPr>
          <w:p w14:paraId="1E4C0AD5">
            <w:pPr>
              <w:adjustRightInd w:val="0"/>
              <w:snapToGrid w:val="0"/>
              <w:spacing w:line="360" w:lineRule="auto"/>
              <w:rPr>
                <w:rFonts w:ascii="宋体" w:hAnsi="宋体" w:cs="宋体"/>
                <w:color w:val="auto"/>
                <w:szCs w:val="21"/>
                <w:highlight w:val="none"/>
              </w:rPr>
            </w:pPr>
          </w:p>
        </w:tc>
        <w:tc>
          <w:tcPr>
            <w:tcW w:w="1383" w:type="dxa"/>
          </w:tcPr>
          <w:p w14:paraId="6B8C156A">
            <w:pPr>
              <w:adjustRightInd w:val="0"/>
              <w:snapToGrid w:val="0"/>
              <w:spacing w:line="360" w:lineRule="auto"/>
              <w:rPr>
                <w:rFonts w:ascii="宋体" w:hAnsi="宋体" w:cs="宋体"/>
                <w:color w:val="auto"/>
                <w:szCs w:val="21"/>
                <w:highlight w:val="none"/>
              </w:rPr>
            </w:pPr>
          </w:p>
        </w:tc>
        <w:tc>
          <w:tcPr>
            <w:tcW w:w="733" w:type="dxa"/>
          </w:tcPr>
          <w:p w14:paraId="32F3E963">
            <w:pPr>
              <w:adjustRightInd w:val="0"/>
              <w:snapToGrid w:val="0"/>
              <w:spacing w:line="360" w:lineRule="auto"/>
              <w:rPr>
                <w:rFonts w:ascii="宋体" w:hAnsi="宋体" w:cs="宋体"/>
                <w:color w:val="auto"/>
                <w:szCs w:val="21"/>
                <w:highlight w:val="none"/>
              </w:rPr>
            </w:pPr>
          </w:p>
        </w:tc>
        <w:tc>
          <w:tcPr>
            <w:tcW w:w="1088" w:type="dxa"/>
          </w:tcPr>
          <w:p w14:paraId="2DBDBD28">
            <w:pPr>
              <w:adjustRightInd w:val="0"/>
              <w:snapToGrid w:val="0"/>
              <w:spacing w:line="360" w:lineRule="auto"/>
              <w:rPr>
                <w:rFonts w:ascii="宋体" w:hAnsi="宋体" w:cs="宋体"/>
                <w:color w:val="auto"/>
                <w:szCs w:val="21"/>
                <w:highlight w:val="none"/>
              </w:rPr>
            </w:pPr>
          </w:p>
        </w:tc>
        <w:tc>
          <w:tcPr>
            <w:tcW w:w="708" w:type="dxa"/>
          </w:tcPr>
          <w:p w14:paraId="0A36E595">
            <w:pPr>
              <w:adjustRightInd w:val="0"/>
              <w:snapToGrid w:val="0"/>
              <w:spacing w:line="360" w:lineRule="auto"/>
              <w:rPr>
                <w:rFonts w:ascii="宋体" w:hAnsi="宋体" w:cs="宋体"/>
                <w:color w:val="auto"/>
                <w:szCs w:val="21"/>
                <w:highlight w:val="none"/>
              </w:rPr>
            </w:pPr>
          </w:p>
        </w:tc>
      </w:tr>
      <w:tr w14:paraId="405A3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0" w:type="dxa"/>
          </w:tcPr>
          <w:p w14:paraId="4B24DB57">
            <w:pPr>
              <w:adjustRightInd w:val="0"/>
              <w:snapToGrid w:val="0"/>
              <w:spacing w:line="360" w:lineRule="auto"/>
              <w:rPr>
                <w:rFonts w:ascii="宋体" w:hAnsi="宋体" w:cs="宋体"/>
                <w:color w:val="auto"/>
                <w:szCs w:val="21"/>
                <w:highlight w:val="none"/>
              </w:rPr>
            </w:pPr>
          </w:p>
        </w:tc>
        <w:tc>
          <w:tcPr>
            <w:tcW w:w="2400" w:type="dxa"/>
          </w:tcPr>
          <w:p w14:paraId="03D2C746">
            <w:pPr>
              <w:adjustRightInd w:val="0"/>
              <w:snapToGrid w:val="0"/>
              <w:spacing w:line="360" w:lineRule="auto"/>
              <w:rPr>
                <w:rFonts w:ascii="宋体" w:hAnsi="宋体" w:cs="宋体"/>
                <w:color w:val="auto"/>
                <w:szCs w:val="21"/>
                <w:highlight w:val="none"/>
              </w:rPr>
            </w:pPr>
          </w:p>
        </w:tc>
        <w:tc>
          <w:tcPr>
            <w:tcW w:w="1279" w:type="dxa"/>
          </w:tcPr>
          <w:p w14:paraId="31CAD2EB">
            <w:pPr>
              <w:adjustRightInd w:val="0"/>
              <w:snapToGrid w:val="0"/>
              <w:spacing w:line="360" w:lineRule="auto"/>
              <w:rPr>
                <w:rFonts w:ascii="宋体" w:hAnsi="宋体" w:cs="宋体"/>
                <w:color w:val="auto"/>
                <w:szCs w:val="21"/>
                <w:highlight w:val="none"/>
              </w:rPr>
            </w:pPr>
          </w:p>
        </w:tc>
        <w:tc>
          <w:tcPr>
            <w:tcW w:w="1383" w:type="dxa"/>
          </w:tcPr>
          <w:p w14:paraId="2DDDC8BA">
            <w:pPr>
              <w:adjustRightInd w:val="0"/>
              <w:snapToGrid w:val="0"/>
              <w:spacing w:line="360" w:lineRule="auto"/>
              <w:rPr>
                <w:rFonts w:ascii="宋体" w:hAnsi="宋体" w:cs="宋体"/>
                <w:color w:val="auto"/>
                <w:szCs w:val="21"/>
                <w:highlight w:val="none"/>
              </w:rPr>
            </w:pPr>
          </w:p>
        </w:tc>
        <w:tc>
          <w:tcPr>
            <w:tcW w:w="733" w:type="dxa"/>
          </w:tcPr>
          <w:p w14:paraId="3BA47CC7">
            <w:pPr>
              <w:adjustRightInd w:val="0"/>
              <w:snapToGrid w:val="0"/>
              <w:spacing w:line="360" w:lineRule="auto"/>
              <w:rPr>
                <w:rFonts w:ascii="宋体" w:hAnsi="宋体" w:cs="宋体"/>
                <w:color w:val="auto"/>
                <w:szCs w:val="21"/>
                <w:highlight w:val="none"/>
              </w:rPr>
            </w:pPr>
          </w:p>
        </w:tc>
        <w:tc>
          <w:tcPr>
            <w:tcW w:w="1088" w:type="dxa"/>
          </w:tcPr>
          <w:p w14:paraId="6B4BFD44">
            <w:pPr>
              <w:adjustRightInd w:val="0"/>
              <w:snapToGrid w:val="0"/>
              <w:spacing w:line="360" w:lineRule="auto"/>
              <w:rPr>
                <w:rFonts w:ascii="宋体" w:hAnsi="宋体" w:cs="宋体"/>
                <w:color w:val="auto"/>
                <w:szCs w:val="21"/>
                <w:highlight w:val="none"/>
              </w:rPr>
            </w:pPr>
          </w:p>
        </w:tc>
        <w:tc>
          <w:tcPr>
            <w:tcW w:w="708" w:type="dxa"/>
          </w:tcPr>
          <w:p w14:paraId="3D3199EA">
            <w:pPr>
              <w:adjustRightInd w:val="0"/>
              <w:snapToGrid w:val="0"/>
              <w:spacing w:line="360" w:lineRule="auto"/>
              <w:rPr>
                <w:rFonts w:ascii="宋体" w:hAnsi="宋体" w:cs="宋体"/>
                <w:color w:val="auto"/>
                <w:szCs w:val="21"/>
                <w:highlight w:val="none"/>
              </w:rPr>
            </w:pPr>
          </w:p>
        </w:tc>
      </w:tr>
    </w:tbl>
    <w:p w14:paraId="4BEB8AF9">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注：</w:t>
      </w:r>
    </w:p>
    <w:p w14:paraId="2F3D5B4F">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1.供应商若提供随机专用工具</w:t>
      </w:r>
      <w:r>
        <w:rPr>
          <w:rFonts w:hint="eastAsia" w:ascii="宋体" w:hAnsi="宋体" w:cs="宋体"/>
          <w:color w:val="auto"/>
          <w:szCs w:val="21"/>
          <w:highlight w:val="none"/>
          <w:lang w:eastAsia="zh-CN"/>
        </w:rPr>
        <w:t>，</w:t>
      </w:r>
      <w:r>
        <w:rPr>
          <w:rFonts w:hint="eastAsia" w:ascii="宋体" w:hAnsi="宋体" w:cs="宋体"/>
          <w:color w:val="auto"/>
          <w:szCs w:val="21"/>
          <w:highlight w:val="none"/>
        </w:rPr>
        <w:t>此费用须包含在谈判报价中</w:t>
      </w:r>
      <w:r>
        <w:rPr>
          <w:rFonts w:hint="eastAsia" w:ascii="宋体" w:hAnsi="宋体" w:cs="宋体"/>
          <w:color w:val="auto"/>
          <w:szCs w:val="21"/>
          <w:highlight w:val="none"/>
          <w:lang w:eastAsia="zh-CN"/>
        </w:rPr>
        <w:t>，</w:t>
      </w:r>
      <w:r>
        <w:rPr>
          <w:rFonts w:hint="eastAsia" w:ascii="宋体" w:hAnsi="宋体" w:cs="宋体"/>
          <w:color w:val="auto"/>
          <w:szCs w:val="21"/>
          <w:highlight w:val="none"/>
        </w:rPr>
        <w:t>不单独列报。</w:t>
      </w:r>
    </w:p>
    <w:p w14:paraId="644B134B">
      <w:pPr>
        <w:adjustRightInd w:val="0"/>
        <w:snapToGrid w:val="0"/>
        <w:spacing w:line="360" w:lineRule="auto"/>
        <w:rPr>
          <w:rFonts w:ascii="宋体" w:hAnsi="宋体" w:cs="宋体"/>
          <w:color w:val="auto"/>
          <w:szCs w:val="21"/>
          <w:highlight w:val="none"/>
        </w:rPr>
      </w:pPr>
      <w:bookmarkStart w:id="179" w:name="_Toc32441"/>
      <w:r>
        <w:rPr>
          <w:rFonts w:hint="eastAsia" w:ascii="宋体" w:hAnsi="宋体" w:cs="宋体"/>
          <w:color w:val="auto"/>
          <w:szCs w:val="21"/>
          <w:highlight w:val="none"/>
        </w:rPr>
        <w:t>2.供应商可根据实际情况拓展本表。</w:t>
      </w:r>
      <w:bookmarkEnd w:id="179"/>
    </w:p>
    <w:p w14:paraId="642EED54">
      <w:pPr>
        <w:adjustRightInd w:val="0"/>
        <w:snapToGrid w:val="0"/>
        <w:spacing w:line="360" w:lineRule="auto"/>
        <w:rPr>
          <w:rFonts w:ascii="宋体" w:hAnsi="宋体" w:cs="宋体"/>
          <w:color w:val="auto"/>
          <w:szCs w:val="21"/>
          <w:highlight w:val="none"/>
        </w:rPr>
      </w:pPr>
    </w:p>
    <w:p w14:paraId="0C7FDB9D">
      <w:pPr>
        <w:adjustRightInd w:val="0"/>
        <w:snapToGrid w:val="0"/>
        <w:spacing w:line="360" w:lineRule="auto"/>
        <w:jc w:val="left"/>
        <w:rPr>
          <w:rFonts w:ascii="宋体" w:hAnsi="宋体" w:cs="宋体"/>
          <w:color w:val="auto"/>
          <w:szCs w:val="21"/>
          <w:highlight w:val="none"/>
        </w:rPr>
      </w:pPr>
    </w:p>
    <w:p w14:paraId="390BADD0">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供应商：（加盖供应商电子公章）</w:t>
      </w:r>
    </w:p>
    <w:p w14:paraId="5D494B22">
      <w:pPr>
        <w:adjustRightInd w:val="0"/>
        <w:snapToGrid w:val="0"/>
        <w:spacing w:line="360" w:lineRule="auto"/>
        <w:ind w:firstLine="2" w:firstLineChars="1"/>
        <w:jc w:val="left"/>
        <w:rPr>
          <w:rFonts w:ascii="宋体" w:hAnsi="宋体" w:cs="宋体"/>
          <w:color w:val="auto"/>
          <w:highlight w:val="none"/>
        </w:rPr>
      </w:pPr>
    </w:p>
    <w:p w14:paraId="765E4F72">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法定代表人或委托代理人：（电子签名或盖章）</w:t>
      </w:r>
    </w:p>
    <w:p w14:paraId="5B739030">
      <w:pPr>
        <w:adjustRightInd w:val="0"/>
        <w:snapToGrid w:val="0"/>
        <w:spacing w:line="360" w:lineRule="auto"/>
        <w:ind w:firstLine="2" w:firstLineChars="1"/>
        <w:jc w:val="left"/>
        <w:rPr>
          <w:rFonts w:ascii="宋体" w:hAnsi="宋体" w:cs="宋体"/>
          <w:color w:val="auto"/>
          <w:szCs w:val="21"/>
          <w:highlight w:val="none"/>
        </w:rPr>
      </w:pPr>
    </w:p>
    <w:p w14:paraId="386302C4">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日期：</w:t>
      </w:r>
    </w:p>
    <w:p w14:paraId="7CDE7754">
      <w:pPr>
        <w:keepNext/>
        <w:keepLines/>
        <w:adjustRightInd w:val="0"/>
        <w:snapToGrid w:val="0"/>
        <w:spacing w:line="360" w:lineRule="auto"/>
        <w:jc w:val="left"/>
        <w:rPr>
          <w:rFonts w:ascii="宋体" w:hAnsi="宋体" w:cs="宋体"/>
          <w:b/>
          <w:color w:val="auto"/>
          <w:sz w:val="28"/>
          <w:szCs w:val="28"/>
          <w:highlight w:val="none"/>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格式12</w:t>
      </w:r>
    </w:p>
    <w:p w14:paraId="1C6AD630">
      <w:pPr>
        <w:keepNext/>
        <w:keepLines/>
        <w:adjustRightInd w:val="0"/>
        <w:snapToGrid w:val="0"/>
        <w:spacing w:line="360" w:lineRule="auto"/>
        <w:jc w:val="center"/>
        <w:rPr>
          <w:rFonts w:ascii="宋体" w:hAnsi="宋体" w:cs="宋体"/>
          <w:b/>
          <w:bCs/>
          <w:color w:val="auto"/>
          <w:sz w:val="32"/>
          <w:szCs w:val="36"/>
          <w:highlight w:val="none"/>
        </w:rPr>
      </w:pPr>
      <w:r>
        <w:rPr>
          <w:rFonts w:hint="eastAsia" w:ascii="宋体" w:hAnsi="宋体" w:cs="宋体"/>
          <w:b/>
          <w:bCs/>
          <w:color w:val="auto"/>
          <w:sz w:val="32"/>
          <w:szCs w:val="36"/>
          <w:highlight w:val="none"/>
        </w:rPr>
        <w:t>备品备件明细表</w:t>
      </w:r>
    </w:p>
    <w:p w14:paraId="0454F00E">
      <w:pPr>
        <w:pStyle w:val="21"/>
        <w:snapToGrid w:val="0"/>
        <w:spacing w:line="360" w:lineRule="auto"/>
        <w:jc w:val="center"/>
        <w:rPr>
          <w:rFonts w:hint="eastAsia" w:hAnsi="宋体" w:cs="宋体"/>
          <w:b/>
          <w:color w:val="auto"/>
          <w:szCs w:val="21"/>
          <w:highlight w:val="none"/>
        </w:rPr>
      </w:pP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本表可不填写或删除</w:t>
      </w:r>
      <w:r>
        <w:rPr>
          <w:rFonts w:hint="eastAsia" w:hAnsi="宋体" w:cs="宋体"/>
          <w:b/>
          <w:color w:val="auto"/>
          <w:szCs w:val="21"/>
          <w:highlight w:val="none"/>
          <w:lang w:eastAsia="zh-CN"/>
        </w:rPr>
        <w:t>）</w:t>
      </w:r>
    </w:p>
    <w:p w14:paraId="3EA923D2">
      <w:pPr>
        <w:pStyle w:val="21"/>
        <w:snapToGrid w:val="0"/>
        <w:spacing w:line="360" w:lineRule="auto"/>
        <w:rPr>
          <w:rFonts w:hAnsi="宋体" w:cs="宋体"/>
          <w:b/>
          <w:color w:val="auto"/>
          <w:szCs w:val="21"/>
          <w:highlight w:val="none"/>
        </w:rPr>
      </w:pPr>
      <w:r>
        <w:rPr>
          <w:rFonts w:hint="eastAsia" w:hAnsi="宋体" w:cs="宋体"/>
          <w:b/>
          <w:color w:val="auto"/>
          <w:szCs w:val="21"/>
          <w:highlight w:val="none"/>
        </w:rPr>
        <w:t>项目名称：</w:t>
      </w:r>
    </w:p>
    <w:p w14:paraId="7004D61E">
      <w:pPr>
        <w:pStyle w:val="21"/>
        <w:snapToGrid w:val="0"/>
        <w:spacing w:line="360" w:lineRule="auto"/>
        <w:rPr>
          <w:rFonts w:hAnsi="宋体" w:cs="宋体"/>
          <w:b/>
          <w:color w:val="auto"/>
          <w:szCs w:val="21"/>
          <w:highlight w:val="none"/>
        </w:rPr>
      </w:pPr>
      <w:r>
        <w:rPr>
          <w:rFonts w:hint="eastAsia" w:hAnsi="宋体" w:cs="宋体"/>
          <w:b/>
          <w:color w:val="auto"/>
          <w:szCs w:val="21"/>
          <w:highlight w:val="none"/>
        </w:rPr>
        <w:t>项目编号：</w:t>
      </w:r>
    </w:p>
    <w:tbl>
      <w:tblPr>
        <w:tblStyle w:val="42"/>
        <w:tblW w:w="8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867"/>
        <w:gridCol w:w="1279"/>
        <w:gridCol w:w="1383"/>
        <w:gridCol w:w="925"/>
        <w:gridCol w:w="1134"/>
        <w:gridCol w:w="1134"/>
      </w:tblGrid>
      <w:tr w14:paraId="76BA1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37" w:type="dxa"/>
            <w:vAlign w:val="center"/>
          </w:tcPr>
          <w:p w14:paraId="7BC53757">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867" w:type="dxa"/>
            <w:vAlign w:val="center"/>
          </w:tcPr>
          <w:p w14:paraId="50CE1F37">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1279" w:type="dxa"/>
            <w:vAlign w:val="center"/>
          </w:tcPr>
          <w:p w14:paraId="7C63B1F6">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型号和规格</w:t>
            </w:r>
          </w:p>
        </w:tc>
        <w:tc>
          <w:tcPr>
            <w:tcW w:w="1383" w:type="dxa"/>
            <w:vAlign w:val="center"/>
          </w:tcPr>
          <w:p w14:paraId="48E2AF0C">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生产制造商名称、国别</w:t>
            </w:r>
          </w:p>
        </w:tc>
        <w:tc>
          <w:tcPr>
            <w:tcW w:w="925" w:type="dxa"/>
            <w:vAlign w:val="center"/>
          </w:tcPr>
          <w:p w14:paraId="59F83C03">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134" w:type="dxa"/>
            <w:vAlign w:val="center"/>
          </w:tcPr>
          <w:p w14:paraId="7E42D907">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计量单位</w:t>
            </w:r>
          </w:p>
        </w:tc>
        <w:tc>
          <w:tcPr>
            <w:tcW w:w="1134" w:type="dxa"/>
            <w:vAlign w:val="center"/>
          </w:tcPr>
          <w:p w14:paraId="0C4BE043">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4EDC7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37" w:type="dxa"/>
          </w:tcPr>
          <w:p w14:paraId="1625D108">
            <w:pPr>
              <w:adjustRightInd w:val="0"/>
              <w:snapToGrid w:val="0"/>
              <w:spacing w:line="360" w:lineRule="auto"/>
              <w:rPr>
                <w:rFonts w:ascii="宋体" w:hAnsi="宋体" w:cs="宋体"/>
                <w:color w:val="auto"/>
                <w:szCs w:val="21"/>
                <w:highlight w:val="none"/>
              </w:rPr>
            </w:pPr>
          </w:p>
        </w:tc>
        <w:tc>
          <w:tcPr>
            <w:tcW w:w="1867" w:type="dxa"/>
          </w:tcPr>
          <w:p w14:paraId="5A398D24">
            <w:pPr>
              <w:adjustRightInd w:val="0"/>
              <w:snapToGrid w:val="0"/>
              <w:spacing w:line="360" w:lineRule="auto"/>
              <w:rPr>
                <w:rFonts w:ascii="宋体" w:hAnsi="宋体" w:cs="宋体"/>
                <w:color w:val="auto"/>
                <w:szCs w:val="21"/>
                <w:highlight w:val="none"/>
              </w:rPr>
            </w:pPr>
          </w:p>
        </w:tc>
        <w:tc>
          <w:tcPr>
            <w:tcW w:w="1279" w:type="dxa"/>
          </w:tcPr>
          <w:p w14:paraId="3055425F">
            <w:pPr>
              <w:adjustRightInd w:val="0"/>
              <w:snapToGrid w:val="0"/>
              <w:spacing w:line="360" w:lineRule="auto"/>
              <w:rPr>
                <w:rFonts w:ascii="宋体" w:hAnsi="宋体" w:cs="宋体"/>
                <w:color w:val="auto"/>
                <w:szCs w:val="21"/>
                <w:highlight w:val="none"/>
              </w:rPr>
            </w:pPr>
          </w:p>
        </w:tc>
        <w:tc>
          <w:tcPr>
            <w:tcW w:w="1383" w:type="dxa"/>
          </w:tcPr>
          <w:p w14:paraId="11DAE5C3">
            <w:pPr>
              <w:adjustRightInd w:val="0"/>
              <w:snapToGrid w:val="0"/>
              <w:spacing w:line="360" w:lineRule="auto"/>
              <w:rPr>
                <w:rFonts w:ascii="宋体" w:hAnsi="宋体" w:cs="宋体"/>
                <w:color w:val="auto"/>
                <w:szCs w:val="21"/>
                <w:highlight w:val="none"/>
              </w:rPr>
            </w:pPr>
          </w:p>
        </w:tc>
        <w:tc>
          <w:tcPr>
            <w:tcW w:w="925" w:type="dxa"/>
          </w:tcPr>
          <w:p w14:paraId="26C00873">
            <w:pPr>
              <w:adjustRightInd w:val="0"/>
              <w:snapToGrid w:val="0"/>
              <w:spacing w:line="360" w:lineRule="auto"/>
              <w:rPr>
                <w:rFonts w:ascii="宋体" w:hAnsi="宋体" w:cs="宋体"/>
                <w:color w:val="auto"/>
                <w:szCs w:val="21"/>
                <w:highlight w:val="none"/>
              </w:rPr>
            </w:pPr>
          </w:p>
        </w:tc>
        <w:tc>
          <w:tcPr>
            <w:tcW w:w="1134" w:type="dxa"/>
          </w:tcPr>
          <w:p w14:paraId="470E13D4">
            <w:pPr>
              <w:adjustRightInd w:val="0"/>
              <w:snapToGrid w:val="0"/>
              <w:spacing w:line="360" w:lineRule="auto"/>
              <w:rPr>
                <w:rFonts w:ascii="宋体" w:hAnsi="宋体" w:cs="宋体"/>
                <w:color w:val="auto"/>
                <w:szCs w:val="21"/>
                <w:highlight w:val="none"/>
              </w:rPr>
            </w:pPr>
          </w:p>
        </w:tc>
        <w:tc>
          <w:tcPr>
            <w:tcW w:w="1134" w:type="dxa"/>
          </w:tcPr>
          <w:p w14:paraId="715D25EB">
            <w:pPr>
              <w:adjustRightInd w:val="0"/>
              <w:snapToGrid w:val="0"/>
              <w:spacing w:line="360" w:lineRule="auto"/>
              <w:rPr>
                <w:rFonts w:ascii="宋体" w:hAnsi="宋体" w:cs="宋体"/>
                <w:color w:val="auto"/>
                <w:szCs w:val="21"/>
                <w:highlight w:val="none"/>
              </w:rPr>
            </w:pPr>
          </w:p>
        </w:tc>
      </w:tr>
      <w:tr w14:paraId="617E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37" w:type="dxa"/>
          </w:tcPr>
          <w:p w14:paraId="00B7F64D">
            <w:pPr>
              <w:adjustRightInd w:val="0"/>
              <w:snapToGrid w:val="0"/>
              <w:spacing w:line="360" w:lineRule="auto"/>
              <w:rPr>
                <w:rFonts w:ascii="宋体" w:hAnsi="宋体" w:cs="宋体"/>
                <w:color w:val="auto"/>
                <w:szCs w:val="21"/>
                <w:highlight w:val="none"/>
              </w:rPr>
            </w:pPr>
          </w:p>
        </w:tc>
        <w:tc>
          <w:tcPr>
            <w:tcW w:w="1867" w:type="dxa"/>
          </w:tcPr>
          <w:p w14:paraId="12E99CCB">
            <w:pPr>
              <w:adjustRightInd w:val="0"/>
              <w:snapToGrid w:val="0"/>
              <w:spacing w:line="360" w:lineRule="auto"/>
              <w:rPr>
                <w:rFonts w:ascii="宋体" w:hAnsi="宋体" w:cs="宋体"/>
                <w:color w:val="auto"/>
                <w:szCs w:val="21"/>
                <w:highlight w:val="none"/>
              </w:rPr>
            </w:pPr>
          </w:p>
        </w:tc>
        <w:tc>
          <w:tcPr>
            <w:tcW w:w="1279" w:type="dxa"/>
          </w:tcPr>
          <w:p w14:paraId="07C8FA72">
            <w:pPr>
              <w:adjustRightInd w:val="0"/>
              <w:snapToGrid w:val="0"/>
              <w:spacing w:line="360" w:lineRule="auto"/>
              <w:rPr>
                <w:rFonts w:ascii="宋体" w:hAnsi="宋体" w:cs="宋体"/>
                <w:color w:val="auto"/>
                <w:szCs w:val="21"/>
                <w:highlight w:val="none"/>
              </w:rPr>
            </w:pPr>
          </w:p>
        </w:tc>
        <w:tc>
          <w:tcPr>
            <w:tcW w:w="1383" w:type="dxa"/>
          </w:tcPr>
          <w:p w14:paraId="6B060C35">
            <w:pPr>
              <w:adjustRightInd w:val="0"/>
              <w:snapToGrid w:val="0"/>
              <w:spacing w:line="360" w:lineRule="auto"/>
              <w:rPr>
                <w:rFonts w:ascii="宋体" w:hAnsi="宋体" w:cs="宋体"/>
                <w:color w:val="auto"/>
                <w:szCs w:val="21"/>
                <w:highlight w:val="none"/>
              </w:rPr>
            </w:pPr>
          </w:p>
        </w:tc>
        <w:tc>
          <w:tcPr>
            <w:tcW w:w="925" w:type="dxa"/>
          </w:tcPr>
          <w:p w14:paraId="482D124B">
            <w:pPr>
              <w:adjustRightInd w:val="0"/>
              <w:snapToGrid w:val="0"/>
              <w:spacing w:line="360" w:lineRule="auto"/>
              <w:rPr>
                <w:rFonts w:ascii="宋体" w:hAnsi="宋体" w:cs="宋体"/>
                <w:color w:val="auto"/>
                <w:szCs w:val="21"/>
                <w:highlight w:val="none"/>
              </w:rPr>
            </w:pPr>
          </w:p>
        </w:tc>
        <w:tc>
          <w:tcPr>
            <w:tcW w:w="1134" w:type="dxa"/>
          </w:tcPr>
          <w:p w14:paraId="1D0652E2">
            <w:pPr>
              <w:adjustRightInd w:val="0"/>
              <w:snapToGrid w:val="0"/>
              <w:spacing w:line="360" w:lineRule="auto"/>
              <w:rPr>
                <w:rFonts w:ascii="宋体" w:hAnsi="宋体" w:cs="宋体"/>
                <w:color w:val="auto"/>
                <w:szCs w:val="21"/>
                <w:highlight w:val="none"/>
              </w:rPr>
            </w:pPr>
          </w:p>
        </w:tc>
        <w:tc>
          <w:tcPr>
            <w:tcW w:w="1134" w:type="dxa"/>
          </w:tcPr>
          <w:p w14:paraId="76281908">
            <w:pPr>
              <w:adjustRightInd w:val="0"/>
              <w:snapToGrid w:val="0"/>
              <w:spacing w:line="360" w:lineRule="auto"/>
              <w:rPr>
                <w:rFonts w:ascii="宋体" w:hAnsi="宋体" w:cs="宋体"/>
                <w:color w:val="auto"/>
                <w:szCs w:val="21"/>
                <w:highlight w:val="none"/>
              </w:rPr>
            </w:pPr>
          </w:p>
        </w:tc>
      </w:tr>
      <w:tr w14:paraId="74A05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37" w:type="dxa"/>
          </w:tcPr>
          <w:p w14:paraId="79EE46A0">
            <w:pPr>
              <w:adjustRightInd w:val="0"/>
              <w:snapToGrid w:val="0"/>
              <w:spacing w:line="360" w:lineRule="auto"/>
              <w:rPr>
                <w:rFonts w:ascii="宋体" w:hAnsi="宋体" w:cs="宋体"/>
                <w:color w:val="auto"/>
                <w:szCs w:val="21"/>
                <w:highlight w:val="none"/>
              </w:rPr>
            </w:pPr>
          </w:p>
        </w:tc>
        <w:tc>
          <w:tcPr>
            <w:tcW w:w="1867" w:type="dxa"/>
          </w:tcPr>
          <w:p w14:paraId="302F6EB3">
            <w:pPr>
              <w:adjustRightInd w:val="0"/>
              <w:snapToGrid w:val="0"/>
              <w:spacing w:line="360" w:lineRule="auto"/>
              <w:rPr>
                <w:rFonts w:ascii="宋体" w:hAnsi="宋体" w:cs="宋体"/>
                <w:color w:val="auto"/>
                <w:szCs w:val="21"/>
                <w:highlight w:val="none"/>
              </w:rPr>
            </w:pPr>
          </w:p>
        </w:tc>
        <w:tc>
          <w:tcPr>
            <w:tcW w:w="1279" w:type="dxa"/>
          </w:tcPr>
          <w:p w14:paraId="6EF3CD63">
            <w:pPr>
              <w:adjustRightInd w:val="0"/>
              <w:snapToGrid w:val="0"/>
              <w:spacing w:line="360" w:lineRule="auto"/>
              <w:rPr>
                <w:rFonts w:ascii="宋体" w:hAnsi="宋体" w:cs="宋体"/>
                <w:color w:val="auto"/>
                <w:szCs w:val="21"/>
                <w:highlight w:val="none"/>
              </w:rPr>
            </w:pPr>
          </w:p>
        </w:tc>
        <w:tc>
          <w:tcPr>
            <w:tcW w:w="1383" w:type="dxa"/>
          </w:tcPr>
          <w:p w14:paraId="3E5C5704">
            <w:pPr>
              <w:adjustRightInd w:val="0"/>
              <w:snapToGrid w:val="0"/>
              <w:spacing w:line="360" w:lineRule="auto"/>
              <w:rPr>
                <w:rFonts w:ascii="宋体" w:hAnsi="宋体" w:cs="宋体"/>
                <w:color w:val="auto"/>
                <w:szCs w:val="21"/>
                <w:highlight w:val="none"/>
              </w:rPr>
            </w:pPr>
          </w:p>
        </w:tc>
        <w:tc>
          <w:tcPr>
            <w:tcW w:w="925" w:type="dxa"/>
          </w:tcPr>
          <w:p w14:paraId="282A90DE">
            <w:pPr>
              <w:adjustRightInd w:val="0"/>
              <w:snapToGrid w:val="0"/>
              <w:spacing w:line="360" w:lineRule="auto"/>
              <w:rPr>
                <w:rFonts w:ascii="宋体" w:hAnsi="宋体" w:cs="宋体"/>
                <w:color w:val="auto"/>
                <w:szCs w:val="21"/>
                <w:highlight w:val="none"/>
              </w:rPr>
            </w:pPr>
          </w:p>
        </w:tc>
        <w:tc>
          <w:tcPr>
            <w:tcW w:w="1134" w:type="dxa"/>
          </w:tcPr>
          <w:p w14:paraId="702F07A2">
            <w:pPr>
              <w:adjustRightInd w:val="0"/>
              <w:snapToGrid w:val="0"/>
              <w:spacing w:line="360" w:lineRule="auto"/>
              <w:rPr>
                <w:rFonts w:ascii="宋体" w:hAnsi="宋体" w:cs="宋体"/>
                <w:color w:val="auto"/>
                <w:szCs w:val="21"/>
                <w:highlight w:val="none"/>
              </w:rPr>
            </w:pPr>
          </w:p>
        </w:tc>
        <w:tc>
          <w:tcPr>
            <w:tcW w:w="1134" w:type="dxa"/>
          </w:tcPr>
          <w:p w14:paraId="1F515C3F">
            <w:pPr>
              <w:adjustRightInd w:val="0"/>
              <w:snapToGrid w:val="0"/>
              <w:spacing w:line="360" w:lineRule="auto"/>
              <w:rPr>
                <w:rFonts w:ascii="宋体" w:hAnsi="宋体" w:cs="宋体"/>
                <w:color w:val="auto"/>
                <w:szCs w:val="21"/>
                <w:highlight w:val="none"/>
              </w:rPr>
            </w:pPr>
          </w:p>
        </w:tc>
      </w:tr>
    </w:tbl>
    <w:p w14:paraId="3E83BD67">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注：</w:t>
      </w:r>
    </w:p>
    <w:p w14:paraId="05BDDE39">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1.项目特别要求提供备品备件的</w:t>
      </w:r>
      <w:r>
        <w:rPr>
          <w:rFonts w:hint="eastAsia" w:ascii="宋体" w:hAnsi="宋体" w:cs="宋体"/>
          <w:color w:val="auto"/>
          <w:szCs w:val="21"/>
          <w:highlight w:val="none"/>
          <w:lang w:eastAsia="zh-CN"/>
        </w:rPr>
        <w:t>，</w:t>
      </w:r>
      <w:r>
        <w:rPr>
          <w:rFonts w:hint="eastAsia" w:ascii="宋体" w:hAnsi="宋体" w:cs="宋体"/>
          <w:color w:val="auto"/>
          <w:szCs w:val="21"/>
          <w:highlight w:val="none"/>
        </w:rPr>
        <w:t>此部分价格应包含在谈判报价中</w:t>
      </w:r>
      <w:r>
        <w:rPr>
          <w:rFonts w:hint="eastAsia" w:ascii="宋体" w:hAnsi="宋体" w:cs="宋体"/>
          <w:color w:val="auto"/>
          <w:szCs w:val="21"/>
          <w:highlight w:val="none"/>
          <w:lang w:eastAsia="zh-CN"/>
        </w:rPr>
        <w:t>，</w:t>
      </w:r>
      <w:r>
        <w:rPr>
          <w:rFonts w:hint="eastAsia" w:ascii="宋体" w:hAnsi="宋体" w:cs="宋体"/>
          <w:color w:val="auto"/>
          <w:szCs w:val="21"/>
          <w:highlight w:val="none"/>
        </w:rPr>
        <w:t>项目未特别要求提供备品备件的</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供应商可填写该表</w:t>
      </w:r>
      <w:r>
        <w:rPr>
          <w:rFonts w:hint="eastAsia" w:ascii="宋体" w:hAnsi="宋体" w:cs="宋体"/>
          <w:color w:val="auto"/>
          <w:szCs w:val="21"/>
          <w:highlight w:val="none"/>
          <w:lang w:eastAsia="zh-CN"/>
        </w:rPr>
        <w:t>，</w:t>
      </w:r>
      <w:r>
        <w:rPr>
          <w:rFonts w:hint="eastAsia" w:ascii="宋体" w:hAnsi="宋体" w:cs="宋体"/>
          <w:color w:val="auto"/>
          <w:szCs w:val="21"/>
          <w:highlight w:val="none"/>
        </w:rPr>
        <w:t>但此费用不包含在谈判报价中。</w:t>
      </w:r>
    </w:p>
    <w:p w14:paraId="0F4417DF">
      <w:pPr>
        <w:adjustRightInd w:val="0"/>
        <w:snapToGrid w:val="0"/>
        <w:spacing w:line="360" w:lineRule="auto"/>
        <w:rPr>
          <w:rFonts w:ascii="宋体" w:hAnsi="宋体" w:cs="宋体"/>
          <w:color w:val="auto"/>
          <w:szCs w:val="21"/>
          <w:highlight w:val="none"/>
        </w:rPr>
      </w:pPr>
      <w:bookmarkStart w:id="180" w:name="_Toc7491"/>
      <w:r>
        <w:rPr>
          <w:rFonts w:hint="eastAsia" w:ascii="宋体" w:hAnsi="宋体" w:cs="宋体"/>
          <w:color w:val="auto"/>
          <w:szCs w:val="21"/>
          <w:highlight w:val="none"/>
        </w:rPr>
        <w:t>2.供应商可根据实际情况拓展本表。</w:t>
      </w:r>
      <w:bookmarkEnd w:id="180"/>
    </w:p>
    <w:p w14:paraId="5378E4EC">
      <w:pPr>
        <w:adjustRightInd w:val="0"/>
        <w:snapToGrid w:val="0"/>
        <w:spacing w:line="360" w:lineRule="auto"/>
        <w:jc w:val="left"/>
        <w:rPr>
          <w:rFonts w:ascii="宋体" w:hAnsi="宋体" w:cs="宋体"/>
          <w:color w:val="auto"/>
          <w:szCs w:val="21"/>
          <w:highlight w:val="none"/>
        </w:rPr>
      </w:pPr>
    </w:p>
    <w:p w14:paraId="095309BE">
      <w:pPr>
        <w:adjustRightInd w:val="0"/>
        <w:snapToGrid w:val="0"/>
        <w:spacing w:line="360" w:lineRule="auto"/>
        <w:jc w:val="left"/>
        <w:rPr>
          <w:rFonts w:ascii="宋体" w:hAnsi="宋体" w:cs="宋体"/>
          <w:color w:val="auto"/>
          <w:szCs w:val="21"/>
          <w:highlight w:val="none"/>
        </w:rPr>
      </w:pPr>
    </w:p>
    <w:p w14:paraId="30E8AB20">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供应商：（加盖供应商电子公章）</w:t>
      </w:r>
    </w:p>
    <w:p w14:paraId="5E44336A">
      <w:pPr>
        <w:adjustRightInd w:val="0"/>
        <w:snapToGrid w:val="0"/>
        <w:spacing w:line="360" w:lineRule="auto"/>
        <w:ind w:firstLine="2" w:firstLineChars="1"/>
        <w:jc w:val="left"/>
        <w:rPr>
          <w:rFonts w:ascii="宋体" w:hAnsi="宋体" w:cs="宋体"/>
          <w:color w:val="auto"/>
          <w:highlight w:val="none"/>
        </w:rPr>
      </w:pPr>
    </w:p>
    <w:p w14:paraId="41CD2109">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法定代表人或委托代理人：（电子签名或盖章）</w:t>
      </w:r>
    </w:p>
    <w:p w14:paraId="394AF865">
      <w:pPr>
        <w:adjustRightInd w:val="0"/>
        <w:snapToGrid w:val="0"/>
        <w:spacing w:line="360" w:lineRule="auto"/>
        <w:ind w:firstLine="2" w:firstLineChars="1"/>
        <w:jc w:val="left"/>
        <w:rPr>
          <w:rFonts w:ascii="宋体" w:hAnsi="宋体" w:cs="宋体"/>
          <w:color w:val="auto"/>
          <w:szCs w:val="21"/>
          <w:highlight w:val="none"/>
        </w:rPr>
      </w:pPr>
    </w:p>
    <w:p w14:paraId="691D8647">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日期：</w:t>
      </w:r>
    </w:p>
    <w:p w14:paraId="312F6EA9">
      <w:pPr>
        <w:rPr>
          <w:color w:val="auto"/>
          <w:highlight w:val="none"/>
        </w:rPr>
      </w:pPr>
      <w:r>
        <w:rPr>
          <w:rFonts w:hint="eastAsia"/>
          <w:color w:val="auto"/>
          <w:highlight w:val="none"/>
        </w:rPr>
        <w:br w:type="page"/>
      </w:r>
    </w:p>
    <w:p w14:paraId="46848F5E">
      <w:pPr>
        <w:keepNext/>
        <w:keepLines/>
        <w:adjustRightInd w:val="0"/>
        <w:snapToGrid w:val="0"/>
        <w:spacing w:line="360" w:lineRule="auto"/>
        <w:jc w:val="left"/>
        <w:rPr>
          <w:rFonts w:hint="eastAsia" w:ascii="宋体" w:hAnsi="宋体" w:eastAsia="宋体" w:cs="宋体"/>
          <w:b/>
          <w:bCs/>
          <w:color w:val="auto"/>
          <w:sz w:val="28"/>
          <w:szCs w:val="32"/>
          <w:highlight w:val="none"/>
          <w:lang w:eastAsia="zh-CN"/>
        </w:rPr>
      </w:pPr>
      <w:r>
        <w:rPr>
          <w:rFonts w:hint="eastAsia" w:ascii="宋体" w:hAnsi="宋体" w:cs="宋体"/>
          <w:b/>
          <w:bCs/>
          <w:color w:val="auto"/>
          <w:sz w:val="28"/>
          <w:szCs w:val="32"/>
          <w:highlight w:val="none"/>
        </w:rPr>
        <w:t>格式1</w:t>
      </w:r>
      <w:r>
        <w:rPr>
          <w:rFonts w:hint="eastAsia" w:ascii="宋体" w:hAnsi="宋体" w:cs="宋体"/>
          <w:b/>
          <w:bCs/>
          <w:color w:val="auto"/>
          <w:sz w:val="28"/>
          <w:szCs w:val="32"/>
          <w:highlight w:val="none"/>
          <w:lang w:val="en-US" w:eastAsia="zh-CN"/>
        </w:rPr>
        <w:t>3</w:t>
      </w:r>
    </w:p>
    <w:p w14:paraId="5AC2A3FF">
      <w:pPr>
        <w:adjustRightInd w:val="0"/>
        <w:snapToGrid w:val="0"/>
        <w:spacing w:line="360" w:lineRule="auto"/>
        <w:jc w:val="center"/>
        <w:outlineLvl w:val="1"/>
        <w:rPr>
          <w:rFonts w:ascii="宋体" w:hAnsi="宋体" w:cs="宋体"/>
          <w:b/>
          <w:bCs/>
          <w:color w:val="auto"/>
          <w:sz w:val="32"/>
          <w:szCs w:val="32"/>
          <w:highlight w:val="none"/>
        </w:rPr>
      </w:pPr>
      <w:bookmarkStart w:id="181" w:name="_Toc10885"/>
      <w:bookmarkStart w:id="182" w:name="_Toc21797"/>
      <w:r>
        <w:rPr>
          <w:rFonts w:hint="eastAsia" w:ascii="宋体" w:hAnsi="宋体" w:cs="宋体"/>
          <w:b/>
          <w:bCs/>
          <w:color w:val="auto"/>
          <w:sz w:val="32"/>
          <w:szCs w:val="32"/>
          <w:highlight w:val="none"/>
        </w:rPr>
        <w:t>技术条款偏离表</w:t>
      </w:r>
      <w:bookmarkEnd w:id="181"/>
      <w:bookmarkEnd w:id="182"/>
    </w:p>
    <w:p w14:paraId="048B3023">
      <w:pPr>
        <w:pStyle w:val="21"/>
        <w:spacing w:line="360" w:lineRule="auto"/>
        <w:rPr>
          <w:rFonts w:hAnsi="宋体" w:cs="宋体"/>
          <w:b/>
          <w:color w:val="auto"/>
          <w:szCs w:val="21"/>
          <w:highlight w:val="none"/>
        </w:rPr>
      </w:pPr>
      <w:r>
        <w:rPr>
          <w:rFonts w:hint="eastAsia" w:hAnsi="宋体" w:cs="宋体"/>
          <w:b/>
          <w:color w:val="auto"/>
          <w:szCs w:val="21"/>
          <w:highlight w:val="none"/>
        </w:rPr>
        <w:t>项目名称：</w:t>
      </w:r>
    </w:p>
    <w:p w14:paraId="3A468192">
      <w:pPr>
        <w:pStyle w:val="21"/>
        <w:spacing w:line="360" w:lineRule="auto"/>
        <w:rPr>
          <w:rFonts w:hAnsi="宋体" w:cs="宋体"/>
          <w:b/>
          <w:color w:val="auto"/>
          <w:szCs w:val="21"/>
          <w:highlight w:val="none"/>
        </w:rPr>
      </w:pPr>
      <w:r>
        <w:rPr>
          <w:rFonts w:hint="eastAsia" w:hAnsi="宋体" w:cs="宋体"/>
          <w:b/>
          <w:color w:val="auto"/>
          <w:szCs w:val="21"/>
          <w:highlight w:val="none"/>
        </w:rPr>
        <w:t>项目编号：</w:t>
      </w:r>
    </w:p>
    <w:tbl>
      <w:tblPr>
        <w:tblStyle w:val="42"/>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4"/>
        <w:gridCol w:w="1586"/>
        <w:gridCol w:w="2915"/>
        <w:gridCol w:w="3138"/>
        <w:gridCol w:w="1072"/>
      </w:tblGrid>
      <w:tr w14:paraId="511DF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6" w:hRule="atLeast"/>
          <w:jc w:val="center"/>
        </w:trPr>
        <w:tc>
          <w:tcPr>
            <w:tcW w:w="994" w:type="dxa"/>
            <w:vAlign w:val="center"/>
          </w:tcPr>
          <w:p w14:paraId="47FF0466">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1586" w:type="dxa"/>
            <w:vAlign w:val="center"/>
          </w:tcPr>
          <w:p w14:paraId="461404DD">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产品（标的）名称</w:t>
            </w:r>
          </w:p>
        </w:tc>
        <w:tc>
          <w:tcPr>
            <w:tcW w:w="2915" w:type="dxa"/>
            <w:vAlign w:val="center"/>
          </w:tcPr>
          <w:p w14:paraId="106B671A">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谈判文件技术条款</w:t>
            </w:r>
          </w:p>
        </w:tc>
        <w:tc>
          <w:tcPr>
            <w:tcW w:w="3138" w:type="dxa"/>
            <w:vAlign w:val="center"/>
          </w:tcPr>
          <w:p w14:paraId="2A754919">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响应文件响应情况</w:t>
            </w:r>
          </w:p>
        </w:tc>
        <w:tc>
          <w:tcPr>
            <w:tcW w:w="1072" w:type="dxa"/>
            <w:vAlign w:val="center"/>
          </w:tcPr>
          <w:p w14:paraId="67C0BA75">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偏离</w:t>
            </w:r>
          </w:p>
        </w:tc>
      </w:tr>
      <w:tr w14:paraId="723C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6" w:hRule="atLeast"/>
          <w:jc w:val="center"/>
        </w:trPr>
        <w:tc>
          <w:tcPr>
            <w:tcW w:w="994" w:type="dxa"/>
            <w:vAlign w:val="center"/>
          </w:tcPr>
          <w:p w14:paraId="704030C1">
            <w:pPr>
              <w:spacing w:line="360" w:lineRule="auto"/>
              <w:jc w:val="center"/>
              <w:rPr>
                <w:rFonts w:ascii="宋体" w:hAnsi="宋体" w:cs="宋体"/>
                <w:color w:val="auto"/>
                <w:szCs w:val="21"/>
                <w:highlight w:val="none"/>
              </w:rPr>
            </w:pPr>
          </w:p>
        </w:tc>
        <w:tc>
          <w:tcPr>
            <w:tcW w:w="1586" w:type="dxa"/>
            <w:vAlign w:val="center"/>
          </w:tcPr>
          <w:p w14:paraId="703BDB6B">
            <w:pPr>
              <w:spacing w:line="360" w:lineRule="auto"/>
              <w:jc w:val="center"/>
              <w:rPr>
                <w:rFonts w:ascii="宋体" w:hAnsi="宋体" w:cs="宋体"/>
                <w:color w:val="auto"/>
                <w:szCs w:val="21"/>
                <w:highlight w:val="none"/>
              </w:rPr>
            </w:pPr>
          </w:p>
        </w:tc>
        <w:tc>
          <w:tcPr>
            <w:tcW w:w="2915" w:type="dxa"/>
            <w:vAlign w:val="center"/>
          </w:tcPr>
          <w:p w14:paraId="4E0F5E1F">
            <w:pPr>
              <w:spacing w:line="360" w:lineRule="auto"/>
              <w:jc w:val="center"/>
              <w:rPr>
                <w:rFonts w:ascii="宋体" w:hAnsi="宋体" w:cs="宋体"/>
                <w:color w:val="auto"/>
                <w:szCs w:val="21"/>
                <w:highlight w:val="none"/>
              </w:rPr>
            </w:pPr>
          </w:p>
        </w:tc>
        <w:tc>
          <w:tcPr>
            <w:tcW w:w="3138" w:type="dxa"/>
            <w:vAlign w:val="center"/>
          </w:tcPr>
          <w:p w14:paraId="6FB8D3D4">
            <w:pPr>
              <w:spacing w:line="360" w:lineRule="auto"/>
              <w:jc w:val="center"/>
              <w:rPr>
                <w:rFonts w:ascii="宋体" w:hAnsi="宋体" w:cs="宋体"/>
                <w:color w:val="auto"/>
                <w:szCs w:val="21"/>
                <w:highlight w:val="none"/>
              </w:rPr>
            </w:pPr>
          </w:p>
        </w:tc>
        <w:tc>
          <w:tcPr>
            <w:tcW w:w="1072" w:type="dxa"/>
            <w:vAlign w:val="center"/>
          </w:tcPr>
          <w:p w14:paraId="06D1323B">
            <w:pPr>
              <w:spacing w:line="360" w:lineRule="auto"/>
              <w:jc w:val="center"/>
              <w:rPr>
                <w:rFonts w:ascii="宋体" w:hAnsi="宋体" w:cs="宋体"/>
                <w:color w:val="auto"/>
                <w:szCs w:val="21"/>
                <w:highlight w:val="none"/>
              </w:rPr>
            </w:pPr>
          </w:p>
        </w:tc>
      </w:tr>
      <w:tr w14:paraId="42FC8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6" w:hRule="atLeast"/>
          <w:jc w:val="center"/>
        </w:trPr>
        <w:tc>
          <w:tcPr>
            <w:tcW w:w="994" w:type="dxa"/>
            <w:vAlign w:val="center"/>
          </w:tcPr>
          <w:p w14:paraId="28EB4237">
            <w:pPr>
              <w:spacing w:line="360" w:lineRule="auto"/>
              <w:jc w:val="center"/>
              <w:rPr>
                <w:rFonts w:ascii="宋体" w:hAnsi="宋体" w:cs="宋体"/>
                <w:color w:val="auto"/>
                <w:szCs w:val="21"/>
                <w:highlight w:val="none"/>
              </w:rPr>
            </w:pPr>
          </w:p>
        </w:tc>
        <w:tc>
          <w:tcPr>
            <w:tcW w:w="1586" w:type="dxa"/>
            <w:vAlign w:val="center"/>
          </w:tcPr>
          <w:p w14:paraId="4AB36E57">
            <w:pPr>
              <w:spacing w:line="360" w:lineRule="auto"/>
              <w:jc w:val="center"/>
              <w:rPr>
                <w:rFonts w:ascii="宋体" w:hAnsi="宋体" w:cs="宋体"/>
                <w:color w:val="auto"/>
                <w:szCs w:val="21"/>
                <w:highlight w:val="none"/>
              </w:rPr>
            </w:pPr>
          </w:p>
        </w:tc>
        <w:tc>
          <w:tcPr>
            <w:tcW w:w="2915" w:type="dxa"/>
            <w:vAlign w:val="center"/>
          </w:tcPr>
          <w:p w14:paraId="387F34D4">
            <w:pPr>
              <w:spacing w:line="360" w:lineRule="auto"/>
              <w:jc w:val="center"/>
              <w:rPr>
                <w:rFonts w:ascii="宋体" w:hAnsi="宋体" w:cs="宋体"/>
                <w:color w:val="auto"/>
                <w:szCs w:val="21"/>
                <w:highlight w:val="none"/>
              </w:rPr>
            </w:pPr>
          </w:p>
        </w:tc>
        <w:tc>
          <w:tcPr>
            <w:tcW w:w="3138" w:type="dxa"/>
            <w:vAlign w:val="center"/>
          </w:tcPr>
          <w:p w14:paraId="4E9ECBC8">
            <w:pPr>
              <w:spacing w:line="360" w:lineRule="auto"/>
              <w:jc w:val="center"/>
              <w:rPr>
                <w:rFonts w:ascii="宋体" w:hAnsi="宋体" w:cs="宋体"/>
                <w:color w:val="auto"/>
                <w:szCs w:val="21"/>
                <w:highlight w:val="none"/>
              </w:rPr>
            </w:pPr>
          </w:p>
        </w:tc>
        <w:tc>
          <w:tcPr>
            <w:tcW w:w="1072" w:type="dxa"/>
            <w:vAlign w:val="center"/>
          </w:tcPr>
          <w:p w14:paraId="7EAFE092">
            <w:pPr>
              <w:spacing w:line="360" w:lineRule="auto"/>
              <w:jc w:val="center"/>
              <w:rPr>
                <w:rFonts w:ascii="宋体" w:hAnsi="宋体" w:cs="宋体"/>
                <w:color w:val="auto"/>
                <w:szCs w:val="21"/>
                <w:highlight w:val="none"/>
              </w:rPr>
            </w:pPr>
          </w:p>
        </w:tc>
      </w:tr>
      <w:tr w14:paraId="3355E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6" w:hRule="atLeast"/>
          <w:jc w:val="center"/>
        </w:trPr>
        <w:tc>
          <w:tcPr>
            <w:tcW w:w="994" w:type="dxa"/>
            <w:vAlign w:val="center"/>
          </w:tcPr>
          <w:p w14:paraId="117927F6">
            <w:pPr>
              <w:spacing w:line="360" w:lineRule="auto"/>
              <w:jc w:val="center"/>
              <w:rPr>
                <w:rFonts w:ascii="宋体" w:hAnsi="宋体" w:cs="宋体"/>
                <w:color w:val="auto"/>
                <w:szCs w:val="21"/>
                <w:highlight w:val="none"/>
              </w:rPr>
            </w:pPr>
          </w:p>
        </w:tc>
        <w:tc>
          <w:tcPr>
            <w:tcW w:w="1586" w:type="dxa"/>
            <w:vAlign w:val="center"/>
          </w:tcPr>
          <w:p w14:paraId="1FD097EE">
            <w:pPr>
              <w:spacing w:line="360" w:lineRule="auto"/>
              <w:jc w:val="center"/>
              <w:rPr>
                <w:rFonts w:ascii="宋体" w:hAnsi="宋体" w:cs="宋体"/>
                <w:color w:val="auto"/>
                <w:szCs w:val="21"/>
                <w:highlight w:val="none"/>
              </w:rPr>
            </w:pPr>
          </w:p>
        </w:tc>
        <w:tc>
          <w:tcPr>
            <w:tcW w:w="2915" w:type="dxa"/>
            <w:vAlign w:val="center"/>
          </w:tcPr>
          <w:p w14:paraId="31BB92B2">
            <w:pPr>
              <w:spacing w:line="360" w:lineRule="auto"/>
              <w:jc w:val="center"/>
              <w:rPr>
                <w:rFonts w:ascii="宋体" w:hAnsi="宋体" w:cs="宋体"/>
                <w:color w:val="auto"/>
                <w:szCs w:val="21"/>
                <w:highlight w:val="none"/>
              </w:rPr>
            </w:pPr>
          </w:p>
        </w:tc>
        <w:tc>
          <w:tcPr>
            <w:tcW w:w="3138" w:type="dxa"/>
            <w:vAlign w:val="center"/>
          </w:tcPr>
          <w:p w14:paraId="649E1F45">
            <w:pPr>
              <w:spacing w:line="360" w:lineRule="auto"/>
              <w:jc w:val="center"/>
              <w:rPr>
                <w:rFonts w:ascii="宋体" w:hAnsi="宋体" w:cs="宋体"/>
                <w:color w:val="auto"/>
                <w:szCs w:val="21"/>
                <w:highlight w:val="none"/>
              </w:rPr>
            </w:pPr>
          </w:p>
        </w:tc>
        <w:tc>
          <w:tcPr>
            <w:tcW w:w="1072" w:type="dxa"/>
            <w:vAlign w:val="center"/>
          </w:tcPr>
          <w:p w14:paraId="3B097187">
            <w:pPr>
              <w:spacing w:line="360" w:lineRule="auto"/>
              <w:jc w:val="center"/>
              <w:rPr>
                <w:rFonts w:ascii="宋体" w:hAnsi="宋体" w:cs="宋体"/>
                <w:color w:val="auto"/>
                <w:szCs w:val="21"/>
                <w:highlight w:val="none"/>
              </w:rPr>
            </w:pPr>
          </w:p>
        </w:tc>
      </w:tr>
      <w:tr w14:paraId="6EB4A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994" w:type="dxa"/>
            <w:vAlign w:val="center"/>
          </w:tcPr>
          <w:p w14:paraId="1BB83F5C">
            <w:pPr>
              <w:spacing w:line="360" w:lineRule="auto"/>
              <w:jc w:val="center"/>
              <w:rPr>
                <w:rFonts w:ascii="宋体" w:hAnsi="宋体" w:cs="宋体"/>
                <w:color w:val="auto"/>
                <w:szCs w:val="21"/>
                <w:highlight w:val="none"/>
              </w:rPr>
            </w:pPr>
          </w:p>
        </w:tc>
        <w:tc>
          <w:tcPr>
            <w:tcW w:w="1586" w:type="dxa"/>
            <w:vAlign w:val="center"/>
          </w:tcPr>
          <w:p w14:paraId="4044ADD5">
            <w:pPr>
              <w:spacing w:line="360" w:lineRule="auto"/>
              <w:jc w:val="center"/>
              <w:rPr>
                <w:rFonts w:ascii="宋体" w:hAnsi="宋体" w:cs="宋体"/>
                <w:color w:val="auto"/>
                <w:szCs w:val="21"/>
                <w:highlight w:val="none"/>
              </w:rPr>
            </w:pPr>
          </w:p>
        </w:tc>
        <w:tc>
          <w:tcPr>
            <w:tcW w:w="2915" w:type="dxa"/>
            <w:vAlign w:val="center"/>
          </w:tcPr>
          <w:p w14:paraId="151A25BC">
            <w:pPr>
              <w:spacing w:line="360" w:lineRule="auto"/>
              <w:jc w:val="center"/>
              <w:rPr>
                <w:rFonts w:ascii="宋体" w:hAnsi="宋体" w:cs="宋体"/>
                <w:color w:val="auto"/>
                <w:szCs w:val="21"/>
                <w:highlight w:val="none"/>
              </w:rPr>
            </w:pPr>
          </w:p>
        </w:tc>
        <w:tc>
          <w:tcPr>
            <w:tcW w:w="3138" w:type="dxa"/>
            <w:vAlign w:val="center"/>
          </w:tcPr>
          <w:p w14:paraId="784145B9">
            <w:pPr>
              <w:spacing w:line="360" w:lineRule="auto"/>
              <w:jc w:val="center"/>
              <w:rPr>
                <w:rFonts w:ascii="宋体" w:hAnsi="宋体" w:cs="宋体"/>
                <w:color w:val="auto"/>
                <w:szCs w:val="21"/>
                <w:highlight w:val="none"/>
              </w:rPr>
            </w:pPr>
          </w:p>
        </w:tc>
        <w:tc>
          <w:tcPr>
            <w:tcW w:w="1072" w:type="dxa"/>
            <w:vAlign w:val="center"/>
          </w:tcPr>
          <w:p w14:paraId="5F77C775">
            <w:pPr>
              <w:spacing w:line="360" w:lineRule="auto"/>
              <w:jc w:val="center"/>
              <w:rPr>
                <w:rFonts w:ascii="宋体" w:hAnsi="宋体" w:cs="宋体"/>
                <w:color w:val="auto"/>
                <w:szCs w:val="21"/>
                <w:highlight w:val="none"/>
              </w:rPr>
            </w:pPr>
          </w:p>
        </w:tc>
      </w:tr>
    </w:tbl>
    <w:p w14:paraId="419FDD52">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注：</w:t>
      </w:r>
    </w:p>
    <w:p w14:paraId="03232869">
      <w:pPr>
        <w:pStyle w:val="21"/>
        <w:snapToGrid w:val="0"/>
        <w:spacing w:line="360"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rPr>
        <w:t>1.表格中“序号”一列</w:t>
      </w:r>
      <w:r>
        <w:rPr>
          <w:rFonts w:hint="eastAsia" w:hAnsi="宋体" w:cs="宋体"/>
          <w:color w:val="auto"/>
          <w:sz w:val="21"/>
          <w:szCs w:val="21"/>
          <w:highlight w:val="none"/>
          <w:lang w:eastAsia="zh-CN"/>
        </w:rPr>
        <w:t>，</w:t>
      </w:r>
      <w:r>
        <w:rPr>
          <w:rFonts w:hint="eastAsia" w:hAnsi="宋体" w:cs="宋体"/>
          <w:color w:val="auto"/>
          <w:sz w:val="21"/>
          <w:szCs w:val="21"/>
          <w:highlight w:val="none"/>
        </w:rPr>
        <w:t>供应商须逐条对应第五章《采购需求》（三）采购标的需满足的质量、安全、技术规格、物理特性等要求中技术条款的序号</w:t>
      </w:r>
      <w:r>
        <w:rPr>
          <w:rFonts w:hint="eastAsia" w:hAnsi="宋体" w:cs="宋体"/>
          <w:color w:val="auto"/>
          <w:sz w:val="21"/>
          <w:szCs w:val="21"/>
          <w:highlight w:val="none"/>
          <w:lang w:eastAsia="zh-CN"/>
        </w:rPr>
        <w:t>；</w:t>
      </w:r>
    </w:p>
    <w:p w14:paraId="742AA020">
      <w:pPr>
        <w:pStyle w:val="21"/>
        <w:snapToGrid w:val="0"/>
        <w:spacing w:line="360" w:lineRule="auto"/>
        <w:rPr>
          <w:rFonts w:hint="eastAsia"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2</w:t>
      </w:r>
      <w:r>
        <w:rPr>
          <w:rFonts w:hint="eastAsia" w:hAnsi="宋体" w:cs="宋体"/>
          <w:color w:val="auto"/>
          <w:sz w:val="21"/>
          <w:szCs w:val="21"/>
          <w:highlight w:val="none"/>
        </w:rPr>
        <w:t>.表格中“产品（标的）名称”一列</w:t>
      </w:r>
      <w:r>
        <w:rPr>
          <w:rFonts w:hint="eastAsia" w:hAnsi="宋体" w:cs="宋体"/>
          <w:color w:val="auto"/>
          <w:sz w:val="21"/>
          <w:szCs w:val="21"/>
          <w:highlight w:val="none"/>
          <w:lang w:eastAsia="zh-CN"/>
        </w:rPr>
        <w:t>，</w:t>
      </w:r>
      <w:r>
        <w:rPr>
          <w:rFonts w:hint="eastAsia" w:hAnsi="宋体" w:cs="宋体"/>
          <w:color w:val="auto"/>
          <w:sz w:val="21"/>
          <w:szCs w:val="21"/>
          <w:highlight w:val="none"/>
        </w:rPr>
        <w:t>供应商须逐条对应第五章《采购需求》（三）采购标的需满足的质量、安全、技术规格、物理特性等要求中技术条款的产品（标的）名称</w:t>
      </w:r>
      <w:r>
        <w:rPr>
          <w:rFonts w:hint="eastAsia" w:hAnsi="宋体" w:cs="宋体"/>
          <w:color w:val="auto"/>
          <w:sz w:val="21"/>
          <w:szCs w:val="21"/>
          <w:highlight w:val="none"/>
          <w:lang w:eastAsia="zh-CN"/>
        </w:rPr>
        <w:t>；</w:t>
      </w:r>
    </w:p>
    <w:p w14:paraId="40F94402">
      <w:pPr>
        <w:pStyle w:val="21"/>
        <w:snapToGrid w:val="0"/>
        <w:spacing w:line="360"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3</w:t>
      </w:r>
      <w:r>
        <w:rPr>
          <w:rFonts w:hint="eastAsia" w:hAnsi="宋体" w:cs="宋体"/>
          <w:color w:val="auto"/>
          <w:sz w:val="21"/>
          <w:szCs w:val="21"/>
          <w:highlight w:val="none"/>
        </w:rPr>
        <w:t>.表格中“谈判文件技术条款”一列</w:t>
      </w:r>
      <w:r>
        <w:rPr>
          <w:rFonts w:hint="eastAsia" w:hAnsi="宋体" w:cs="宋体"/>
          <w:color w:val="auto"/>
          <w:sz w:val="21"/>
          <w:szCs w:val="21"/>
          <w:highlight w:val="none"/>
          <w:lang w:eastAsia="zh-CN"/>
        </w:rPr>
        <w:t>，</w:t>
      </w:r>
      <w:r>
        <w:rPr>
          <w:rFonts w:hint="eastAsia" w:hAnsi="宋体" w:cs="宋体"/>
          <w:color w:val="auto"/>
          <w:sz w:val="21"/>
          <w:szCs w:val="21"/>
          <w:highlight w:val="none"/>
        </w:rPr>
        <w:t>供应商须逐条对应第五章《采购需求》（三）采购标的需满足的质量、安全、技术规格、物理特性等要求中的技术参数及性能要求</w:t>
      </w:r>
      <w:r>
        <w:rPr>
          <w:rFonts w:hint="eastAsia" w:hAnsi="宋体" w:cs="宋体"/>
          <w:color w:val="auto"/>
          <w:sz w:val="21"/>
          <w:szCs w:val="21"/>
          <w:highlight w:val="none"/>
          <w:lang w:eastAsia="zh-CN"/>
        </w:rPr>
        <w:t>；</w:t>
      </w:r>
    </w:p>
    <w:p w14:paraId="42CF559F">
      <w:pPr>
        <w:pStyle w:val="21"/>
        <w:snapToGrid w:val="0"/>
        <w:spacing w:line="360" w:lineRule="auto"/>
        <w:rPr>
          <w:rFonts w:hAnsi="宋体" w:cs="宋体"/>
          <w:color w:val="auto"/>
          <w:sz w:val="21"/>
          <w:szCs w:val="21"/>
          <w:highlight w:val="none"/>
        </w:rPr>
      </w:pPr>
      <w:r>
        <w:rPr>
          <w:rFonts w:hint="eastAsia" w:hAnsi="宋体" w:cs="宋体"/>
          <w:color w:val="auto"/>
          <w:sz w:val="21"/>
          <w:szCs w:val="21"/>
          <w:highlight w:val="none"/>
          <w:lang w:val="en-US" w:eastAsia="zh-CN"/>
        </w:rPr>
        <w:t>4</w:t>
      </w:r>
      <w:r>
        <w:rPr>
          <w:rFonts w:hint="eastAsia" w:hAnsi="宋体" w:cs="宋体"/>
          <w:color w:val="auto"/>
          <w:sz w:val="21"/>
          <w:szCs w:val="21"/>
          <w:highlight w:val="none"/>
        </w:rPr>
        <w:t>.表格中“响应文件响应情况”一列</w:t>
      </w:r>
      <w:r>
        <w:rPr>
          <w:rFonts w:hint="eastAsia" w:hAnsi="宋体" w:cs="宋体"/>
          <w:color w:val="auto"/>
          <w:sz w:val="21"/>
          <w:szCs w:val="21"/>
          <w:highlight w:val="none"/>
          <w:lang w:eastAsia="zh-CN"/>
        </w:rPr>
        <w:t>，</w:t>
      </w:r>
      <w:r>
        <w:rPr>
          <w:rFonts w:hint="eastAsia" w:hAnsi="宋体" w:cs="宋体"/>
          <w:color w:val="auto"/>
          <w:sz w:val="21"/>
          <w:szCs w:val="21"/>
          <w:highlight w:val="none"/>
        </w:rPr>
        <w:t>供应商须逐条对第五章《采购需求》（三）采购标的需满足的质量、安全、技术规格、物理特性等要求中的技术条款作出全面、真实的反映</w:t>
      </w:r>
      <w:r>
        <w:rPr>
          <w:rFonts w:hint="eastAsia" w:hAnsi="宋体" w:cs="宋体"/>
          <w:color w:val="auto"/>
          <w:sz w:val="21"/>
          <w:szCs w:val="21"/>
          <w:highlight w:val="none"/>
          <w:lang w:eastAsia="zh-CN"/>
        </w:rPr>
        <w:t>，</w:t>
      </w:r>
      <w:r>
        <w:rPr>
          <w:rFonts w:hint="eastAsia" w:hAnsi="宋体" w:cs="宋体"/>
          <w:color w:val="auto"/>
          <w:sz w:val="21"/>
          <w:szCs w:val="21"/>
          <w:highlight w:val="none"/>
        </w:rPr>
        <w:t>响应文件应以中文应答（英文文本或缩略语需提供中文翻译或注释）。若响应文件中技术支持资料参数与技术条款偏离表应答不符</w:t>
      </w:r>
      <w:r>
        <w:rPr>
          <w:rFonts w:hint="eastAsia" w:hAnsi="宋体" w:cs="宋体"/>
          <w:color w:val="auto"/>
          <w:sz w:val="21"/>
          <w:szCs w:val="21"/>
          <w:highlight w:val="none"/>
          <w:lang w:eastAsia="zh-CN"/>
        </w:rPr>
        <w:t>，</w:t>
      </w:r>
      <w:r>
        <w:rPr>
          <w:rFonts w:hint="eastAsia" w:hAnsi="宋体" w:cs="宋体"/>
          <w:color w:val="auto"/>
          <w:sz w:val="21"/>
          <w:szCs w:val="21"/>
          <w:highlight w:val="none"/>
        </w:rPr>
        <w:t>以技术支持资料为准</w:t>
      </w:r>
      <w:r>
        <w:rPr>
          <w:rFonts w:hint="eastAsia" w:hAnsi="宋体" w:cs="宋体"/>
          <w:color w:val="auto"/>
          <w:sz w:val="21"/>
          <w:szCs w:val="21"/>
          <w:highlight w:val="none"/>
          <w:lang w:eastAsia="zh-CN"/>
        </w:rPr>
        <w:t>；</w:t>
      </w:r>
      <w:r>
        <w:rPr>
          <w:rFonts w:hint="eastAsia" w:hAnsi="宋体" w:cs="宋体"/>
          <w:color w:val="auto"/>
          <w:sz w:val="21"/>
          <w:szCs w:val="21"/>
          <w:highlight w:val="none"/>
        </w:rPr>
        <w:t>若无技术支持资料又未在响应文件中作出说明和解释的</w:t>
      </w:r>
      <w:r>
        <w:rPr>
          <w:rFonts w:hint="eastAsia" w:hAnsi="宋体" w:cs="宋体"/>
          <w:color w:val="auto"/>
          <w:sz w:val="21"/>
          <w:szCs w:val="21"/>
          <w:highlight w:val="none"/>
          <w:lang w:eastAsia="zh-CN"/>
        </w:rPr>
        <w:t>，</w:t>
      </w:r>
      <w:r>
        <w:rPr>
          <w:rFonts w:hint="eastAsia" w:hAnsi="宋体" w:cs="宋体"/>
          <w:color w:val="auto"/>
          <w:sz w:val="21"/>
          <w:szCs w:val="21"/>
          <w:highlight w:val="none"/>
        </w:rPr>
        <w:t>谈判小组在评审时可以视为不响应该条技术条款的规定。</w:t>
      </w:r>
    </w:p>
    <w:p w14:paraId="0E5D6E30">
      <w:pPr>
        <w:pStyle w:val="21"/>
        <w:snapToGrid w:val="0"/>
        <w:spacing w:line="360" w:lineRule="auto"/>
        <w:rPr>
          <w:rFonts w:hAnsi="宋体" w:cs="宋体"/>
          <w:color w:val="auto"/>
          <w:sz w:val="21"/>
          <w:szCs w:val="21"/>
          <w:highlight w:val="none"/>
        </w:rPr>
      </w:pPr>
      <w:r>
        <w:rPr>
          <w:rFonts w:hint="eastAsia" w:hAnsi="宋体" w:cs="宋体"/>
          <w:color w:val="auto"/>
          <w:sz w:val="21"/>
          <w:szCs w:val="21"/>
          <w:highlight w:val="none"/>
          <w:lang w:val="en-US" w:eastAsia="zh-CN"/>
        </w:rPr>
        <w:t>5</w:t>
      </w:r>
      <w:r>
        <w:rPr>
          <w:rFonts w:hint="eastAsia" w:hAnsi="宋体" w:cs="宋体"/>
          <w:color w:val="auto"/>
          <w:sz w:val="21"/>
          <w:szCs w:val="21"/>
          <w:highlight w:val="none"/>
        </w:rPr>
        <w:t>.表格中“偏离”一列</w:t>
      </w:r>
      <w:r>
        <w:rPr>
          <w:rFonts w:hint="eastAsia" w:hAnsi="宋体" w:cs="宋体"/>
          <w:color w:val="auto"/>
          <w:sz w:val="21"/>
          <w:szCs w:val="21"/>
          <w:highlight w:val="none"/>
          <w:lang w:eastAsia="zh-CN"/>
        </w:rPr>
        <w:t>，</w:t>
      </w:r>
      <w:r>
        <w:rPr>
          <w:rFonts w:hint="eastAsia" w:hAnsi="宋体" w:cs="宋体"/>
          <w:color w:val="auto"/>
          <w:sz w:val="21"/>
          <w:szCs w:val="21"/>
          <w:highlight w:val="none"/>
        </w:rPr>
        <w:t>供应商只能如实填写“正偏离”、“负偏离”或“无偏离”。凡响应内容高于第五章《采购需求》（三）采购标的需满足的质量、安全、技术规格、物理特性等要求中的技术条款要求的</w:t>
      </w:r>
      <w:r>
        <w:rPr>
          <w:rFonts w:hint="eastAsia" w:hAnsi="宋体" w:cs="宋体"/>
          <w:color w:val="auto"/>
          <w:sz w:val="21"/>
          <w:szCs w:val="21"/>
          <w:highlight w:val="none"/>
          <w:lang w:eastAsia="zh-CN"/>
        </w:rPr>
        <w:t>，</w:t>
      </w:r>
      <w:r>
        <w:rPr>
          <w:rFonts w:hint="eastAsia" w:hAnsi="宋体" w:cs="宋体"/>
          <w:color w:val="auto"/>
          <w:sz w:val="21"/>
          <w:szCs w:val="21"/>
          <w:highlight w:val="none"/>
        </w:rPr>
        <w:t>按“正偏离”填写</w:t>
      </w:r>
      <w:r>
        <w:rPr>
          <w:rFonts w:hint="eastAsia" w:hAnsi="宋体" w:cs="宋体"/>
          <w:color w:val="auto"/>
          <w:sz w:val="21"/>
          <w:szCs w:val="21"/>
          <w:highlight w:val="none"/>
          <w:lang w:eastAsia="zh-CN"/>
        </w:rPr>
        <w:t>；</w:t>
      </w:r>
      <w:r>
        <w:rPr>
          <w:rFonts w:hint="eastAsia" w:hAnsi="宋体" w:cs="宋体"/>
          <w:color w:val="auto"/>
          <w:sz w:val="21"/>
          <w:szCs w:val="21"/>
          <w:highlight w:val="none"/>
        </w:rPr>
        <w:t>低于第五章《采购需求》（三）采购标的需满足的质量、安全、技术规格、物理特性等要求中的技术条款要求的</w:t>
      </w:r>
      <w:r>
        <w:rPr>
          <w:rFonts w:hint="eastAsia" w:hAnsi="宋体" w:cs="宋体"/>
          <w:color w:val="auto"/>
          <w:sz w:val="21"/>
          <w:szCs w:val="21"/>
          <w:highlight w:val="none"/>
          <w:lang w:eastAsia="zh-CN"/>
        </w:rPr>
        <w:t>，</w:t>
      </w:r>
      <w:r>
        <w:rPr>
          <w:rFonts w:hint="eastAsia" w:hAnsi="宋体" w:cs="宋体"/>
          <w:color w:val="auto"/>
          <w:sz w:val="21"/>
          <w:szCs w:val="21"/>
          <w:highlight w:val="none"/>
        </w:rPr>
        <w:t>按“负偏离”填写</w:t>
      </w:r>
      <w:r>
        <w:rPr>
          <w:rFonts w:hint="eastAsia" w:hAnsi="宋体" w:cs="宋体"/>
          <w:color w:val="auto"/>
          <w:sz w:val="21"/>
          <w:szCs w:val="21"/>
          <w:highlight w:val="none"/>
          <w:lang w:eastAsia="zh-CN"/>
        </w:rPr>
        <w:t>；</w:t>
      </w:r>
      <w:r>
        <w:rPr>
          <w:rFonts w:hint="eastAsia" w:hAnsi="宋体" w:cs="宋体"/>
          <w:color w:val="auto"/>
          <w:sz w:val="21"/>
          <w:szCs w:val="21"/>
          <w:highlight w:val="none"/>
        </w:rPr>
        <w:t>满足第五章《采购需求》（三）采购标的需满足的质量、安全、技术规格、物理特性等要求中的技术条款要求的</w:t>
      </w:r>
      <w:r>
        <w:rPr>
          <w:rFonts w:hint="eastAsia" w:hAnsi="宋体" w:cs="宋体"/>
          <w:color w:val="auto"/>
          <w:sz w:val="21"/>
          <w:szCs w:val="21"/>
          <w:highlight w:val="none"/>
          <w:lang w:eastAsia="zh-CN"/>
        </w:rPr>
        <w:t>，</w:t>
      </w:r>
      <w:r>
        <w:rPr>
          <w:rFonts w:hint="eastAsia" w:hAnsi="宋体" w:cs="宋体"/>
          <w:color w:val="auto"/>
          <w:sz w:val="21"/>
          <w:szCs w:val="21"/>
          <w:highlight w:val="none"/>
        </w:rPr>
        <w:t>按“无偏离”填写。</w:t>
      </w:r>
    </w:p>
    <w:p w14:paraId="0CEE8155">
      <w:pPr>
        <w:ind w:firstLine="480"/>
        <w:rPr>
          <w:rFonts w:ascii="宋体" w:hAnsi="宋体" w:cs="宋体"/>
          <w:color w:val="auto"/>
          <w:sz w:val="24"/>
          <w:highlight w:val="none"/>
        </w:rPr>
      </w:pPr>
      <w:r>
        <w:rPr>
          <w:rFonts w:hint="eastAsia" w:ascii="宋体" w:hAnsi="宋体" w:cs="宋体"/>
          <w:color w:val="auto"/>
          <w:sz w:val="24"/>
          <w:highlight w:val="none"/>
        </w:rPr>
        <w:br w:type="page"/>
      </w:r>
    </w:p>
    <w:p w14:paraId="7B626543">
      <w:pPr>
        <w:keepNext/>
        <w:keepLines/>
        <w:adjustRightInd w:val="0"/>
        <w:snapToGrid w:val="0"/>
        <w:spacing w:line="360" w:lineRule="auto"/>
        <w:jc w:val="left"/>
        <w:rPr>
          <w:rFonts w:hint="eastAsia" w:ascii="宋体" w:hAnsi="宋体" w:eastAsia="宋体" w:cs="宋体"/>
          <w:b/>
          <w:bCs/>
          <w:color w:val="auto"/>
          <w:sz w:val="28"/>
          <w:szCs w:val="32"/>
          <w:highlight w:val="none"/>
          <w:lang w:eastAsia="zh-CN"/>
        </w:rPr>
      </w:pPr>
      <w:r>
        <w:rPr>
          <w:rFonts w:hint="eastAsia" w:ascii="宋体" w:hAnsi="宋体" w:cs="宋体"/>
          <w:b/>
          <w:bCs/>
          <w:color w:val="auto"/>
          <w:sz w:val="28"/>
          <w:szCs w:val="32"/>
          <w:highlight w:val="none"/>
        </w:rPr>
        <w:t>格式1</w:t>
      </w:r>
      <w:r>
        <w:rPr>
          <w:rFonts w:hint="eastAsia" w:ascii="宋体" w:hAnsi="宋体" w:cs="宋体"/>
          <w:b/>
          <w:bCs/>
          <w:color w:val="auto"/>
          <w:sz w:val="28"/>
          <w:szCs w:val="32"/>
          <w:highlight w:val="none"/>
          <w:lang w:val="en-US" w:eastAsia="zh-CN"/>
        </w:rPr>
        <w:t>4</w:t>
      </w:r>
    </w:p>
    <w:p w14:paraId="7F2625DC">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技术支持资料</w:t>
      </w:r>
    </w:p>
    <w:p w14:paraId="3A0DBC53">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第五章 采购需求 所有技术参数最新技术支持资料支持技术要求偏离表应答（包括产品技术白皮书或检验报告或图纸或印刷宣传彩页，不接受供应商自行印刷、打印或者手写的技术支持资料），采购需求有证明材料要求的以采购需求要求为准。凡不符合上述要求的，视为无效技术支持资料。</w:t>
      </w:r>
    </w:p>
    <w:p w14:paraId="575C4275">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br w:type="page"/>
      </w:r>
    </w:p>
    <w:p w14:paraId="7026765C">
      <w:pPr>
        <w:spacing w:line="360" w:lineRule="auto"/>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格式14-1</w:t>
      </w:r>
    </w:p>
    <w:p w14:paraId="229B8F8E">
      <w:pPr>
        <w:spacing w:line="360" w:lineRule="auto"/>
        <w:jc w:val="cente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承诺书</w:t>
      </w:r>
    </w:p>
    <w:p w14:paraId="6A88FF1D">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致：</w:t>
      </w:r>
    </w:p>
    <w:p w14:paraId="618C8214">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我公司承诺：我公司所投产品序号3机场式无人机C套装具有“识别指标”功能，具体内容如下：</w:t>
      </w:r>
      <w:r>
        <w:rPr>
          <w:rFonts w:hint="eastAsia" w:ascii="宋体" w:hAnsi="宋体" w:cs="宋体"/>
          <w:color w:val="auto"/>
          <w:sz w:val="24"/>
          <w:highlight w:val="none"/>
          <w:lang w:val="en-US" w:eastAsia="zh-CN"/>
        </w:rPr>
        <w:br w:type="textWrapping"/>
      </w:r>
      <w:r>
        <w:rPr>
          <w:rFonts w:hint="eastAsia" w:ascii="宋体" w:hAnsi="宋体" w:cs="宋体"/>
          <w:color w:val="auto"/>
          <w:sz w:val="24"/>
          <w:highlight w:val="none"/>
          <w:lang w:val="en-US" w:eastAsia="zh-CN"/>
        </w:rPr>
        <w:t xml:space="preserve">    （1）交通违法：异常停车（高速公路、城市快速路）、占用应急车道（高速公路）、压线（高速公路、城市快速路）、开车打手机（全场景）、不系安全带（全场景）、不礼让行人（城市道路）、倒车逆行（高速公路、城市快速路）、货车占用超车道（高速公路）、货车禁行（城市快速路），违法识别综合准确率&gt;90%。</w:t>
      </w:r>
      <w:r>
        <w:rPr>
          <w:rFonts w:hint="eastAsia" w:ascii="宋体" w:hAnsi="宋体" w:cs="宋体"/>
          <w:color w:val="auto"/>
          <w:sz w:val="24"/>
          <w:highlight w:val="none"/>
          <w:lang w:val="en-US" w:eastAsia="zh-CN"/>
        </w:rPr>
        <w:br w:type="textWrapping"/>
      </w:r>
      <w:r>
        <w:rPr>
          <w:rFonts w:hint="eastAsia" w:ascii="宋体" w:hAnsi="宋体" w:cs="宋体"/>
          <w:color w:val="auto"/>
          <w:sz w:val="24"/>
          <w:highlight w:val="none"/>
          <w:lang w:val="en-US" w:eastAsia="zh-CN"/>
        </w:rPr>
        <w:t xml:space="preserve">   （2）交通事件：行人上道路（高速公路、城市快速路）、低速行驶（高速公路、城市快速路）、拥堵（高速公路、城市快速路）、施工（高速公路、城市快速路）、事故（高速公路、城市快速路）、起火（全场景）、抛洒物（高速公路、城市快速路），事件综合识别准确率&gt;90%。</w:t>
      </w:r>
      <w:r>
        <w:rPr>
          <w:rFonts w:hint="eastAsia" w:ascii="宋体" w:hAnsi="宋体" w:cs="宋体"/>
          <w:color w:val="auto"/>
          <w:sz w:val="24"/>
          <w:highlight w:val="none"/>
          <w:lang w:val="en-US" w:eastAsia="zh-CN"/>
        </w:rPr>
        <w:br w:type="textWrapping"/>
      </w:r>
      <w:r>
        <w:rPr>
          <w:rFonts w:hint="eastAsia" w:ascii="宋体" w:hAnsi="宋体" w:cs="宋体"/>
          <w:color w:val="auto"/>
          <w:sz w:val="24"/>
          <w:highlight w:val="none"/>
          <w:lang w:val="en-US" w:eastAsia="zh-CN"/>
        </w:rPr>
        <w:t xml:space="preserve">  （3）道路交通治理：机动车流量采集（准确识别交叉口、路段车道级的机动车辆数及其类型（可按小型车、大巴车、货车等划分）、转向信息，对5km/h至100km/h速度行驶的机动车识别率达95%以上），交通流速轨迹（全场景下，准确识别车辆运行轨迹与速度栅格，对5km/h至100km/h速度行驶的机动车识别率达95%以上），交叉口冲突识别（分析机动车辆之间以及机动车与非机动车的潜在冲突风险，识别冲突点数量和位置信息，对5km/h至100km/h速度行驶的机动车识别率达95%以上），交叉口排队长度，提供以上参数半年以上使用权限。</w:t>
      </w:r>
    </w:p>
    <w:p w14:paraId="68034309">
      <w:pPr>
        <w:spacing w:line="360" w:lineRule="auto"/>
        <w:ind w:firstLine="480" w:firstLineChars="20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特此承诺。</w:t>
      </w:r>
    </w:p>
    <w:p w14:paraId="589A9664">
      <w:pPr>
        <w:adjustRightInd w:val="0"/>
        <w:snapToGrid w:val="0"/>
        <w:spacing w:line="360" w:lineRule="auto"/>
        <w:jc w:val="left"/>
        <w:rPr>
          <w:rFonts w:hint="eastAsia" w:ascii="宋体" w:hAnsi="宋体" w:cs="宋体"/>
          <w:color w:val="auto"/>
          <w:szCs w:val="21"/>
          <w:highlight w:val="none"/>
        </w:rPr>
      </w:pPr>
    </w:p>
    <w:p w14:paraId="5A973C22">
      <w:pPr>
        <w:adjustRightInd w:val="0"/>
        <w:snapToGrid w:val="0"/>
        <w:spacing w:line="360" w:lineRule="auto"/>
        <w:jc w:val="left"/>
        <w:rPr>
          <w:rFonts w:hint="eastAsia" w:ascii="宋体" w:hAnsi="宋体" w:cs="宋体"/>
          <w:color w:val="auto"/>
          <w:szCs w:val="21"/>
          <w:highlight w:val="none"/>
        </w:rPr>
      </w:pPr>
    </w:p>
    <w:p w14:paraId="30659029">
      <w:pPr>
        <w:adjustRightInd w:val="0"/>
        <w:snapToGrid w:val="0"/>
        <w:spacing w:line="360" w:lineRule="auto"/>
        <w:jc w:val="left"/>
        <w:rPr>
          <w:rFonts w:hint="eastAsia" w:ascii="宋体" w:hAnsi="宋体" w:cs="宋体"/>
          <w:color w:val="auto"/>
          <w:szCs w:val="21"/>
          <w:highlight w:val="none"/>
        </w:rPr>
      </w:pPr>
    </w:p>
    <w:p w14:paraId="5B0854F7">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供应商：（加盖供应商电子公章）</w:t>
      </w:r>
    </w:p>
    <w:p w14:paraId="6692614A">
      <w:pPr>
        <w:spacing w:line="360" w:lineRule="auto"/>
        <w:rPr>
          <w:rFonts w:ascii="宋体" w:hAnsi="宋体" w:cs="宋体"/>
          <w:color w:val="auto"/>
          <w:sz w:val="24"/>
          <w:highlight w:val="none"/>
        </w:rPr>
      </w:pPr>
      <w:r>
        <w:rPr>
          <w:rFonts w:hint="eastAsia" w:ascii="宋体" w:hAnsi="宋体" w:cs="宋体"/>
          <w:color w:val="auto"/>
          <w:szCs w:val="21"/>
          <w:highlight w:val="none"/>
        </w:rPr>
        <w:t>日期：</w:t>
      </w:r>
      <w:r>
        <w:rPr>
          <w:rFonts w:hint="eastAsia" w:ascii="宋体" w:hAnsi="宋体" w:cs="宋体"/>
          <w:color w:val="auto"/>
          <w:sz w:val="24"/>
          <w:highlight w:val="none"/>
        </w:rPr>
        <w:br w:type="page"/>
      </w:r>
    </w:p>
    <w:p w14:paraId="755AAD27">
      <w:pPr>
        <w:adjustRightInd w:val="0"/>
        <w:snapToGrid w:val="0"/>
        <w:spacing w:line="360" w:lineRule="auto"/>
        <w:rPr>
          <w:rFonts w:hint="eastAsia" w:ascii="宋体" w:hAnsi="宋体" w:eastAsia="宋体" w:cs="宋体"/>
          <w:b/>
          <w:bCs/>
          <w:color w:val="auto"/>
          <w:sz w:val="28"/>
          <w:szCs w:val="32"/>
          <w:highlight w:val="none"/>
          <w:lang w:eastAsia="zh-CN"/>
        </w:rPr>
      </w:pPr>
      <w:r>
        <w:rPr>
          <w:rFonts w:hint="eastAsia" w:ascii="宋体" w:hAnsi="宋体" w:cs="宋体"/>
          <w:b/>
          <w:color w:val="auto"/>
          <w:sz w:val="28"/>
          <w:szCs w:val="28"/>
          <w:highlight w:val="none"/>
        </w:rPr>
        <w:t>格式1</w:t>
      </w:r>
      <w:r>
        <w:rPr>
          <w:rFonts w:hint="eastAsia" w:ascii="宋体" w:hAnsi="宋体" w:cs="宋体"/>
          <w:b/>
          <w:color w:val="auto"/>
          <w:sz w:val="28"/>
          <w:szCs w:val="28"/>
          <w:highlight w:val="none"/>
          <w:lang w:val="en-US" w:eastAsia="zh-CN"/>
        </w:rPr>
        <w:t>5</w:t>
      </w:r>
    </w:p>
    <w:p w14:paraId="4BA74734">
      <w:pPr>
        <w:keepNext/>
        <w:keepLines/>
        <w:adjustRightInd w:val="0"/>
        <w:snapToGrid w:val="0"/>
        <w:spacing w:line="360" w:lineRule="auto"/>
        <w:jc w:val="center"/>
        <w:outlineLvl w:val="1"/>
        <w:rPr>
          <w:rFonts w:ascii="宋体" w:hAnsi="宋体" w:cs="宋体"/>
          <w:b/>
          <w:bCs/>
          <w:color w:val="auto"/>
          <w:sz w:val="32"/>
          <w:szCs w:val="32"/>
          <w:highlight w:val="none"/>
        </w:rPr>
      </w:pPr>
      <w:bookmarkStart w:id="183" w:name="_Toc30521"/>
      <w:bookmarkStart w:id="184" w:name="_Toc2188"/>
      <w:r>
        <w:rPr>
          <w:rFonts w:hint="eastAsia" w:ascii="宋体" w:hAnsi="宋体" w:cs="宋体"/>
          <w:b/>
          <w:bCs/>
          <w:color w:val="auto"/>
          <w:sz w:val="32"/>
          <w:szCs w:val="32"/>
          <w:highlight w:val="none"/>
        </w:rPr>
        <w:t>商务条款偏离表</w:t>
      </w:r>
      <w:bookmarkEnd w:id="183"/>
      <w:bookmarkEnd w:id="184"/>
    </w:p>
    <w:p w14:paraId="69F2C4C0">
      <w:pPr>
        <w:pStyle w:val="21"/>
        <w:snapToGrid w:val="0"/>
        <w:spacing w:line="360" w:lineRule="auto"/>
        <w:rPr>
          <w:rFonts w:hAnsi="宋体" w:cs="宋体"/>
          <w:b/>
          <w:color w:val="auto"/>
          <w:szCs w:val="21"/>
          <w:highlight w:val="none"/>
        </w:rPr>
      </w:pPr>
      <w:r>
        <w:rPr>
          <w:rFonts w:hint="eastAsia" w:hAnsi="宋体" w:cs="宋体"/>
          <w:b/>
          <w:color w:val="auto"/>
          <w:szCs w:val="21"/>
          <w:highlight w:val="none"/>
        </w:rPr>
        <w:t>项目名称：</w:t>
      </w:r>
    </w:p>
    <w:p w14:paraId="3E401650">
      <w:pPr>
        <w:pStyle w:val="21"/>
        <w:snapToGrid w:val="0"/>
        <w:spacing w:line="360" w:lineRule="auto"/>
        <w:rPr>
          <w:rFonts w:hAnsi="宋体" w:cs="宋体"/>
          <w:b/>
          <w:color w:val="auto"/>
          <w:szCs w:val="21"/>
          <w:highlight w:val="none"/>
        </w:rPr>
      </w:pPr>
      <w:r>
        <w:rPr>
          <w:rFonts w:hint="eastAsia" w:hAnsi="宋体" w:cs="宋体"/>
          <w:b/>
          <w:color w:val="auto"/>
          <w:szCs w:val="21"/>
          <w:highlight w:val="none"/>
        </w:rPr>
        <w:t>项目编号：</w:t>
      </w:r>
    </w:p>
    <w:tbl>
      <w:tblPr>
        <w:tblStyle w:val="42"/>
        <w:tblW w:w="8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551"/>
        <w:gridCol w:w="2844"/>
        <w:gridCol w:w="2328"/>
        <w:gridCol w:w="1035"/>
      </w:tblGrid>
      <w:tr w14:paraId="43171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22" w:type="dxa"/>
            <w:vAlign w:val="center"/>
          </w:tcPr>
          <w:p w14:paraId="147FDFBA">
            <w:pPr>
              <w:pStyle w:val="21"/>
              <w:snapToGrid w:val="0"/>
              <w:spacing w:line="360" w:lineRule="auto"/>
              <w:jc w:val="center"/>
              <w:rPr>
                <w:rFonts w:hAnsi="宋体" w:cs="宋体"/>
                <w:b/>
                <w:color w:val="auto"/>
                <w:szCs w:val="21"/>
                <w:highlight w:val="none"/>
              </w:rPr>
            </w:pPr>
            <w:r>
              <w:rPr>
                <w:rFonts w:hint="eastAsia" w:hAnsi="宋体" w:cs="宋体"/>
                <w:b/>
                <w:color w:val="auto"/>
                <w:szCs w:val="21"/>
                <w:highlight w:val="none"/>
              </w:rPr>
              <w:t>序号</w:t>
            </w:r>
          </w:p>
        </w:tc>
        <w:tc>
          <w:tcPr>
            <w:tcW w:w="1551" w:type="dxa"/>
            <w:vAlign w:val="center"/>
          </w:tcPr>
          <w:p w14:paraId="29957512">
            <w:pPr>
              <w:pStyle w:val="21"/>
              <w:snapToGrid w:val="0"/>
              <w:spacing w:line="360" w:lineRule="auto"/>
              <w:jc w:val="center"/>
              <w:rPr>
                <w:rFonts w:hAnsi="宋体" w:cs="宋体"/>
                <w:b/>
                <w:color w:val="auto"/>
                <w:szCs w:val="21"/>
                <w:highlight w:val="none"/>
              </w:rPr>
            </w:pPr>
            <w:r>
              <w:rPr>
                <w:rFonts w:hint="eastAsia" w:hAnsi="宋体" w:cs="宋体"/>
                <w:b/>
                <w:color w:val="auto"/>
                <w:szCs w:val="21"/>
                <w:highlight w:val="none"/>
              </w:rPr>
              <w:t>谈判文件商务条款</w:t>
            </w:r>
          </w:p>
        </w:tc>
        <w:tc>
          <w:tcPr>
            <w:tcW w:w="2844" w:type="dxa"/>
            <w:vAlign w:val="center"/>
          </w:tcPr>
          <w:p w14:paraId="0C92E90F">
            <w:pPr>
              <w:pStyle w:val="21"/>
              <w:snapToGrid w:val="0"/>
              <w:spacing w:line="360" w:lineRule="auto"/>
              <w:jc w:val="center"/>
              <w:rPr>
                <w:rFonts w:hAnsi="宋体" w:cs="宋体"/>
                <w:b/>
                <w:color w:val="auto"/>
                <w:szCs w:val="21"/>
                <w:highlight w:val="none"/>
              </w:rPr>
            </w:pPr>
            <w:r>
              <w:rPr>
                <w:rFonts w:hint="eastAsia" w:ascii="宋体" w:hAnsi="宋体" w:cs="宋体"/>
                <w:b/>
                <w:bCs/>
                <w:sz w:val="21"/>
                <w:szCs w:val="21"/>
                <w:highlight w:val="none"/>
                <w:u w:val="none"/>
                <w:lang w:val="en-US" w:eastAsia="zh-CN"/>
              </w:rPr>
              <w:t>要求</w:t>
            </w:r>
          </w:p>
        </w:tc>
        <w:tc>
          <w:tcPr>
            <w:tcW w:w="2328" w:type="dxa"/>
            <w:shd w:val="clear" w:color="auto" w:fill="auto"/>
            <w:vAlign w:val="center"/>
          </w:tcPr>
          <w:p w14:paraId="55004CF8">
            <w:pPr>
              <w:pStyle w:val="21"/>
              <w:snapToGrid w:val="0"/>
              <w:spacing w:line="360" w:lineRule="auto"/>
              <w:jc w:val="center"/>
              <w:rPr>
                <w:rFonts w:ascii="宋体" w:hAnsi="宋体" w:eastAsia="宋体" w:cs="宋体"/>
                <w:b/>
                <w:color w:val="auto"/>
                <w:kern w:val="0"/>
                <w:sz w:val="20"/>
                <w:szCs w:val="21"/>
                <w:highlight w:val="none"/>
                <w:lang w:val="en-US" w:eastAsia="zh-CN" w:bidi="ar-SA"/>
              </w:rPr>
            </w:pPr>
            <w:r>
              <w:rPr>
                <w:rFonts w:hint="eastAsia" w:hAnsi="宋体" w:cs="宋体"/>
                <w:b/>
                <w:color w:val="auto"/>
                <w:szCs w:val="21"/>
                <w:highlight w:val="none"/>
              </w:rPr>
              <w:t>响应文件响应情况</w:t>
            </w:r>
          </w:p>
        </w:tc>
        <w:tc>
          <w:tcPr>
            <w:tcW w:w="1035" w:type="dxa"/>
            <w:shd w:val="clear" w:color="auto" w:fill="auto"/>
            <w:vAlign w:val="center"/>
          </w:tcPr>
          <w:p w14:paraId="75D55232">
            <w:pPr>
              <w:pStyle w:val="21"/>
              <w:snapToGrid w:val="0"/>
              <w:spacing w:line="360" w:lineRule="auto"/>
              <w:jc w:val="center"/>
              <w:rPr>
                <w:rFonts w:ascii="宋体" w:hAnsi="宋体" w:eastAsia="宋体" w:cs="宋体"/>
                <w:b/>
                <w:color w:val="auto"/>
                <w:kern w:val="0"/>
                <w:sz w:val="20"/>
                <w:szCs w:val="21"/>
                <w:highlight w:val="none"/>
                <w:lang w:val="en-US" w:eastAsia="zh-CN" w:bidi="ar-SA"/>
              </w:rPr>
            </w:pPr>
            <w:r>
              <w:rPr>
                <w:rFonts w:hint="eastAsia" w:hAnsi="宋体" w:cs="宋体"/>
                <w:b/>
                <w:color w:val="auto"/>
                <w:szCs w:val="21"/>
                <w:highlight w:val="none"/>
              </w:rPr>
              <w:t>偏离</w:t>
            </w:r>
          </w:p>
        </w:tc>
      </w:tr>
      <w:tr w14:paraId="45EC7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tcPr>
          <w:p w14:paraId="504A37BC">
            <w:pPr>
              <w:pStyle w:val="21"/>
              <w:snapToGrid w:val="0"/>
              <w:spacing w:line="360" w:lineRule="auto"/>
              <w:ind w:firstLine="400"/>
              <w:rPr>
                <w:rFonts w:hAnsi="宋体" w:cs="宋体"/>
                <w:color w:val="auto"/>
                <w:szCs w:val="21"/>
                <w:highlight w:val="none"/>
              </w:rPr>
            </w:pPr>
          </w:p>
        </w:tc>
        <w:tc>
          <w:tcPr>
            <w:tcW w:w="1551" w:type="dxa"/>
          </w:tcPr>
          <w:p w14:paraId="5CEE5AAB">
            <w:pPr>
              <w:pStyle w:val="21"/>
              <w:snapToGrid w:val="0"/>
              <w:spacing w:line="360" w:lineRule="auto"/>
              <w:ind w:firstLine="400"/>
              <w:rPr>
                <w:rFonts w:hAnsi="宋体" w:cs="宋体"/>
                <w:color w:val="auto"/>
                <w:szCs w:val="21"/>
                <w:highlight w:val="none"/>
              </w:rPr>
            </w:pPr>
          </w:p>
        </w:tc>
        <w:tc>
          <w:tcPr>
            <w:tcW w:w="2844" w:type="dxa"/>
          </w:tcPr>
          <w:p w14:paraId="7BC597DF">
            <w:pPr>
              <w:pStyle w:val="21"/>
              <w:snapToGrid w:val="0"/>
              <w:spacing w:line="360" w:lineRule="auto"/>
              <w:ind w:firstLine="400"/>
              <w:rPr>
                <w:rFonts w:hAnsi="宋体" w:cs="宋体"/>
                <w:color w:val="auto"/>
                <w:szCs w:val="21"/>
                <w:highlight w:val="none"/>
              </w:rPr>
            </w:pPr>
          </w:p>
        </w:tc>
        <w:tc>
          <w:tcPr>
            <w:tcW w:w="2328" w:type="dxa"/>
          </w:tcPr>
          <w:p w14:paraId="084B0FDD">
            <w:pPr>
              <w:pStyle w:val="21"/>
              <w:snapToGrid w:val="0"/>
              <w:spacing w:line="360" w:lineRule="auto"/>
              <w:ind w:firstLine="400"/>
              <w:rPr>
                <w:rFonts w:hAnsi="宋体" w:cs="宋体"/>
                <w:color w:val="auto"/>
                <w:szCs w:val="21"/>
                <w:highlight w:val="none"/>
              </w:rPr>
            </w:pPr>
          </w:p>
        </w:tc>
        <w:tc>
          <w:tcPr>
            <w:tcW w:w="1035" w:type="dxa"/>
          </w:tcPr>
          <w:p w14:paraId="48A32FF5">
            <w:pPr>
              <w:pStyle w:val="21"/>
              <w:snapToGrid w:val="0"/>
              <w:spacing w:line="360" w:lineRule="auto"/>
              <w:ind w:firstLine="400"/>
              <w:rPr>
                <w:rFonts w:hAnsi="宋体" w:cs="宋体"/>
                <w:color w:val="auto"/>
                <w:szCs w:val="21"/>
                <w:highlight w:val="none"/>
              </w:rPr>
            </w:pPr>
          </w:p>
        </w:tc>
      </w:tr>
      <w:tr w14:paraId="72890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tcPr>
          <w:p w14:paraId="27E6E553">
            <w:pPr>
              <w:pStyle w:val="21"/>
              <w:snapToGrid w:val="0"/>
              <w:spacing w:line="360" w:lineRule="auto"/>
              <w:ind w:firstLine="400"/>
              <w:rPr>
                <w:rFonts w:hAnsi="宋体" w:cs="宋体"/>
                <w:color w:val="auto"/>
                <w:szCs w:val="21"/>
                <w:highlight w:val="none"/>
              </w:rPr>
            </w:pPr>
          </w:p>
        </w:tc>
        <w:tc>
          <w:tcPr>
            <w:tcW w:w="1551" w:type="dxa"/>
          </w:tcPr>
          <w:p w14:paraId="281749E7">
            <w:pPr>
              <w:pStyle w:val="21"/>
              <w:snapToGrid w:val="0"/>
              <w:spacing w:line="360" w:lineRule="auto"/>
              <w:ind w:firstLine="400"/>
              <w:rPr>
                <w:rFonts w:hAnsi="宋体" w:cs="宋体"/>
                <w:color w:val="auto"/>
                <w:szCs w:val="21"/>
                <w:highlight w:val="none"/>
              </w:rPr>
            </w:pPr>
          </w:p>
        </w:tc>
        <w:tc>
          <w:tcPr>
            <w:tcW w:w="2844" w:type="dxa"/>
          </w:tcPr>
          <w:p w14:paraId="306009F5">
            <w:pPr>
              <w:pStyle w:val="21"/>
              <w:snapToGrid w:val="0"/>
              <w:spacing w:line="360" w:lineRule="auto"/>
              <w:ind w:firstLine="400"/>
              <w:rPr>
                <w:rFonts w:hAnsi="宋体" w:cs="宋体"/>
                <w:color w:val="auto"/>
                <w:szCs w:val="21"/>
                <w:highlight w:val="none"/>
              </w:rPr>
            </w:pPr>
          </w:p>
        </w:tc>
        <w:tc>
          <w:tcPr>
            <w:tcW w:w="2328" w:type="dxa"/>
          </w:tcPr>
          <w:p w14:paraId="789218D9">
            <w:pPr>
              <w:pStyle w:val="21"/>
              <w:snapToGrid w:val="0"/>
              <w:spacing w:line="360" w:lineRule="auto"/>
              <w:ind w:firstLine="400"/>
              <w:rPr>
                <w:rFonts w:hAnsi="宋体" w:cs="宋体"/>
                <w:color w:val="auto"/>
                <w:szCs w:val="21"/>
                <w:highlight w:val="none"/>
              </w:rPr>
            </w:pPr>
          </w:p>
        </w:tc>
        <w:tc>
          <w:tcPr>
            <w:tcW w:w="1035" w:type="dxa"/>
          </w:tcPr>
          <w:p w14:paraId="679F19B9">
            <w:pPr>
              <w:pStyle w:val="21"/>
              <w:snapToGrid w:val="0"/>
              <w:spacing w:line="360" w:lineRule="auto"/>
              <w:ind w:firstLine="400"/>
              <w:rPr>
                <w:rFonts w:hAnsi="宋体" w:cs="宋体"/>
                <w:color w:val="auto"/>
                <w:szCs w:val="21"/>
                <w:highlight w:val="none"/>
              </w:rPr>
            </w:pPr>
          </w:p>
        </w:tc>
      </w:tr>
      <w:tr w14:paraId="5260D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tcPr>
          <w:p w14:paraId="574F740E">
            <w:pPr>
              <w:pStyle w:val="21"/>
              <w:snapToGrid w:val="0"/>
              <w:spacing w:line="360" w:lineRule="auto"/>
              <w:ind w:firstLine="400"/>
              <w:rPr>
                <w:rFonts w:hAnsi="宋体" w:cs="宋体"/>
                <w:color w:val="auto"/>
                <w:szCs w:val="21"/>
                <w:highlight w:val="none"/>
              </w:rPr>
            </w:pPr>
          </w:p>
        </w:tc>
        <w:tc>
          <w:tcPr>
            <w:tcW w:w="1551" w:type="dxa"/>
          </w:tcPr>
          <w:p w14:paraId="0F6A133D">
            <w:pPr>
              <w:pStyle w:val="21"/>
              <w:snapToGrid w:val="0"/>
              <w:spacing w:line="360" w:lineRule="auto"/>
              <w:ind w:firstLine="400"/>
              <w:rPr>
                <w:rFonts w:hAnsi="宋体" w:cs="宋体"/>
                <w:color w:val="auto"/>
                <w:szCs w:val="21"/>
                <w:highlight w:val="none"/>
              </w:rPr>
            </w:pPr>
          </w:p>
        </w:tc>
        <w:tc>
          <w:tcPr>
            <w:tcW w:w="2844" w:type="dxa"/>
          </w:tcPr>
          <w:p w14:paraId="4758423B">
            <w:pPr>
              <w:pStyle w:val="21"/>
              <w:snapToGrid w:val="0"/>
              <w:spacing w:line="360" w:lineRule="auto"/>
              <w:ind w:firstLine="400"/>
              <w:rPr>
                <w:rFonts w:hAnsi="宋体" w:cs="宋体"/>
                <w:color w:val="auto"/>
                <w:szCs w:val="21"/>
                <w:highlight w:val="none"/>
              </w:rPr>
            </w:pPr>
          </w:p>
        </w:tc>
        <w:tc>
          <w:tcPr>
            <w:tcW w:w="2328" w:type="dxa"/>
          </w:tcPr>
          <w:p w14:paraId="64D9260C">
            <w:pPr>
              <w:pStyle w:val="21"/>
              <w:snapToGrid w:val="0"/>
              <w:spacing w:line="360" w:lineRule="auto"/>
              <w:ind w:firstLine="400"/>
              <w:rPr>
                <w:rFonts w:hAnsi="宋体" w:cs="宋体"/>
                <w:color w:val="auto"/>
                <w:szCs w:val="21"/>
                <w:highlight w:val="none"/>
              </w:rPr>
            </w:pPr>
          </w:p>
        </w:tc>
        <w:tc>
          <w:tcPr>
            <w:tcW w:w="1035" w:type="dxa"/>
          </w:tcPr>
          <w:p w14:paraId="39D76205">
            <w:pPr>
              <w:pStyle w:val="21"/>
              <w:snapToGrid w:val="0"/>
              <w:spacing w:line="360" w:lineRule="auto"/>
              <w:ind w:firstLine="400"/>
              <w:rPr>
                <w:rFonts w:hAnsi="宋体" w:cs="宋体"/>
                <w:color w:val="auto"/>
                <w:szCs w:val="21"/>
                <w:highlight w:val="none"/>
              </w:rPr>
            </w:pPr>
          </w:p>
        </w:tc>
      </w:tr>
      <w:tr w14:paraId="6E38D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tcPr>
          <w:p w14:paraId="5B69DF85">
            <w:pPr>
              <w:pStyle w:val="21"/>
              <w:snapToGrid w:val="0"/>
              <w:spacing w:line="360" w:lineRule="auto"/>
              <w:ind w:firstLine="400"/>
              <w:rPr>
                <w:rFonts w:hAnsi="宋体" w:cs="宋体"/>
                <w:color w:val="auto"/>
                <w:szCs w:val="21"/>
                <w:highlight w:val="none"/>
              </w:rPr>
            </w:pPr>
          </w:p>
        </w:tc>
        <w:tc>
          <w:tcPr>
            <w:tcW w:w="1551" w:type="dxa"/>
          </w:tcPr>
          <w:p w14:paraId="362C45A1">
            <w:pPr>
              <w:pStyle w:val="21"/>
              <w:snapToGrid w:val="0"/>
              <w:spacing w:line="360" w:lineRule="auto"/>
              <w:ind w:firstLine="400"/>
              <w:rPr>
                <w:rFonts w:hAnsi="宋体" w:cs="宋体"/>
                <w:color w:val="auto"/>
                <w:szCs w:val="21"/>
                <w:highlight w:val="none"/>
              </w:rPr>
            </w:pPr>
          </w:p>
        </w:tc>
        <w:tc>
          <w:tcPr>
            <w:tcW w:w="2844" w:type="dxa"/>
          </w:tcPr>
          <w:p w14:paraId="0C130C30">
            <w:pPr>
              <w:pStyle w:val="21"/>
              <w:snapToGrid w:val="0"/>
              <w:spacing w:line="360" w:lineRule="auto"/>
              <w:ind w:firstLine="400"/>
              <w:rPr>
                <w:rFonts w:hAnsi="宋体" w:cs="宋体"/>
                <w:color w:val="auto"/>
                <w:szCs w:val="21"/>
                <w:highlight w:val="none"/>
              </w:rPr>
            </w:pPr>
          </w:p>
        </w:tc>
        <w:tc>
          <w:tcPr>
            <w:tcW w:w="2328" w:type="dxa"/>
          </w:tcPr>
          <w:p w14:paraId="7A79915D">
            <w:pPr>
              <w:pStyle w:val="21"/>
              <w:snapToGrid w:val="0"/>
              <w:spacing w:line="360" w:lineRule="auto"/>
              <w:ind w:firstLine="400"/>
              <w:rPr>
                <w:rFonts w:hAnsi="宋体" w:cs="宋体"/>
                <w:color w:val="auto"/>
                <w:szCs w:val="21"/>
                <w:highlight w:val="none"/>
              </w:rPr>
            </w:pPr>
          </w:p>
        </w:tc>
        <w:tc>
          <w:tcPr>
            <w:tcW w:w="1035" w:type="dxa"/>
          </w:tcPr>
          <w:p w14:paraId="4503994F">
            <w:pPr>
              <w:pStyle w:val="21"/>
              <w:snapToGrid w:val="0"/>
              <w:spacing w:line="360" w:lineRule="auto"/>
              <w:ind w:firstLine="400"/>
              <w:rPr>
                <w:rFonts w:hAnsi="宋体" w:cs="宋体"/>
                <w:color w:val="auto"/>
                <w:szCs w:val="21"/>
                <w:highlight w:val="none"/>
              </w:rPr>
            </w:pPr>
          </w:p>
        </w:tc>
      </w:tr>
      <w:tr w14:paraId="1595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tcPr>
          <w:p w14:paraId="0FEB5F1F">
            <w:pPr>
              <w:pStyle w:val="21"/>
              <w:snapToGrid w:val="0"/>
              <w:spacing w:line="360" w:lineRule="auto"/>
              <w:ind w:firstLine="400"/>
              <w:rPr>
                <w:rFonts w:hAnsi="宋体" w:cs="宋体"/>
                <w:color w:val="auto"/>
                <w:szCs w:val="21"/>
                <w:highlight w:val="none"/>
              </w:rPr>
            </w:pPr>
          </w:p>
        </w:tc>
        <w:tc>
          <w:tcPr>
            <w:tcW w:w="1551" w:type="dxa"/>
          </w:tcPr>
          <w:p w14:paraId="30F3B46C">
            <w:pPr>
              <w:pStyle w:val="21"/>
              <w:snapToGrid w:val="0"/>
              <w:spacing w:line="360" w:lineRule="auto"/>
              <w:ind w:firstLine="400"/>
              <w:rPr>
                <w:rFonts w:hAnsi="宋体" w:cs="宋体"/>
                <w:color w:val="auto"/>
                <w:szCs w:val="21"/>
                <w:highlight w:val="none"/>
              </w:rPr>
            </w:pPr>
          </w:p>
        </w:tc>
        <w:tc>
          <w:tcPr>
            <w:tcW w:w="2844" w:type="dxa"/>
          </w:tcPr>
          <w:p w14:paraId="0FF862B4">
            <w:pPr>
              <w:pStyle w:val="21"/>
              <w:snapToGrid w:val="0"/>
              <w:spacing w:line="360" w:lineRule="auto"/>
              <w:ind w:firstLine="400"/>
              <w:rPr>
                <w:rFonts w:hAnsi="宋体" w:cs="宋体"/>
                <w:color w:val="auto"/>
                <w:szCs w:val="21"/>
                <w:highlight w:val="none"/>
              </w:rPr>
            </w:pPr>
          </w:p>
        </w:tc>
        <w:tc>
          <w:tcPr>
            <w:tcW w:w="2328" w:type="dxa"/>
          </w:tcPr>
          <w:p w14:paraId="1F9439A3">
            <w:pPr>
              <w:pStyle w:val="21"/>
              <w:snapToGrid w:val="0"/>
              <w:spacing w:line="360" w:lineRule="auto"/>
              <w:ind w:firstLine="400"/>
              <w:rPr>
                <w:rFonts w:hAnsi="宋体" w:cs="宋体"/>
                <w:color w:val="auto"/>
                <w:szCs w:val="21"/>
                <w:highlight w:val="none"/>
              </w:rPr>
            </w:pPr>
          </w:p>
        </w:tc>
        <w:tc>
          <w:tcPr>
            <w:tcW w:w="1035" w:type="dxa"/>
          </w:tcPr>
          <w:p w14:paraId="1C0AF7DB">
            <w:pPr>
              <w:pStyle w:val="21"/>
              <w:snapToGrid w:val="0"/>
              <w:spacing w:line="360" w:lineRule="auto"/>
              <w:ind w:firstLine="400"/>
              <w:rPr>
                <w:rFonts w:hAnsi="宋体" w:cs="宋体"/>
                <w:color w:val="auto"/>
                <w:szCs w:val="21"/>
                <w:highlight w:val="none"/>
              </w:rPr>
            </w:pPr>
          </w:p>
        </w:tc>
      </w:tr>
      <w:tr w14:paraId="4370B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tcPr>
          <w:p w14:paraId="5088E01F">
            <w:pPr>
              <w:pStyle w:val="21"/>
              <w:snapToGrid w:val="0"/>
              <w:spacing w:line="360" w:lineRule="auto"/>
              <w:ind w:firstLine="400"/>
              <w:rPr>
                <w:rFonts w:hAnsi="宋体" w:cs="宋体"/>
                <w:color w:val="auto"/>
                <w:szCs w:val="21"/>
                <w:highlight w:val="none"/>
              </w:rPr>
            </w:pPr>
          </w:p>
        </w:tc>
        <w:tc>
          <w:tcPr>
            <w:tcW w:w="1551" w:type="dxa"/>
          </w:tcPr>
          <w:p w14:paraId="47B05D95">
            <w:pPr>
              <w:pStyle w:val="21"/>
              <w:snapToGrid w:val="0"/>
              <w:spacing w:line="360" w:lineRule="auto"/>
              <w:ind w:firstLine="400"/>
              <w:rPr>
                <w:rFonts w:hAnsi="宋体" w:cs="宋体"/>
                <w:color w:val="auto"/>
                <w:szCs w:val="21"/>
                <w:highlight w:val="none"/>
              </w:rPr>
            </w:pPr>
          </w:p>
        </w:tc>
        <w:tc>
          <w:tcPr>
            <w:tcW w:w="2844" w:type="dxa"/>
          </w:tcPr>
          <w:p w14:paraId="70148999">
            <w:pPr>
              <w:pStyle w:val="21"/>
              <w:snapToGrid w:val="0"/>
              <w:spacing w:line="360" w:lineRule="auto"/>
              <w:ind w:firstLine="400"/>
              <w:rPr>
                <w:rFonts w:hAnsi="宋体" w:cs="宋体"/>
                <w:color w:val="auto"/>
                <w:szCs w:val="21"/>
                <w:highlight w:val="none"/>
              </w:rPr>
            </w:pPr>
          </w:p>
        </w:tc>
        <w:tc>
          <w:tcPr>
            <w:tcW w:w="2328" w:type="dxa"/>
          </w:tcPr>
          <w:p w14:paraId="076EB582">
            <w:pPr>
              <w:pStyle w:val="21"/>
              <w:snapToGrid w:val="0"/>
              <w:spacing w:line="360" w:lineRule="auto"/>
              <w:ind w:firstLine="400"/>
              <w:rPr>
                <w:rFonts w:hAnsi="宋体" w:cs="宋体"/>
                <w:color w:val="auto"/>
                <w:szCs w:val="21"/>
                <w:highlight w:val="none"/>
              </w:rPr>
            </w:pPr>
          </w:p>
        </w:tc>
        <w:tc>
          <w:tcPr>
            <w:tcW w:w="1035" w:type="dxa"/>
          </w:tcPr>
          <w:p w14:paraId="182A927F">
            <w:pPr>
              <w:pStyle w:val="21"/>
              <w:snapToGrid w:val="0"/>
              <w:spacing w:line="360" w:lineRule="auto"/>
              <w:ind w:firstLine="400"/>
              <w:rPr>
                <w:rFonts w:hAnsi="宋体" w:cs="宋体"/>
                <w:color w:val="auto"/>
                <w:szCs w:val="21"/>
                <w:highlight w:val="none"/>
              </w:rPr>
            </w:pPr>
          </w:p>
        </w:tc>
      </w:tr>
      <w:tr w14:paraId="7AD2E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dxa"/>
          </w:tcPr>
          <w:p w14:paraId="25FE4580">
            <w:pPr>
              <w:pStyle w:val="21"/>
              <w:snapToGrid w:val="0"/>
              <w:spacing w:line="360" w:lineRule="auto"/>
              <w:ind w:firstLine="400"/>
              <w:rPr>
                <w:rFonts w:hAnsi="宋体" w:cs="宋体"/>
                <w:color w:val="auto"/>
                <w:szCs w:val="21"/>
                <w:highlight w:val="none"/>
              </w:rPr>
            </w:pPr>
          </w:p>
        </w:tc>
        <w:tc>
          <w:tcPr>
            <w:tcW w:w="1551" w:type="dxa"/>
          </w:tcPr>
          <w:p w14:paraId="199638C3">
            <w:pPr>
              <w:pStyle w:val="21"/>
              <w:snapToGrid w:val="0"/>
              <w:spacing w:line="360" w:lineRule="auto"/>
              <w:ind w:firstLine="400"/>
              <w:rPr>
                <w:rFonts w:hAnsi="宋体" w:cs="宋体"/>
                <w:color w:val="auto"/>
                <w:szCs w:val="21"/>
                <w:highlight w:val="none"/>
              </w:rPr>
            </w:pPr>
          </w:p>
        </w:tc>
        <w:tc>
          <w:tcPr>
            <w:tcW w:w="2844" w:type="dxa"/>
          </w:tcPr>
          <w:p w14:paraId="4B7FAA9D">
            <w:pPr>
              <w:pStyle w:val="21"/>
              <w:snapToGrid w:val="0"/>
              <w:spacing w:line="360" w:lineRule="auto"/>
              <w:ind w:firstLine="400"/>
              <w:rPr>
                <w:rFonts w:hAnsi="宋体" w:cs="宋体"/>
                <w:color w:val="auto"/>
                <w:szCs w:val="21"/>
                <w:highlight w:val="none"/>
              </w:rPr>
            </w:pPr>
          </w:p>
        </w:tc>
        <w:tc>
          <w:tcPr>
            <w:tcW w:w="2328" w:type="dxa"/>
          </w:tcPr>
          <w:p w14:paraId="3030D865">
            <w:pPr>
              <w:pStyle w:val="21"/>
              <w:snapToGrid w:val="0"/>
              <w:spacing w:line="360" w:lineRule="auto"/>
              <w:ind w:firstLine="400"/>
              <w:rPr>
                <w:rFonts w:hAnsi="宋体" w:cs="宋体"/>
                <w:color w:val="auto"/>
                <w:szCs w:val="21"/>
                <w:highlight w:val="none"/>
              </w:rPr>
            </w:pPr>
          </w:p>
        </w:tc>
        <w:tc>
          <w:tcPr>
            <w:tcW w:w="1035" w:type="dxa"/>
          </w:tcPr>
          <w:p w14:paraId="7BC8F872">
            <w:pPr>
              <w:pStyle w:val="21"/>
              <w:snapToGrid w:val="0"/>
              <w:spacing w:line="360" w:lineRule="auto"/>
              <w:ind w:firstLine="400"/>
              <w:rPr>
                <w:rFonts w:hAnsi="宋体" w:cs="宋体"/>
                <w:color w:val="auto"/>
                <w:szCs w:val="21"/>
                <w:highlight w:val="none"/>
              </w:rPr>
            </w:pPr>
          </w:p>
        </w:tc>
      </w:tr>
    </w:tbl>
    <w:p w14:paraId="3DF4D0FC">
      <w:pPr>
        <w:pStyle w:val="169"/>
        <w:adjustRightInd w:val="0"/>
        <w:snapToGrid w:val="0"/>
        <w:spacing w:line="360" w:lineRule="auto"/>
        <w:ind w:firstLine="0" w:firstLineChars="0"/>
        <w:rPr>
          <w:rFonts w:ascii="宋体" w:hAnsi="宋体" w:cs="宋体"/>
          <w:color w:val="auto"/>
          <w:szCs w:val="21"/>
          <w:highlight w:val="none"/>
        </w:rPr>
      </w:pPr>
      <w:r>
        <w:rPr>
          <w:rFonts w:hint="eastAsia" w:ascii="宋体" w:hAnsi="宋体" w:cs="宋体"/>
          <w:color w:val="auto"/>
          <w:szCs w:val="21"/>
          <w:highlight w:val="none"/>
        </w:rPr>
        <w:t>注：</w:t>
      </w:r>
    </w:p>
    <w:p w14:paraId="43A47B1A">
      <w:pPr>
        <w:adjustRightInd w:val="0"/>
        <w:snapToGrid w:val="0"/>
        <w:spacing w:line="360" w:lineRule="auto"/>
        <w:ind w:firstLine="2" w:firstLineChars="1"/>
        <w:jc w:val="left"/>
        <w:rPr>
          <w:rFonts w:ascii="宋体" w:hAnsi="宋体" w:cs="宋体"/>
          <w:color w:val="auto"/>
          <w:szCs w:val="21"/>
          <w:highlight w:val="none"/>
        </w:rPr>
      </w:pPr>
      <w:r>
        <w:rPr>
          <w:rFonts w:hint="eastAsia" w:ascii="宋体" w:hAnsi="宋体" w:cs="宋体"/>
          <w:color w:val="auto"/>
          <w:szCs w:val="21"/>
          <w:highlight w:val="none"/>
        </w:rPr>
        <w:t>1.表格中“序号”一列</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供应商须逐条对应竞争性谈判文件第三章 </w:t>
      </w:r>
      <w:r>
        <w:rPr>
          <w:rFonts w:hint="eastAsia" w:ascii="宋体" w:hAnsi="宋体" w:cs="宋体"/>
          <w:color w:val="auto"/>
          <w:szCs w:val="21"/>
          <w:highlight w:val="none"/>
          <w:lang w:eastAsia="zh-CN"/>
        </w:rPr>
        <w:t>合同书样式及政府采购合同专用条款</w:t>
      </w:r>
      <w:r>
        <w:rPr>
          <w:rFonts w:hint="eastAsia" w:ascii="宋体" w:hAnsi="宋体" w:cs="宋体"/>
          <w:color w:val="auto"/>
          <w:szCs w:val="21"/>
          <w:highlight w:val="none"/>
          <w:lang w:val="en-US" w:eastAsia="zh-CN"/>
        </w:rPr>
        <w:t xml:space="preserve"> 第三节 政府采购合同专用条款</w:t>
      </w:r>
      <w:r>
        <w:rPr>
          <w:rFonts w:hint="eastAsia" w:ascii="宋体" w:hAnsi="宋体" w:cs="宋体"/>
          <w:color w:val="auto"/>
          <w:szCs w:val="21"/>
          <w:highlight w:val="none"/>
        </w:rPr>
        <w:t>中的序号。</w:t>
      </w:r>
    </w:p>
    <w:p w14:paraId="4835516B">
      <w:pPr>
        <w:adjustRightInd w:val="0"/>
        <w:snapToGrid w:val="0"/>
        <w:spacing w:line="360" w:lineRule="auto"/>
        <w:ind w:firstLine="2" w:firstLineChars="1"/>
        <w:jc w:val="left"/>
        <w:rPr>
          <w:rFonts w:ascii="宋体" w:hAnsi="宋体" w:cs="宋体"/>
          <w:color w:val="auto"/>
          <w:szCs w:val="21"/>
          <w:highlight w:val="none"/>
        </w:rPr>
      </w:pPr>
      <w:r>
        <w:rPr>
          <w:rFonts w:hint="eastAsia" w:ascii="宋体" w:hAnsi="宋体" w:cs="宋体"/>
          <w:color w:val="auto"/>
          <w:szCs w:val="21"/>
          <w:highlight w:val="none"/>
        </w:rPr>
        <w:t>2.表格中“谈判文件商务条款”一列</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供应商须逐条对应竞争性谈判文件第三章 </w:t>
      </w:r>
      <w:r>
        <w:rPr>
          <w:rFonts w:hint="eastAsia" w:ascii="宋体" w:hAnsi="宋体" w:cs="宋体"/>
          <w:color w:val="auto"/>
          <w:szCs w:val="21"/>
          <w:highlight w:val="none"/>
          <w:lang w:eastAsia="zh-CN"/>
        </w:rPr>
        <w:t>合同书样式及政府采购合同专用条款</w:t>
      </w:r>
      <w:r>
        <w:rPr>
          <w:rFonts w:hint="eastAsia" w:ascii="宋体" w:hAnsi="宋体" w:cs="宋体"/>
          <w:color w:val="auto"/>
          <w:szCs w:val="21"/>
          <w:highlight w:val="none"/>
          <w:lang w:val="en-US" w:eastAsia="zh-CN"/>
        </w:rPr>
        <w:t xml:space="preserve"> 第三节 政府采购合同专用条款</w:t>
      </w:r>
      <w:r>
        <w:rPr>
          <w:rFonts w:hint="eastAsia" w:ascii="宋体" w:hAnsi="宋体" w:cs="宋体"/>
          <w:color w:val="auto"/>
          <w:szCs w:val="21"/>
          <w:highlight w:val="none"/>
        </w:rPr>
        <w:t>中的商务条款。</w:t>
      </w:r>
    </w:p>
    <w:p w14:paraId="5DB5084F">
      <w:pPr>
        <w:adjustRightInd w:val="0"/>
        <w:snapToGrid w:val="0"/>
        <w:spacing w:line="360" w:lineRule="auto"/>
        <w:ind w:firstLine="2" w:firstLineChars="1"/>
        <w:jc w:val="left"/>
        <w:rPr>
          <w:rFonts w:hint="eastAsia" w:ascii="宋体" w:hAnsi="宋体" w:cs="宋体"/>
          <w:color w:val="auto"/>
          <w:szCs w:val="21"/>
          <w:highlight w:val="none"/>
        </w:rPr>
      </w:pPr>
      <w:r>
        <w:rPr>
          <w:rFonts w:hint="eastAsia" w:ascii="宋体" w:hAnsi="宋体" w:cs="宋体"/>
          <w:color w:val="auto"/>
          <w:szCs w:val="21"/>
          <w:highlight w:val="none"/>
        </w:rPr>
        <w:t>2.表格中“要求”一列</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供应商须逐条对应竞争性谈判文件第三章 </w:t>
      </w:r>
      <w:r>
        <w:rPr>
          <w:rFonts w:hint="eastAsia" w:ascii="宋体" w:hAnsi="宋体" w:cs="宋体"/>
          <w:color w:val="auto"/>
          <w:szCs w:val="21"/>
          <w:highlight w:val="none"/>
          <w:lang w:eastAsia="zh-CN"/>
        </w:rPr>
        <w:t>合同书样式及政府采购合同专用条款</w:t>
      </w:r>
      <w:r>
        <w:rPr>
          <w:rFonts w:hint="eastAsia" w:ascii="宋体" w:hAnsi="宋体" w:cs="宋体"/>
          <w:color w:val="auto"/>
          <w:szCs w:val="21"/>
          <w:highlight w:val="none"/>
          <w:lang w:val="en-US" w:eastAsia="zh-CN"/>
        </w:rPr>
        <w:t xml:space="preserve"> 第三节 政府采购合同专用条款</w:t>
      </w:r>
      <w:r>
        <w:rPr>
          <w:rFonts w:hint="eastAsia" w:ascii="宋体" w:hAnsi="宋体" w:cs="宋体"/>
          <w:color w:val="auto"/>
          <w:szCs w:val="21"/>
          <w:highlight w:val="none"/>
        </w:rPr>
        <w:t>中的要求。</w:t>
      </w:r>
    </w:p>
    <w:p w14:paraId="2AD45060">
      <w:pPr>
        <w:adjustRightInd w:val="0"/>
        <w:snapToGrid w:val="0"/>
        <w:spacing w:line="360" w:lineRule="auto"/>
        <w:ind w:firstLine="2" w:firstLineChars="1"/>
        <w:jc w:val="left"/>
        <w:rPr>
          <w:rFonts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.表格中“响应文件响应情况”一列</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供应商须逐条对竞争性谈判文件第三章 </w:t>
      </w:r>
      <w:r>
        <w:rPr>
          <w:rFonts w:hint="eastAsia" w:ascii="宋体" w:hAnsi="宋体" w:cs="宋体"/>
          <w:color w:val="auto"/>
          <w:szCs w:val="21"/>
          <w:highlight w:val="none"/>
          <w:lang w:eastAsia="zh-CN"/>
        </w:rPr>
        <w:t>合同书样式及政府采购合同专用条款</w:t>
      </w:r>
      <w:r>
        <w:rPr>
          <w:rFonts w:hint="eastAsia" w:ascii="宋体" w:hAnsi="宋体" w:cs="宋体"/>
          <w:color w:val="auto"/>
          <w:szCs w:val="21"/>
          <w:highlight w:val="none"/>
        </w:rPr>
        <w:t>《合同条款前附表》中的商务条款作出全面、真实的反映</w:t>
      </w:r>
      <w:r>
        <w:rPr>
          <w:rFonts w:hint="eastAsia" w:ascii="宋体" w:hAnsi="宋体" w:cs="宋体"/>
          <w:color w:val="auto"/>
          <w:szCs w:val="21"/>
          <w:highlight w:val="none"/>
          <w:lang w:eastAsia="zh-CN"/>
        </w:rPr>
        <w:t>，</w:t>
      </w:r>
      <w:r>
        <w:rPr>
          <w:rFonts w:hint="eastAsia" w:ascii="宋体" w:hAnsi="宋体" w:cs="宋体"/>
          <w:color w:val="auto"/>
          <w:szCs w:val="21"/>
          <w:highlight w:val="none"/>
        </w:rPr>
        <w:t>若响应文件中响应情况与竞争性谈判文件商务条款不符</w:t>
      </w:r>
      <w:r>
        <w:rPr>
          <w:rFonts w:hint="eastAsia" w:ascii="宋体" w:hAnsi="宋体" w:cs="宋体"/>
          <w:color w:val="auto"/>
          <w:szCs w:val="21"/>
          <w:highlight w:val="none"/>
          <w:lang w:eastAsia="zh-CN"/>
        </w:rPr>
        <w:t>，</w:t>
      </w:r>
      <w:r>
        <w:rPr>
          <w:rFonts w:hint="eastAsia" w:ascii="宋体" w:hAnsi="宋体" w:cs="宋体"/>
          <w:color w:val="auto"/>
          <w:szCs w:val="21"/>
          <w:highlight w:val="none"/>
        </w:rPr>
        <w:t>而供应商又未在响应文件中作出说明和解释的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谈判小组在评审时可以视为不响应该条商务条款的规定。</w:t>
      </w:r>
    </w:p>
    <w:p w14:paraId="32EB0574">
      <w:pPr>
        <w:adjustRightInd w:val="0"/>
        <w:snapToGrid w:val="0"/>
        <w:spacing w:line="360" w:lineRule="auto"/>
        <w:ind w:firstLine="2" w:firstLineChars="1"/>
        <w:jc w:val="left"/>
        <w:rPr>
          <w:rFonts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.表格中“偏离”一列</w:t>
      </w:r>
      <w:r>
        <w:rPr>
          <w:rFonts w:hint="eastAsia" w:ascii="宋体" w:hAnsi="宋体" w:cs="宋体"/>
          <w:color w:val="auto"/>
          <w:szCs w:val="21"/>
          <w:highlight w:val="none"/>
          <w:lang w:eastAsia="zh-CN"/>
        </w:rPr>
        <w:t>，</w:t>
      </w:r>
      <w:r>
        <w:rPr>
          <w:rFonts w:hint="eastAsia" w:ascii="宋体" w:hAnsi="宋体" w:cs="宋体"/>
          <w:color w:val="auto"/>
          <w:szCs w:val="21"/>
          <w:highlight w:val="none"/>
        </w:rPr>
        <w:t>供应商只能如实填写“正偏离”、“负偏离”或“无偏离”。凡响应内容高于竞争性谈判文件要求的</w:t>
      </w:r>
      <w:r>
        <w:rPr>
          <w:rFonts w:hint="eastAsia" w:ascii="宋体" w:hAnsi="宋体" w:cs="宋体"/>
          <w:color w:val="auto"/>
          <w:szCs w:val="21"/>
          <w:highlight w:val="none"/>
          <w:lang w:eastAsia="zh-CN"/>
        </w:rPr>
        <w:t>，</w:t>
      </w:r>
      <w:r>
        <w:rPr>
          <w:rFonts w:hint="eastAsia" w:ascii="宋体" w:hAnsi="宋体" w:cs="宋体"/>
          <w:color w:val="auto"/>
          <w:szCs w:val="21"/>
          <w:highlight w:val="none"/>
        </w:rPr>
        <w:t>按“正偏离”填写</w:t>
      </w:r>
      <w:r>
        <w:rPr>
          <w:rFonts w:hint="eastAsia" w:ascii="宋体" w:hAnsi="宋体" w:cs="宋体"/>
          <w:color w:val="auto"/>
          <w:szCs w:val="21"/>
          <w:highlight w:val="none"/>
          <w:lang w:eastAsia="zh-CN"/>
        </w:rPr>
        <w:t>；</w:t>
      </w:r>
      <w:r>
        <w:rPr>
          <w:rFonts w:hint="eastAsia" w:ascii="宋体" w:hAnsi="宋体" w:cs="宋体"/>
          <w:color w:val="auto"/>
          <w:szCs w:val="21"/>
          <w:highlight w:val="none"/>
        </w:rPr>
        <w:t>低于竞争性谈判文件要求的</w:t>
      </w:r>
      <w:r>
        <w:rPr>
          <w:rFonts w:hint="eastAsia" w:ascii="宋体" w:hAnsi="宋体" w:cs="宋体"/>
          <w:color w:val="auto"/>
          <w:szCs w:val="21"/>
          <w:highlight w:val="none"/>
          <w:lang w:eastAsia="zh-CN"/>
        </w:rPr>
        <w:t>，</w:t>
      </w:r>
      <w:r>
        <w:rPr>
          <w:rFonts w:hint="eastAsia" w:ascii="宋体" w:hAnsi="宋体" w:cs="宋体"/>
          <w:color w:val="auto"/>
          <w:szCs w:val="21"/>
          <w:highlight w:val="none"/>
        </w:rPr>
        <w:t>按“负偏离”填写</w:t>
      </w:r>
      <w:r>
        <w:rPr>
          <w:rFonts w:hint="eastAsia" w:ascii="宋体" w:hAnsi="宋体" w:cs="宋体"/>
          <w:color w:val="auto"/>
          <w:szCs w:val="21"/>
          <w:highlight w:val="none"/>
          <w:lang w:eastAsia="zh-CN"/>
        </w:rPr>
        <w:t>；</w:t>
      </w:r>
      <w:r>
        <w:rPr>
          <w:rFonts w:hint="eastAsia" w:ascii="宋体" w:hAnsi="宋体" w:cs="宋体"/>
          <w:color w:val="auto"/>
          <w:szCs w:val="21"/>
          <w:highlight w:val="none"/>
        </w:rPr>
        <w:t>满足竞争性谈判文件要求的</w:t>
      </w:r>
      <w:r>
        <w:rPr>
          <w:rFonts w:hint="eastAsia" w:ascii="宋体" w:hAnsi="宋体" w:cs="宋体"/>
          <w:color w:val="auto"/>
          <w:szCs w:val="21"/>
          <w:highlight w:val="none"/>
          <w:lang w:eastAsia="zh-CN"/>
        </w:rPr>
        <w:t>，</w:t>
      </w:r>
      <w:r>
        <w:rPr>
          <w:rFonts w:hint="eastAsia" w:ascii="宋体" w:hAnsi="宋体" w:cs="宋体"/>
          <w:color w:val="auto"/>
          <w:szCs w:val="21"/>
          <w:highlight w:val="none"/>
        </w:rPr>
        <w:t>按“无偏离”填写。</w:t>
      </w:r>
    </w:p>
    <w:p w14:paraId="6F11A2C0">
      <w:pPr>
        <w:pStyle w:val="21"/>
        <w:snapToGrid w:val="0"/>
        <w:spacing w:line="360" w:lineRule="auto"/>
        <w:rPr>
          <w:rFonts w:hAnsi="宋体" w:cs="宋体"/>
          <w:color w:val="auto"/>
          <w:kern w:val="2"/>
          <w:sz w:val="21"/>
          <w:szCs w:val="21"/>
          <w:highlight w:val="none"/>
        </w:rPr>
      </w:pPr>
      <w:r>
        <w:rPr>
          <w:rFonts w:hint="eastAsia" w:hAnsi="宋体" w:cs="宋体"/>
          <w:color w:val="auto"/>
          <w:kern w:val="2"/>
          <w:sz w:val="21"/>
          <w:szCs w:val="21"/>
          <w:highlight w:val="none"/>
          <w:lang w:val="en-US" w:eastAsia="zh-CN"/>
        </w:rPr>
        <w:t>6</w:t>
      </w:r>
      <w:r>
        <w:rPr>
          <w:rFonts w:hint="eastAsia" w:hAnsi="宋体" w:cs="宋体"/>
          <w:color w:val="auto"/>
          <w:kern w:val="2"/>
          <w:sz w:val="21"/>
          <w:szCs w:val="21"/>
          <w:highlight w:val="none"/>
        </w:rPr>
        <w:t>.供应商可根据竞争性谈判文件商务条款拓展本表</w:t>
      </w:r>
      <w:r>
        <w:rPr>
          <w:rFonts w:hint="eastAsia" w:hAnsi="宋体" w:cs="宋体"/>
          <w:color w:val="auto"/>
          <w:kern w:val="2"/>
          <w:sz w:val="21"/>
          <w:szCs w:val="21"/>
          <w:highlight w:val="none"/>
          <w:lang w:eastAsia="zh-CN"/>
        </w:rPr>
        <w:t>，</w:t>
      </w:r>
      <w:r>
        <w:rPr>
          <w:rFonts w:hint="eastAsia" w:hAnsi="宋体" w:cs="宋体"/>
          <w:color w:val="auto"/>
          <w:kern w:val="2"/>
          <w:sz w:val="21"/>
          <w:szCs w:val="21"/>
          <w:highlight w:val="none"/>
        </w:rPr>
        <w:t>但不得改变格式。</w:t>
      </w:r>
    </w:p>
    <w:p w14:paraId="7D6189AB">
      <w:pPr>
        <w:adjustRightInd w:val="0"/>
        <w:snapToGrid w:val="0"/>
        <w:spacing w:line="360" w:lineRule="auto"/>
        <w:jc w:val="left"/>
        <w:rPr>
          <w:rFonts w:ascii="宋体" w:hAnsi="宋体" w:cs="宋体"/>
          <w:color w:val="auto"/>
          <w:szCs w:val="21"/>
          <w:highlight w:val="none"/>
        </w:rPr>
      </w:pPr>
    </w:p>
    <w:p w14:paraId="2F316FEA">
      <w:pPr>
        <w:adjustRightInd w:val="0"/>
        <w:snapToGrid w:val="0"/>
        <w:spacing w:line="360" w:lineRule="auto"/>
        <w:ind w:firstLine="562"/>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14:paraId="3E1D48C3">
      <w:pPr>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格式16</w:t>
      </w:r>
    </w:p>
    <w:p w14:paraId="6DE8DB6D">
      <w:pPr>
        <w:pStyle w:val="21"/>
        <w:snapToGrid w:val="0"/>
        <w:spacing w:line="360" w:lineRule="auto"/>
        <w:jc w:val="center"/>
        <w:outlineLvl w:val="1"/>
        <w:rPr>
          <w:rFonts w:hAnsi="宋体" w:cs="宋体"/>
          <w:b/>
          <w:bCs/>
          <w:color w:val="auto"/>
          <w:sz w:val="32"/>
          <w:szCs w:val="32"/>
          <w:highlight w:val="none"/>
        </w:rPr>
      </w:pPr>
      <w:bookmarkStart w:id="185" w:name="_Toc2670"/>
      <w:r>
        <w:rPr>
          <w:rFonts w:hint="eastAsia" w:hAnsi="宋体" w:cs="宋体"/>
          <w:b/>
          <w:bCs/>
          <w:color w:val="auto"/>
          <w:sz w:val="32"/>
          <w:szCs w:val="32"/>
          <w:highlight w:val="none"/>
        </w:rPr>
        <w:t>交付时间进度计划安排</w:t>
      </w:r>
    </w:p>
    <w:p w14:paraId="1B62C925">
      <w:pPr>
        <w:spacing w:line="360" w:lineRule="auto"/>
        <w:jc w:val="center"/>
        <w:rPr>
          <w:rFonts w:ascii="宋体" w:hAnsi="宋体" w:cs="宋体"/>
          <w:color w:val="auto"/>
          <w:sz w:val="24"/>
          <w:szCs w:val="20"/>
          <w:highlight w:val="none"/>
        </w:rPr>
      </w:pPr>
      <w:r>
        <w:rPr>
          <w:rFonts w:hint="eastAsia" w:ascii="宋体" w:hAnsi="宋体" w:cs="宋体"/>
          <w:color w:val="auto"/>
          <w:sz w:val="24"/>
          <w:szCs w:val="20"/>
          <w:highlight w:val="none"/>
        </w:rPr>
        <w:t>（内容自拟）</w:t>
      </w:r>
    </w:p>
    <w:p w14:paraId="7F52E94F">
      <w:pPr>
        <w:adjustRightInd w:val="0"/>
        <w:snapToGrid w:val="0"/>
        <w:spacing w:line="360" w:lineRule="auto"/>
        <w:ind w:firstLine="2" w:firstLineChars="1"/>
        <w:rPr>
          <w:rFonts w:ascii="宋体" w:hAnsi="宋体" w:cs="宋体"/>
          <w:color w:val="auto"/>
          <w:szCs w:val="21"/>
          <w:highlight w:val="none"/>
        </w:rPr>
      </w:pPr>
    </w:p>
    <w:p w14:paraId="55DEB69E">
      <w:pPr>
        <w:ind w:firstLine="643"/>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r>
    </w:p>
    <w:bookmarkEnd w:id="185"/>
    <w:p w14:paraId="3887EFC2">
      <w:pPr>
        <w:pStyle w:val="21"/>
        <w:snapToGrid w:val="0"/>
        <w:spacing w:line="360" w:lineRule="auto"/>
        <w:jc w:val="both"/>
        <w:rPr>
          <w:rFonts w:hAnsi="宋体" w:cs="宋体"/>
          <w:b/>
          <w:bCs/>
          <w:color w:val="auto"/>
          <w:sz w:val="28"/>
          <w:szCs w:val="32"/>
          <w:highlight w:val="none"/>
        </w:rPr>
      </w:pPr>
      <w:r>
        <w:rPr>
          <w:rFonts w:hint="eastAsia" w:hAnsi="宋体" w:cs="宋体"/>
          <w:b/>
          <w:bCs/>
          <w:color w:val="auto"/>
          <w:sz w:val="28"/>
          <w:szCs w:val="32"/>
          <w:highlight w:val="none"/>
        </w:rPr>
        <w:t>格式17</w:t>
      </w:r>
    </w:p>
    <w:p w14:paraId="762E5043">
      <w:pPr>
        <w:keepNext/>
        <w:keepLines/>
        <w:spacing w:before="120" w:after="120" w:line="360" w:lineRule="auto"/>
        <w:jc w:val="center"/>
        <w:outlineLvl w:val="1"/>
        <w:rPr>
          <w:rFonts w:ascii="宋体" w:hAnsi="宋体" w:cs="宋体"/>
          <w:b/>
          <w:bCs/>
          <w:color w:val="auto"/>
          <w:sz w:val="32"/>
          <w:szCs w:val="32"/>
          <w:highlight w:val="none"/>
        </w:rPr>
      </w:pPr>
      <w:r>
        <w:rPr>
          <w:rFonts w:hint="eastAsia" w:ascii="宋体" w:hAnsi="宋体" w:cs="宋体"/>
          <w:b/>
          <w:bCs/>
          <w:color w:val="auto"/>
          <w:sz w:val="32"/>
          <w:szCs w:val="32"/>
          <w:highlight w:val="none"/>
        </w:rPr>
        <w:t>售后服务承诺</w:t>
      </w:r>
    </w:p>
    <w:p w14:paraId="42220250">
      <w:pPr>
        <w:spacing w:line="400" w:lineRule="exact"/>
        <w:jc w:val="center"/>
        <w:rPr>
          <w:rFonts w:ascii="宋体" w:hAnsi="宋体" w:cs="宋体"/>
          <w:color w:val="auto"/>
          <w:sz w:val="24"/>
          <w:szCs w:val="20"/>
          <w:highlight w:val="none"/>
        </w:rPr>
      </w:pPr>
      <w:r>
        <w:rPr>
          <w:rFonts w:hint="eastAsia" w:ascii="宋体" w:hAnsi="宋体" w:cs="宋体"/>
          <w:color w:val="auto"/>
          <w:sz w:val="24"/>
          <w:szCs w:val="20"/>
          <w:highlight w:val="none"/>
        </w:rPr>
        <w:t>（内容自拟）</w:t>
      </w:r>
    </w:p>
    <w:p w14:paraId="10BB506F">
      <w:pPr>
        <w:spacing w:line="640" w:lineRule="exact"/>
        <w:ind w:firstLine="2" w:firstLineChars="1"/>
        <w:jc w:val="left"/>
        <w:rPr>
          <w:rFonts w:ascii="宋体" w:hAnsi="宋体" w:cs="宋体"/>
          <w:color w:val="auto"/>
          <w:szCs w:val="21"/>
          <w:highlight w:val="none"/>
        </w:rPr>
      </w:pPr>
    </w:p>
    <w:p w14:paraId="7B352E67">
      <w:pPr>
        <w:keepNext/>
        <w:keepLines/>
        <w:spacing w:before="120" w:after="120" w:line="360" w:lineRule="auto"/>
        <w:ind w:left="425" w:firstLine="562"/>
        <w:jc w:val="center"/>
        <w:rPr>
          <w:rFonts w:ascii="宋体" w:hAnsi="宋体" w:cs="宋体"/>
          <w:b/>
          <w:bCs/>
          <w:color w:val="auto"/>
          <w:sz w:val="28"/>
          <w:szCs w:val="32"/>
          <w:highlight w:val="none"/>
        </w:rPr>
      </w:pPr>
      <w:r>
        <w:rPr>
          <w:rFonts w:hint="eastAsia" w:ascii="宋体" w:hAnsi="宋体" w:cs="宋体"/>
          <w:b/>
          <w:bCs/>
          <w:color w:val="auto"/>
          <w:sz w:val="28"/>
          <w:szCs w:val="32"/>
          <w:highlight w:val="none"/>
        </w:rPr>
        <w:br w:type="page"/>
      </w:r>
    </w:p>
    <w:p w14:paraId="4B7DB945">
      <w:pPr>
        <w:keepNext/>
        <w:keepLines/>
        <w:adjustRightInd w:val="0"/>
        <w:snapToGrid w:val="0"/>
        <w:spacing w:line="360" w:lineRule="auto"/>
        <w:jc w:val="left"/>
        <w:rPr>
          <w:rFonts w:ascii="宋体" w:hAnsi="宋体" w:cs="宋体"/>
          <w:b/>
          <w:color w:val="auto"/>
          <w:sz w:val="28"/>
          <w:szCs w:val="28"/>
          <w:highlight w:val="none"/>
        </w:rPr>
      </w:pPr>
      <w:r>
        <w:rPr>
          <w:rFonts w:hint="eastAsia" w:ascii="宋体" w:hAnsi="宋体" w:cs="宋体"/>
          <w:b/>
          <w:color w:val="auto"/>
          <w:sz w:val="28"/>
          <w:szCs w:val="28"/>
          <w:highlight w:val="none"/>
        </w:rPr>
        <w:t>格式18</w:t>
      </w:r>
    </w:p>
    <w:p w14:paraId="5EE69C1C">
      <w:pPr>
        <w:keepNext/>
        <w:keepLines/>
        <w:adjustRightInd w:val="0"/>
        <w:snapToGrid w:val="0"/>
        <w:spacing w:line="360" w:lineRule="auto"/>
        <w:jc w:val="center"/>
        <w:outlineLvl w:val="1"/>
        <w:rPr>
          <w:rFonts w:ascii="宋体" w:hAnsi="宋体" w:cs="宋体"/>
          <w:b/>
          <w:bCs/>
          <w:color w:val="auto"/>
          <w:sz w:val="28"/>
          <w:szCs w:val="32"/>
          <w:highlight w:val="none"/>
        </w:rPr>
      </w:pPr>
      <w:bookmarkStart w:id="186" w:name="_Toc488633629"/>
      <w:bookmarkStart w:id="187" w:name="_Toc32714"/>
      <w:bookmarkStart w:id="188" w:name="_Toc4027"/>
      <w:bookmarkStart w:id="189" w:name="_Toc4444"/>
      <w:bookmarkStart w:id="190" w:name="_Toc491307380"/>
      <w:bookmarkStart w:id="191" w:name="_Toc494043354"/>
      <w:bookmarkStart w:id="192" w:name="_Toc491307318"/>
      <w:bookmarkStart w:id="193" w:name="_Toc524791636"/>
      <w:bookmarkStart w:id="194" w:name="_Toc524791742"/>
      <w:bookmarkStart w:id="195" w:name="_Toc27046"/>
      <w:bookmarkStart w:id="196" w:name="_Toc491307500"/>
      <w:bookmarkStart w:id="197" w:name="_Toc481694857"/>
      <w:r>
        <w:rPr>
          <w:rFonts w:hint="eastAsia" w:ascii="宋体" w:hAnsi="宋体" w:cs="宋体"/>
          <w:b/>
          <w:bCs/>
          <w:color w:val="auto"/>
          <w:sz w:val="28"/>
          <w:szCs w:val="32"/>
          <w:highlight w:val="none"/>
        </w:rPr>
        <w:t>法定代表人身份证明书</w:t>
      </w:r>
      <w:bookmarkEnd w:id="186"/>
      <w:bookmarkEnd w:id="187"/>
      <w:bookmarkEnd w:id="188"/>
      <w:bookmarkEnd w:id="189"/>
      <w:bookmarkEnd w:id="190"/>
      <w:bookmarkEnd w:id="191"/>
      <w:bookmarkEnd w:id="192"/>
      <w:bookmarkEnd w:id="193"/>
      <w:bookmarkEnd w:id="194"/>
      <w:bookmarkEnd w:id="195"/>
      <w:bookmarkEnd w:id="196"/>
      <w:bookmarkEnd w:id="197"/>
    </w:p>
    <w:p w14:paraId="250C4608">
      <w:pPr>
        <w:adjustRightInd w:val="0"/>
        <w:snapToGrid w:val="0"/>
        <w:spacing w:line="360" w:lineRule="auto"/>
        <w:ind w:firstLine="602"/>
        <w:jc w:val="center"/>
        <w:rPr>
          <w:rFonts w:ascii="宋体" w:hAnsi="宋体" w:cs="宋体"/>
          <w:b/>
          <w:color w:val="auto"/>
          <w:sz w:val="30"/>
          <w:szCs w:val="30"/>
          <w:highlight w:val="none"/>
        </w:rPr>
      </w:pPr>
    </w:p>
    <w:p w14:paraId="44B8ACEF">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供应商名称：</w:t>
      </w:r>
      <w:r>
        <w:rPr>
          <w:rFonts w:hint="eastAsia" w:ascii="宋体" w:hAnsi="宋体" w:cs="宋体"/>
          <w:color w:val="auto"/>
          <w:szCs w:val="21"/>
          <w:highlight w:val="none"/>
          <w:u w:val="single"/>
        </w:rPr>
        <w:t xml:space="preserve">                        。</w:t>
      </w:r>
    </w:p>
    <w:p w14:paraId="1BACBDB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单位性质：</w:t>
      </w:r>
      <w:r>
        <w:rPr>
          <w:rFonts w:hint="eastAsia" w:ascii="宋体" w:hAnsi="宋体" w:cs="宋体"/>
          <w:color w:val="auto"/>
          <w:szCs w:val="21"/>
          <w:highlight w:val="none"/>
          <w:u w:val="single"/>
        </w:rPr>
        <w:t xml:space="preserve">                          。</w:t>
      </w:r>
    </w:p>
    <w:p w14:paraId="724CB4A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FE2D1A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经营期限：</w:t>
      </w:r>
      <w:r>
        <w:rPr>
          <w:rFonts w:hint="eastAsia" w:ascii="宋体" w:hAnsi="宋体" w:cs="宋体"/>
          <w:color w:val="auto"/>
          <w:szCs w:val="21"/>
          <w:highlight w:val="none"/>
          <w:u w:val="single"/>
        </w:rPr>
        <w:t xml:space="preserve">                          。</w:t>
      </w:r>
    </w:p>
    <w:p w14:paraId="7B3E990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   </w:t>
      </w:r>
    </w:p>
    <w:p w14:paraId="00C9AC97">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（供应商名称）的法定代表人。</w:t>
      </w:r>
    </w:p>
    <w:p w14:paraId="2CB7B110">
      <w:pPr>
        <w:adjustRightInd w:val="0"/>
        <w:snapToGrid w:val="0"/>
        <w:spacing w:line="360" w:lineRule="auto"/>
        <w:rPr>
          <w:rFonts w:ascii="宋体" w:hAnsi="宋体" w:cs="宋体"/>
          <w:color w:val="auto"/>
          <w:szCs w:val="21"/>
          <w:highlight w:val="none"/>
        </w:rPr>
      </w:pPr>
    </w:p>
    <w:p w14:paraId="6349D58F">
      <w:pPr>
        <w:adjustRightInd w:val="0"/>
        <w:snapToGrid w:val="0"/>
        <w:spacing w:line="360" w:lineRule="auto"/>
        <w:ind w:firstLine="420" w:firstLineChars="200"/>
        <w:rPr>
          <w:rFonts w:ascii="宋体" w:hAnsi="宋体" w:cs="宋体"/>
          <w:color w:val="auto"/>
          <w:szCs w:val="21"/>
          <w:highlight w:val="none"/>
        </w:rPr>
      </w:pPr>
    </w:p>
    <w:p w14:paraId="4E2BE0A8">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特此证明。</w:t>
      </w:r>
    </w:p>
    <w:p w14:paraId="14F0DE1A">
      <w:pPr>
        <w:adjustRightInd w:val="0"/>
        <w:snapToGrid w:val="0"/>
        <w:spacing w:line="360" w:lineRule="auto"/>
        <w:rPr>
          <w:rFonts w:ascii="宋体" w:hAnsi="宋体" w:cs="宋体"/>
          <w:color w:val="auto"/>
          <w:szCs w:val="21"/>
          <w:highlight w:val="none"/>
        </w:rPr>
      </w:pPr>
    </w:p>
    <w:p w14:paraId="1121C14E">
      <w:pPr>
        <w:adjustRightInd w:val="0"/>
        <w:snapToGrid w:val="0"/>
        <w:spacing w:line="360" w:lineRule="auto"/>
        <w:rPr>
          <w:rFonts w:ascii="宋体" w:hAnsi="宋体" w:cs="宋体"/>
          <w:color w:val="auto"/>
          <w:szCs w:val="21"/>
          <w:highlight w:val="none"/>
        </w:rPr>
      </w:pPr>
    </w:p>
    <w:p w14:paraId="7854AA2C">
      <w:pPr>
        <w:adjustRightInd w:val="0"/>
        <w:snapToGrid w:val="0"/>
        <w:spacing w:line="360" w:lineRule="auto"/>
        <w:rPr>
          <w:rFonts w:ascii="宋体" w:hAnsi="宋体" w:cs="宋体"/>
          <w:color w:val="auto"/>
          <w:szCs w:val="21"/>
          <w:highlight w:val="none"/>
        </w:rPr>
      </w:pPr>
    </w:p>
    <w:p w14:paraId="23DE049B">
      <w:pPr>
        <w:adjustRightInd w:val="0"/>
        <w:snapToGrid w:val="0"/>
        <w:spacing w:line="360" w:lineRule="auto"/>
        <w:rPr>
          <w:rFonts w:ascii="宋体" w:hAnsi="宋体" w:cs="宋体"/>
          <w:color w:val="auto"/>
          <w:szCs w:val="21"/>
          <w:highlight w:val="none"/>
        </w:rPr>
      </w:pPr>
    </w:p>
    <w:p w14:paraId="56F14E5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供应商：（加盖供应商电子公章）</w:t>
      </w:r>
    </w:p>
    <w:p w14:paraId="7F94FE3E">
      <w:pPr>
        <w:adjustRightInd w:val="0"/>
        <w:snapToGrid w:val="0"/>
        <w:spacing w:line="360" w:lineRule="auto"/>
        <w:rPr>
          <w:rFonts w:ascii="宋体" w:hAnsi="宋体" w:cs="宋体"/>
          <w:color w:val="auto"/>
          <w:szCs w:val="21"/>
          <w:highlight w:val="none"/>
        </w:rPr>
      </w:pPr>
    </w:p>
    <w:p w14:paraId="3E2A42D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日期：</w:t>
      </w:r>
    </w:p>
    <w:p w14:paraId="04A74C2F">
      <w:pPr>
        <w:adjustRightInd w:val="0"/>
        <w:snapToGrid w:val="0"/>
        <w:spacing w:line="360" w:lineRule="auto"/>
        <w:rPr>
          <w:rFonts w:ascii="宋体" w:hAnsi="宋体" w:cs="宋体"/>
          <w:color w:val="auto"/>
          <w:szCs w:val="21"/>
          <w:highlight w:val="none"/>
        </w:rPr>
      </w:pPr>
    </w:p>
    <w:p w14:paraId="72D85FCF">
      <w:pPr>
        <w:adjustRightInd w:val="0"/>
        <w:snapToGrid w:val="0"/>
        <w:spacing w:line="360" w:lineRule="auto"/>
        <w:ind w:firstLine="422"/>
        <w:jc w:val="left"/>
        <w:rPr>
          <w:rFonts w:ascii="宋体" w:hAnsi="宋体" w:cs="宋体"/>
          <w:b/>
          <w:bCs/>
          <w:color w:val="auto"/>
          <w:szCs w:val="21"/>
          <w:highlight w:val="none"/>
        </w:rPr>
      </w:pPr>
    </w:p>
    <w:p w14:paraId="6627EE36">
      <w:pPr>
        <w:pStyle w:val="21"/>
        <w:snapToGrid w:val="0"/>
        <w:spacing w:line="360" w:lineRule="auto"/>
        <w:ind w:firstLine="422"/>
        <w:rPr>
          <w:rFonts w:hAnsi="宋体" w:cs="宋体"/>
          <w:b/>
          <w:bCs/>
          <w:color w:val="auto"/>
          <w:sz w:val="21"/>
          <w:szCs w:val="21"/>
          <w:highlight w:val="none"/>
        </w:rPr>
      </w:pPr>
      <w:r>
        <w:rPr>
          <w:rFonts w:hint="eastAsia" w:hAnsi="宋体" w:cs="宋体"/>
          <w:b/>
          <w:bCs/>
          <w:color w:val="auto"/>
          <w:sz w:val="21"/>
          <w:szCs w:val="21"/>
          <w:highlight w:val="none"/>
        </w:rPr>
        <w:t>注：在响应文件中附法定代表人居民身份证扫描件。</w:t>
      </w:r>
    </w:p>
    <w:p w14:paraId="3597B7CD">
      <w:pPr>
        <w:pStyle w:val="21"/>
        <w:snapToGrid w:val="0"/>
        <w:spacing w:line="360" w:lineRule="auto"/>
        <w:rPr>
          <w:rFonts w:hAnsi="宋体" w:cs="宋体"/>
          <w:b/>
          <w:color w:val="auto"/>
          <w:sz w:val="28"/>
          <w:szCs w:val="28"/>
          <w:highlight w:val="none"/>
        </w:rPr>
      </w:pPr>
      <w:r>
        <w:rPr>
          <w:rFonts w:hint="eastAsia" w:hAnsi="宋体" w:cs="宋体"/>
          <w:color w:val="auto"/>
          <w:sz w:val="24"/>
          <w:highlight w:val="none"/>
        </w:rPr>
        <w:br w:type="page"/>
      </w:r>
      <w:bookmarkStart w:id="198" w:name="_Toc491307501"/>
      <w:bookmarkStart w:id="199" w:name="_Toc491307381"/>
      <w:bookmarkStart w:id="200" w:name="_Toc491307319"/>
      <w:r>
        <w:rPr>
          <w:rFonts w:hint="eastAsia" w:hAnsi="宋体" w:cs="宋体"/>
          <w:b/>
          <w:color w:val="auto"/>
          <w:sz w:val="28"/>
          <w:szCs w:val="28"/>
          <w:highlight w:val="none"/>
        </w:rPr>
        <w:t>格式</w:t>
      </w:r>
      <w:bookmarkEnd w:id="198"/>
      <w:bookmarkEnd w:id="199"/>
      <w:bookmarkEnd w:id="200"/>
      <w:r>
        <w:rPr>
          <w:rFonts w:hint="eastAsia" w:hAnsi="宋体" w:cs="宋体"/>
          <w:b/>
          <w:color w:val="auto"/>
          <w:sz w:val="28"/>
          <w:szCs w:val="28"/>
          <w:highlight w:val="none"/>
        </w:rPr>
        <w:t>19</w:t>
      </w:r>
    </w:p>
    <w:p w14:paraId="4560A65B">
      <w:pPr>
        <w:keepNext/>
        <w:keepLines/>
        <w:adjustRightInd w:val="0"/>
        <w:snapToGrid w:val="0"/>
        <w:spacing w:line="360" w:lineRule="auto"/>
        <w:jc w:val="center"/>
        <w:outlineLvl w:val="1"/>
        <w:rPr>
          <w:rFonts w:ascii="宋体" w:hAnsi="宋体" w:cs="宋体"/>
          <w:b/>
          <w:bCs/>
          <w:color w:val="auto"/>
          <w:sz w:val="28"/>
          <w:szCs w:val="32"/>
          <w:highlight w:val="none"/>
        </w:rPr>
      </w:pPr>
      <w:bookmarkStart w:id="201" w:name="_Toc491307382"/>
      <w:bookmarkStart w:id="202" w:name="_Toc213141107"/>
      <w:bookmarkStart w:id="203" w:name="_Toc488633630"/>
      <w:bookmarkStart w:id="204" w:name="_Toc491307502"/>
      <w:bookmarkStart w:id="205" w:name="_Toc491307320"/>
      <w:bookmarkStart w:id="206" w:name="_Toc481694858"/>
      <w:r>
        <w:rPr>
          <w:rFonts w:hint="eastAsia" w:ascii="宋体" w:hAnsi="宋体" w:cs="宋体"/>
          <w:b/>
          <w:bCs/>
          <w:color w:val="auto"/>
          <w:sz w:val="28"/>
          <w:szCs w:val="32"/>
          <w:highlight w:val="none"/>
        </w:rPr>
        <w:t>法定代表人授权委托书</w:t>
      </w:r>
      <w:bookmarkEnd w:id="201"/>
      <w:bookmarkEnd w:id="202"/>
      <w:bookmarkEnd w:id="203"/>
      <w:bookmarkEnd w:id="204"/>
      <w:bookmarkEnd w:id="205"/>
      <w:bookmarkEnd w:id="206"/>
    </w:p>
    <w:p w14:paraId="7EC04CE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本授权书声明：</w:t>
      </w:r>
      <w:r>
        <w:rPr>
          <w:rFonts w:hint="eastAsia" w:ascii="宋体" w:hAnsi="宋体" w:cs="宋体"/>
          <w:color w:val="auto"/>
          <w:szCs w:val="21"/>
          <w:highlight w:val="none"/>
          <w:u w:val="single"/>
        </w:rPr>
        <w:t xml:space="preserve">  （供应商全称） </w:t>
      </w:r>
      <w:r>
        <w:rPr>
          <w:rFonts w:hint="eastAsia" w:ascii="宋体" w:hAnsi="宋体" w:cs="宋体"/>
          <w:color w:val="auto"/>
          <w:szCs w:val="21"/>
          <w:highlight w:val="none"/>
        </w:rPr>
        <w:t>的法定代表人代表本公司授权</w:t>
      </w:r>
      <w:r>
        <w:rPr>
          <w:rFonts w:hint="eastAsia" w:ascii="宋体" w:hAnsi="宋体" w:cs="宋体"/>
          <w:color w:val="auto"/>
          <w:szCs w:val="21"/>
          <w:highlight w:val="none"/>
          <w:u w:val="single"/>
        </w:rPr>
        <w:t>（委托代理人姓名）</w:t>
      </w:r>
      <w:r>
        <w:rPr>
          <w:rFonts w:hint="eastAsia" w:ascii="宋体" w:hAnsi="宋体" w:cs="宋体"/>
          <w:color w:val="auto"/>
          <w:szCs w:val="21"/>
          <w:highlight w:val="none"/>
        </w:rPr>
        <w:t>为本公司合法代理人</w:t>
      </w:r>
      <w:r>
        <w:rPr>
          <w:rFonts w:hint="eastAsia" w:ascii="宋体" w:hAnsi="宋体" w:cs="宋体"/>
          <w:color w:val="auto"/>
          <w:szCs w:val="21"/>
          <w:highlight w:val="none"/>
          <w:lang w:eastAsia="zh-CN"/>
        </w:rPr>
        <w:t>，</w:t>
      </w:r>
      <w:r>
        <w:rPr>
          <w:rFonts w:hint="eastAsia" w:ascii="宋体" w:hAnsi="宋体" w:cs="宋体"/>
          <w:color w:val="auto"/>
          <w:szCs w:val="21"/>
          <w:highlight w:val="none"/>
        </w:rPr>
        <w:t>就贵方组织的有关</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（项目编号：）的竞争性谈判</w:t>
      </w:r>
      <w:r>
        <w:rPr>
          <w:rFonts w:hint="eastAsia" w:ascii="宋体" w:hAnsi="宋体" w:cs="宋体"/>
          <w:color w:val="auto"/>
          <w:szCs w:val="21"/>
          <w:highlight w:val="none"/>
          <w:lang w:eastAsia="zh-CN"/>
        </w:rPr>
        <w:t>，</w:t>
      </w:r>
      <w:r>
        <w:rPr>
          <w:rFonts w:hint="eastAsia" w:ascii="宋体" w:hAnsi="宋体" w:cs="宋体"/>
          <w:color w:val="auto"/>
          <w:szCs w:val="21"/>
          <w:highlight w:val="none"/>
        </w:rPr>
        <w:t>以本单位名义参加。代理人在本项目谈判过程中所签署的一切文件和处理与之有关的一切事务</w:t>
      </w:r>
      <w:r>
        <w:rPr>
          <w:rFonts w:hint="eastAsia" w:ascii="宋体" w:hAnsi="宋体" w:cs="宋体"/>
          <w:color w:val="auto"/>
          <w:szCs w:val="21"/>
          <w:highlight w:val="none"/>
          <w:lang w:eastAsia="zh-CN"/>
        </w:rPr>
        <w:t>，</w:t>
      </w:r>
      <w:r>
        <w:rPr>
          <w:rFonts w:hint="eastAsia" w:ascii="宋体" w:hAnsi="宋体" w:cs="宋体"/>
          <w:color w:val="auto"/>
          <w:szCs w:val="21"/>
          <w:highlight w:val="none"/>
        </w:rPr>
        <w:t>我方均予承认。</w:t>
      </w:r>
    </w:p>
    <w:p w14:paraId="7997EA02">
      <w:pPr>
        <w:pStyle w:val="21"/>
        <w:snapToGrid w:val="0"/>
        <w:spacing w:line="360" w:lineRule="auto"/>
        <w:ind w:firstLine="420"/>
        <w:rPr>
          <w:rFonts w:hAnsi="宋体" w:cs="宋体"/>
          <w:color w:val="auto"/>
          <w:szCs w:val="21"/>
          <w:highlight w:val="none"/>
        </w:rPr>
      </w:pPr>
      <w:r>
        <w:rPr>
          <w:rFonts w:hint="eastAsia" w:hAnsi="宋体" w:cs="宋体"/>
          <w:color w:val="auto"/>
          <w:kern w:val="2"/>
          <w:sz w:val="21"/>
          <w:szCs w:val="21"/>
          <w:highlight w:val="none"/>
        </w:rPr>
        <w:t>代理人无转委托权。</w:t>
      </w:r>
    </w:p>
    <w:p w14:paraId="08AB4551">
      <w:pPr>
        <w:pStyle w:val="21"/>
        <w:snapToGrid w:val="0"/>
        <w:spacing w:line="360" w:lineRule="auto"/>
        <w:ind w:firstLine="400"/>
        <w:rPr>
          <w:rFonts w:hAnsi="宋体" w:cs="宋体"/>
          <w:color w:val="auto"/>
          <w:szCs w:val="21"/>
          <w:highlight w:val="none"/>
        </w:rPr>
      </w:pPr>
    </w:p>
    <w:p w14:paraId="306A339F">
      <w:pPr>
        <w:adjustRightInd w:val="0"/>
        <w:snapToGrid w:val="0"/>
        <w:spacing w:line="360" w:lineRule="auto"/>
        <w:ind w:firstLine="2" w:firstLineChars="1"/>
        <w:jc w:val="left"/>
        <w:rPr>
          <w:rFonts w:ascii="宋体" w:hAnsi="宋体" w:cs="宋体"/>
          <w:color w:val="auto"/>
          <w:szCs w:val="21"/>
          <w:highlight w:val="none"/>
        </w:rPr>
      </w:pPr>
      <w:r>
        <w:rPr>
          <w:rFonts w:hint="eastAsia" w:ascii="宋体" w:hAnsi="宋体" w:cs="宋体"/>
          <w:color w:val="auto"/>
          <w:szCs w:val="21"/>
          <w:highlight w:val="none"/>
        </w:rPr>
        <w:t>供应商（加盖供应商电子公章）：</w:t>
      </w:r>
    </w:p>
    <w:p w14:paraId="2B3B52FC">
      <w:pPr>
        <w:adjustRightInd w:val="0"/>
        <w:snapToGrid w:val="0"/>
        <w:spacing w:line="360" w:lineRule="auto"/>
        <w:ind w:firstLine="2" w:firstLineChars="1"/>
        <w:jc w:val="left"/>
        <w:rPr>
          <w:rFonts w:ascii="宋体" w:hAnsi="宋体" w:cs="宋体"/>
          <w:color w:val="auto"/>
          <w:szCs w:val="21"/>
          <w:highlight w:val="none"/>
        </w:rPr>
      </w:pPr>
    </w:p>
    <w:p w14:paraId="2481ED32">
      <w:pPr>
        <w:adjustRightInd w:val="0"/>
        <w:snapToGrid w:val="0"/>
        <w:spacing w:line="360" w:lineRule="auto"/>
        <w:ind w:firstLine="2" w:firstLineChars="1"/>
        <w:jc w:val="left"/>
        <w:rPr>
          <w:rFonts w:ascii="宋体" w:hAnsi="宋体" w:cs="宋体"/>
          <w:color w:val="auto"/>
          <w:szCs w:val="21"/>
          <w:highlight w:val="none"/>
        </w:rPr>
      </w:pPr>
      <w:r>
        <w:rPr>
          <w:rFonts w:hint="eastAsia" w:ascii="宋体" w:hAnsi="宋体" w:cs="宋体"/>
          <w:color w:val="auto"/>
          <w:szCs w:val="21"/>
          <w:highlight w:val="none"/>
        </w:rPr>
        <w:t>法定代表人（电子签名或盖章）：</w:t>
      </w:r>
    </w:p>
    <w:p w14:paraId="57433481">
      <w:pPr>
        <w:adjustRightInd w:val="0"/>
        <w:snapToGrid w:val="0"/>
        <w:spacing w:line="360" w:lineRule="auto"/>
        <w:jc w:val="left"/>
        <w:rPr>
          <w:rFonts w:ascii="宋体" w:hAnsi="宋体" w:cs="宋体"/>
          <w:color w:val="auto"/>
          <w:szCs w:val="21"/>
          <w:highlight w:val="none"/>
        </w:rPr>
      </w:pPr>
    </w:p>
    <w:p w14:paraId="600B3AE6">
      <w:pPr>
        <w:pStyle w:val="21"/>
        <w:snapToGrid w:val="0"/>
        <w:spacing w:line="360" w:lineRule="auto"/>
        <w:rPr>
          <w:rFonts w:hAnsi="宋体" w:cs="宋体"/>
          <w:color w:val="auto"/>
          <w:sz w:val="21"/>
          <w:szCs w:val="21"/>
          <w:highlight w:val="none"/>
        </w:rPr>
      </w:pPr>
      <w:r>
        <w:rPr>
          <w:rFonts w:hint="eastAsia" w:hAnsi="宋体" w:cs="宋体"/>
          <w:color w:val="auto"/>
          <w:sz w:val="21"/>
          <w:szCs w:val="21"/>
          <w:highlight w:val="none"/>
        </w:rPr>
        <w:t>日期：</w:t>
      </w:r>
    </w:p>
    <w:p w14:paraId="6C86C3EE">
      <w:pPr>
        <w:adjustRightInd w:val="0"/>
        <w:snapToGrid w:val="0"/>
        <w:spacing w:line="360" w:lineRule="auto"/>
        <w:rPr>
          <w:rFonts w:ascii="宋体" w:hAnsi="宋体" w:cs="宋体"/>
          <w:color w:val="auto"/>
          <w:highlight w:val="none"/>
        </w:rPr>
      </w:pPr>
    </w:p>
    <w:tbl>
      <w:tblPr>
        <w:tblStyle w:val="42"/>
        <w:tblW w:w="5868" w:type="dxa"/>
        <w:tblInd w:w="720" w:type="dxa"/>
        <w:tblLayout w:type="fixed"/>
        <w:tblCellMar>
          <w:top w:w="0" w:type="dxa"/>
          <w:left w:w="108" w:type="dxa"/>
          <w:bottom w:w="0" w:type="dxa"/>
          <w:right w:w="108" w:type="dxa"/>
        </w:tblCellMar>
      </w:tblPr>
      <w:tblGrid>
        <w:gridCol w:w="1908"/>
        <w:gridCol w:w="3960"/>
      </w:tblGrid>
      <w:tr w14:paraId="10B5AAF9">
        <w:tblPrEx>
          <w:tblCellMar>
            <w:top w:w="0" w:type="dxa"/>
            <w:left w:w="108" w:type="dxa"/>
            <w:bottom w:w="0" w:type="dxa"/>
            <w:right w:w="108" w:type="dxa"/>
          </w:tblCellMar>
        </w:tblPrEx>
        <w:tc>
          <w:tcPr>
            <w:tcW w:w="1908" w:type="dxa"/>
            <w:tcBorders>
              <w:top w:val="nil"/>
              <w:left w:val="nil"/>
              <w:bottom w:val="nil"/>
              <w:right w:val="nil"/>
            </w:tcBorders>
          </w:tcPr>
          <w:p w14:paraId="4DEB4F0A">
            <w:pPr>
              <w:pStyle w:val="21"/>
              <w:snapToGrid w:val="0"/>
              <w:spacing w:line="360" w:lineRule="auto"/>
              <w:rPr>
                <w:rFonts w:hAnsi="宋体" w:cs="宋体"/>
                <w:color w:val="auto"/>
                <w:sz w:val="21"/>
                <w:szCs w:val="21"/>
                <w:highlight w:val="none"/>
              </w:rPr>
            </w:pPr>
            <w:r>
              <w:rPr>
                <w:rFonts w:hint="eastAsia" w:hAnsi="宋体" w:cs="宋体"/>
                <w:color w:val="auto"/>
                <w:sz w:val="21"/>
                <w:szCs w:val="21"/>
                <w:highlight w:val="none"/>
              </w:rPr>
              <w:t>附：</w:t>
            </w:r>
          </w:p>
        </w:tc>
        <w:tc>
          <w:tcPr>
            <w:tcW w:w="3960" w:type="dxa"/>
            <w:tcBorders>
              <w:top w:val="nil"/>
              <w:left w:val="nil"/>
              <w:bottom w:val="nil"/>
              <w:right w:val="nil"/>
            </w:tcBorders>
          </w:tcPr>
          <w:p w14:paraId="1E82386C">
            <w:pPr>
              <w:pStyle w:val="21"/>
              <w:snapToGrid w:val="0"/>
              <w:spacing w:line="360" w:lineRule="auto"/>
              <w:rPr>
                <w:rFonts w:hAnsi="宋体" w:cs="宋体"/>
                <w:color w:val="auto"/>
                <w:sz w:val="21"/>
                <w:szCs w:val="21"/>
                <w:highlight w:val="none"/>
              </w:rPr>
            </w:pPr>
          </w:p>
        </w:tc>
      </w:tr>
      <w:tr w14:paraId="73623069">
        <w:tblPrEx>
          <w:tblCellMar>
            <w:top w:w="0" w:type="dxa"/>
            <w:left w:w="108" w:type="dxa"/>
            <w:bottom w:w="0" w:type="dxa"/>
            <w:right w:w="108" w:type="dxa"/>
          </w:tblCellMar>
        </w:tblPrEx>
        <w:tc>
          <w:tcPr>
            <w:tcW w:w="1908" w:type="dxa"/>
            <w:tcBorders>
              <w:top w:val="nil"/>
              <w:left w:val="nil"/>
              <w:bottom w:val="nil"/>
              <w:right w:val="nil"/>
            </w:tcBorders>
          </w:tcPr>
          <w:p w14:paraId="3C816CC6">
            <w:pPr>
              <w:pStyle w:val="21"/>
              <w:snapToGrid w:val="0"/>
              <w:spacing w:line="360" w:lineRule="auto"/>
              <w:jc w:val="distribute"/>
              <w:rPr>
                <w:rFonts w:hAnsi="宋体" w:cs="宋体"/>
                <w:color w:val="auto"/>
                <w:sz w:val="21"/>
                <w:szCs w:val="21"/>
                <w:highlight w:val="none"/>
              </w:rPr>
            </w:pPr>
            <w:r>
              <w:rPr>
                <w:rFonts w:hint="eastAsia" w:hAnsi="宋体" w:cs="宋体"/>
                <w:color w:val="auto"/>
                <w:sz w:val="21"/>
                <w:szCs w:val="21"/>
                <w:highlight w:val="none"/>
              </w:rPr>
              <w:t>委托代理人姓名：</w:t>
            </w:r>
          </w:p>
        </w:tc>
        <w:tc>
          <w:tcPr>
            <w:tcW w:w="3960" w:type="dxa"/>
            <w:tcBorders>
              <w:top w:val="nil"/>
              <w:left w:val="nil"/>
              <w:bottom w:val="nil"/>
              <w:right w:val="nil"/>
            </w:tcBorders>
          </w:tcPr>
          <w:p w14:paraId="001FF490">
            <w:pPr>
              <w:pStyle w:val="21"/>
              <w:snapToGrid w:val="0"/>
              <w:spacing w:line="360" w:lineRule="auto"/>
              <w:rPr>
                <w:rFonts w:hAnsi="宋体" w:cs="宋体"/>
                <w:color w:val="auto"/>
                <w:sz w:val="21"/>
                <w:szCs w:val="21"/>
                <w:highlight w:val="none"/>
              </w:rPr>
            </w:pPr>
          </w:p>
        </w:tc>
      </w:tr>
      <w:tr w14:paraId="22D99E80">
        <w:tblPrEx>
          <w:tblCellMar>
            <w:top w:w="0" w:type="dxa"/>
            <w:left w:w="108" w:type="dxa"/>
            <w:bottom w:w="0" w:type="dxa"/>
            <w:right w:w="108" w:type="dxa"/>
          </w:tblCellMar>
        </w:tblPrEx>
        <w:tc>
          <w:tcPr>
            <w:tcW w:w="1908" w:type="dxa"/>
            <w:tcBorders>
              <w:top w:val="nil"/>
              <w:left w:val="nil"/>
              <w:bottom w:val="nil"/>
              <w:right w:val="nil"/>
            </w:tcBorders>
          </w:tcPr>
          <w:p w14:paraId="056D6143">
            <w:pPr>
              <w:pStyle w:val="21"/>
              <w:snapToGrid w:val="0"/>
              <w:spacing w:line="360" w:lineRule="auto"/>
              <w:jc w:val="distribute"/>
              <w:rPr>
                <w:rFonts w:hAnsi="宋体" w:cs="宋体"/>
                <w:color w:val="auto"/>
                <w:sz w:val="21"/>
                <w:szCs w:val="21"/>
                <w:highlight w:val="none"/>
              </w:rPr>
            </w:pPr>
            <w:r>
              <w:rPr>
                <w:rFonts w:hint="eastAsia" w:hAnsi="宋体" w:cs="宋体"/>
                <w:color w:val="auto"/>
                <w:sz w:val="21"/>
                <w:szCs w:val="21"/>
                <w:highlight w:val="none"/>
              </w:rPr>
              <w:t>职       务：</w:t>
            </w:r>
          </w:p>
        </w:tc>
        <w:tc>
          <w:tcPr>
            <w:tcW w:w="3960" w:type="dxa"/>
            <w:tcBorders>
              <w:top w:val="nil"/>
              <w:left w:val="nil"/>
              <w:bottom w:val="nil"/>
              <w:right w:val="nil"/>
            </w:tcBorders>
          </w:tcPr>
          <w:p w14:paraId="796AE7D0">
            <w:pPr>
              <w:pStyle w:val="21"/>
              <w:snapToGrid w:val="0"/>
              <w:spacing w:line="360" w:lineRule="auto"/>
              <w:rPr>
                <w:rFonts w:hAnsi="宋体" w:cs="宋体"/>
                <w:color w:val="auto"/>
                <w:sz w:val="21"/>
                <w:szCs w:val="21"/>
                <w:highlight w:val="none"/>
              </w:rPr>
            </w:pPr>
          </w:p>
        </w:tc>
      </w:tr>
      <w:tr w14:paraId="482E9EAF">
        <w:tblPrEx>
          <w:tblCellMar>
            <w:top w:w="0" w:type="dxa"/>
            <w:left w:w="108" w:type="dxa"/>
            <w:bottom w:w="0" w:type="dxa"/>
            <w:right w:w="108" w:type="dxa"/>
          </w:tblCellMar>
        </w:tblPrEx>
        <w:tc>
          <w:tcPr>
            <w:tcW w:w="1908" w:type="dxa"/>
            <w:tcBorders>
              <w:top w:val="nil"/>
              <w:left w:val="nil"/>
              <w:bottom w:val="nil"/>
              <w:right w:val="nil"/>
            </w:tcBorders>
          </w:tcPr>
          <w:p w14:paraId="56F6918E">
            <w:pPr>
              <w:pStyle w:val="21"/>
              <w:snapToGrid w:val="0"/>
              <w:spacing w:line="360" w:lineRule="auto"/>
              <w:jc w:val="distribute"/>
              <w:rPr>
                <w:rFonts w:hAnsi="宋体" w:cs="宋体"/>
                <w:color w:val="auto"/>
                <w:sz w:val="21"/>
                <w:szCs w:val="21"/>
                <w:highlight w:val="none"/>
              </w:rPr>
            </w:pPr>
            <w:r>
              <w:rPr>
                <w:rFonts w:hint="eastAsia" w:hAnsi="宋体" w:cs="宋体"/>
                <w:color w:val="auto"/>
                <w:sz w:val="21"/>
                <w:szCs w:val="21"/>
                <w:highlight w:val="none"/>
              </w:rPr>
              <w:t>身份证号码：</w:t>
            </w:r>
          </w:p>
        </w:tc>
        <w:tc>
          <w:tcPr>
            <w:tcW w:w="3960" w:type="dxa"/>
            <w:tcBorders>
              <w:top w:val="nil"/>
              <w:left w:val="nil"/>
              <w:bottom w:val="nil"/>
              <w:right w:val="nil"/>
            </w:tcBorders>
          </w:tcPr>
          <w:p w14:paraId="61E74DFD">
            <w:pPr>
              <w:pStyle w:val="21"/>
              <w:snapToGrid w:val="0"/>
              <w:spacing w:line="360" w:lineRule="auto"/>
              <w:rPr>
                <w:rFonts w:hAnsi="宋体" w:cs="宋体"/>
                <w:color w:val="auto"/>
                <w:sz w:val="21"/>
                <w:szCs w:val="21"/>
                <w:highlight w:val="none"/>
              </w:rPr>
            </w:pPr>
          </w:p>
        </w:tc>
      </w:tr>
      <w:tr w14:paraId="736BB21D">
        <w:tblPrEx>
          <w:tblCellMar>
            <w:top w:w="0" w:type="dxa"/>
            <w:left w:w="108" w:type="dxa"/>
            <w:bottom w:w="0" w:type="dxa"/>
            <w:right w:w="108" w:type="dxa"/>
          </w:tblCellMar>
        </w:tblPrEx>
        <w:tc>
          <w:tcPr>
            <w:tcW w:w="1908" w:type="dxa"/>
            <w:tcBorders>
              <w:top w:val="nil"/>
              <w:left w:val="nil"/>
              <w:bottom w:val="nil"/>
              <w:right w:val="nil"/>
            </w:tcBorders>
          </w:tcPr>
          <w:p w14:paraId="60F9E7F7">
            <w:pPr>
              <w:pStyle w:val="21"/>
              <w:snapToGrid w:val="0"/>
              <w:spacing w:line="360" w:lineRule="auto"/>
              <w:jc w:val="distribute"/>
              <w:rPr>
                <w:rFonts w:hAnsi="宋体" w:cs="宋体"/>
                <w:color w:val="auto"/>
                <w:sz w:val="21"/>
                <w:szCs w:val="21"/>
                <w:highlight w:val="none"/>
              </w:rPr>
            </w:pPr>
            <w:r>
              <w:rPr>
                <w:rFonts w:hint="eastAsia" w:hAnsi="宋体" w:cs="宋体"/>
                <w:color w:val="auto"/>
                <w:sz w:val="21"/>
                <w:szCs w:val="21"/>
                <w:highlight w:val="none"/>
              </w:rPr>
              <w:t>详 细  地 址：</w:t>
            </w:r>
          </w:p>
        </w:tc>
        <w:tc>
          <w:tcPr>
            <w:tcW w:w="3960" w:type="dxa"/>
            <w:tcBorders>
              <w:top w:val="nil"/>
              <w:left w:val="nil"/>
              <w:bottom w:val="nil"/>
              <w:right w:val="nil"/>
            </w:tcBorders>
          </w:tcPr>
          <w:p w14:paraId="1E26256D">
            <w:pPr>
              <w:pStyle w:val="21"/>
              <w:snapToGrid w:val="0"/>
              <w:spacing w:line="360" w:lineRule="auto"/>
              <w:rPr>
                <w:rFonts w:hAnsi="宋体" w:cs="宋体"/>
                <w:color w:val="auto"/>
                <w:sz w:val="21"/>
                <w:szCs w:val="21"/>
                <w:highlight w:val="none"/>
              </w:rPr>
            </w:pPr>
          </w:p>
        </w:tc>
      </w:tr>
      <w:tr w14:paraId="38A248EB">
        <w:tblPrEx>
          <w:tblCellMar>
            <w:top w:w="0" w:type="dxa"/>
            <w:left w:w="108" w:type="dxa"/>
            <w:bottom w:w="0" w:type="dxa"/>
            <w:right w:w="108" w:type="dxa"/>
          </w:tblCellMar>
        </w:tblPrEx>
        <w:tc>
          <w:tcPr>
            <w:tcW w:w="1908" w:type="dxa"/>
            <w:tcBorders>
              <w:top w:val="nil"/>
              <w:left w:val="nil"/>
              <w:bottom w:val="nil"/>
              <w:right w:val="nil"/>
            </w:tcBorders>
          </w:tcPr>
          <w:p w14:paraId="0DC5C530">
            <w:pPr>
              <w:pStyle w:val="21"/>
              <w:snapToGrid w:val="0"/>
              <w:spacing w:line="360" w:lineRule="auto"/>
              <w:jc w:val="distribute"/>
              <w:rPr>
                <w:rFonts w:hAnsi="宋体" w:cs="宋体"/>
                <w:color w:val="auto"/>
                <w:sz w:val="21"/>
                <w:szCs w:val="21"/>
                <w:highlight w:val="none"/>
              </w:rPr>
            </w:pPr>
            <w:r>
              <w:rPr>
                <w:rFonts w:hint="eastAsia" w:hAnsi="宋体" w:cs="宋体"/>
                <w:color w:val="auto"/>
                <w:sz w:val="21"/>
                <w:szCs w:val="21"/>
                <w:highlight w:val="none"/>
              </w:rPr>
              <w:t>电       话：</w:t>
            </w:r>
          </w:p>
        </w:tc>
        <w:tc>
          <w:tcPr>
            <w:tcW w:w="3960" w:type="dxa"/>
            <w:tcBorders>
              <w:top w:val="nil"/>
              <w:left w:val="nil"/>
              <w:bottom w:val="nil"/>
              <w:right w:val="nil"/>
            </w:tcBorders>
          </w:tcPr>
          <w:p w14:paraId="0757E697">
            <w:pPr>
              <w:pStyle w:val="21"/>
              <w:snapToGrid w:val="0"/>
              <w:spacing w:line="360" w:lineRule="auto"/>
              <w:rPr>
                <w:rFonts w:hAnsi="宋体" w:cs="宋体"/>
                <w:color w:val="auto"/>
                <w:sz w:val="21"/>
                <w:szCs w:val="21"/>
                <w:highlight w:val="none"/>
              </w:rPr>
            </w:pPr>
          </w:p>
        </w:tc>
      </w:tr>
    </w:tbl>
    <w:p w14:paraId="2C1F3CFC">
      <w:pPr>
        <w:pStyle w:val="21"/>
        <w:snapToGrid w:val="0"/>
        <w:spacing w:line="360" w:lineRule="auto"/>
        <w:ind w:firstLine="422"/>
        <w:rPr>
          <w:rFonts w:hAnsi="宋体" w:cs="宋体"/>
          <w:b/>
          <w:bCs/>
          <w:color w:val="auto"/>
          <w:sz w:val="21"/>
          <w:szCs w:val="21"/>
          <w:highlight w:val="none"/>
        </w:rPr>
      </w:pPr>
    </w:p>
    <w:p w14:paraId="55B9E3FB">
      <w:pPr>
        <w:pStyle w:val="21"/>
        <w:snapToGrid w:val="0"/>
        <w:spacing w:line="360" w:lineRule="auto"/>
        <w:ind w:firstLine="422"/>
        <w:rPr>
          <w:rFonts w:hAnsi="宋体" w:cs="宋体"/>
          <w:b/>
          <w:bCs/>
          <w:color w:val="auto"/>
          <w:sz w:val="21"/>
          <w:szCs w:val="21"/>
          <w:highlight w:val="none"/>
        </w:rPr>
      </w:pPr>
      <w:r>
        <w:rPr>
          <w:rFonts w:hint="eastAsia" w:hAnsi="宋体" w:cs="宋体"/>
          <w:b/>
          <w:bCs/>
          <w:color w:val="auto"/>
          <w:sz w:val="21"/>
          <w:szCs w:val="21"/>
          <w:highlight w:val="none"/>
        </w:rPr>
        <w:t>注：在响应文件中附委托代理人居民身份证扫描件。</w:t>
      </w:r>
    </w:p>
    <w:p w14:paraId="772A6B3B">
      <w:pPr>
        <w:keepNext/>
        <w:keepLines/>
        <w:adjustRightInd w:val="0"/>
        <w:snapToGrid w:val="0"/>
        <w:spacing w:line="360" w:lineRule="auto"/>
        <w:jc w:val="left"/>
        <w:rPr>
          <w:rFonts w:ascii="宋体" w:hAnsi="宋体" w:cs="宋体"/>
          <w:b/>
          <w:color w:val="auto"/>
          <w:sz w:val="28"/>
          <w:szCs w:val="28"/>
          <w:highlight w:val="none"/>
        </w:rPr>
      </w:pPr>
      <w:r>
        <w:rPr>
          <w:rFonts w:hint="eastAsia" w:ascii="宋体" w:hAnsi="宋体" w:cs="宋体"/>
          <w:b/>
          <w:bCs/>
          <w:color w:val="auto"/>
          <w:szCs w:val="21"/>
          <w:highlight w:val="none"/>
        </w:rPr>
        <w:br w:type="page"/>
      </w:r>
      <w:bookmarkStart w:id="207" w:name="_Toc491307383"/>
      <w:bookmarkStart w:id="208" w:name="_Toc491307503"/>
      <w:bookmarkStart w:id="209" w:name="_Toc491307321"/>
      <w:r>
        <w:rPr>
          <w:rFonts w:hint="eastAsia" w:ascii="宋体" w:hAnsi="宋体" w:cs="宋体"/>
          <w:b/>
          <w:color w:val="auto"/>
          <w:sz w:val="28"/>
          <w:szCs w:val="28"/>
          <w:highlight w:val="none"/>
        </w:rPr>
        <w:t>格式</w:t>
      </w:r>
      <w:bookmarkEnd w:id="207"/>
      <w:bookmarkEnd w:id="208"/>
      <w:bookmarkEnd w:id="209"/>
      <w:r>
        <w:rPr>
          <w:rFonts w:hint="eastAsia" w:ascii="宋体" w:hAnsi="宋体" w:cs="宋体"/>
          <w:b/>
          <w:color w:val="auto"/>
          <w:sz w:val="28"/>
          <w:szCs w:val="28"/>
          <w:highlight w:val="none"/>
        </w:rPr>
        <w:t>20</w:t>
      </w:r>
    </w:p>
    <w:p w14:paraId="00FCFAC4">
      <w:pPr>
        <w:keepNext/>
        <w:keepLines/>
        <w:adjustRightInd w:val="0"/>
        <w:snapToGrid w:val="0"/>
        <w:spacing w:line="360" w:lineRule="auto"/>
        <w:jc w:val="center"/>
        <w:outlineLvl w:val="1"/>
        <w:rPr>
          <w:rFonts w:ascii="宋体" w:hAnsi="宋体" w:cs="宋体"/>
          <w:b/>
          <w:bCs/>
          <w:color w:val="auto"/>
          <w:sz w:val="28"/>
          <w:szCs w:val="32"/>
          <w:highlight w:val="none"/>
        </w:rPr>
      </w:pPr>
      <w:bookmarkStart w:id="210" w:name="_Toc491307384"/>
      <w:bookmarkStart w:id="211" w:name="_Toc488633631"/>
      <w:bookmarkStart w:id="212" w:name="_Toc491307504"/>
      <w:bookmarkStart w:id="213" w:name="_Toc491307322"/>
      <w:bookmarkStart w:id="214" w:name="_Toc481694859"/>
      <w:r>
        <w:rPr>
          <w:rFonts w:hint="eastAsia" w:ascii="宋体" w:hAnsi="宋体" w:cs="宋体"/>
          <w:b/>
          <w:bCs/>
          <w:color w:val="auto"/>
          <w:sz w:val="28"/>
          <w:szCs w:val="32"/>
          <w:highlight w:val="none"/>
        </w:rPr>
        <w:t>供应商具备参加政府采购活动条件承诺书</w:t>
      </w:r>
      <w:bookmarkEnd w:id="210"/>
      <w:bookmarkEnd w:id="211"/>
      <w:bookmarkEnd w:id="212"/>
      <w:bookmarkEnd w:id="213"/>
      <w:bookmarkEnd w:id="214"/>
    </w:p>
    <w:p w14:paraId="58FDA72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致：（采购人名称）：</w:t>
      </w:r>
    </w:p>
    <w:p w14:paraId="732396A1">
      <w:pPr>
        <w:adjustRightInd w:val="0"/>
        <w:snapToGrid w:val="0"/>
        <w:spacing w:line="360" w:lineRule="auto"/>
        <w:ind w:firstLine="4410" w:firstLineChars="2100"/>
        <w:rPr>
          <w:rFonts w:ascii="宋体" w:hAnsi="宋体" w:cs="宋体"/>
          <w:color w:val="auto"/>
          <w:highlight w:val="none"/>
        </w:rPr>
      </w:pPr>
    </w:p>
    <w:p w14:paraId="04800A73">
      <w:pPr>
        <w:adjustRightInd w:val="0"/>
        <w:snapToGrid w:val="0"/>
        <w:spacing w:line="360" w:lineRule="auto"/>
        <w:ind w:firstLine="4410" w:firstLineChars="2100"/>
        <w:rPr>
          <w:rFonts w:ascii="宋体" w:hAnsi="宋体" w:cs="宋体"/>
          <w:color w:val="auto"/>
          <w:highlight w:val="none"/>
        </w:rPr>
      </w:pPr>
    </w:p>
    <w:p w14:paraId="3BD9E75B">
      <w:pPr>
        <w:adjustRightInd w:val="0"/>
        <w:snapToGrid w:val="0"/>
        <w:spacing w:line="360" w:lineRule="auto"/>
        <w:ind w:firstLine="420" w:firstLineChars="200"/>
        <w:rPr>
          <w:rFonts w:ascii="宋体" w:hAnsi="宋体" w:cs="宋体"/>
          <w:color w:val="auto"/>
          <w:highlight w:val="none"/>
        </w:rPr>
      </w:pPr>
      <w:r>
        <w:rPr>
          <w:rFonts w:hint="eastAsia" w:ascii="宋体" w:hAnsi="宋体" w:cs="宋体"/>
          <w:color w:val="auto"/>
          <w:highlight w:val="none"/>
        </w:rPr>
        <w:t>（供应商自行承诺及说明</w:t>
      </w:r>
      <w:r>
        <w:rPr>
          <w:rFonts w:hint="eastAsia" w:ascii="宋体" w:hAnsi="宋体" w:cs="宋体"/>
          <w:color w:val="auto"/>
          <w:highlight w:val="none"/>
          <w:lang w:eastAsia="zh-CN"/>
        </w:rPr>
        <w:t>，</w:t>
      </w:r>
      <w:r>
        <w:rPr>
          <w:rFonts w:hint="eastAsia" w:ascii="宋体" w:hAnsi="宋体" w:cs="宋体"/>
          <w:color w:val="auto"/>
          <w:highlight w:val="none"/>
        </w:rPr>
        <w:t>内容自拟）</w:t>
      </w:r>
    </w:p>
    <w:p w14:paraId="43DAAB91">
      <w:pPr>
        <w:adjustRightInd w:val="0"/>
        <w:snapToGrid w:val="0"/>
        <w:spacing w:line="360" w:lineRule="auto"/>
        <w:ind w:firstLine="480"/>
        <w:jc w:val="left"/>
        <w:rPr>
          <w:rFonts w:ascii="宋体" w:hAnsi="宋体" w:cs="宋体"/>
          <w:color w:val="auto"/>
          <w:sz w:val="24"/>
          <w:highlight w:val="none"/>
        </w:rPr>
      </w:pPr>
    </w:p>
    <w:p w14:paraId="502FEF1B">
      <w:pPr>
        <w:adjustRightInd w:val="0"/>
        <w:snapToGrid w:val="0"/>
        <w:spacing w:line="360" w:lineRule="auto"/>
        <w:ind w:firstLine="480"/>
        <w:jc w:val="left"/>
        <w:rPr>
          <w:rFonts w:ascii="宋体" w:hAnsi="宋体" w:cs="宋体"/>
          <w:color w:val="auto"/>
          <w:sz w:val="24"/>
          <w:highlight w:val="none"/>
        </w:rPr>
      </w:pPr>
    </w:p>
    <w:p w14:paraId="17BDC0F0">
      <w:pPr>
        <w:adjustRightInd w:val="0"/>
        <w:snapToGrid w:val="0"/>
        <w:spacing w:line="360" w:lineRule="auto"/>
        <w:ind w:firstLine="480"/>
        <w:jc w:val="left"/>
        <w:rPr>
          <w:rFonts w:ascii="宋体" w:hAnsi="宋体" w:cs="宋体"/>
          <w:color w:val="auto"/>
          <w:sz w:val="24"/>
          <w:highlight w:val="none"/>
        </w:rPr>
      </w:pPr>
    </w:p>
    <w:p w14:paraId="6E50280C">
      <w:pPr>
        <w:adjustRightInd w:val="0"/>
        <w:snapToGrid w:val="0"/>
        <w:spacing w:line="360" w:lineRule="auto"/>
        <w:ind w:firstLine="480"/>
        <w:jc w:val="left"/>
        <w:rPr>
          <w:rFonts w:ascii="宋体" w:hAnsi="宋体" w:cs="宋体"/>
          <w:color w:val="auto"/>
          <w:sz w:val="24"/>
          <w:highlight w:val="none"/>
        </w:rPr>
      </w:pPr>
    </w:p>
    <w:p w14:paraId="63470615">
      <w:pPr>
        <w:adjustRightInd w:val="0"/>
        <w:snapToGrid w:val="0"/>
        <w:spacing w:line="360" w:lineRule="auto"/>
        <w:ind w:firstLine="480"/>
        <w:jc w:val="left"/>
        <w:rPr>
          <w:rFonts w:ascii="宋体" w:hAnsi="宋体" w:cs="宋体"/>
          <w:color w:val="auto"/>
          <w:sz w:val="24"/>
          <w:highlight w:val="none"/>
        </w:rPr>
      </w:pPr>
    </w:p>
    <w:p w14:paraId="7B3439A5">
      <w:pPr>
        <w:adjustRightInd w:val="0"/>
        <w:snapToGrid w:val="0"/>
        <w:spacing w:line="360" w:lineRule="auto"/>
        <w:ind w:firstLine="480"/>
        <w:jc w:val="left"/>
        <w:rPr>
          <w:rFonts w:ascii="宋体" w:hAnsi="宋体" w:cs="宋体"/>
          <w:color w:val="auto"/>
          <w:sz w:val="24"/>
          <w:highlight w:val="none"/>
        </w:rPr>
      </w:pPr>
    </w:p>
    <w:p w14:paraId="2E2873CB">
      <w:pPr>
        <w:adjustRightInd w:val="0"/>
        <w:snapToGrid w:val="0"/>
        <w:spacing w:line="360" w:lineRule="auto"/>
        <w:ind w:firstLine="480"/>
        <w:jc w:val="left"/>
        <w:rPr>
          <w:rFonts w:ascii="宋体" w:hAnsi="宋体" w:cs="宋体"/>
          <w:color w:val="auto"/>
          <w:sz w:val="24"/>
          <w:highlight w:val="none"/>
        </w:rPr>
      </w:pPr>
    </w:p>
    <w:p w14:paraId="5E84C9E2">
      <w:pPr>
        <w:adjustRightInd w:val="0"/>
        <w:snapToGrid w:val="0"/>
        <w:spacing w:line="360" w:lineRule="auto"/>
        <w:ind w:firstLine="2" w:firstLineChars="1"/>
        <w:jc w:val="left"/>
        <w:rPr>
          <w:rFonts w:ascii="宋体" w:hAnsi="宋体" w:cs="宋体"/>
          <w:color w:val="auto"/>
          <w:szCs w:val="21"/>
          <w:highlight w:val="none"/>
        </w:rPr>
      </w:pPr>
      <w:r>
        <w:rPr>
          <w:rFonts w:hint="eastAsia" w:ascii="宋体" w:hAnsi="宋体" w:cs="宋体"/>
          <w:color w:val="auto"/>
          <w:szCs w:val="21"/>
          <w:highlight w:val="none"/>
        </w:rPr>
        <w:t>供应商（加盖供应商电子公章）：</w:t>
      </w:r>
    </w:p>
    <w:p w14:paraId="2D6373BB">
      <w:pPr>
        <w:adjustRightInd w:val="0"/>
        <w:snapToGrid w:val="0"/>
        <w:spacing w:line="360" w:lineRule="auto"/>
        <w:ind w:firstLine="2" w:firstLineChars="1"/>
        <w:jc w:val="left"/>
        <w:rPr>
          <w:rFonts w:ascii="宋体" w:hAnsi="宋体" w:cs="宋体"/>
          <w:color w:val="auto"/>
          <w:szCs w:val="21"/>
          <w:highlight w:val="none"/>
        </w:rPr>
      </w:pPr>
    </w:p>
    <w:p w14:paraId="4F2E2FB3">
      <w:pPr>
        <w:adjustRightInd w:val="0"/>
        <w:snapToGrid w:val="0"/>
        <w:spacing w:line="360" w:lineRule="auto"/>
        <w:ind w:firstLine="2" w:firstLineChars="1"/>
        <w:jc w:val="left"/>
        <w:rPr>
          <w:rFonts w:ascii="宋体" w:hAnsi="宋体" w:cs="宋体"/>
          <w:color w:val="auto"/>
          <w:szCs w:val="21"/>
          <w:highlight w:val="none"/>
        </w:rPr>
      </w:pPr>
      <w:r>
        <w:rPr>
          <w:rFonts w:hint="eastAsia" w:ascii="宋体" w:hAnsi="宋体" w:cs="宋体"/>
          <w:color w:val="auto"/>
          <w:szCs w:val="21"/>
          <w:highlight w:val="none"/>
        </w:rPr>
        <w:t>法定代表人或委托代理人（电子签名或盖章）：</w:t>
      </w:r>
    </w:p>
    <w:p w14:paraId="5B110F29">
      <w:pPr>
        <w:pStyle w:val="21"/>
        <w:snapToGrid w:val="0"/>
        <w:spacing w:line="360" w:lineRule="auto"/>
        <w:ind w:firstLine="400"/>
        <w:rPr>
          <w:rFonts w:hAnsi="宋体" w:cs="宋体"/>
          <w:color w:val="auto"/>
          <w:szCs w:val="21"/>
          <w:highlight w:val="none"/>
          <w:u w:val="single"/>
        </w:rPr>
      </w:pPr>
    </w:p>
    <w:p w14:paraId="7983881F">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日期：</w:t>
      </w:r>
    </w:p>
    <w:p w14:paraId="331EC71C">
      <w:pPr>
        <w:adjustRightInd w:val="0"/>
        <w:snapToGrid w:val="0"/>
        <w:spacing w:line="360" w:lineRule="auto"/>
        <w:jc w:val="left"/>
        <w:rPr>
          <w:rFonts w:ascii="宋体" w:hAnsi="宋体" w:cs="宋体"/>
          <w:color w:val="auto"/>
          <w:szCs w:val="21"/>
          <w:highlight w:val="none"/>
        </w:rPr>
      </w:pPr>
    </w:p>
    <w:p w14:paraId="13C7C25E">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注：</w:t>
      </w:r>
    </w:p>
    <w:p w14:paraId="166C8D8A">
      <w:pPr>
        <w:adjustRightInd w:val="0"/>
        <w:snapToGrid w:val="0"/>
        <w:spacing w:line="360"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1.供应商应对是否满足“具有独立承担民事责任的能力</w:t>
      </w:r>
      <w:r>
        <w:rPr>
          <w:rFonts w:hint="eastAsia" w:ascii="宋体" w:hAnsi="宋体" w:cs="宋体"/>
          <w:color w:val="auto"/>
          <w:szCs w:val="21"/>
          <w:highlight w:val="none"/>
          <w:lang w:eastAsia="zh-CN"/>
        </w:rPr>
        <w:t>；</w:t>
      </w:r>
      <w:r>
        <w:rPr>
          <w:rFonts w:hint="eastAsia" w:ascii="宋体" w:hAnsi="宋体" w:cs="宋体"/>
          <w:color w:val="auto"/>
          <w:szCs w:val="21"/>
          <w:highlight w:val="none"/>
        </w:rPr>
        <w:t>良好的商业信誉和健全的财务会计制度</w:t>
      </w:r>
      <w:r>
        <w:rPr>
          <w:rFonts w:hint="eastAsia" w:ascii="宋体" w:hAnsi="宋体" w:cs="宋体"/>
          <w:color w:val="auto"/>
          <w:szCs w:val="21"/>
          <w:highlight w:val="none"/>
          <w:lang w:eastAsia="zh-CN"/>
        </w:rPr>
        <w:t>；</w:t>
      </w:r>
      <w:r>
        <w:rPr>
          <w:rFonts w:hint="eastAsia" w:ascii="宋体" w:hAnsi="宋体" w:cs="宋体"/>
          <w:color w:val="auto"/>
          <w:szCs w:val="21"/>
          <w:highlight w:val="none"/>
        </w:rPr>
        <w:t>具有履行合同所必需的设备和专业技术能力</w:t>
      </w:r>
      <w:r>
        <w:rPr>
          <w:rFonts w:hint="eastAsia" w:ascii="宋体" w:hAnsi="宋体" w:cs="宋体"/>
          <w:color w:val="auto"/>
          <w:szCs w:val="21"/>
          <w:highlight w:val="none"/>
          <w:lang w:eastAsia="zh-CN"/>
        </w:rPr>
        <w:t>；</w:t>
      </w:r>
      <w:r>
        <w:rPr>
          <w:rFonts w:hint="eastAsia" w:ascii="宋体" w:hAnsi="宋体" w:cs="宋体"/>
          <w:color w:val="auto"/>
          <w:szCs w:val="21"/>
          <w:highlight w:val="none"/>
        </w:rPr>
        <w:t>有依法缴纳税收和社会保障资金的良好记录</w:t>
      </w:r>
      <w:r>
        <w:rPr>
          <w:rFonts w:hint="eastAsia" w:ascii="宋体" w:hAnsi="宋体" w:cs="宋体"/>
          <w:color w:val="auto"/>
          <w:szCs w:val="21"/>
          <w:highlight w:val="none"/>
          <w:lang w:eastAsia="zh-CN"/>
        </w:rPr>
        <w:t>；</w:t>
      </w:r>
      <w:r>
        <w:rPr>
          <w:rFonts w:hint="eastAsia" w:ascii="宋体" w:hAnsi="宋体" w:cs="宋体"/>
          <w:color w:val="auto"/>
          <w:szCs w:val="21"/>
          <w:highlight w:val="none"/>
        </w:rPr>
        <w:t>参加政府采购活动前三年内</w:t>
      </w:r>
      <w:r>
        <w:rPr>
          <w:rFonts w:hint="eastAsia" w:ascii="宋体" w:hAnsi="宋体" w:cs="宋体"/>
          <w:color w:val="auto"/>
          <w:szCs w:val="21"/>
          <w:highlight w:val="none"/>
          <w:lang w:eastAsia="zh-CN"/>
        </w:rPr>
        <w:t>，</w:t>
      </w:r>
      <w:r>
        <w:rPr>
          <w:rFonts w:hint="eastAsia" w:ascii="宋体" w:hAnsi="宋体" w:cs="宋体"/>
          <w:color w:val="auto"/>
          <w:szCs w:val="21"/>
          <w:highlight w:val="none"/>
        </w:rPr>
        <w:t>在经营活动中没有重大违法记录</w:t>
      </w:r>
      <w:r>
        <w:rPr>
          <w:rFonts w:hint="eastAsia" w:ascii="宋体" w:hAnsi="宋体" w:cs="宋体"/>
          <w:color w:val="auto"/>
          <w:szCs w:val="21"/>
          <w:highlight w:val="none"/>
          <w:lang w:eastAsia="zh-CN"/>
        </w:rPr>
        <w:t>；</w:t>
      </w:r>
      <w:r>
        <w:rPr>
          <w:rFonts w:hint="eastAsia" w:ascii="宋体" w:hAnsi="宋体" w:cs="宋体"/>
          <w:color w:val="auto"/>
          <w:szCs w:val="21"/>
          <w:highlight w:val="none"/>
        </w:rPr>
        <w:t>法律、行政法规规定的其他条件。”（《政府采购法》第二十二条规定）进行说明和承诺</w:t>
      </w:r>
      <w:r>
        <w:rPr>
          <w:rFonts w:hint="eastAsia" w:ascii="宋体" w:hAnsi="宋体" w:cs="宋体"/>
          <w:color w:val="auto"/>
          <w:szCs w:val="21"/>
          <w:highlight w:val="none"/>
          <w:lang w:eastAsia="zh-CN"/>
        </w:rPr>
        <w:t>；</w:t>
      </w:r>
    </w:p>
    <w:p w14:paraId="1D135075">
      <w:pPr>
        <w:pStyle w:val="21"/>
        <w:snapToGrid w:val="0"/>
        <w:spacing w:line="360" w:lineRule="auto"/>
        <w:rPr>
          <w:rFonts w:hAnsi="宋体" w:cs="宋体"/>
          <w:color w:val="auto"/>
          <w:sz w:val="21"/>
          <w:szCs w:val="21"/>
          <w:highlight w:val="none"/>
        </w:rPr>
      </w:pPr>
      <w:r>
        <w:rPr>
          <w:rFonts w:hint="eastAsia" w:hAnsi="宋体" w:cs="宋体"/>
          <w:color w:val="auto"/>
          <w:sz w:val="21"/>
          <w:szCs w:val="21"/>
          <w:highlight w:val="none"/>
        </w:rPr>
        <w:t>2.若谈判文件中明确要求提供证明资料的</w:t>
      </w:r>
      <w:r>
        <w:rPr>
          <w:rFonts w:hint="eastAsia" w:hAnsi="宋体" w:cs="宋体"/>
          <w:color w:val="auto"/>
          <w:sz w:val="21"/>
          <w:szCs w:val="21"/>
          <w:highlight w:val="none"/>
          <w:lang w:eastAsia="zh-CN"/>
        </w:rPr>
        <w:t>，</w:t>
      </w:r>
      <w:r>
        <w:rPr>
          <w:rFonts w:hint="eastAsia" w:hAnsi="宋体" w:cs="宋体"/>
          <w:color w:val="auto"/>
          <w:sz w:val="21"/>
          <w:szCs w:val="21"/>
          <w:highlight w:val="none"/>
        </w:rPr>
        <w:t>以证明资料为准。</w:t>
      </w:r>
    </w:p>
    <w:p w14:paraId="27EA38B8">
      <w:pPr>
        <w:keepNext/>
        <w:keepLines/>
        <w:adjustRightInd w:val="0"/>
        <w:snapToGrid w:val="0"/>
        <w:spacing w:line="360" w:lineRule="auto"/>
        <w:jc w:val="left"/>
        <w:rPr>
          <w:rFonts w:ascii="宋体" w:hAnsi="宋体" w:cs="宋体"/>
          <w:b/>
          <w:color w:val="auto"/>
          <w:sz w:val="28"/>
          <w:szCs w:val="28"/>
          <w:highlight w:val="none"/>
        </w:rPr>
      </w:pPr>
      <w:r>
        <w:rPr>
          <w:rFonts w:hint="eastAsia" w:ascii="宋体" w:hAnsi="宋体" w:cs="宋体"/>
          <w:color w:val="auto"/>
          <w:szCs w:val="21"/>
          <w:highlight w:val="none"/>
        </w:rPr>
        <w:br w:type="page"/>
      </w:r>
      <w:bookmarkStart w:id="215" w:name="_Toc491307387"/>
      <w:bookmarkStart w:id="216" w:name="_Toc491307325"/>
      <w:bookmarkStart w:id="217" w:name="_Toc491307507"/>
      <w:bookmarkStart w:id="218" w:name="_Toc491307330"/>
      <w:bookmarkStart w:id="219" w:name="_Toc491307512"/>
      <w:bookmarkStart w:id="220" w:name="_Toc491307392"/>
      <w:bookmarkStart w:id="221" w:name="_Toc491307385"/>
      <w:bookmarkStart w:id="222" w:name="_Toc491307323"/>
      <w:bookmarkStart w:id="223" w:name="_Toc428404332"/>
      <w:bookmarkStart w:id="224" w:name="_Toc491307505"/>
      <w:r>
        <w:rPr>
          <w:rFonts w:hint="eastAsia" w:ascii="宋体" w:hAnsi="宋体" w:cs="宋体"/>
          <w:b/>
          <w:color w:val="auto"/>
          <w:sz w:val="28"/>
          <w:szCs w:val="28"/>
          <w:highlight w:val="none"/>
        </w:rPr>
        <w:t>格式</w:t>
      </w:r>
      <w:bookmarkEnd w:id="215"/>
      <w:bookmarkEnd w:id="216"/>
      <w:bookmarkEnd w:id="217"/>
      <w:r>
        <w:rPr>
          <w:rFonts w:hint="eastAsia" w:ascii="宋体" w:hAnsi="宋体" w:cs="宋体"/>
          <w:b/>
          <w:color w:val="auto"/>
          <w:sz w:val="28"/>
          <w:szCs w:val="28"/>
          <w:highlight w:val="none"/>
        </w:rPr>
        <w:t>21</w:t>
      </w:r>
    </w:p>
    <w:p w14:paraId="52F77A5C">
      <w:pPr>
        <w:tabs>
          <w:tab w:val="left" w:pos="5580"/>
        </w:tabs>
        <w:adjustRightInd w:val="0"/>
        <w:snapToGrid w:val="0"/>
        <w:spacing w:line="360" w:lineRule="auto"/>
        <w:jc w:val="center"/>
        <w:rPr>
          <w:rFonts w:ascii="宋体" w:hAnsi="宋体" w:cs="宋体"/>
          <w:b/>
          <w:color w:val="auto"/>
          <w:sz w:val="28"/>
          <w:highlight w:val="none"/>
        </w:rPr>
      </w:pPr>
      <w:r>
        <w:rPr>
          <w:rFonts w:hint="eastAsia" w:ascii="宋体" w:hAnsi="宋体" w:cs="宋体"/>
          <w:b/>
          <w:color w:val="auto"/>
          <w:sz w:val="28"/>
          <w:highlight w:val="none"/>
        </w:rPr>
        <w:t>《中小企业声明函》（符合《政府采购促进中小企业发展管理办法》（财库[2020]46号）价格扣减条件的供应商需提交）</w:t>
      </w:r>
    </w:p>
    <w:p w14:paraId="5CB8DC76">
      <w:pPr>
        <w:adjustRightInd w:val="0"/>
        <w:snapToGrid w:val="0"/>
        <w:rPr>
          <w:rFonts w:hAnsi="宋体" w:cs="宋体"/>
          <w:color w:val="auto"/>
          <w:highlight w:val="none"/>
        </w:rPr>
      </w:pPr>
    </w:p>
    <w:p w14:paraId="6F15C3AC">
      <w:pPr>
        <w:pStyle w:val="7"/>
        <w:adjustRightInd w:val="0"/>
        <w:snapToGrid w:val="0"/>
        <w:spacing w:before="0"/>
        <w:ind w:firstLine="562"/>
        <w:rPr>
          <w:rFonts w:hAnsi="宋体" w:cs="宋体"/>
          <w:color w:val="auto"/>
          <w:highlight w:val="none"/>
        </w:rPr>
      </w:pPr>
      <w:bookmarkStart w:id="225" w:name="_Toc18330"/>
      <w:r>
        <w:rPr>
          <w:rFonts w:hint="eastAsia" w:hAnsi="宋体" w:cs="宋体"/>
          <w:color w:val="auto"/>
          <w:highlight w:val="none"/>
        </w:rPr>
        <w:t>中小企业声明函（货物）</w:t>
      </w:r>
      <w:bookmarkEnd w:id="225"/>
    </w:p>
    <w:p w14:paraId="139A8CCC">
      <w:pPr>
        <w:adjustRightInd w:val="0"/>
        <w:snapToGrid w:val="0"/>
        <w:spacing w:line="360" w:lineRule="auto"/>
        <w:ind w:firstLine="444" w:firstLineChars="200"/>
        <w:rPr>
          <w:rFonts w:ascii="宋体" w:hAnsi="宋体" w:cs="宋体"/>
          <w:color w:val="auto"/>
          <w:spacing w:val="6"/>
          <w:szCs w:val="21"/>
          <w:highlight w:val="none"/>
        </w:rPr>
      </w:pPr>
    </w:p>
    <w:p w14:paraId="4BF3EEF5">
      <w:pPr>
        <w:adjustRightInd w:val="0"/>
        <w:snapToGrid w:val="0"/>
        <w:spacing w:line="360" w:lineRule="auto"/>
        <w:ind w:firstLine="444" w:firstLineChars="200"/>
        <w:rPr>
          <w:rFonts w:ascii="宋体" w:hAnsi="宋体" w:cs="宋体"/>
          <w:color w:val="auto"/>
          <w:spacing w:val="6"/>
          <w:szCs w:val="21"/>
          <w:highlight w:val="none"/>
        </w:rPr>
      </w:pPr>
      <w:r>
        <w:rPr>
          <w:rFonts w:hint="eastAsia" w:ascii="宋体" w:hAnsi="宋体" w:cs="宋体"/>
          <w:color w:val="auto"/>
          <w:spacing w:val="6"/>
          <w:szCs w:val="21"/>
          <w:highlight w:val="none"/>
        </w:rPr>
        <w:t>本公司郑重声明</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根据《政府采购促进中小企业发展管理办法》（财库﹝2020﹞46 号）的规定</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本公司参加</w:t>
      </w:r>
      <w:r>
        <w:rPr>
          <w:rFonts w:hint="eastAsia" w:ascii="宋体" w:hAnsi="宋体" w:cs="宋体"/>
          <w:color w:val="auto"/>
          <w:spacing w:val="6"/>
          <w:szCs w:val="21"/>
          <w:highlight w:val="none"/>
          <w:u w:val="single"/>
        </w:rPr>
        <w:t xml:space="preserve">     （单位名称）    </w:t>
      </w:r>
      <w:r>
        <w:rPr>
          <w:rFonts w:hint="eastAsia" w:ascii="宋体" w:hAnsi="宋体" w:cs="宋体"/>
          <w:color w:val="auto"/>
          <w:spacing w:val="6"/>
          <w:szCs w:val="21"/>
          <w:highlight w:val="none"/>
        </w:rPr>
        <w:t>的</w:t>
      </w:r>
      <w:r>
        <w:rPr>
          <w:rFonts w:hint="eastAsia" w:ascii="宋体" w:hAnsi="宋体" w:cs="宋体"/>
          <w:color w:val="auto"/>
          <w:spacing w:val="6"/>
          <w:szCs w:val="21"/>
          <w:highlight w:val="none"/>
          <w:u w:val="single"/>
        </w:rPr>
        <w:t xml:space="preserve">    （项目名称）    </w:t>
      </w:r>
      <w:r>
        <w:rPr>
          <w:rFonts w:hint="eastAsia" w:ascii="宋体" w:hAnsi="宋体" w:cs="宋体"/>
          <w:color w:val="auto"/>
          <w:spacing w:val="6"/>
          <w:szCs w:val="21"/>
          <w:highlight w:val="none"/>
        </w:rPr>
        <w:t>采购活动</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提供的货物全部由符合政策要求的中小企业制造。相关企业的具体情况如下：</w:t>
      </w:r>
    </w:p>
    <w:p w14:paraId="6B3AA43F">
      <w:pPr>
        <w:adjustRightInd w:val="0"/>
        <w:snapToGrid w:val="0"/>
        <w:spacing w:line="360" w:lineRule="auto"/>
        <w:ind w:firstLine="444" w:firstLineChars="200"/>
        <w:rPr>
          <w:rFonts w:ascii="宋体" w:hAnsi="宋体" w:cs="宋体"/>
          <w:color w:val="auto"/>
          <w:spacing w:val="6"/>
          <w:szCs w:val="21"/>
          <w:highlight w:val="none"/>
        </w:rPr>
      </w:pPr>
      <w:r>
        <w:rPr>
          <w:rFonts w:hint="eastAsia" w:ascii="宋体" w:hAnsi="宋体" w:cs="宋体"/>
          <w:color w:val="auto"/>
          <w:spacing w:val="6"/>
          <w:szCs w:val="21"/>
          <w:highlight w:val="none"/>
        </w:rPr>
        <w:t>1.手持式无人机A套装</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属于</w:t>
      </w:r>
      <w:r>
        <w:rPr>
          <w:rFonts w:hint="eastAsia" w:ascii="宋体" w:hAnsi="宋体" w:cs="宋体"/>
          <w:color w:val="auto"/>
          <w:spacing w:val="6"/>
          <w:szCs w:val="21"/>
          <w:highlight w:val="none"/>
          <w:u w:val="single"/>
          <w:lang w:eastAsia="zh-CN"/>
        </w:rPr>
        <w:t>制造业</w:t>
      </w:r>
      <w:r>
        <w:rPr>
          <w:rFonts w:hint="eastAsia" w:ascii="宋体" w:hAnsi="宋体" w:cs="宋体"/>
          <w:color w:val="auto"/>
          <w:spacing w:val="6"/>
          <w:szCs w:val="21"/>
          <w:highlight w:val="none"/>
        </w:rPr>
        <w:t>行业</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制造商为</w:t>
      </w:r>
      <w:r>
        <w:rPr>
          <w:rFonts w:hint="eastAsia" w:ascii="宋体" w:hAnsi="宋体" w:cs="宋体"/>
          <w:color w:val="auto"/>
          <w:spacing w:val="6"/>
          <w:szCs w:val="21"/>
          <w:highlight w:val="none"/>
          <w:u w:val="single"/>
        </w:rPr>
        <w:t>（企业名称）</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从业人员</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人</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营业收入为</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万元</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资产总额为</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万元</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属于</w:t>
      </w:r>
      <w:r>
        <w:rPr>
          <w:rFonts w:hint="eastAsia" w:ascii="宋体" w:hAnsi="宋体" w:cs="宋体"/>
          <w:color w:val="auto"/>
          <w:spacing w:val="6"/>
          <w:szCs w:val="21"/>
          <w:highlight w:val="none"/>
          <w:u w:val="single"/>
        </w:rPr>
        <w:t>（中型企业、小型企业、微型企业）</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 xml:space="preserve"> </w:t>
      </w:r>
    </w:p>
    <w:p w14:paraId="443C6D08">
      <w:pPr>
        <w:adjustRightInd w:val="0"/>
        <w:snapToGrid w:val="0"/>
        <w:spacing w:line="360" w:lineRule="auto"/>
        <w:ind w:firstLine="444" w:firstLineChars="200"/>
        <w:rPr>
          <w:rFonts w:hint="eastAsia" w:ascii="宋体" w:hAnsi="宋体" w:eastAsia="宋体" w:cs="宋体"/>
          <w:color w:val="auto"/>
          <w:spacing w:val="6"/>
          <w:szCs w:val="21"/>
          <w:highlight w:val="none"/>
          <w:lang w:eastAsia="zh-CN"/>
        </w:rPr>
      </w:pPr>
      <w:r>
        <w:rPr>
          <w:rFonts w:hint="eastAsia" w:ascii="宋体" w:hAnsi="宋体" w:cs="宋体"/>
          <w:color w:val="auto"/>
          <w:spacing w:val="6"/>
          <w:szCs w:val="21"/>
          <w:highlight w:val="none"/>
        </w:rPr>
        <w:t>2.手持式无人机B套装</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属于</w:t>
      </w:r>
      <w:r>
        <w:rPr>
          <w:rFonts w:hint="eastAsia" w:ascii="宋体" w:hAnsi="宋体" w:cs="宋体"/>
          <w:color w:val="auto"/>
          <w:spacing w:val="6"/>
          <w:szCs w:val="21"/>
          <w:highlight w:val="none"/>
          <w:u w:val="single"/>
          <w:lang w:eastAsia="zh-CN"/>
        </w:rPr>
        <w:t>制造业</w:t>
      </w:r>
      <w:r>
        <w:rPr>
          <w:rFonts w:hint="eastAsia" w:ascii="宋体" w:hAnsi="宋体" w:cs="宋体"/>
          <w:color w:val="auto"/>
          <w:spacing w:val="6"/>
          <w:szCs w:val="21"/>
          <w:highlight w:val="none"/>
        </w:rPr>
        <w:t>行业</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制造商为</w:t>
      </w:r>
      <w:r>
        <w:rPr>
          <w:rFonts w:hint="eastAsia" w:ascii="宋体" w:hAnsi="宋体" w:cs="宋体"/>
          <w:color w:val="auto"/>
          <w:spacing w:val="6"/>
          <w:szCs w:val="21"/>
          <w:highlight w:val="none"/>
          <w:u w:val="single"/>
        </w:rPr>
        <w:t>（企业名称）</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从业人员</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人</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营业收入为</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万元</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资产总额为</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万元</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属于</w:t>
      </w:r>
      <w:r>
        <w:rPr>
          <w:rFonts w:hint="eastAsia" w:ascii="宋体" w:hAnsi="宋体" w:cs="宋体"/>
          <w:color w:val="auto"/>
          <w:spacing w:val="6"/>
          <w:szCs w:val="21"/>
          <w:highlight w:val="none"/>
          <w:u w:val="single"/>
        </w:rPr>
        <w:t>（中型企业、小型企业、微型企业）</w:t>
      </w:r>
      <w:r>
        <w:rPr>
          <w:rFonts w:hint="eastAsia" w:ascii="宋体" w:hAnsi="宋体" w:cs="宋体"/>
          <w:color w:val="auto"/>
          <w:spacing w:val="6"/>
          <w:szCs w:val="21"/>
          <w:highlight w:val="none"/>
          <w:lang w:eastAsia="zh-CN"/>
        </w:rPr>
        <w:t>；</w:t>
      </w:r>
    </w:p>
    <w:p w14:paraId="1D8377D9">
      <w:pPr>
        <w:adjustRightInd w:val="0"/>
        <w:snapToGrid w:val="0"/>
        <w:spacing w:line="360" w:lineRule="auto"/>
        <w:ind w:firstLine="444" w:firstLineChars="200"/>
        <w:rPr>
          <w:rFonts w:hint="eastAsia" w:ascii="宋体" w:hAnsi="宋体" w:eastAsia="宋体" w:cs="宋体"/>
          <w:color w:val="auto"/>
          <w:spacing w:val="6"/>
          <w:szCs w:val="21"/>
          <w:highlight w:val="none"/>
          <w:lang w:eastAsia="zh-CN"/>
        </w:rPr>
      </w:pPr>
      <w:r>
        <w:rPr>
          <w:rFonts w:hint="eastAsia" w:ascii="宋体" w:hAnsi="宋体" w:cs="宋体"/>
          <w:color w:val="auto"/>
          <w:spacing w:val="6"/>
          <w:szCs w:val="21"/>
          <w:highlight w:val="none"/>
          <w:lang w:val="en-US" w:eastAsia="zh-CN"/>
        </w:rPr>
        <w:t>3</w:t>
      </w:r>
      <w:r>
        <w:rPr>
          <w:rFonts w:hint="eastAsia" w:ascii="宋体" w:hAnsi="宋体" w:cs="宋体"/>
          <w:color w:val="auto"/>
          <w:spacing w:val="6"/>
          <w:szCs w:val="21"/>
          <w:highlight w:val="none"/>
        </w:rPr>
        <w:t>.机场式无人机C套装</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属于</w:t>
      </w:r>
      <w:r>
        <w:rPr>
          <w:rFonts w:hint="eastAsia" w:ascii="宋体" w:hAnsi="宋体" w:cs="宋体"/>
          <w:color w:val="auto"/>
          <w:spacing w:val="6"/>
          <w:szCs w:val="21"/>
          <w:highlight w:val="none"/>
          <w:u w:val="single"/>
          <w:lang w:eastAsia="zh-CN"/>
        </w:rPr>
        <w:t>制造业</w:t>
      </w:r>
      <w:r>
        <w:rPr>
          <w:rFonts w:hint="eastAsia" w:ascii="宋体" w:hAnsi="宋体" w:cs="宋体"/>
          <w:color w:val="auto"/>
          <w:spacing w:val="6"/>
          <w:szCs w:val="21"/>
          <w:highlight w:val="none"/>
        </w:rPr>
        <w:t>行业</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制造商为</w:t>
      </w:r>
      <w:r>
        <w:rPr>
          <w:rFonts w:hint="eastAsia" w:ascii="宋体" w:hAnsi="宋体" w:cs="宋体"/>
          <w:color w:val="auto"/>
          <w:spacing w:val="6"/>
          <w:szCs w:val="21"/>
          <w:highlight w:val="none"/>
          <w:u w:val="single"/>
        </w:rPr>
        <w:t>（企业名称）</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从业人员</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人</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营业收入为</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万元</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资产总额为</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万元</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属于</w:t>
      </w:r>
      <w:r>
        <w:rPr>
          <w:rFonts w:hint="eastAsia" w:ascii="宋体" w:hAnsi="宋体" w:cs="宋体"/>
          <w:color w:val="auto"/>
          <w:spacing w:val="6"/>
          <w:szCs w:val="21"/>
          <w:highlight w:val="none"/>
          <w:u w:val="single"/>
        </w:rPr>
        <w:t>（中型企业、小型企业、微型企业）</w:t>
      </w:r>
      <w:r>
        <w:rPr>
          <w:rFonts w:hint="eastAsia" w:ascii="宋体" w:hAnsi="宋体" w:cs="宋体"/>
          <w:color w:val="auto"/>
          <w:spacing w:val="6"/>
          <w:szCs w:val="21"/>
          <w:highlight w:val="none"/>
          <w:lang w:eastAsia="zh-CN"/>
        </w:rPr>
        <w:t>；</w:t>
      </w:r>
    </w:p>
    <w:p w14:paraId="2FEA0937">
      <w:pPr>
        <w:adjustRightInd w:val="0"/>
        <w:snapToGrid w:val="0"/>
        <w:spacing w:line="360" w:lineRule="auto"/>
        <w:ind w:firstLine="444" w:firstLineChars="200"/>
        <w:rPr>
          <w:rFonts w:ascii="宋体" w:hAnsi="宋体" w:cs="宋体"/>
          <w:color w:val="auto"/>
          <w:spacing w:val="6"/>
          <w:szCs w:val="21"/>
          <w:highlight w:val="none"/>
        </w:rPr>
      </w:pPr>
      <w:r>
        <w:rPr>
          <w:rFonts w:hint="eastAsia" w:ascii="宋体" w:hAnsi="宋体" w:cs="宋体"/>
          <w:color w:val="auto"/>
          <w:spacing w:val="6"/>
          <w:szCs w:val="21"/>
          <w:highlight w:val="none"/>
          <w:lang w:val="en-US" w:eastAsia="zh-CN"/>
        </w:rPr>
        <w:t>4</w:t>
      </w:r>
      <w:r>
        <w:rPr>
          <w:rFonts w:hint="eastAsia" w:ascii="宋体" w:hAnsi="宋体" w:cs="宋体"/>
          <w:color w:val="auto"/>
          <w:spacing w:val="6"/>
          <w:szCs w:val="21"/>
          <w:highlight w:val="none"/>
        </w:rPr>
        <w:t>.机场式无人机D套装</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属于</w:t>
      </w:r>
      <w:r>
        <w:rPr>
          <w:rFonts w:hint="eastAsia" w:ascii="宋体" w:hAnsi="宋体" w:cs="宋体"/>
          <w:color w:val="auto"/>
          <w:spacing w:val="6"/>
          <w:szCs w:val="21"/>
          <w:highlight w:val="none"/>
          <w:u w:val="single"/>
          <w:lang w:eastAsia="zh-CN"/>
        </w:rPr>
        <w:t>制造业</w:t>
      </w:r>
      <w:r>
        <w:rPr>
          <w:rFonts w:hint="eastAsia" w:ascii="宋体" w:hAnsi="宋体" w:cs="宋体"/>
          <w:color w:val="auto"/>
          <w:spacing w:val="6"/>
          <w:szCs w:val="21"/>
          <w:highlight w:val="none"/>
        </w:rPr>
        <w:t>行业</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制造商为</w:t>
      </w:r>
      <w:r>
        <w:rPr>
          <w:rFonts w:hint="eastAsia" w:ascii="宋体" w:hAnsi="宋体" w:cs="宋体"/>
          <w:color w:val="auto"/>
          <w:spacing w:val="6"/>
          <w:szCs w:val="21"/>
          <w:highlight w:val="none"/>
          <w:u w:val="single"/>
        </w:rPr>
        <w:t>（企业名称）</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从业人员</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人</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营业收入为</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万元</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资产总额为</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万元</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属于</w:t>
      </w:r>
      <w:r>
        <w:rPr>
          <w:rFonts w:hint="eastAsia" w:ascii="宋体" w:hAnsi="宋体" w:cs="宋体"/>
          <w:color w:val="auto"/>
          <w:spacing w:val="6"/>
          <w:szCs w:val="21"/>
          <w:highlight w:val="none"/>
          <w:u w:val="single"/>
        </w:rPr>
        <w:t>（中型企业、小型企业、微型企业）</w:t>
      </w:r>
      <w:r>
        <w:rPr>
          <w:rFonts w:hint="eastAsia" w:ascii="宋体" w:hAnsi="宋体" w:cs="宋体"/>
          <w:color w:val="auto"/>
          <w:spacing w:val="6"/>
          <w:szCs w:val="21"/>
          <w:highlight w:val="none"/>
          <w:lang w:eastAsia="zh-CN"/>
        </w:rPr>
        <w:t>；</w:t>
      </w:r>
    </w:p>
    <w:p w14:paraId="31EDF695">
      <w:pPr>
        <w:adjustRightInd w:val="0"/>
        <w:snapToGrid w:val="0"/>
        <w:spacing w:line="360" w:lineRule="auto"/>
        <w:ind w:firstLine="444" w:firstLineChars="200"/>
        <w:rPr>
          <w:rFonts w:ascii="宋体" w:hAnsi="宋体" w:cs="宋体"/>
          <w:color w:val="auto"/>
          <w:spacing w:val="6"/>
          <w:szCs w:val="21"/>
          <w:highlight w:val="none"/>
        </w:rPr>
      </w:pPr>
      <w:r>
        <w:rPr>
          <w:rFonts w:hint="eastAsia" w:ascii="宋体" w:hAnsi="宋体" w:cs="宋体"/>
          <w:color w:val="auto"/>
          <w:spacing w:val="6"/>
          <w:szCs w:val="21"/>
          <w:highlight w:val="none"/>
        </w:rPr>
        <w:t>以上企业</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不属于大企业的分支机构</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不存在控股股东为大企业的情形</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 xml:space="preserve">也不存在与大企业的负责人为同一人的情形。 </w:t>
      </w:r>
    </w:p>
    <w:p w14:paraId="1018CD91">
      <w:pPr>
        <w:adjustRightInd w:val="0"/>
        <w:snapToGrid w:val="0"/>
        <w:spacing w:line="360" w:lineRule="auto"/>
        <w:ind w:firstLine="444" w:firstLineChars="200"/>
        <w:rPr>
          <w:rFonts w:ascii="宋体" w:hAnsi="宋体" w:cs="宋体"/>
          <w:color w:val="auto"/>
          <w:spacing w:val="6"/>
          <w:szCs w:val="21"/>
          <w:highlight w:val="none"/>
        </w:rPr>
      </w:pPr>
      <w:r>
        <w:rPr>
          <w:rFonts w:hint="eastAsia" w:ascii="宋体" w:hAnsi="宋体" w:cs="宋体"/>
          <w:color w:val="auto"/>
          <w:spacing w:val="6"/>
          <w:szCs w:val="21"/>
          <w:highlight w:val="none"/>
        </w:rPr>
        <w:t>本企业对上述声明内容的真实性负责。如有虚假</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 xml:space="preserve">将依法承担相应责任。 </w:t>
      </w:r>
    </w:p>
    <w:p w14:paraId="774084A2">
      <w:pPr>
        <w:adjustRightInd w:val="0"/>
        <w:snapToGrid w:val="0"/>
        <w:spacing w:line="360" w:lineRule="auto"/>
        <w:ind w:firstLine="444" w:firstLineChars="200"/>
        <w:jc w:val="center"/>
        <w:rPr>
          <w:rFonts w:ascii="宋体" w:hAnsi="宋体" w:cs="宋体"/>
          <w:color w:val="auto"/>
          <w:spacing w:val="6"/>
          <w:szCs w:val="21"/>
          <w:highlight w:val="none"/>
        </w:rPr>
      </w:pPr>
      <w:r>
        <w:rPr>
          <w:rFonts w:hint="eastAsia" w:ascii="宋体" w:hAnsi="宋体" w:cs="宋体"/>
          <w:color w:val="auto"/>
          <w:spacing w:val="6"/>
          <w:szCs w:val="21"/>
          <w:highlight w:val="none"/>
        </w:rPr>
        <w:t xml:space="preserve">                         </w:t>
      </w:r>
    </w:p>
    <w:p w14:paraId="749F10D8">
      <w:pPr>
        <w:adjustRightInd w:val="0"/>
        <w:snapToGrid w:val="0"/>
        <w:spacing w:line="360" w:lineRule="auto"/>
        <w:ind w:firstLine="444" w:firstLineChars="200"/>
        <w:jc w:val="center"/>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w:t>
      </w:r>
      <w:r>
        <w:rPr>
          <w:rFonts w:hint="eastAsia" w:ascii="宋体" w:hAnsi="宋体" w:cs="宋体"/>
          <w:color w:val="auto"/>
          <w:szCs w:val="21"/>
          <w:highlight w:val="none"/>
        </w:rPr>
        <w:t>（加盖供应商电子公章）</w:t>
      </w:r>
      <w:r>
        <w:rPr>
          <w:rFonts w:hint="eastAsia" w:ascii="宋体" w:hAnsi="宋体" w:cs="宋体"/>
          <w:color w:val="auto"/>
          <w:spacing w:val="6"/>
          <w:szCs w:val="21"/>
          <w:highlight w:val="none"/>
        </w:rPr>
        <w:t>：</w:t>
      </w:r>
    </w:p>
    <w:p w14:paraId="511A8A49">
      <w:pPr>
        <w:adjustRightInd w:val="0"/>
        <w:snapToGrid w:val="0"/>
        <w:spacing w:line="360" w:lineRule="auto"/>
        <w:ind w:firstLine="444" w:firstLineChars="200"/>
        <w:jc w:val="center"/>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p>
    <w:p w14:paraId="5A169355">
      <w:pPr>
        <w:pStyle w:val="38"/>
        <w:adjustRightInd w:val="0"/>
        <w:snapToGrid w:val="0"/>
        <w:spacing w:before="0" w:beforeAutospacing="0" w:after="0" w:afterAutospacing="0" w:line="360" w:lineRule="auto"/>
        <w:ind w:firstLine="422"/>
        <w:rPr>
          <w:rFonts w:cs="宋体"/>
          <w:b/>
          <w:color w:val="auto"/>
          <w:sz w:val="21"/>
          <w:szCs w:val="21"/>
          <w:highlight w:val="none"/>
        </w:rPr>
      </w:pPr>
      <w:r>
        <w:rPr>
          <w:rFonts w:hint="eastAsia" w:cs="宋体"/>
          <w:b/>
          <w:color w:val="auto"/>
          <w:sz w:val="21"/>
          <w:szCs w:val="21"/>
          <w:highlight w:val="none"/>
        </w:rPr>
        <w:t>注：</w:t>
      </w:r>
    </w:p>
    <w:p w14:paraId="6D5EA2C8">
      <w:pPr>
        <w:pStyle w:val="38"/>
        <w:spacing w:before="0" w:beforeAutospacing="0" w:after="0" w:afterAutospacing="0" w:line="360" w:lineRule="auto"/>
        <w:ind w:firstLine="422"/>
        <w:rPr>
          <w:rFonts w:cs="宋体"/>
          <w:b/>
          <w:color w:val="auto"/>
          <w:sz w:val="21"/>
          <w:szCs w:val="21"/>
          <w:highlight w:val="none"/>
        </w:rPr>
      </w:pPr>
      <w:r>
        <w:rPr>
          <w:rFonts w:hint="eastAsia" w:cs="宋体"/>
          <w:b/>
          <w:color w:val="auto"/>
          <w:sz w:val="21"/>
          <w:szCs w:val="21"/>
          <w:highlight w:val="none"/>
        </w:rPr>
        <w:t>1.从业人员、营业收入、资产总额填报上一年度数据</w:t>
      </w:r>
      <w:r>
        <w:rPr>
          <w:rFonts w:hint="eastAsia" w:cs="宋体"/>
          <w:b/>
          <w:color w:val="auto"/>
          <w:sz w:val="21"/>
          <w:szCs w:val="21"/>
          <w:highlight w:val="none"/>
          <w:lang w:eastAsia="zh-CN"/>
        </w:rPr>
        <w:t>，</w:t>
      </w:r>
      <w:r>
        <w:rPr>
          <w:rFonts w:hint="eastAsia" w:cs="宋体"/>
          <w:b/>
          <w:color w:val="auto"/>
          <w:sz w:val="21"/>
          <w:szCs w:val="21"/>
          <w:highlight w:val="none"/>
        </w:rPr>
        <w:t>无上一年度数据的新成立企业可不填报。</w:t>
      </w:r>
    </w:p>
    <w:p w14:paraId="4D93D26B">
      <w:pPr>
        <w:pStyle w:val="38"/>
        <w:adjustRightInd w:val="0"/>
        <w:snapToGrid w:val="0"/>
        <w:spacing w:before="0" w:beforeAutospacing="0" w:after="0" w:afterAutospacing="0" w:line="360" w:lineRule="auto"/>
        <w:ind w:firstLine="422"/>
        <w:rPr>
          <w:rFonts w:cs="宋体"/>
          <w:b/>
          <w:color w:val="auto"/>
          <w:sz w:val="21"/>
          <w:szCs w:val="21"/>
          <w:highlight w:val="none"/>
        </w:rPr>
      </w:pPr>
      <w:r>
        <w:rPr>
          <w:rFonts w:hint="eastAsia" w:cs="宋体"/>
          <w:b/>
          <w:color w:val="auto"/>
          <w:sz w:val="21"/>
          <w:szCs w:val="21"/>
          <w:highlight w:val="none"/>
        </w:rPr>
        <w:t>2.“标的名称”、“所属行业”详见附件</w:t>
      </w:r>
      <w:r>
        <w:rPr>
          <w:rFonts w:hint="eastAsia" w:cs="宋体"/>
          <w:b/>
          <w:color w:val="auto"/>
          <w:sz w:val="21"/>
          <w:szCs w:val="21"/>
          <w:highlight w:val="none"/>
          <w:lang w:eastAsia="zh-CN"/>
        </w:rPr>
        <w:t>，</w:t>
      </w:r>
      <w:r>
        <w:rPr>
          <w:rFonts w:hint="eastAsia" w:cs="宋体"/>
          <w:b/>
          <w:color w:val="auto"/>
          <w:sz w:val="21"/>
          <w:szCs w:val="21"/>
          <w:highlight w:val="none"/>
        </w:rPr>
        <w:t>若填写内容不符</w:t>
      </w:r>
      <w:r>
        <w:rPr>
          <w:rFonts w:hint="eastAsia" w:cs="宋体"/>
          <w:b/>
          <w:color w:val="auto"/>
          <w:sz w:val="21"/>
          <w:szCs w:val="21"/>
          <w:highlight w:val="none"/>
          <w:lang w:eastAsia="zh-CN"/>
        </w:rPr>
        <w:t>，</w:t>
      </w:r>
      <w:r>
        <w:rPr>
          <w:rFonts w:hint="eastAsia" w:cs="宋体"/>
          <w:b/>
          <w:color w:val="auto"/>
          <w:sz w:val="21"/>
          <w:szCs w:val="21"/>
          <w:highlight w:val="none"/>
        </w:rPr>
        <w:t>中小企业声明函不予认可。</w:t>
      </w:r>
    </w:p>
    <w:p w14:paraId="5FBD5656">
      <w:pPr>
        <w:ind w:firstLine="422"/>
        <w:rPr>
          <w:rFonts w:cs="宋体"/>
          <w:b/>
          <w:color w:val="auto"/>
          <w:szCs w:val="21"/>
          <w:highlight w:val="none"/>
        </w:rPr>
      </w:pPr>
      <w:r>
        <w:rPr>
          <w:rFonts w:hint="eastAsia" w:cs="宋体"/>
          <w:b/>
          <w:color w:val="auto"/>
          <w:szCs w:val="21"/>
          <w:highlight w:val="none"/>
        </w:rPr>
        <w:br w:type="page"/>
      </w:r>
    </w:p>
    <w:p w14:paraId="5AD1026D">
      <w:pPr>
        <w:pStyle w:val="38"/>
        <w:adjustRightInd w:val="0"/>
        <w:snapToGrid w:val="0"/>
        <w:spacing w:before="0" w:beforeAutospacing="0" w:after="0" w:afterAutospacing="0" w:line="360" w:lineRule="auto"/>
        <w:rPr>
          <w:rFonts w:cs="宋体"/>
          <w:b/>
          <w:color w:val="auto"/>
          <w:sz w:val="21"/>
          <w:szCs w:val="21"/>
          <w:highlight w:val="none"/>
        </w:rPr>
      </w:pPr>
      <w:r>
        <w:rPr>
          <w:rFonts w:hint="eastAsia" w:cs="宋体"/>
          <w:b/>
          <w:color w:val="auto"/>
          <w:sz w:val="21"/>
          <w:szCs w:val="21"/>
          <w:highlight w:val="none"/>
        </w:rPr>
        <w:t>附件：</w:t>
      </w:r>
    </w:p>
    <w:p w14:paraId="695B97B6">
      <w:pPr>
        <w:wordWrap w:val="0"/>
        <w:adjustRightInd w:val="0"/>
        <w:snapToGrid w:val="0"/>
        <w:spacing w:line="360" w:lineRule="auto"/>
        <w:rPr>
          <w:rFonts w:ascii="宋体" w:hAnsi="宋体" w:cs="宋体"/>
          <w:bCs/>
          <w:color w:val="auto"/>
          <w:szCs w:val="21"/>
          <w:highlight w:val="none"/>
        </w:rPr>
      </w:pPr>
      <w:r>
        <w:rPr>
          <w:rFonts w:hint="eastAsia" w:ascii="宋体" w:hAnsi="宋体" w:cs="宋体"/>
          <w:bCs/>
          <w:color w:val="auto"/>
          <w:szCs w:val="21"/>
          <w:highlight w:val="none"/>
        </w:rPr>
        <w:t>根据《关于印发《政府采购促进中小企业发展管理办法》的通知》（财库〔2020〕46号）的规定</w:t>
      </w:r>
      <w:r>
        <w:rPr>
          <w:rFonts w:hint="eastAsia" w:ascii="宋体" w:hAnsi="宋体" w:cs="宋体"/>
          <w:bCs/>
          <w:color w:val="auto"/>
          <w:szCs w:val="21"/>
          <w:highlight w:val="none"/>
          <w:lang w:eastAsia="zh-CN"/>
        </w:rPr>
        <w:t>，</w:t>
      </w:r>
      <w:r>
        <w:rPr>
          <w:rFonts w:hint="eastAsia" w:ascii="宋体" w:hAnsi="宋体" w:cs="宋体"/>
          <w:color w:val="auto"/>
          <w:szCs w:val="21"/>
          <w:highlight w:val="none"/>
        </w:rPr>
        <w:t>本项目针对小微企业报价给予10%的扣除</w:t>
      </w:r>
      <w:r>
        <w:rPr>
          <w:rFonts w:hint="eastAsia" w:ascii="宋体" w:hAnsi="宋体" w:cs="宋体"/>
          <w:color w:val="auto"/>
          <w:szCs w:val="21"/>
          <w:highlight w:val="none"/>
          <w:lang w:eastAsia="zh-CN"/>
        </w:rPr>
        <w:t>，</w:t>
      </w:r>
      <w:r>
        <w:rPr>
          <w:rFonts w:hint="eastAsia" w:ascii="宋体" w:hAnsi="宋体" w:cs="宋体"/>
          <w:color w:val="auto"/>
          <w:szCs w:val="21"/>
          <w:highlight w:val="none"/>
        </w:rPr>
        <w:t>用扣除后的价格参与评审。符合条件的供应商应根据下表中所明确的“标的名称”、“所属行业”进行填写</w:t>
      </w:r>
      <w:r>
        <w:rPr>
          <w:rFonts w:hint="eastAsia" w:ascii="宋体" w:hAnsi="宋体" w:cs="宋体"/>
          <w:color w:val="auto"/>
          <w:szCs w:val="21"/>
          <w:highlight w:val="none"/>
          <w:lang w:eastAsia="zh-CN"/>
        </w:rPr>
        <w:t>，</w:t>
      </w:r>
      <w:r>
        <w:rPr>
          <w:rFonts w:hint="eastAsia" w:ascii="宋体" w:hAnsi="宋体" w:cs="宋体"/>
          <w:color w:val="auto"/>
          <w:szCs w:val="21"/>
          <w:highlight w:val="none"/>
        </w:rPr>
        <w:t>若填写内容不符</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中小企业声明函不予认可。</w:t>
      </w:r>
    </w:p>
    <w:tbl>
      <w:tblPr>
        <w:tblStyle w:val="43"/>
        <w:tblW w:w="7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4119"/>
        <w:gridCol w:w="1332"/>
        <w:gridCol w:w="1332"/>
      </w:tblGrid>
      <w:tr w14:paraId="737D8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28" w:type="dxa"/>
            <w:shd w:val="clear" w:color="auto" w:fill="D7D7D7" w:themeFill="background1" w:themeFillShade="D8"/>
            <w:vAlign w:val="center"/>
          </w:tcPr>
          <w:p w14:paraId="36683691">
            <w:pPr>
              <w:spacing w:line="360" w:lineRule="auto"/>
              <w:jc w:val="center"/>
              <w:textAlignment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4119" w:type="dxa"/>
            <w:shd w:val="clear" w:color="auto" w:fill="D7D7D7" w:themeFill="background1" w:themeFillShade="D8"/>
            <w:vAlign w:val="center"/>
          </w:tcPr>
          <w:p w14:paraId="1EC91317">
            <w:pPr>
              <w:spacing w:line="360" w:lineRule="auto"/>
              <w:jc w:val="center"/>
              <w:textAlignment w:val="center"/>
              <w:rPr>
                <w:rFonts w:ascii="宋体" w:hAnsi="宋体" w:cs="宋体"/>
                <w:b/>
                <w:color w:val="auto"/>
                <w:szCs w:val="21"/>
                <w:highlight w:val="none"/>
              </w:rPr>
            </w:pPr>
            <w:r>
              <w:rPr>
                <w:rFonts w:hint="eastAsia" w:ascii="宋体" w:hAnsi="宋体" w:cs="宋体"/>
                <w:b/>
                <w:color w:val="auto"/>
                <w:szCs w:val="21"/>
                <w:highlight w:val="none"/>
              </w:rPr>
              <w:t>标的名称</w:t>
            </w:r>
          </w:p>
        </w:tc>
        <w:tc>
          <w:tcPr>
            <w:tcW w:w="1332" w:type="dxa"/>
            <w:shd w:val="clear" w:color="auto" w:fill="D7D7D7" w:themeFill="background1" w:themeFillShade="D8"/>
            <w:vAlign w:val="center"/>
          </w:tcPr>
          <w:p w14:paraId="4428C89C">
            <w:pPr>
              <w:spacing w:line="360" w:lineRule="auto"/>
              <w:jc w:val="center"/>
              <w:textAlignment w:val="center"/>
              <w:rPr>
                <w:rFonts w:ascii="宋体" w:hAnsi="宋体" w:cs="宋体"/>
                <w:b/>
                <w:color w:val="auto"/>
                <w:szCs w:val="21"/>
                <w:highlight w:val="none"/>
              </w:rPr>
            </w:pPr>
            <w:r>
              <w:rPr>
                <w:rFonts w:hint="eastAsia" w:ascii="宋体" w:hAnsi="宋体" w:cs="宋体"/>
                <w:b/>
                <w:color w:val="auto"/>
                <w:szCs w:val="21"/>
                <w:highlight w:val="none"/>
              </w:rPr>
              <w:t>所属行业</w:t>
            </w:r>
          </w:p>
        </w:tc>
        <w:tc>
          <w:tcPr>
            <w:tcW w:w="1332" w:type="dxa"/>
            <w:shd w:val="clear" w:color="auto" w:fill="D7D7D7" w:themeFill="background1" w:themeFillShade="D8"/>
            <w:vAlign w:val="center"/>
          </w:tcPr>
          <w:p w14:paraId="777C49C5">
            <w:pPr>
              <w:spacing w:line="360" w:lineRule="auto"/>
              <w:jc w:val="center"/>
              <w:textAlignment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划型标准</w:t>
            </w:r>
          </w:p>
        </w:tc>
      </w:tr>
      <w:tr w14:paraId="5CFFB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28" w:type="dxa"/>
            <w:shd w:val="clear" w:color="auto" w:fill="auto"/>
            <w:vAlign w:val="center"/>
          </w:tcPr>
          <w:p w14:paraId="2D7A6D86">
            <w:pPr>
              <w:widowControl/>
              <w:spacing w:line="360" w:lineRule="auto"/>
              <w:jc w:val="center"/>
              <w:textAlignment w:val="center"/>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bidi="ar"/>
              </w:rPr>
              <w:t>1</w:t>
            </w:r>
          </w:p>
        </w:tc>
        <w:tc>
          <w:tcPr>
            <w:tcW w:w="4119" w:type="dxa"/>
            <w:shd w:val="clear" w:color="auto" w:fill="auto"/>
            <w:vAlign w:val="center"/>
          </w:tcPr>
          <w:p w14:paraId="2D6C60F1">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手持式无人机A套装</w:t>
            </w:r>
          </w:p>
        </w:tc>
        <w:tc>
          <w:tcPr>
            <w:tcW w:w="1332" w:type="dxa"/>
            <w:vAlign w:val="center"/>
          </w:tcPr>
          <w:p w14:paraId="02681BBC">
            <w:pPr>
              <w:widowControl/>
              <w:spacing w:line="360" w:lineRule="auto"/>
              <w:jc w:val="center"/>
              <w:textAlignment w:val="center"/>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制造业</w:t>
            </w:r>
          </w:p>
        </w:tc>
        <w:tc>
          <w:tcPr>
            <w:tcW w:w="1332" w:type="dxa"/>
            <w:shd w:val="clear" w:color="auto" w:fill="auto"/>
            <w:vAlign w:val="center"/>
          </w:tcPr>
          <w:p w14:paraId="697D424B">
            <w:pPr>
              <w:widowControl/>
              <w:spacing w:line="36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Cs w:val="21"/>
                <w:highlight w:val="none"/>
                <w:lang w:bidi="ar"/>
              </w:rPr>
              <w:t>工业</w:t>
            </w:r>
          </w:p>
        </w:tc>
      </w:tr>
      <w:tr w14:paraId="5EF6D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28" w:type="dxa"/>
            <w:shd w:val="clear" w:color="auto" w:fill="auto"/>
            <w:vAlign w:val="center"/>
          </w:tcPr>
          <w:p w14:paraId="1F1441DF">
            <w:pPr>
              <w:widowControl/>
              <w:spacing w:line="360" w:lineRule="auto"/>
              <w:jc w:val="center"/>
              <w:textAlignment w:val="center"/>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bidi="ar"/>
              </w:rPr>
              <w:t>2</w:t>
            </w:r>
          </w:p>
        </w:tc>
        <w:tc>
          <w:tcPr>
            <w:tcW w:w="4119" w:type="dxa"/>
            <w:shd w:val="clear" w:color="auto" w:fill="auto"/>
            <w:vAlign w:val="center"/>
          </w:tcPr>
          <w:p w14:paraId="31C77A1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手持式无人机B套装</w:t>
            </w:r>
          </w:p>
        </w:tc>
        <w:tc>
          <w:tcPr>
            <w:tcW w:w="1332" w:type="dxa"/>
            <w:vAlign w:val="center"/>
          </w:tcPr>
          <w:p w14:paraId="117258EC">
            <w:pPr>
              <w:widowControl/>
              <w:spacing w:line="360" w:lineRule="auto"/>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制造业</w:t>
            </w:r>
          </w:p>
        </w:tc>
        <w:tc>
          <w:tcPr>
            <w:tcW w:w="1332" w:type="dxa"/>
            <w:shd w:val="clear" w:color="auto" w:fill="auto"/>
            <w:vAlign w:val="center"/>
          </w:tcPr>
          <w:p w14:paraId="59CD6E75">
            <w:pPr>
              <w:widowControl/>
              <w:spacing w:line="36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Cs w:val="21"/>
                <w:highlight w:val="none"/>
                <w:lang w:bidi="ar"/>
              </w:rPr>
              <w:t>工业</w:t>
            </w:r>
          </w:p>
        </w:tc>
      </w:tr>
      <w:tr w14:paraId="29DD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28" w:type="dxa"/>
            <w:shd w:val="clear" w:color="auto" w:fill="auto"/>
            <w:vAlign w:val="center"/>
          </w:tcPr>
          <w:p w14:paraId="5492EFF2">
            <w:pPr>
              <w:widowControl/>
              <w:spacing w:line="360" w:lineRule="auto"/>
              <w:jc w:val="center"/>
              <w:textAlignment w:val="center"/>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bidi="ar"/>
              </w:rPr>
              <w:t>3</w:t>
            </w:r>
          </w:p>
        </w:tc>
        <w:tc>
          <w:tcPr>
            <w:tcW w:w="4119" w:type="dxa"/>
            <w:shd w:val="clear" w:color="auto" w:fill="auto"/>
            <w:vAlign w:val="center"/>
          </w:tcPr>
          <w:p w14:paraId="342A7C4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机场式无人机C套装</w:t>
            </w:r>
          </w:p>
        </w:tc>
        <w:tc>
          <w:tcPr>
            <w:tcW w:w="1332" w:type="dxa"/>
            <w:vAlign w:val="center"/>
          </w:tcPr>
          <w:p w14:paraId="570A9427">
            <w:pPr>
              <w:widowControl/>
              <w:spacing w:line="360" w:lineRule="auto"/>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制造业</w:t>
            </w:r>
          </w:p>
        </w:tc>
        <w:tc>
          <w:tcPr>
            <w:tcW w:w="1332" w:type="dxa"/>
            <w:shd w:val="clear" w:color="auto" w:fill="auto"/>
            <w:vAlign w:val="center"/>
          </w:tcPr>
          <w:p w14:paraId="46B44A97">
            <w:pPr>
              <w:widowControl/>
              <w:spacing w:line="36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Cs w:val="21"/>
                <w:highlight w:val="none"/>
                <w:lang w:bidi="ar"/>
              </w:rPr>
              <w:t>工业</w:t>
            </w:r>
          </w:p>
        </w:tc>
      </w:tr>
      <w:tr w14:paraId="0F3BC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28" w:type="dxa"/>
            <w:shd w:val="clear" w:color="auto" w:fill="auto"/>
            <w:vAlign w:val="center"/>
          </w:tcPr>
          <w:p w14:paraId="6EFDB67C">
            <w:pPr>
              <w:widowControl/>
              <w:spacing w:line="360" w:lineRule="auto"/>
              <w:jc w:val="center"/>
              <w:textAlignment w:val="center"/>
              <w:rPr>
                <w:rFonts w:hint="eastAsia" w:ascii="宋体" w:hAnsi="宋体" w:cs="宋体"/>
                <w:color w:val="auto"/>
                <w:kern w:val="0"/>
                <w:szCs w:val="21"/>
                <w:highlight w:val="none"/>
                <w:lang w:val="en-US" w:eastAsia="zh-CN" w:bidi="ar"/>
              </w:rPr>
            </w:pPr>
            <w:r>
              <w:rPr>
                <w:rFonts w:hint="eastAsia" w:ascii="宋体" w:hAnsi="宋体" w:cs="宋体"/>
                <w:color w:val="auto"/>
                <w:kern w:val="0"/>
                <w:szCs w:val="21"/>
                <w:highlight w:val="none"/>
                <w:lang w:bidi="ar"/>
              </w:rPr>
              <w:t>4</w:t>
            </w:r>
          </w:p>
        </w:tc>
        <w:tc>
          <w:tcPr>
            <w:tcW w:w="4119" w:type="dxa"/>
            <w:shd w:val="clear" w:color="auto" w:fill="auto"/>
            <w:vAlign w:val="center"/>
          </w:tcPr>
          <w:p w14:paraId="2A7627F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机场式无人机D套装</w:t>
            </w:r>
          </w:p>
        </w:tc>
        <w:tc>
          <w:tcPr>
            <w:tcW w:w="1332" w:type="dxa"/>
          </w:tcPr>
          <w:p w14:paraId="5667D820">
            <w:pPr>
              <w:widowControl/>
              <w:spacing w:line="360" w:lineRule="auto"/>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制造业</w:t>
            </w:r>
          </w:p>
        </w:tc>
        <w:tc>
          <w:tcPr>
            <w:tcW w:w="1332" w:type="dxa"/>
            <w:shd w:val="clear" w:color="auto" w:fill="auto"/>
            <w:vAlign w:val="top"/>
          </w:tcPr>
          <w:p w14:paraId="65B72903">
            <w:pPr>
              <w:widowControl/>
              <w:spacing w:line="360" w:lineRule="auto"/>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Cs w:val="21"/>
                <w:highlight w:val="none"/>
                <w:lang w:bidi="ar"/>
              </w:rPr>
              <w:t>工业</w:t>
            </w:r>
          </w:p>
        </w:tc>
      </w:tr>
    </w:tbl>
    <w:p w14:paraId="040B38B9">
      <w:pPr>
        <w:pStyle w:val="38"/>
        <w:adjustRightInd w:val="0"/>
        <w:snapToGrid w:val="0"/>
        <w:spacing w:before="0" w:beforeAutospacing="0" w:after="0" w:afterAutospacing="0" w:line="360" w:lineRule="auto"/>
        <w:ind w:firstLine="422"/>
        <w:rPr>
          <w:rFonts w:cs="宋体"/>
          <w:b/>
          <w:color w:val="auto"/>
          <w:sz w:val="21"/>
          <w:szCs w:val="21"/>
          <w:highlight w:val="none"/>
        </w:rPr>
      </w:pPr>
    </w:p>
    <w:p w14:paraId="17B15375">
      <w:pPr>
        <w:widowControl/>
        <w:adjustRightInd w:val="0"/>
        <w:snapToGrid w:val="0"/>
        <w:spacing w:line="360" w:lineRule="auto"/>
        <w:ind w:firstLine="422"/>
        <w:jc w:val="left"/>
        <w:rPr>
          <w:rFonts w:ascii="宋体" w:hAnsi="宋体" w:cs="宋体"/>
          <w:b/>
          <w:color w:val="auto"/>
          <w:szCs w:val="21"/>
          <w:highlight w:val="none"/>
        </w:rPr>
      </w:pPr>
      <w:r>
        <w:rPr>
          <w:rFonts w:hint="eastAsia" w:ascii="宋体" w:hAnsi="宋体" w:cs="宋体"/>
          <w:b/>
          <w:color w:val="auto"/>
          <w:szCs w:val="21"/>
          <w:highlight w:val="none"/>
        </w:rPr>
        <w:br w:type="page"/>
      </w:r>
    </w:p>
    <w:p w14:paraId="5465BCEC">
      <w:pPr>
        <w:tabs>
          <w:tab w:val="left" w:pos="5580"/>
        </w:tabs>
        <w:adjustRightInd w:val="0"/>
        <w:snapToGrid w:val="0"/>
        <w:spacing w:line="360" w:lineRule="auto"/>
        <w:jc w:val="left"/>
        <w:rPr>
          <w:rFonts w:ascii="宋体" w:hAnsi="宋体" w:cs="宋体"/>
          <w:b/>
          <w:color w:val="auto"/>
          <w:sz w:val="28"/>
          <w:szCs w:val="28"/>
          <w:highlight w:val="none"/>
        </w:rPr>
      </w:pPr>
      <w:r>
        <w:rPr>
          <w:rFonts w:hint="eastAsia" w:ascii="宋体" w:hAnsi="宋体" w:cs="宋体"/>
          <w:b/>
          <w:color w:val="auto"/>
          <w:sz w:val="28"/>
          <w:szCs w:val="28"/>
          <w:highlight w:val="none"/>
        </w:rPr>
        <w:t>格式22</w:t>
      </w:r>
    </w:p>
    <w:p w14:paraId="7FD4495A">
      <w:pPr>
        <w:tabs>
          <w:tab w:val="left" w:pos="5580"/>
        </w:tabs>
        <w:adjustRightInd w:val="0"/>
        <w:snapToGrid w:val="0"/>
        <w:spacing w:line="360" w:lineRule="auto"/>
        <w:jc w:val="center"/>
        <w:rPr>
          <w:rFonts w:ascii="宋体" w:hAnsi="宋体" w:cs="宋体"/>
          <w:b/>
          <w:color w:val="auto"/>
          <w:sz w:val="28"/>
          <w:highlight w:val="none"/>
        </w:rPr>
      </w:pPr>
      <w:r>
        <w:rPr>
          <w:rFonts w:hint="eastAsia" w:ascii="宋体" w:hAnsi="宋体" w:cs="宋体"/>
          <w:b/>
          <w:color w:val="auto"/>
          <w:sz w:val="28"/>
          <w:highlight w:val="none"/>
        </w:rPr>
        <w:t>《监狱企业证明文件》（符合《财政部 司法部关于政府采购支持监狱企业发展有关问题的通知》（财库[2014]68号）价格扣减条件的供应商需提交）</w:t>
      </w:r>
    </w:p>
    <w:p w14:paraId="78A398CD">
      <w:pPr>
        <w:adjustRightInd w:val="0"/>
        <w:snapToGrid w:val="0"/>
        <w:rPr>
          <w:rFonts w:ascii="宋体" w:hAnsi="宋体" w:cs="宋体"/>
          <w:color w:val="auto"/>
          <w:highlight w:val="none"/>
        </w:rPr>
      </w:pPr>
      <w:bookmarkStart w:id="226" w:name="_Toc31582"/>
      <w:bookmarkStart w:id="227" w:name="_Toc8908"/>
      <w:bookmarkStart w:id="228" w:name="_Toc27653"/>
      <w:bookmarkStart w:id="229" w:name="_Toc32253"/>
    </w:p>
    <w:p w14:paraId="411CB5FC">
      <w:pPr>
        <w:pStyle w:val="7"/>
        <w:adjustRightInd w:val="0"/>
        <w:snapToGrid w:val="0"/>
        <w:spacing w:before="0" w:after="0"/>
        <w:rPr>
          <w:rFonts w:ascii="宋体" w:hAnsi="宋体" w:cs="宋体"/>
          <w:color w:val="auto"/>
          <w:highlight w:val="none"/>
        </w:rPr>
      </w:pPr>
      <w:bookmarkStart w:id="230" w:name="_Toc26022"/>
      <w:r>
        <w:rPr>
          <w:rFonts w:hint="eastAsia" w:ascii="宋体" w:hAnsi="宋体" w:cs="宋体"/>
          <w:color w:val="auto"/>
          <w:highlight w:val="none"/>
        </w:rPr>
        <w:t>监狱企业证明文件</w:t>
      </w:r>
      <w:bookmarkEnd w:id="226"/>
      <w:bookmarkEnd w:id="227"/>
      <w:bookmarkEnd w:id="228"/>
      <w:bookmarkEnd w:id="229"/>
      <w:bookmarkEnd w:id="230"/>
    </w:p>
    <w:p w14:paraId="19177203">
      <w:pPr>
        <w:adjustRightInd w:val="0"/>
        <w:snapToGrid w:val="0"/>
        <w:spacing w:line="360" w:lineRule="auto"/>
        <w:ind w:firstLine="444" w:firstLineChars="200"/>
        <w:rPr>
          <w:rFonts w:ascii="宋体" w:hAnsi="宋体" w:cs="宋体"/>
          <w:color w:val="auto"/>
          <w:spacing w:val="6"/>
          <w:szCs w:val="21"/>
          <w:highlight w:val="none"/>
        </w:rPr>
      </w:pPr>
      <w:r>
        <w:rPr>
          <w:rFonts w:hint="eastAsia" w:ascii="宋体" w:hAnsi="宋体" w:cs="宋体"/>
          <w:color w:val="auto"/>
          <w:spacing w:val="6"/>
          <w:szCs w:val="21"/>
          <w:highlight w:val="none"/>
        </w:rPr>
        <w:t>根据《财政部 司法部关于政府采购支持监狱企业发展有关问题的通知》（财库〔2014〕68号）的规定</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监狱企业是指由司法部认定的为罪犯、戒毒人员提供生产项目和劳动对象</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且全部产权属于司法部监狱管理局、戒毒管理局、直属煤矿管理局</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各省、自治区、直辖市监狱管理局、戒毒管理局</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各地（设区的市）监狱、强制隔离戒毒所、戒毒康复所</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以及新疆生产建设兵团监狱管理局、戒毒管理局的企业。</w:t>
      </w:r>
    </w:p>
    <w:p w14:paraId="28D908D7">
      <w:pPr>
        <w:adjustRightInd w:val="0"/>
        <w:snapToGrid w:val="0"/>
        <w:spacing w:line="360" w:lineRule="auto"/>
        <w:ind w:firstLine="444" w:firstLineChars="200"/>
        <w:rPr>
          <w:rFonts w:ascii="宋体" w:hAnsi="宋体" w:cs="宋体"/>
          <w:color w:val="auto"/>
          <w:spacing w:val="6"/>
          <w:szCs w:val="21"/>
          <w:highlight w:val="none"/>
        </w:rPr>
      </w:pPr>
      <w:r>
        <w:rPr>
          <w:rFonts w:hint="eastAsia" w:ascii="宋体" w:hAnsi="宋体" w:cs="宋体"/>
          <w:color w:val="auto"/>
          <w:spacing w:val="6"/>
          <w:szCs w:val="21"/>
          <w:highlight w:val="none"/>
        </w:rPr>
        <w:t>监狱企业参加政府采购活动时</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应当提供由省级以上监狱管理局、戒毒管理局（含新疆生产建设兵团）出具的属于监狱企业的证明文件。</w:t>
      </w:r>
    </w:p>
    <w:p w14:paraId="55D893B0">
      <w:pPr>
        <w:widowControl/>
        <w:adjustRightInd w:val="0"/>
        <w:snapToGrid w:val="0"/>
        <w:spacing w:line="360" w:lineRule="auto"/>
        <w:ind w:firstLine="562"/>
        <w:jc w:val="left"/>
        <w:rPr>
          <w:rFonts w:ascii="宋体" w:hAnsi="宋体" w:cs="宋体"/>
          <w:b/>
          <w:color w:val="auto"/>
          <w:sz w:val="28"/>
          <w:szCs w:val="28"/>
          <w:highlight w:val="none"/>
        </w:rPr>
      </w:pPr>
    </w:p>
    <w:p w14:paraId="65A0FAB6">
      <w:pPr>
        <w:widowControl/>
        <w:adjustRightInd w:val="0"/>
        <w:snapToGrid w:val="0"/>
        <w:spacing w:line="360" w:lineRule="auto"/>
        <w:ind w:firstLine="422"/>
        <w:jc w:val="left"/>
        <w:rPr>
          <w:rFonts w:ascii="宋体" w:hAnsi="宋体" w:cs="宋体"/>
          <w:b/>
          <w:color w:val="auto"/>
          <w:szCs w:val="21"/>
          <w:highlight w:val="none"/>
        </w:rPr>
      </w:pPr>
      <w:r>
        <w:rPr>
          <w:rFonts w:hint="eastAsia" w:ascii="宋体" w:hAnsi="宋体" w:cs="宋体"/>
          <w:b/>
          <w:color w:val="auto"/>
          <w:szCs w:val="21"/>
          <w:highlight w:val="none"/>
        </w:rPr>
        <w:t>注：符合条件的监狱企业在参加政府采购活动时</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应当按《财政部 司法部关于政府采购支持监狱企业发展有关问题的通知》（财库[2014]68号）提供规定的《监狱企业证明文件》</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并对声明的真实性负责。</w:t>
      </w:r>
    </w:p>
    <w:p w14:paraId="6051CAF5">
      <w:pPr>
        <w:keepNext/>
        <w:keepLines/>
        <w:adjustRightInd w:val="0"/>
        <w:snapToGrid w:val="0"/>
        <w:spacing w:line="360" w:lineRule="auto"/>
        <w:ind w:firstLine="422"/>
        <w:jc w:val="left"/>
        <w:rPr>
          <w:rFonts w:ascii="宋体" w:hAnsi="宋体" w:cs="宋体"/>
          <w:b/>
          <w:color w:val="auto"/>
          <w:sz w:val="28"/>
          <w:szCs w:val="28"/>
          <w:highlight w:val="none"/>
        </w:rPr>
      </w:pPr>
      <w:r>
        <w:rPr>
          <w:rFonts w:hint="eastAsia" w:ascii="宋体" w:hAnsi="宋体" w:cs="宋体"/>
          <w:b/>
          <w:color w:val="auto"/>
          <w:szCs w:val="21"/>
          <w:highlight w:val="none"/>
        </w:rPr>
        <w:br w:type="page"/>
      </w:r>
    </w:p>
    <w:p w14:paraId="0D0F12DD">
      <w:pPr>
        <w:tabs>
          <w:tab w:val="left" w:pos="5580"/>
        </w:tabs>
        <w:adjustRightInd w:val="0"/>
        <w:snapToGrid w:val="0"/>
        <w:spacing w:line="360" w:lineRule="auto"/>
        <w:jc w:val="left"/>
        <w:rPr>
          <w:rFonts w:ascii="宋体" w:hAnsi="宋体" w:cs="宋体"/>
          <w:b/>
          <w:bCs/>
          <w:color w:val="auto"/>
          <w:sz w:val="28"/>
          <w:szCs w:val="32"/>
          <w:highlight w:val="none"/>
        </w:rPr>
      </w:pPr>
      <w:r>
        <w:rPr>
          <w:rFonts w:hint="eastAsia" w:ascii="宋体" w:hAnsi="宋体" w:cs="宋体"/>
          <w:b/>
          <w:color w:val="auto"/>
          <w:sz w:val="28"/>
          <w:szCs w:val="28"/>
          <w:highlight w:val="none"/>
        </w:rPr>
        <w:t>格式</w:t>
      </w:r>
      <w:r>
        <w:rPr>
          <w:rFonts w:hint="eastAsia" w:ascii="宋体" w:hAnsi="宋体" w:cs="宋体"/>
          <w:b/>
          <w:bCs/>
          <w:color w:val="auto"/>
          <w:sz w:val="28"/>
          <w:szCs w:val="32"/>
          <w:highlight w:val="none"/>
        </w:rPr>
        <w:t>23</w:t>
      </w:r>
    </w:p>
    <w:p w14:paraId="43C56A9A">
      <w:pPr>
        <w:tabs>
          <w:tab w:val="left" w:pos="5580"/>
        </w:tabs>
        <w:adjustRightInd w:val="0"/>
        <w:snapToGrid w:val="0"/>
        <w:spacing w:line="360" w:lineRule="auto"/>
        <w:jc w:val="center"/>
        <w:rPr>
          <w:rFonts w:ascii="宋体" w:hAnsi="宋体" w:cs="宋体"/>
          <w:b/>
          <w:color w:val="auto"/>
          <w:sz w:val="28"/>
          <w:highlight w:val="none"/>
        </w:rPr>
      </w:pPr>
      <w:r>
        <w:rPr>
          <w:rFonts w:hint="eastAsia" w:ascii="宋体" w:hAnsi="宋体" w:cs="宋体"/>
          <w:b/>
          <w:color w:val="auto"/>
          <w:sz w:val="28"/>
          <w:highlight w:val="none"/>
        </w:rPr>
        <w:t>《残疾人福利性单位声明函》（符合《三部门联合发布关于促进残疾人就业政府采购政策的通知》（财库〔2017〕141号）价格扣减条件的供应商需提交）</w:t>
      </w:r>
    </w:p>
    <w:p w14:paraId="0F3A28A8">
      <w:pPr>
        <w:adjustRightInd w:val="0"/>
        <w:snapToGrid w:val="0"/>
        <w:rPr>
          <w:rFonts w:ascii="宋体" w:hAnsi="宋体" w:cs="宋体"/>
          <w:color w:val="auto"/>
          <w:highlight w:val="none"/>
        </w:rPr>
      </w:pPr>
      <w:bookmarkStart w:id="231" w:name="_Toc20217"/>
      <w:bookmarkStart w:id="232" w:name="_Toc18702"/>
      <w:bookmarkStart w:id="233" w:name="_Toc23059"/>
      <w:bookmarkStart w:id="234" w:name="_Toc5929"/>
    </w:p>
    <w:p w14:paraId="698705F1">
      <w:pPr>
        <w:pStyle w:val="7"/>
        <w:adjustRightInd w:val="0"/>
        <w:snapToGrid w:val="0"/>
        <w:spacing w:before="0" w:after="0"/>
        <w:rPr>
          <w:rFonts w:ascii="宋体" w:hAnsi="宋体" w:cs="宋体"/>
          <w:b w:val="0"/>
          <w:color w:val="auto"/>
          <w:spacing w:val="6"/>
          <w:highlight w:val="none"/>
        </w:rPr>
      </w:pPr>
      <w:bookmarkStart w:id="235" w:name="_Toc16184"/>
      <w:r>
        <w:rPr>
          <w:rFonts w:hint="eastAsia" w:ascii="宋体" w:hAnsi="宋体" w:cs="宋体"/>
          <w:color w:val="auto"/>
          <w:highlight w:val="none"/>
        </w:rPr>
        <w:t>残疾人福利性单位声明函</w:t>
      </w:r>
      <w:bookmarkEnd w:id="231"/>
      <w:bookmarkEnd w:id="232"/>
      <w:bookmarkEnd w:id="233"/>
      <w:bookmarkEnd w:id="234"/>
      <w:bookmarkEnd w:id="235"/>
    </w:p>
    <w:p w14:paraId="30CBF93E">
      <w:pPr>
        <w:adjustRightInd w:val="0"/>
        <w:snapToGrid w:val="0"/>
        <w:spacing w:line="360" w:lineRule="auto"/>
        <w:ind w:firstLine="444" w:firstLineChars="200"/>
        <w:rPr>
          <w:rFonts w:ascii="宋体" w:hAnsi="宋体" w:cs="宋体"/>
          <w:color w:val="auto"/>
          <w:spacing w:val="6"/>
          <w:szCs w:val="21"/>
          <w:highlight w:val="none"/>
        </w:rPr>
      </w:pPr>
      <w:r>
        <w:rPr>
          <w:rFonts w:hint="eastAsia" w:ascii="宋体" w:hAnsi="宋体" w:cs="宋体"/>
          <w:color w:val="auto"/>
          <w:spacing w:val="6"/>
          <w:szCs w:val="21"/>
          <w:highlight w:val="none"/>
        </w:rPr>
        <w:t>本单位郑重声明</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根据《财政部 民政部 中国残疾人联合会关于促进残疾人就业政府采购政策的通知》（财库</w:t>
      </w:r>
      <w:r>
        <w:rPr>
          <w:rFonts w:hint="eastAsia" w:ascii="宋体" w:hAnsi="宋体" w:cs="宋体"/>
          <w:color w:val="auto"/>
          <w:szCs w:val="21"/>
          <w:highlight w:val="none"/>
        </w:rPr>
        <w:t>〔2017〕 141</w:t>
      </w:r>
      <w:r>
        <w:rPr>
          <w:rFonts w:hint="eastAsia" w:ascii="宋体" w:hAnsi="宋体" w:cs="宋体"/>
          <w:color w:val="auto"/>
          <w:spacing w:val="6"/>
          <w:szCs w:val="21"/>
          <w:highlight w:val="none"/>
        </w:rPr>
        <w:t>号）的规定</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本单位为符合条件的残疾人福利性单位</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且本单位参加______单位的______项目采购活动提供本单位制造的货物（由本单位承担工程/提供服务）</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或者提供其他残疾人福利性单位制造的货物（不包括使用非残疾人福利性单位注册商标的货物）。</w:t>
      </w:r>
    </w:p>
    <w:p w14:paraId="0CA058FC">
      <w:pPr>
        <w:adjustRightInd w:val="0"/>
        <w:snapToGrid w:val="0"/>
        <w:spacing w:line="360" w:lineRule="auto"/>
        <w:ind w:firstLine="444" w:firstLineChars="200"/>
        <w:rPr>
          <w:rFonts w:ascii="宋体" w:hAnsi="宋体" w:cs="宋体"/>
          <w:color w:val="auto"/>
          <w:spacing w:val="6"/>
          <w:szCs w:val="21"/>
          <w:highlight w:val="none"/>
        </w:rPr>
      </w:pPr>
      <w:r>
        <w:rPr>
          <w:rFonts w:hint="eastAsia" w:ascii="宋体" w:hAnsi="宋体" w:cs="宋体"/>
          <w:color w:val="auto"/>
          <w:spacing w:val="6"/>
          <w:szCs w:val="21"/>
          <w:highlight w:val="none"/>
        </w:rPr>
        <w:t>本单位对上述声明的真实性负责。如有虚假</w:t>
      </w:r>
      <w:r>
        <w:rPr>
          <w:rFonts w:hint="eastAsia" w:ascii="宋体" w:hAnsi="宋体" w:cs="宋体"/>
          <w:color w:val="auto"/>
          <w:spacing w:val="6"/>
          <w:szCs w:val="21"/>
          <w:highlight w:val="none"/>
          <w:lang w:eastAsia="zh-CN"/>
        </w:rPr>
        <w:t>，</w:t>
      </w:r>
      <w:r>
        <w:rPr>
          <w:rFonts w:hint="eastAsia" w:ascii="宋体" w:hAnsi="宋体" w:cs="宋体"/>
          <w:color w:val="auto"/>
          <w:spacing w:val="6"/>
          <w:szCs w:val="21"/>
          <w:highlight w:val="none"/>
        </w:rPr>
        <w:t>将依法承担相应责任。</w:t>
      </w:r>
    </w:p>
    <w:p w14:paraId="681BC76E">
      <w:pPr>
        <w:adjustRightInd w:val="0"/>
        <w:snapToGrid w:val="0"/>
        <w:spacing w:line="360" w:lineRule="auto"/>
        <w:ind w:firstLine="444" w:firstLineChars="200"/>
        <w:rPr>
          <w:rFonts w:ascii="宋体" w:hAnsi="宋体" w:cs="宋体"/>
          <w:color w:val="auto"/>
          <w:spacing w:val="6"/>
          <w:szCs w:val="21"/>
          <w:highlight w:val="none"/>
        </w:rPr>
      </w:pPr>
    </w:p>
    <w:p w14:paraId="5443E35C">
      <w:pPr>
        <w:adjustRightInd w:val="0"/>
        <w:snapToGrid w:val="0"/>
        <w:spacing w:line="360" w:lineRule="auto"/>
        <w:ind w:firstLine="444" w:firstLineChars="200"/>
        <w:rPr>
          <w:rFonts w:ascii="宋体" w:hAnsi="宋体" w:cs="宋体"/>
          <w:color w:val="auto"/>
          <w:spacing w:val="6"/>
          <w:szCs w:val="21"/>
          <w:highlight w:val="none"/>
        </w:rPr>
      </w:pPr>
    </w:p>
    <w:p w14:paraId="3A6D1DAB">
      <w:pPr>
        <w:tabs>
          <w:tab w:val="left" w:pos="4860"/>
        </w:tabs>
        <w:adjustRightInd w:val="0"/>
        <w:snapToGrid w:val="0"/>
        <w:spacing w:line="360" w:lineRule="auto"/>
        <w:ind w:firstLine="444" w:firstLineChars="200"/>
        <w:jc w:val="center"/>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供应商：</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（加盖供应商电子公章）</w:t>
      </w:r>
    </w:p>
    <w:p w14:paraId="4DCB2FA0">
      <w:pPr>
        <w:tabs>
          <w:tab w:val="left" w:pos="4860"/>
        </w:tabs>
        <w:adjustRightInd w:val="0"/>
        <w:snapToGrid w:val="0"/>
        <w:spacing w:line="360" w:lineRule="auto"/>
        <w:ind w:firstLine="444" w:firstLineChars="200"/>
        <w:jc w:val="center"/>
        <w:rPr>
          <w:rFonts w:ascii="宋体" w:hAnsi="宋体" w:cs="宋体"/>
          <w:color w:val="auto"/>
          <w:spacing w:val="6"/>
          <w:szCs w:val="21"/>
          <w:highlight w:val="none"/>
        </w:rPr>
      </w:pPr>
      <w:r>
        <w:rPr>
          <w:rFonts w:hint="eastAsia" w:ascii="宋体" w:hAnsi="宋体" w:cs="宋体"/>
          <w:color w:val="auto"/>
          <w:spacing w:val="6"/>
          <w:szCs w:val="21"/>
          <w:highlight w:val="none"/>
        </w:rPr>
        <w:t xml:space="preserve"> </w:t>
      </w:r>
    </w:p>
    <w:p w14:paraId="6A4EA5BE">
      <w:pPr>
        <w:tabs>
          <w:tab w:val="left" w:pos="4860"/>
        </w:tabs>
        <w:adjustRightInd w:val="0"/>
        <w:snapToGrid w:val="0"/>
        <w:spacing w:line="360" w:lineRule="auto"/>
        <w:ind w:firstLine="444" w:firstLineChars="200"/>
        <w:jc w:val="center"/>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年</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月</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日</w:t>
      </w:r>
    </w:p>
    <w:p w14:paraId="026FE163">
      <w:pPr>
        <w:adjustRightInd w:val="0"/>
        <w:snapToGrid w:val="0"/>
        <w:spacing w:line="360" w:lineRule="auto"/>
        <w:ind w:firstLine="422"/>
        <w:rPr>
          <w:rFonts w:ascii="宋体" w:hAnsi="宋体" w:cs="宋体"/>
          <w:b/>
          <w:color w:val="auto"/>
          <w:szCs w:val="21"/>
          <w:highlight w:val="none"/>
        </w:rPr>
      </w:pPr>
    </w:p>
    <w:p w14:paraId="29506C0C">
      <w:pPr>
        <w:adjustRightInd w:val="0"/>
        <w:snapToGrid w:val="0"/>
        <w:spacing w:line="360" w:lineRule="auto"/>
        <w:ind w:firstLine="422"/>
        <w:rPr>
          <w:rFonts w:ascii="宋体" w:hAnsi="宋体" w:cs="宋体"/>
          <w:b/>
          <w:color w:val="auto"/>
          <w:szCs w:val="21"/>
          <w:highlight w:val="none"/>
        </w:rPr>
      </w:pPr>
    </w:p>
    <w:p w14:paraId="2346C781">
      <w:pPr>
        <w:adjustRightInd w:val="0"/>
        <w:snapToGrid w:val="0"/>
        <w:spacing w:line="360" w:lineRule="auto"/>
        <w:ind w:firstLine="422"/>
        <w:rPr>
          <w:rFonts w:ascii="宋体" w:hAnsi="宋体" w:cs="宋体"/>
          <w:b/>
          <w:color w:val="auto"/>
          <w:szCs w:val="21"/>
          <w:highlight w:val="none"/>
        </w:rPr>
      </w:pPr>
    </w:p>
    <w:p w14:paraId="228D9389">
      <w:pPr>
        <w:keepNext/>
        <w:keepLines/>
        <w:adjustRightInd w:val="0"/>
        <w:snapToGrid w:val="0"/>
        <w:spacing w:line="360" w:lineRule="auto"/>
        <w:ind w:firstLine="422"/>
        <w:jc w:val="left"/>
        <w:rPr>
          <w:rFonts w:ascii="宋体" w:hAnsi="宋体" w:cs="宋体"/>
          <w:b/>
          <w:color w:val="auto"/>
          <w:szCs w:val="21"/>
          <w:highlight w:val="none"/>
        </w:rPr>
      </w:pPr>
      <w:r>
        <w:rPr>
          <w:rFonts w:hint="eastAsia" w:ascii="宋体" w:hAnsi="宋体" w:cs="宋体"/>
          <w:b/>
          <w:color w:val="auto"/>
          <w:szCs w:val="21"/>
          <w:highlight w:val="none"/>
        </w:rPr>
        <w:t>注：符合条件的残疾人福利性单位在参加政府采购活动时</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应当按《三部门联合发布关于促进残疾人就业政府采购政策的通知》（财库〔2017〕141号）提供规定的《残疾人福利性单位声明函》</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并对声明的真实性负责。</w:t>
      </w:r>
    </w:p>
    <w:p w14:paraId="66DA9DEC">
      <w:pPr>
        <w:keepNext/>
        <w:keepLines/>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br w:type="page"/>
      </w:r>
      <w:bookmarkEnd w:id="218"/>
      <w:bookmarkEnd w:id="219"/>
      <w:bookmarkEnd w:id="220"/>
    </w:p>
    <w:bookmarkEnd w:id="166"/>
    <w:bookmarkEnd w:id="167"/>
    <w:bookmarkEnd w:id="168"/>
    <w:bookmarkEnd w:id="169"/>
    <w:bookmarkEnd w:id="170"/>
    <w:bookmarkEnd w:id="171"/>
    <w:bookmarkEnd w:id="172"/>
    <w:bookmarkEnd w:id="221"/>
    <w:bookmarkEnd w:id="222"/>
    <w:bookmarkEnd w:id="223"/>
    <w:bookmarkEnd w:id="224"/>
    <w:p w14:paraId="54C548C5">
      <w:pPr>
        <w:adjustRightInd w:val="0"/>
        <w:snapToGrid w:val="0"/>
        <w:spacing w:line="360" w:lineRule="auto"/>
        <w:rPr>
          <w:rFonts w:ascii="宋体" w:hAnsi="宋体" w:cs="宋体"/>
          <w:b/>
          <w:color w:val="auto"/>
          <w:sz w:val="28"/>
          <w:szCs w:val="28"/>
          <w:highlight w:val="none"/>
        </w:rPr>
      </w:pPr>
      <w:bookmarkStart w:id="236" w:name="_Toc491307301"/>
      <w:bookmarkStart w:id="237" w:name="_Toc491307363"/>
      <w:bookmarkStart w:id="238" w:name="_Toc491307483"/>
      <w:r>
        <w:rPr>
          <w:rFonts w:hint="eastAsia" w:ascii="宋体" w:hAnsi="宋体" w:cs="宋体"/>
          <w:b/>
          <w:color w:val="auto"/>
          <w:sz w:val="28"/>
          <w:szCs w:val="28"/>
          <w:highlight w:val="none"/>
        </w:rPr>
        <w:t>格式</w:t>
      </w:r>
      <w:bookmarkEnd w:id="236"/>
      <w:bookmarkEnd w:id="237"/>
      <w:bookmarkEnd w:id="238"/>
      <w:r>
        <w:rPr>
          <w:rFonts w:hint="eastAsia" w:ascii="宋体" w:hAnsi="宋体" w:cs="宋体"/>
          <w:b/>
          <w:color w:val="auto"/>
          <w:sz w:val="28"/>
          <w:szCs w:val="28"/>
          <w:highlight w:val="none"/>
        </w:rPr>
        <w:t>24</w:t>
      </w:r>
    </w:p>
    <w:p w14:paraId="65215936">
      <w:pPr>
        <w:keepNext/>
        <w:keepLines/>
        <w:adjustRightInd w:val="0"/>
        <w:snapToGrid w:val="0"/>
        <w:spacing w:line="360" w:lineRule="auto"/>
        <w:jc w:val="center"/>
        <w:outlineLvl w:val="1"/>
        <w:rPr>
          <w:rFonts w:ascii="宋体" w:hAnsi="宋体" w:cs="宋体"/>
          <w:b/>
          <w:bCs/>
          <w:color w:val="auto"/>
          <w:sz w:val="28"/>
          <w:szCs w:val="32"/>
          <w:highlight w:val="none"/>
        </w:rPr>
      </w:pPr>
      <w:bookmarkStart w:id="239" w:name="_Toc491307510"/>
      <w:bookmarkStart w:id="240" w:name="_Toc491307328"/>
      <w:bookmarkStart w:id="241" w:name="_Toc491307390"/>
      <w:r>
        <w:rPr>
          <w:rFonts w:hint="eastAsia" w:ascii="宋体" w:hAnsi="宋体" w:cs="宋体"/>
          <w:b/>
          <w:bCs/>
          <w:color w:val="auto"/>
          <w:sz w:val="28"/>
          <w:szCs w:val="32"/>
          <w:highlight w:val="none"/>
        </w:rPr>
        <w:t>构成响应文件的其他资料</w:t>
      </w:r>
      <w:bookmarkEnd w:id="239"/>
      <w:bookmarkEnd w:id="240"/>
      <w:bookmarkEnd w:id="241"/>
    </w:p>
    <w:p w14:paraId="66100D71">
      <w:pPr>
        <w:autoSpaceDE w:val="0"/>
        <w:autoSpaceDN w:val="0"/>
        <w:adjustRightInd w:val="0"/>
        <w:snapToGrid w:val="0"/>
        <w:spacing w:line="360" w:lineRule="auto"/>
        <w:textAlignment w:val="bottom"/>
        <w:rPr>
          <w:rFonts w:ascii="宋体" w:hAnsi="宋体" w:cs="宋体"/>
          <w:bCs/>
          <w:color w:val="auto"/>
          <w:szCs w:val="21"/>
          <w:highlight w:val="none"/>
        </w:rPr>
      </w:pPr>
      <w:r>
        <w:rPr>
          <w:rFonts w:hint="eastAsia" w:ascii="宋体" w:hAnsi="宋体" w:cs="宋体"/>
          <w:bCs/>
          <w:color w:val="auto"/>
          <w:szCs w:val="21"/>
          <w:highlight w:val="none"/>
        </w:rPr>
        <w:t>详见第二章《供应商须知前附表》第15.2条</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请自拟格式。</w:t>
      </w:r>
    </w:p>
    <w:p w14:paraId="3B0981D0">
      <w:pPr>
        <w:autoSpaceDE w:val="0"/>
        <w:autoSpaceDN w:val="0"/>
        <w:adjustRightInd w:val="0"/>
        <w:snapToGrid w:val="0"/>
        <w:spacing w:line="360" w:lineRule="auto"/>
        <w:textAlignment w:val="bottom"/>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1.谈判保证金交纳凭证或保函</w:t>
      </w:r>
      <w:r>
        <w:rPr>
          <w:rFonts w:hint="eastAsia" w:ascii="宋体" w:hAnsi="宋体" w:cs="宋体"/>
          <w:bCs/>
          <w:color w:val="auto"/>
          <w:szCs w:val="21"/>
          <w:highlight w:val="none"/>
          <w:lang w:eastAsia="zh-CN"/>
        </w:rPr>
        <w:t>；</w:t>
      </w:r>
    </w:p>
    <w:p w14:paraId="70C5AEFF">
      <w:pPr>
        <w:autoSpaceDE w:val="0"/>
        <w:autoSpaceDN w:val="0"/>
        <w:adjustRightInd w:val="0"/>
        <w:snapToGrid w:val="0"/>
        <w:spacing w:line="360" w:lineRule="auto"/>
        <w:textAlignment w:val="bottom"/>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2.第五章《采购需求》中要求提供的其他资料</w:t>
      </w:r>
      <w:r>
        <w:rPr>
          <w:rFonts w:hint="eastAsia" w:ascii="宋体" w:hAnsi="宋体" w:cs="宋体"/>
          <w:bCs/>
          <w:color w:val="auto"/>
          <w:szCs w:val="21"/>
          <w:highlight w:val="none"/>
          <w:lang w:eastAsia="zh-CN"/>
        </w:rPr>
        <w:t>；</w:t>
      </w:r>
    </w:p>
    <w:p w14:paraId="2E0B63CC">
      <w:pPr>
        <w:autoSpaceDE w:val="0"/>
        <w:autoSpaceDN w:val="0"/>
        <w:adjustRightInd w:val="0"/>
        <w:snapToGrid w:val="0"/>
        <w:spacing w:line="360" w:lineRule="auto"/>
        <w:textAlignment w:val="bottom"/>
        <w:rPr>
          <w:rFonts w:ascii="宋体" w:hAnsi="宋体" w:cs="宋体"/>
          <w:bCs/>
          <w:color w:val="auto"/>
          <w:szCs w:val="21"/>
          <w:highlight w:val="none"/>
        </w:rPr>
      </w:pPr>
      <w:r>
        <w:rPr>
          <w:rFonts w:hint="eastAsia" w:ascii="宋体" w:hAnsi="宋体" w:cs="宋体"/>
          <w:bCs/>
          <w:color w:val="auto"/>
          <w:szCs w:val="21"/>
          <w:highlight w:val="none"/>
        </w:rPr>
        <w:t>3.谈判文件中所涉及到的相关资料及证明文件或供应商认为必须提供的其他相关资料。</w:t>
      </w:r>
    </w:p>
    <w:p w14:paraId="10B10BA7">
      <w:pPr>
        <w:autoSpaceDE w:val="0"/>
        <w:autoSpaceDN w:val="0"/>
        <w:adjustRightInd w:val="0"/>
        <w:snapToGrid w:val="0"/>
        <w:spacing w:line="360" w:lineRule="auto"/>
        <w:ind w:firstLine="480"/>
        <w:textAlignment w:val="bottom"/>
        <w:rPr>
          <w:rFonts w:ascii="宋体" w:hAnsi="宋体" w:cs="宋体"/>
          <w:bCs/>
          <w:color w:val="auto"/>
          <w:szCs w:val="21"/>
          <w:highlight w:val="none"/>
        </w:rPr>
      </w:pPr>
      <w:r>
        <w:rPr>
          <w:rFonts w:hint="eastAsia" w:ascii="宋体" w:hAnsi="宋体" w:cs="宋体"/>
          <w:color w:val="auto"/>
          <w:sz w:val="24"/>
          <w:highlight w:val="none"/>
        </w:rPr>
        <w:br w:type="page"/>
      </w:r>
    </w:p>
    <w:p w14:paraId="40BA89B8">
      <w:pPr>
        <w:pStyle w:val="6"/>
        <w:snapToGrid w:val="0"/>
        <w:spacing w:line="360" w:lineRule="auto"/>
        <w:jc w:val="center"/>
        <w:rPr>
          <w:rFonts w:ascii="宋体" w:hAnsi="宋体" w:eastAsia="宋体" w:cs="宋体"/>
          <w:color w:val="auto"/>
          <w:sz w:val="36"/>
          <w:highlight w:val="none"/>
        </w:rPr>
      </w:pPr>
      <w:bookmarkStart w:id="242" w:name="_Toc26511"/>
      <w:bookmarkStart w:id="243" w:name="_Toc86124091"/>
      <w:r>
        <w:rPr>
          <w:rFonts w:hint="eastAsia" w:ascii="宋体" w:hAnsi="宋体" w:eastAsia="宋体" w:cs="宋体"/>
          <w:color w:val="auto"/>
          <w:sz w:val="32"/>
          <w:szCs w:val="32"/>
          <w:highlight w:val="none"/>
        </w:rPr>
        <w:t>第五章  采购需求</w:t>
      </w:r>
      <w:bookmarkEnd w:id="242"/>
      <w:bookmarkEnd w:id="243"/>
    </w:p>
    <w:p w14:paraId="55382D69">
      <w:pPr>
        <w:adjustRightInd w:val="0"/>
        <w:snapToGrid w:val="0"/>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说明：</w:t>
      </w:r>
    </w:p>
    <w:p w14:paraId="4C579343">
      <w:pPr>
        <w:adjustRightInd w:val="0"/>
        <w:snapToGrid w:val="0"/>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1</w:t>
      </w:r>
      <w:bookmarkStart w:id="244" w:name="_Toc491307332"/>
      <w:bookmarkStart w:id="245" w:name="_Toc491307394"/>
      <w:r>
        <w:rPr>
          <w:rFonts w:hint="eastAsia" w:ascii="宋体" w:hAnsi="宋体" w:cs="宋体"/>
          <w:bCs/>
          <w:color w:val="auto"/>
          <w:szCs w:val="21"/>
          <w:highlight w:val="none"/>
        </w:rPr>
        <w:t>.本章各项规格、技术条款和性能要求如出现引用某一特定的专利技术、商标、名称、设计、原产地或供应者等情况</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则仅起参考作用。供应商可选用实质上“相当于”或“优于”该参考技术规格要求的产品投报</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同时填写技术条款偏离表。关键技术响应应与竞争性谈判文件采购需求一致（或高于竞争性谈判文件所列采购需求）。</w:t>
      </w:r>
    </w:p>
    <w:p w14:paraId="3FA33AD5">
      <w:pPr>
        <w:adjustRightInd w:val="0"/>
        <w:snapToGrid w:val="0"/>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2.凡在“规格、技术条款、性能要求”中表述为“标配”或“标准配置”的设备</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供应商应在分项报价一览表中将其标配参数详细列明。</w:t>
      </w:r>
    </w:p>
    <w:p w14:paraId="37DBF64F">
      <w:pPr>
        <w:adjustRightInd w:val="0"/>
        <w:snapToGrid w:val="0"/>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3.供应商应保证其提供的货物、工程或者服务在采购人使用期间不受第三方可能提出的侵犯其所有权、知识产权、商标权、专利权、著作权等相关权利的起诉。</w:t>
      </w:r>
    </w:p>
    <w:p w14:paraId="30862A47">
      <w:pPr>
        <w:adjustRightInd w:val="0"/>
        <w:snapToGrid w:val="0"/>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4.供应商应对在项目服务的过程中</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涉及到甲方的工作信息等秘密内容进行保密。双方应共同对系统中涉及的技术情报和资料进行保密。</w:t>
      </w:r>
    </w:p>
    <w:p w14:paraId="331CAA45">
      <w:pPr>
        <w:adjustRightInd w:val="0"/>
        <w:snapToGrid w:val="0"/>
        <w:spacing w:line="360" w:lineRule="auto"/>
        <w:ind w:firstLine="420"/>
        <w:rPr>
          <w:rFonts w:ascii="宋体" w:hAnsi="宋体" w:cs="宋体"/>
          <w:color w:val="auto"/>
          <w:szCs w:val="21"/>
          <w:highlight w:val="none"/>
        </w:rPr>
      </w:pPr>
      <w:r>
        <w:rPr>
          <w:rFonts w:hint="eastAsia" w:ascii="宋体" w:hAnsi="宋体" w:cs="宋体"/>
          <w:bCs/>
          <w:color w:val="auto"/>
          <w:szCs w:val="21"/>
          <w:highlight w:val="none"/>
        </w:rPr>
        <w:t>5.本文件解释权归采购人、采购代理机构。</w:t>
      </w:r>
      <w:bookmarkEnd w:id="244"/>
      <w:bookmarkEnd w:id="245"/>
    </w:p>
    <w:p w14:paraId="0B218345">
      <w:pPr>
        <w:adjustRightInd w:val="0"/>
        <w:snapToGrid w:val="0"/>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br w:type="page"/>
      </w:r>
      <w:bookmarkStart w:id="246" w:name="_Toc496805400"/>
      <w:bookmarkStart w:id="247" w:name="_Toc86124092"/>
    </w:p>
    <w:p w14:paraId="692883EB">
      <w:pPr>
        <w:widowControl/>
        <w:shd w:val="clear" w:color="auto" w:fill="FFFFFF"/>
        <w:spacing w:line="360" w:lineRule="auto"/>
        <w:jc w:val="left"/>
        <w:rPr>
          <w:rFonts w:ascii="宋体" w:hAnsi="宋体" w:cs="宋体"/>
          <w:b/>
          <w:color w:val="auto"/>
          <w:sz w:val="24"/>
          <w:highlight w:val="none"/>
        </w:rPr>
      </w:pPr>
      <w:bookmarkStart w:id="248" w:name="_Toc489197876"/>
      <w:bookmarkStart w:id="249" w:name="_Toc489145772"/>
      <w:bookmarkStart w:id="250" w:name="_Toc488633637"/>
      <w:bookmarkStart w:id="251" w:name="_Toc439335030"/>
      <w:r>
        <w:rPr>
          <w:rFonts w:hint="eastAsia" w:ascii="宋体" w:hAnsi="宋体" w:cs="宋体"/>
          <w:b/>
          <w:color w:val="auto"/>
          <w:sz w:val="24"/>
          <w:highlight w:val="none"/>
        </w:rPr>
        <w:t>一、采购需求一览表</w:t>
      </w:r>
    </w:p>
    <w:tbl>
      <w:tblPr>
        <w:tblStyle w:val="42"/>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587"/>
        <w:gridCol w:w="1009"/>
        <w:gridCol w:w="2392"/>
        <w:gridCol w:w="720"/>
        <w:gridCol w:w="781"/>
        <w:gridCol w:w="1553"/>
      </w:tblGrid>
      <w:tr w14:paraId="392EE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654" w:type="dxa"/>
            <w:shd w:val="clear" w:color="000000" w:fill="FFFFFF"/>
            <w:vAlign w:val="center"/>
          </w:tcPr>
          <w:p w14:paraId="5517C095">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1587" w:type="dxa"/>
            <w:shd w:val="clear" w:color="000000" w:fill="FFFFFF"/>
            <w:vAlign w:val="center"/>
          </w:tcPr>
          <w:p w14:paraId="6FC2F07B">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是否为节能产品政府采购品目清单政府强制采购产品</w:t>
            </w:r>
          </w:p>
        </w:tc>
        <w:tc>
          <w:tcPr>
            <w:tcW w:w="1009" w:type="dxa"/>
            <w:shd w:val="clear" w:color="000000" w:fill="FFFFFF"/>
            <w:vAlign w:val="center"/>
          </w:tcPr>
          <w:p w14:paraId="34BDAE87">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是否接受进口产品</w:t>
            </w:r>
          </w:p>
        </w:tc>
        <w:tc>
          <w:tcPr>
            <w:tcW w:w="2392" w:type="dxa"/>
            <w:shd w:val="clear" w:color="000000" w:fill="FFFFFF"/>
            <w:vAlign w:val="center"/>
          </w:tcPr>
          <w:p w14:paraId="515628AA">
            <w:pPr>
              <w:spacing w:line="440" w:lineRule="exact"/>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eastAsia="zh-CN"/>
              </w:rPr>
              <w:t>产品（标的）名称</w:t>
            </w:r>
          </w:p>
        </w:tc>
        <w:tc>
          <w:tcPr>
            <w:tcW w:w="720" w:type="dxa"/>
            <w:shd w:val="clear" w:color="000000" w:fill="FFFFFF"/>
            <w:vAlign w:val="center"/>
          </w:tcPr>
          <w:p w14:paraId="0DDF98D1">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数量</w:t>
            </w:r>
          </w:p>
        </w:tc>
        <w:tc>
          <w:tcPr>
            <w:tcW w:w="781" w:type="dxa"/>
            <w:shd w:val="clear" w:color="000000" w:fill="FFFFFF"/>
            <w:vAlign w:val="center"/>
          </w:tcPr>
          <w:p w14:paraId="6646A166">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计量单位</w:t>
            </w:r>
          </w:p>
        </w:tc>
        <w:tc>
          <w:tcPr>
            <w:tcW w:w="1553" w:type="dxa"/>
            <w:shd w:val="clear" w:color="000000" w:fill="FFFFFF"/>
            <w:vAlign w:val="center"/>
          </w:tcPr>
          <w:p w14:paraId="403D6BFA">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单价最高限价（元）</w:t>
            </w:r>
          </w:p>
        </w:tc>
      </w:tr>
      <w:tr w14:paraId="72119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6803E2F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1587" w:type="dxa"/>
            <w:shd w:val="clear" w:color="000000" w:fill="FFFFFF"/>
            <w:vAlign w:val="center"/>
          </w:tcPr>
          <w:p w14:paraId="20B1BE4A">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否</w:t>
            </w:r>
          </w:p>
        </w:tc>
        <w:tc>
          <w:tcPr>
            <w:tcW w:w="1009" w:type="dxa"/>
            <w:shd w:val="clear" w:color="000000" w:fill="FFFFFF"/>
            <w:vAlign w:val="center"/>
          </w:tcPr>
          <w:p w14:paraId="050E764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否</w:t>
            </w:r>
          </w:p>
        </w:tc>
        <w:tc>
          <w:tcPr>
            <w:tcW w:w="2392" w:type="dxa"/>
            <w:shd w:val="clear" w:color="auto" w:fill="auto"/>
            <w:vAlign w:val="center"/>
          </w:tcPr>
          <w:p w14:paraId="4AF3BF54">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手持式无人机A套装</w:t>
            </w:r>
          </w:p>
        </w:tc>
        <w:tc>
          <w:tcPr>
            <w:tcW w:w="720" w:type="dxa"/>
            <w:shd w:val="clear" w:color="auto" w:fill="auto"/>
            <w:vAlign w:val="center"/>
          </w:tcPr>
          <w:p w14:paraId="34F15416">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781" w:type="dxa"/>
            <w:shd w:val="clear" w:color="auto" w:fill="auto"/>
            <w:vAlign w:val="center"/>
          </w:tcPr>
          <w:p w14:paraId="19880286">
            <w:pPr>
              <w:keepNext w:val="0"/>
              <w:keepLines w:val="0"/>
              <w:widowControl/>
              <w:suppressLineNumbers w:val="0"/>
              <w:jc w:val="center"/>
              <w:textAlignment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套</w:t>
            </w:r>
          </w:p>
        </w:tc>
        <w:tc>
          <w:tcPr>
            <w:tcW w:w="1553" w:type="dxa"/>
            <w:shd w:val="clear" w:color="000000" w:fill="FFFFFF"/>
            <w:vAlign w:val="center"/>
          </w:tcPr>
          <w:p w14:paraId="0C2AC89D">
            <w:pPr>
              <w:widowControl/>
              <w:spacing w:line="360" w:lineRule="auto"/>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Cs w:val="21"/>
                <w:highlight w:val="none"/>
                <w:lang w:val="en-US" w:eastAsia="zh-CN"/>
              </w:rPr>
              <w:t xml:space="preserve">98716.00 </w:t>
            </w:r>
          </w:p>
        </w:tc>
      </w:tr>
      <w:tr w14:paraId="5EC8E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257A558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1587" w:type="dxa"/>
            <w:shd w:val="clear" w:color="000000" w:fill="FFFFFF"/>
            <w:vAlign w:val="center"/>
          </w:tcPr>
          <w:p w14:paraId="7158FEA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否</w:t>
            </w:r>
          </w:p>
        </w:tc>
        <w:tc>
          <w:tcPr>
            <w:tcW w:w="1009" w:type="dxa"/>
            <w:shd w:val="clear" w:color="000000" w:fill="FFFFFF"/>
            <w:vAlign w:val="center"/>
          </w:tcPr>
          <w:p w14:paraId="4768240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否</w:t>
            </w:r>
          </w:p>
        </w:tc>
        <w:tc>
          <w:tcPr>
            <w:tcW w:w="2392" w:type="dxa"/>
            <w:shd w:val="clear" w:color="auto" w:fill="auto"/>
            <w:vAlign w:val="center"/>
          </w:tcPr>
          <w:p w14:paraId="4E219DC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手持式无人机B套装</w:t>
            </w:r>
          </w:p>
        </w:tc>
        <w:tc>
          <w:tcPr>
            <w:tcW w:w="720" w:type="dxa"/>
            <w:shd w:val="clear" w:color="auto" w:fill="auto"/>
            <w:vAlign w:val="center"/>
          </w:tcPr>
          <w:p w14:paraId="594D58D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781" w:type="dxa"/>
            <w:shd w:val="clear" w:color="auto" w:fill="auto"/>
            <w:vAlign w:val="center"/>
          </w:tcPr>
          <w:p w14:paraId="4C92FF5F">
            <w:pPr>
              <w:keepNext w:val="0"/>
              <w:keepLines w:val="0"/>
              <w:widowControl/>
              <w:suppressLineNumbers w:val="0"/>
              <w:jc w:val="center"/>
              <w:textAlignment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套</w:t>
            </w:r>
          </w:p>
        </w:tc>
        <w:tc>
          <w:tcPr>
            <w:tcW w:w="1553" w:type="dxa"/>
            <w:shd w:val="clear" w:color="000000" w:fill="FFFFFF"/>
            <w:vAlign w:val="center"/>
          </w:tcPr>
          <w:p w14:paraId="7AD2BE07">
            <w:pPr>
              <w:widowControl/>
              <w:spacing w:line="360" w:lineRule="auto"/>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Cs w:val="21"/>
                <w:highlight w:val="none"/>
                <w:lang w:val="en-US" w:eastAsia="zh-CN"/>
              </w:rPr>
              <w:t xml:space="preserve">104386.00 </w:t>
            </w:r>
          </w:p>
        </w:tc>
      </w:tr>
      <w:tr w14:paraId="39A01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54" w:type="dxa"/>
            <w:shd w:val="clear" w:color="auto" w:fill="auto"/>
            <w:vAlign w:val="center"/>
          </w:tcPr>
          <w:p w14:paraId="2E9365B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w:t>
            </w:r>
          </w:p>
        </w:tc>
        <w:tc>
          <w:tcPr>
            <w:tcW w:w="1587" w:type="dxa"/>
            <w:shd w:val="clear" w:color="000000" w:fill="FFFFFF"/>
            <w:vAlign w:val="center"/>
          </w:tcPr>
          <w:p w14:paraId="7A5D8C6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否</w:t>
            </w:r>
          </w:p>
        </w:tc>
        <w:tc>
          <w:tcPr>
            <w:tcW w:w="1009" w:type="dxa"/>
            <w:shd w:val="clear" w:color="000000" w:fill="FFFFFF"/>
            <w:vAlign w:val="center"/>
          </w:tcPr>
          <w:p w14:paraId="7DD0135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否</w:t>
            </w:r>
          </w:p>
        </w:tc>
        <w:tc>
          <w:tcPr>
            <w:tcW w:w="2392" w:type="dxa"/>
            <w:shd w:val="clear" w:color="auto" w:fill="auto"/>
            <w:vAlign w:val="center"/>
          </w:tcPr>
          <w:p w14:paraId="325263E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机场式无人机C套装</w:t>
            </w:r>
          </w:p>
        </w:tc>
        <w:tc>
          <w:tcPr>
            <w:tcW w:w="720" w:type="dxa"/>
            <w:shd w:val="clear" w:color="auto" w:fill="auto"/>
            <w:vAlign w:val="center"/>
          </w:tcPr>
          <w:p w14:paraId="4F27BFE8">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c>
          <w:tcPr>
            <w:tcW w:w="781" w:type="dxa"/>
            <w:shd w:val="clear" w:color="auto" w:fill="auto"/>
            <w:vAlign w:val="center"/>
          </w:tcPr>
          <w:p w14:paraId="46E04296">
            <w:pPr>
              <w:keepNext w:val="0"/>
              <w:keepLines w:val="0"/>
              <w:widowControl/>
              <w:suppressLineNumbers w:val="0"/>
              <w:jc w:val="center"/>
              <w:textAlignment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套</w:t>
            </w:r>
          </w:p>
        </w:tc>
        <w:tc>
          <w:tcPr>
            <w:tcW w:w="1553" w:type="dxa"/>
            <w:shd w:val="clear" w:color="000000" w:fill="FFFFFF"/>
            <w:vAlign w:val="center"/>
          </w:tcPr>
          <w:p w14:paraId="60565F4F">
            <w:pPr>
              <w:widowControl/>
              <w:spacing w:line="360" w:lineRule="auto"/>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Cs w:val="21"/>
                <w:highlight w:val="none"/>
                <w:lang w:val="en-US" w:eastAsia="zh-CN"/>
              </w:rPr>
              <w:t xml:space="preserve">838630.00 </w:t>
            </w:r>
          </w:p>
        </w:tc>
      </w:tr>
      <w:tr w14:paraId="04755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4" w:type="dxa"/>
            <w:shd w:val="clear" w:color="auto" w:fill="auto"/>
            <w:vAlign w:val="center"/>
          </w:tcPr>
          <w:p w14:paraId="010FF7D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w:t>
            </w:r>
          </w:p>
        </w:tc>
        <w:tc>
          <w:tcPr>
            <w:tcW w:w="1587" w:type="dxa"/>
            <w:vAlign w:val="center"/>
          </w:tcPr>
          <w:p w14:paraId="01AEE84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否</w:t>
            </w:r>
          </w:p>
        </w:tc>
        <w:tc>
          <w:tcPr>
            <w:tcW w:w="1009" w:type="dxa"/>
            <w:vAlign w:val="center"/>
          </w:tcPr>
          <w:p w14:paraId="7A4FED4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否</w:t>
            </w:r>
          </w:p>
        </w:tc>
        <w:tc>
          <w:tcPr>
            <w:tcW w:w="2392" w:type="dxa"/>
            <w:shd w:val="clear" w:color="auto" w:fill="auto"/>
            <w:vAlign w:val="center"/>
          </w:tcPr>
          <w:p w14:paraId="0753FFA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机场式无人机D套装</w:t>
            </w:r>
          </w:p>
        </w:tc>
        <w:tc>
          <w:tcPr>
            <w:tcW w:w="720" w:type="dxa"/>
            <w:shd w:val="clear" w:color="auto" w:fill="auto"/>
            <w:vAlign w:val="center"/>
          </w:tcPr>
          <w:p w14:paraId="7204484E">
            <w:pPr>
              <w:keepNext w:val="0"/>
              <w:keepLines w:val="0"/>
              <w:widowControl/>
              <w:suppressLineNumbers w:val="0"/>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c>
          <w:tcPr>
            <w:tcW w:w="781" w:type="dxa"/>
            <w:shd w:val="clear" w:color="auto" w:fill="auto"/>
            <w:vAlign w:val="center"/>
          </w:tcPr>
          <w:p w14:paraId="185DA2E7">
            <w:pPr>
              <w:keepNext w:val="0"/>
              <w:keepLines w:val="0"/>
              <w:widowControl/>
              <w:suppressLineNumbers w:val="0"/>
              <w:jc w:val="center"/>
              <w:textAlignment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套</w:t>
            </w:r>
          </w:p>
        </w:tc>
        <w:tc>
          <w:tcPr>
            <w:tcW w:w="1553" w:type="dxa"/>
            <w:shd w:val="clear" w:color="auto" w:fill="auto"/>
            <w:vAlign w:val="center"/>
          </w:tcPr>
          <w:p w14:paraId="55AA88FE">
            <w:pPr>
              <w:widowControl/>
              <w:spacing w:line="360" w:lineRule="auto"/>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Cs w:val="21"/>
                <w:highlight w:val="none"/>
                <w:lang w:val="en-US" w:eastAsia="zh-CN"/>
              </w:rPr>
              <w:t xml:space="preserve">278870.00 </w:t>
            </w:r>
          </w:p>
        </w:tc>
      </w:tr>
    </w:tbl>
    <w:p w14:paraId="418DD2F7">
      <w:pPr>
        <w:widowControl/>
        <w:shd w:val="clear" w:color="auto" w:fill="FFFFFF"/>
        <w:spacing w:line="360" w:lineRule="auto"/>
        <w:ind w:firstLine="482"/>
        <w:jc w:val="left"/>
        <w:rPr>
          <w:rFonts w:ascii="宋体" w:hAnsi="宋体" w:cs="宋体"/>
          <w:b/>
          <w:color w:val="auto"/>
          <w:sz w:val="24"/>
          <w:highlight w:val="none"/>
        </w:rPr>
      </w:pPr>
    </w:p>
    <w:p w14:paraId="30FEABFD">
      <w:pPr>
        <w:widowControl/>
        <w:shd w:val="clear" w:color="auto" w:fill="FFFFFF"/>
        <w:spacing w:line="360" w:lineRule="auto"/>
        <w:jc w:val="left"/>
        <w:rPr>
          <w:rFonts w:ascii="宋体" w:hAnsi="宋体" w:cs="宋体"/>
          <w:b/>
          <w:color w:val="auto"/>
          <w:sz w:val="24"/>
          <w:highlight w:val="none"/>
        </w:rPr>
      </w:pPr>
      <w:r>
        <w:rPr>
          <w:rFonts w:hint="eastAsia" w:ascii="宋体" w:hAnsi="宋体" w:cs="宋体"/>
          <w:b/>
          <w:color w:val="auto"/>
          <w:sz w:val="24"/>
          <w:highlight w:val="none"/>
        </w:rPr>
        <w:t>二、技术要求</w:t>
      </w:r>
    </w:p>
    <w:p w14:paraId="4A89989E">
      <w:pPr>
        <w:widowControl/>
        <w:shd w:val="clear" w:color="auto" w:fill="FFFFFF"/>
        <w:spacing w:line="360" w:lineRule="auto"/>
        <w:ind w:firstLine="420" w:firstLineChars="200"/>
        <w:jc w:val="left"/>
        <w:rPr>
          <w:rFonts w:ascii="宋体" w:hAnsi="宋体" w:cs="宋体"/>
          <w:b/>
          <w:color w:val="auto"/>
          <w:szCs w:val="21"/>
          <w:highlight w:val="none"/>
        </w:rPr>
      </w:pPr>
      <w:bookmarkStart w:id="252" w:name="_Toc9533"/>
      <w:bookmarkStart w:id="253" w:name="OLE_LINK6"/>
      <w:bookmarkStart w:id="254" w:name="OLE_LINK5"/>
      <w:r>
        <w:rPr>
          <w:rFonts w:hint="eastAsia" w:ascii="宋体" w:hAnsi="宋体" w:cs="宋体"/>
          <w:b/>
          <w:color w:val="auto"/>
          <w:szCs w:val="21"/>
          <w:highlight w:val="none"/>
        </w:rPr>
        <w:t>（一）采购标的需实现的功能或者目标</w:t>
      </w:r>
    </w:p>
    <w:p w14:paraId="5057A74E">
      <w:pPr>
        <w:widowControl/>
        <w:shd w:val="clear" w:color="auto" w:fill="FFFFFF"/>
        <w:spacing w:line="360" w:lineRule="auto"/>
        <w:ind w:firstLine="420" w:firstLineChars="200"/>
        <w:jc w:val="left"/>
        <w:rPr>
          <w:rFonts w:ascii="宋体" w:hAnsi="宋体" w:cs="宋体"/>
          <w:bCs/>
          <w:color w:val="auto"/>
          <w:szCs w:val="21"/>
          <w:highlight w:val="none"/>
        </w:rPr>
      </w:pPr>
      <w:r>
        <w:rPr>
          <w:rFonts w:hint="eastAsia" w:ascii="宋体" w:hAnsi="宋体" w:cs="宋体"/>
          <w:color w:val="auto"/>
          <w:kern w:val="0"/>
          <w:szCs w:val="21"/>
          <w:highlight w:val="none"/>
        </w:rPr>
        <w:t>本项目拟采购手持式无人机A套装、手持式无人机B套装、机场式无人机C套装、机场式无人机D套装，用于快速路况巡查与监控、高效处理交通事故等警务保障。</w:t>
      </w:r>
    </w:p>
    <w:p w14:paraId="1E416B32">
      <w:pPr>
        <w:widowControl/>
        <w:shd w:val="clear" w:color="auto" w:fill="FFFFFF"/>
        <w:spacing w:line="360" w:lineRule="auto"/>
        <w:ind w:firstLine="420" w:firstLineChars="200"/>
        <w:jc w:val="left"/>
        <w:rPr>
          <w:rFonts w:ascii="宋体" w:hAnsi="宋体" w:cs="宋体"/>
          <w:b/>
          <w:color w:val="auto"/>
          <w:szCs w:val="21"/>
          <w:highlight w:val="none"/>
        </w:rPr>
      </w:pPr>
      <w:r>
        <w:rPr>
          <w:rFonts w:hint="eastAsia" w:ascii="宋体" w:hAnsi="宋体" w:cs="宋体"/>
          <w:b/>
          <w:color w:val="auto"/>
          <w:szCs w:val="21"/>
          <w:highlight w:val="none"/>
        </w:rPr>
        <w:t>（二）采购标的需执行的国家相关标准、行业标准、地方标准或者其他标准、规范</w:t>
      </w:r>
    </w:p>
    <w:p w14:paraId="1E9ED9A2">
      <w:pPr>
        <w:widowControl/>
        <w:shd w:val="clear" w:color="auto" w:fill="FFFFFF"/>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按照国家相关标准、行业标准、地方标准或者其他标准、规范执行。</w:t>
      </w:r>
    </w:p>
    <w:p w14:paraId="62F376EA">
      <w:pPr>
        <w:widowControl/>
        <w:shd w:val="clear" w:color="auto" w:fill="FFFFFF"/>
        <w:spacing w:line="360" w:lineRule="auto"/>
        <w:ind w:firstLine="420" w:firstLineChars="200"/>
        <w:jc w:val="left"/>
        <w:rPr>
          <w:rFonts w:ascii="宋体" w:hAnsi="宋体" w:cs="宋体"/>
          <w:b/>
          <w:color w:val="auto"/>
          <w:szCs w:val="21"/>
          <w:highlight w:val="none"/>
        </w:rPr>
      </w:pPr>
      <w:r>
        <w:rPr>
          <w:rFonts w:hint="eastAsia" w:ascii="宋体" w:hAnsi="宋体" w:cs="宋体"/>
          <w:b/>
          <w:color w:val="auto"/>
          <w:szCs w:val="21"/>
          <w:highlight w:val="none"/>
        </w:rPr>
        <w:t>（三）采购标的需满足的质量、安全、技术规格、物理特性等要求</w:t>
      </w:r>
    </w:p>
    <w:p w14:paraId="5A52E1D4">
      <w:pPr>
        <w:pStyle w:val="12"/>
        <w:spacing w:beforeLines="0" w:line="360" w:lineRule="auto"/>
        <w:ind w:firstLine="422"/>
        <w:rPr>
          <w:rFonts w:hAnsi="宋体" w:cs="宋体"/>
          <w:bCs/>
          <w:color w:val="auto"/>
          <w:szCs w:val="21"/>
          <w:highlight w:val="none"/>
        </w:rPr>
      </w:pPr>
      <w:bookmarkStart w:id="255" w:name="_Hlk450145418"/>
      <w:bookmarkStart w:id="256" w:name="_Toc8965"/>
      <w:bookmarkStart w:id="257" w:name="_Toc452040039"/>
      <w:bookmarkStart w:id="258" w:name="_Toc418755636"/>
      <w:r>
        <w:rPr>
          <w:rFonts w:hint="eastAsia" w:hAnsi="宋体" w:cs="宋体"/>
          <w:b/>
          <w:bCs/>
          <w:color w:val="auto"/>
          <w:highlight w:val="none"/>
        </w:rPr>
        <w:t>注：第五章 采购需求 所有技术参数最新技术支持资料支持技术要求偏离表应答（包括产品技术白皮书或检验报告或图纸或印刷宣传彩页，不接受供应商自行印刷、打印或者手写的技术支持资料），采购需求有证明材料要求的以采购需求要求为准。凡不符合上述要求的，视为无效技术支持资料。</w:t>
      </w:r>
      <w:bookmarkEnd w:id="255"/>
      <w:bookmarkEnd w:id="256"/>
      <w:bookmarkEnd w:id="257"/>
      <w:bookmarkEnd w:id="258"/>
    </w:p>
    <w:bookmarkEnd w:id="248"/>
    <w:bookmarkEnd w:id="249"/>
    <w:bookmarkEnd w:id="250"/>
    <w:bookmarkEnd w:id="251"/>
    <w:bookmarkEnd w:id="252"/>
    <w:bookmarkEnd w:id="253"/>
    <w:bookmarkEnd w:id="254"/>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1030"/>
        <w:gridCol w:w="6643"/>
      </w:tblGrid>
      <w:tr w14:paraId="5912B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vAlign w:val="center"/>
          </w:tcPr>
          <w:p w14:paraId="5C600006">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序号</w:t>
            </w:r>
          </w:p>
        </w:tc>
        <w:tc>
          <w:tcPr>
            <w:tcW w:w="1030" w:type="dxa"/>
            <w:vAlign w:val="center"/>
          </w:tcPr>
          <w:p w14:paraId="52926C66">
            <w:pPr>
              <w:adjustRightInd w:val="0"/>
              <w:snapToGri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产品（标的）名称</w:t>
            </w:r>
          </w:p>
        </w:tc>
        <w:tc>
          <w:tcPr>
            <w:tcW w:w="6643" w:type="dxa"/>
            <w:vAlign w:val="center"/>
          </w:tcPr>
          <w:p w14:paraId="154B9133">
            <w:pPr>
              <w:adjustRightInd w:val="0"/>
              <w:snapToGrid w:val="0"/>
              <w:spacing w:line="360" w:lineRule="auto"/>
              <w:ind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★技术参数及性能要求</w:t>
            </w:r>
          </w:p>
        </w:tc>
      </w:tr>
      <w:tr w14:paraId="2D19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shd w:val="clear" w:color="auto" w:fill="auto"/>
            <w:vAlign w:val="center"/>
          </w:tcPr>
          <w:p w14:paraId="2FA3063B">
            <w:pPr>
              <w:widowControl/>
              <w:adjustRightInd w:val="0"/>
              <w:snapToGrid w:val="0"/>
              <w:spacing w:line="360" w:lineRule="auto"/>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1</w:t>
            </w:r>
          </w:p>
        </w:tc>
        <w:tc>
          <w:tcPr>
            <w:tcW w:w="1030" w:type="dxa"/>
            <w:shd w:val="clear" w:color="auto" w:fill="auto"/>
            <w:vAlign w:val="center"/>
          </w:tcPr>
          <w:p w14:paraId="1E1AD968">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手持式无人机A套装</w:t>
            </w:r>
          </w:p>
        </w:tc>
        <w:tc>
          <w:tcPr>
            <w:tcW w:w="6643" w:type="dxa"/>
            <w:shd w:val="clear" w:color="auto" w:fill="auto"/>
            <w:vAlign w:val="top"/>
          </w:tcPr>
          <w:p w14:paraId="5616A01D">
            <w:pPr>
              <w:keepNext w:val="0"/>
              <w:keepLines w:val="0"/>
              <w:widowControl/>
              <w:suppressLineNumbers w:val="0"/>
              <w:spacing w:line="360" w:lineRule="auto"/>
              <w:jc w:val="left"/>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每套包含：</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一、飞行器1架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（一）基础飞行性能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1、最大起飞重量：≥1400克；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2、飞行速度：最大上升速度≥10米/秒，最大下降速度8米±2米/秒，最大水平飞行速度≥21米/秒;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3、抗风能力：起飞降落阶段最大可承受风速≥12米/秒;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4、最大可倾斜角度：≥35°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5、悬停精度：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垂直：≤±0.1 米（视觉定位正常工作时）;≤± 0.5 米（GNSS 正常工作时）;≤± 0.1 米（RTK 正常工作时）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水平：≤± 0.3 米（视觉定位正常工作时）;≤± 0.5 米（GNSS 正常工作时）;≤± 0.1 米（RTK 正常工作时）；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6、GNSS：支持GPS + Galileo + BeiDou + GLONASS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（二）传感器与负载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1、飞行器广角相机（CMOS尺寸≥1/1.3英寸，有效像素≥4800万）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2、飞行器中长焦相机（CMOS尺寸≥1/1.3英寸，有效像素≥4800万）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3、长焦相机（CMOS尺寸≥1/1.5英寸，有效像素≥4800万）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4、飞行器变焦倍数：长焦≥16倍；混合变焦≥112倍；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5、飞行器支持全彩夜视；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6、热成像相机：（分辨率≥640×512，支持点测温与区域测温，数字变焦倍数≥28倍）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7、激光模块测距精度：1米至3米情况下（系统误差&lt;0.3米，随机误差&lt;0.1 米@1σ），其他距离情况下≤±（0.2+0.0015D）（D 代表测量距离，单位米）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8、飞行器支持三轴机械云台（俯仰、横滚、平移）；</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云台结构设计范围：机械限位（俯仰：至少包含（-140°至113°）范围，横滚：至少包含（-52°至52°）范围，平移：至少包含（-65°至65°）范围，软限位（俯仰：至少包含（-90°至35°）范围，横滚：至少包含（-47°至47°）范围，平移：至少包含（-60°至60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（2）云台可控转动范围：俯仰至少包含（-90°至35°）范围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（3）云台最大控制转速：≥100°/s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（4）云台角度抖动量：≤±0.007°</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9、飞行器支持全向避障；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（三）环境适应性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1、最大起飞海拔高度：≥</w:t>
            </w:r>
            <w:r>
              <w:rPr>
                <w:rFonts w:hint="eastAsia" w:ascii="宋体" w:hAnsi="宋体" w:cs="宋体"/>
                <w:i w:val="0"/>
                <w:iCs w:val="0"/>
                <w:color w:val="000000"/>
                <w:kern w:val="0"/>
                <w:sz w:val="21"/>
                <w:szCs w:val="21"/>
                <w:highlight w:val="none"/>
                <w:u w:val="none"/>
                <w:lang w:val="en-US" w:eastAsia="zh-CN" w:bidi="ar"/>
              </w:rPr>
              <w:t>6</w:t>
            </w:r>
            <w:r>
              <w:rPr>
                <w:rFonts w:hint="eastAsia" w:ascii="宋体" w:hAnsi="宋体" w:eastAsia="宋体" w:cs="宋体"/>
                <w:i w:val="0"/>
                <w:iCs w:val="0"/>
                <w:color w:val="000000"/>
                <w:kern w:val="0"/>
                <w:sz w:val="21"/>
                <w:szCs w:val="21"/>
                <w:highlight w:val="none"/>
                <w:u w:val="none"/>
                <w:lang w:val="en-US" w:eastAsia="zh-CN" w:bidi="ar"/>
              </w:rPr>
              <w:t>000米；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2、带配件最大工作海拔：≥4000米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3、工作环境温度：至少包含（-10℃至40℃）范围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（四）其他要求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1、飞行器实时图传质量：≥1080p/30fps；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2、最大信号有效距离：≥25公里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3、飞行器支持通过4G进行图传传输；</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二、飞行器遥控器1个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1、匹配对应型号的无人机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2、工作环境温度：至少包含（-20℃至50℃）范围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3、显示屏幕：分辨率1920×1200以上，屏幕尺寸≥7英寸</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4、电池续航：内置电池续航时间≥3.8小时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5、GNSS：支持GPS、Galileo、BeiDou</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6、重量：≤1.2千克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三、飞行器智能电池8块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1、电池容量：≥6700毫安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2、能量：≥95瓦时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3、重量：≤420克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4、最大充电功率：≥207瓦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5、单电池最大循环次数：≥200次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四、电池充电器1个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1、与无人机、电池适配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2、输出功率：≥100 瓦。同时使用时，其中一个接口的最大输出功率不小于 82 瓦，充电器会根据负载功率动态分配两个接口的输出功率。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3、工作环境温度：至少包含（5℃ 至 40℃）范围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4、智能充电管理器1个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5、工作环境温度：至少包含（5℃ 至 40℃）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6、能够适配电池充电器以及电池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五、MicroSD卡1张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1、能够安装到遥控器中</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2、容量：≥64GB</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3、读取速度：≥160MB/s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4、写入速度：≥100MB/s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5、工作温度：至少包含（- 25℃ 至 85℃）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六、适配飞行器云台保护罩1个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七、适配飞行器的专属桨叶5对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八、充电器适配的AC线1根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九、USB-C至USB-C数据线1根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十、USB-A至USB-C数据线1根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十一、飞行器装备箱1个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 具备 IP67 级防水防尘能力，抗 1 米跌落冲击；</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 能够收纳飞行器、遥控器、电池、充电器、充电管理器等设备。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十二、无人机涂装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按照国标《警用无人驾驶航空器外观制式涂装规范》（GA1732-2020）提供警用无人机涂装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十三、飞行器4G模块1个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支撑飞行器接入 4G 网络，为无人机提供高速稳定的网络服务，实现增强图传等多项功能。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十四、额度内维修保障服务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1、提供时长：大于等于两年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2、维修保障内容：机身（包含RTK模块）、配套云台相机、电池、遥控器、智能充电管理器，维修额度≥35000元。</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十五、第三者责任险</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1、提供时长：大于等于两年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2、提供额度：保额≥200万，单次限额≥100万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十六、提供主流通讯商物联网卡，支撑手控无人机视频回传。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1、提供时长：大于等于两年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十七、提供平台接入调试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根据采购人要求对无人机的部署、调试网络配置、软件安装配置、安全策略配置、故障恢复和备份、客户端设备调试、网络调试、视频存储调试等工作。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十八、无人机专用摩托车后备箱1个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提供与指定摩托车适配的后备箱，需收纳飞行器、备用电池、遥控器等设备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十九、喊话器与照明器1套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为飞行器提供喊话功能与照明功能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1、与飞行器适配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2、照明能力：100米情况下，照度≥4lux，50米情况下，照度≥16lux。支持俯仰角度、亮度调节，支持常亮、爆闪（红蓝）工作模式。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3、喊话能力：声压大于等于114分贝，广播距离大于等于300米。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4、云台可转动控制范围：至少包含（-90°至30°）范围。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5、工作环境温度：至少包含（-10°至50°）范围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二十、移动操控装备1套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包含操控背心与操控平台，背心前幅背带可挂载对讲机、执法记录仪等并有夜间标识，背心后幅采用透气网布且有反光标识。操控平台包可收纳无人机操控器，可拓展位置操作遥控器，减轻负重、解放双手。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与对应飞行器适配。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二十一、指挥中心虚拟驾驶座舱1台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1、主要功能：针对无人机，在飞行中可进入该无人机的飞行虚拟驾驶舱，对无人机下达指令，操控无人机相机、喊话器、爆闪灯等载荷。</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2、硬件参数：CPU（核心数≥20核，线程≥28，性能核最大睿频≥5.6GHz，能效核最大睿频≥4.3GHz，L2缓存≥28MB，L3缓存≥33MB）、显卡（CUDA核心数≥6000，RT Cores≥48，显存位宽≥192bit,Tensor≥192，显存≥12GB）、硬盘512GB SSD+2TB HDD及以上、内存≥ 32GB。</w:t>
            </w:r>
          </w:p>
        </w:tc>
      </w:tr>
      <w:tr w14:paraId="5CC31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shd w:val="clear" w:color="auto" w:fill="auto"/>
            <w:vAlign w:val="center"/>
          </w:tcPr>
          <w:p w14:paraId="5247C22C">
            <w:pPr>
              <w:widowControl/>
              <w:adjustRightInd w:val="0"/>
              <w:snapToGrid w:val="0"/>
              <w:spacing w:line="360" w:lineRule="auto"/>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2</w:t>
            </w:r>
          </w:p>
        </w:tc>
        <w:tc>
          <w:tcPr>
            <w:tcW w:w="1030" w:type="dxa"/>
            <w:shd w:val="clear" w:color="auto" w:fill="auto"/>
            <w:vAlign w:val="center"/>
          </w:tcPr>
          <w:p w14:paraId="322AE47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手持式无人机B套装</w:t>
            </w:r>
          </w:p>
        </w:tc>
        <w:tc>
          <w:tcPr>
            <w:tcW w:w="6643" w:type="dxa"/>
            <w:shd w:val="clear" w:color="auto" w:fill="auto"/>
            <w:vAlign w:val="top"/>
          </w:tcPr>
          <w:p w14:paraId="41084051">
            <w:pPr>
              <w:keepNext w:val="0"/>
              <w:keepLines w:val="0"/>
              <w:widowControl/>
              <w:suppressLineNumbers w:val="0"/>
              <w:spacing w:line="360" w:lineRule="auto"/>
              <w:jc w:val="left"/>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每套包含：</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一、飞行器1架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（一）基础飞行性能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1、最大起飞重量：≥1400克；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2、飞行速度：最大上升速度≥10米/秒，最大下降速度8米±2米/秒，最大水平飞行速度≥21米/秒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3、最长飞行时间（无风环境）：≥49分钟；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4、抗风能力：起飞降落阶段最大可承受风速≥12米/秒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5、最大可倾斜角度：≥35°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6、悬停精度：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垂直：≤±0.1米（视觉定位正常工作时）;≤±0.5米（GNSS正常工作时）;≤±0.1米（RTK正常工作时）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水平：≤±0.3米（视觉定位正常工作时）;≤±0.5米（GNSS 正常工作时）;≤±0.1米（RTK 正常工作时）；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7、GNSS：支持GPS + Galileo + BeiDou + GLONASS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（二）传感器与负载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1、飞行器广角相机（CMOS尺寸≥4/3英寸，有效像素≥2000万）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2、飞行器中长焦相机（CMOS尺寸≥1/1.3英寸，有效像素≥4800万）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3、长焦相机（CMOS尺寸≥1/1.5英寸，有效像素≥4800万）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4、飞行器变焦倍数：长焦≥16倍；混合变焦≥112倍；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5、飞行器支持全彩夜视；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6、激光模块测距精度：1米至3米情况下（系统误差&lt;0.3米，随机误差&lt;0.1 米@1σ），其他距离情况下≤±（0.2+0.0015D）（D 代表测量距离，单位米）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7、飞行器支持三轴机械云台（俯仰、横滚、平移）；</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云台结构设计范围：机械限位（俯仰：至少包含（-140°至50°）范围，横滚至少包含（-52°至52°）范围，平移至少包含（-65°至65°）范围，软限位（俯仰：至少包含（-90°至35°）范围，横滚：至少包含（-47°至47°）范围，平移：至少包含（-60°至60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（2）云台可控转动范围：俯仰至少包含（-90°至35°）范围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（3）云台最大控制转速：≥100°/s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（4）云台角度抖动量：≤±0.007°</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8、飞行器支持全向避障；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（三）、环境适应性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1、最大起飞海拔高度：≥</w:t>
            </w:r>
            <w:r>
              <w:rPr>
                <w:rFonts w:hint="eastAsia" w:ascii="宋体" w:hAnsi="宋体" w:cs="宋体"/>
                <w:i w:val="0"/>
                <w:iCs w:val="0"/>
                <w:color w:val="000000"/>
                <w:kern w:val="0"/>
                <w:sz w:val="21"/>
                <w:szCs w:val="21"/>
                <w:highlight w:val="none"/>
                <w:u w:val="none"/>
                <w:lang w:val="en-US" w:eastAsia="zh-CN" w:bidi="ar"/>
              </w:rPr>
              <w:t>6</w:t>
            </w:r>
            <w:r>
              <w:rPr>
                <w:rFonts w:hint="eastAsia" w:ascii="宋体" w:hAnsi="宋体" w:eastAsia="宋体" w:cs="宋体"/>
                <w:i w:val="0"/>
                <w:iCs w:val="0"/>
                <w:color w:val="000000"/>
                <w:kern w:val="0"/>
                <w:sz w:val="21"/>
                <w:szCs w:val="21"/>
                <w:highlight w:val="none"/>
                <w:u w:val="none"/>
                <w:lang w:val="en-US" w:eastAsia="zh-CN" w:bidi="ar"/>
              </w:rPr>
              <w:t>000米；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2、带配件最大工作海拔：≥4000米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3、工作环境温度：至少包含（-10℃至40℃）范围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（四）其他要求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1、飞行器实时图传质量：≥1080p/30fps；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2、最大信号有效距离：≥25公里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3、飞行器支持通过4G进行图传传输；</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二、飞行器遥控器1个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1、匹配对应型号的无人机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2、工作环境温度：大于等于（-20℃至50℃）范围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3、显示屏幕：分辨率1920×1200以上，屏幕尺寸≥7英寸</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4、电池续航：内置滇池续航时间≥3.8小时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5、5GNSS：支持GPS、Galileo、BeiDou</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三、飞行器智能电池8块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1、电池容量：≥6700毫安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2、能量：≥95瓦时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3、重量：≤420克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4、最大充电功率：≥207瓦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5、单电池最大循环次数：≥200次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四、电池充电器1个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1、与无人机、电池适配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2、输出功率：≥100 瓦。同时使用时，其中一个接口的最大输出功率不小于 82 瓦，充电器会根据负载功率动态分配两个接口的输出功率。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3、工作环境温度：至少包含5℃ 至 40℃范围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4、智能充电管理器1个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5、工作环境温度：至少包含5℃ 至 40℃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6、能够适配电池充电器以及电池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五、MicroSD卡1张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1、能够安装到遥控器中</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2、容量：≥64GB</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3、读取速度：≥160MB/s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4、写入速度：≥100MB/s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5、工作温度：至少包含- 25℃ 至 85℃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六、适配飞行器云台保护罩1个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七、适配飞行器的专属桨叶5对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八、充电器适配的AC线一根1根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九、USB-C至USB-C数据线1根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十、USB-A至USB-C数据线1根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十一、飞行器装备箱1个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 具备 IP67 级防水防尘能力，抗 1 米跌落冲击；</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 能够收纳飞行器、遥控器、电池、充电器、充电管理器等设备。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十二、无人机涂装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按照国标《警用无人驾驶航空器外观制式涂装规范》（GA1732-2020）提供警用无人机涂装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十三、飞行器4G模块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支撑飞行器接入 4G 网络，为无人机提供高速稳定的网络服务，实现增强图传等多项功能。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十四、额度内维修保障服务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1、提供时长：大于等于两年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2、维修保障内容：机身（包含RTK模块）、配套云台相机、电池、遥控器、智能充电管理器，维修额度≥24500元。</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十五、第三者责任险</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1、提供时长：大于等于两年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2、提供额度：保额≥200万，单次限额≥100万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十六、提供主流通讯商物联网卡，支撑手控无人机视频回传。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1、提供时长：大于等于两年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十七、提供平台接入调试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根据采购人要求无人机的部署、调试网络配置、软件安装配置、安全策略配置、故障恢复和备份、客户端设备调试、网络调试、视频存储调试等工作。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十八、无人机专用摩托车后备箱1个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提供与指定摩托车适配的后备箱，需收纳飞行器、备用电池、遥控器等设备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十九、喊话器与照明器1套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为飞行器提供喊话功能与照明功能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1、与飞行器适配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2、照明能力：100米情况下，照度≥4lux，50米情况下，照度≥16lux。支持俯仰角度、亮度调节，支持常亮、爆闪（红蓝）工作模式。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3、喊话能力：声压大于等于114分贝，广播距离大于等于300米。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4、云台可转动控制范围：至少包含（-90°至30°）范围。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5、工作环境温度：至少包含（-10°至50°）范围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二十、移动操控装备1套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包含操控背心与操控平台，背心前幅背带可挂载对讲机、执法记录仪等并有夜间标识，背心后幅采用透气网布且有反光标识。操控平台包可收纳无人机操控器，可拓展位置操作遥控器，减轻负重、解放双手。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与对应飞行器适配。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二十一、事故绘图软件及设备1套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1、绘图软件：符合最新版公安部GA/T 1382-2018国标要求，内嵌勘查笔录，讯问笔录，询问笔录等文书。能够通过图像处理、测量和判读，自动生成测量数据，通过AI自动识别车辆所需标注位置，自动生成所需标注数据、痕迹长度及散落物面积等。可在事故照片上相应事故现场位置添加车辆地物等图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2、绘图设备：支撑民警在事故现场绘制事故图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 设备尺寸：≤270mm×180mm×7毫米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 网络：支持WIfi；</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 内存容量：≥256GB</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 运行内存：≥12GB</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 屏幕分辨率：≥2800×1840</w:t>
            </w:r>
          </w:p>
        </w:tc>
      </w:tr>
      <w:tr w14:paraId="77C85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9" w:type="dxa"/>
            <w:shd w:val="clear" w:color="auto" w:fill="auto"/>
            <w:vAlign w:val="center"/>
          </w:tcPr>
          <w:p w14:paraId="130A6138">
            <w:pPr>
              <w:widowControl/>
              <w:adjustRightInd w:val="0"/>
              <w:snapToGrid w:val="0"/>
              <w:spacing w:line="360" w:lineRule="auto"/>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3</w:t>
            </w:r>
          </w:p>
        </w:tc>
        <w:tc>
          <w:tcPr>
            <w:tcW w:w="1030" w:type="dxa"/>
            <w:shd w:val="clear" w:color="auto" w:fill="auto"/>
            <w:vAlign w:val="center"/>
          </w:tcPr>
          <w:p w14:paraId="09CC29C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机场式无人机C套装</w:t>
            </w:r>
          </w:p>
        </w:tc>
        <w:tc>
          <w:tcPr>
            <w:tcW w:w="6643" w:type="dxa"/>
            <w:shd w:val="clear" w:color="auto" w:fill="auto"/>
            <w:vAlign w:val="top"/>
          </w:tcPr>
          <w:p w14:paraId="0370F8E7">
            <w:pPr>
              <w:keepNext w:val="0"/>
              <w:keepLines w:val="0"/>
              <w:widowControl/>
              <w:suppressLineNumbers w:val="0"/>
              <w:spacing w:line="360" w:lineRule="auto"/>
              <w:jc w:val="left"/>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每套包含：</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一、机巢1台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 防护等级：≥IP56</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 最大运行海拔高度≥4500 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3、最大允许降落风速≥12米/秒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 舱盖直播相机分辨率：≥1920×1080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 舱内直播相机分辨率：≥1920×1080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 配套传感器：包含风速传感器、雨量传感器、环境温度传感器、水浸传感器、舱内温度传感器、舱内湿度传感器；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 支持外接交换机进行数据通信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 工作温度：至少包含（-30°C 至 50°C）范围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 支持开盖即飞功能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10、 设备支持通过4G联网接入；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11、 RTK基站定位精度：水平≤1 cm + 1 ppm（RMS），垂直≤2 cm + 1 ppm（RMS）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12、 机场内含备用电池，电池容量≥12安时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二、飞行器1架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（一）基础飞行性能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1、最大起飞重量：≥2080克；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2、飞行速度：最大上升速度≥10米/秒，最大下降速度8米±2米/秒，最大水平飞行速度≥21米/秒;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3、抗风能力：起飞降落阶段最大可承受风速≥12米/秒;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4、最大可倾斜角度：≥30°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5、最大旋转角速度：≥200°/秒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6、悬停精度：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垂直：≤±0.1 米（视觉定位正常工作时）;≤± 0.5 米（GNSS 正常工作时）;≤± 0.1 米（RTK 正常工作时）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水平：≤± 0.3 米（视觉定位正常工作时）;≤± 0.5 米（GNSS 正常工作时）;≤± 0.1 米（RTK 正常工作时）；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7、GNSS：支持GPS + BeiDou + Galileo + QZSS + GLONASS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8、最长飞行时间：≥50分钟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9、最大作业半径：≥10公里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（二）传感器与负载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1、飞行器广角相机（CMOS尺寸≥1/1.3英寸，有效像素≥4800万）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2、飞行器中长焦相机（CMOS尺寸≥1/1.3英寸，有效像素≥4800万）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3、长焦相机（CMOS尺寸≥1/1.5英寸，有效像素≥4800万）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4、飞行器变焦倍数：长焦≥16倍；混合变焦≥112倍；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5、飞行器支持全彩夜视；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6、热成像相机：（分辨率≥640×512，支持点测温与区域测温，数字变焦倍数≥28倍）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7、激光模块测距精度：1米至3米情况下（系统误差&lt;0.3米，随机误差&lt;0.1 米@1σ），其他距离情况下≤±（0.2+0.0015D）（目标物距离，单位米）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8、飞行器支持三轴机械云台（俯仰、横滚、平移）；</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（1）云台结构设计范围：机械限位（俯仰：至少包含（-140°至+113°）范围，横滚：至少包含（-52°至+52°），平移：至少包含（-65°至+65°）范围）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（2）云台可控转动范围：俯仰至少包含（-90°至+90°）范围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（3）云台最大控制转速：≥100°/s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（4）云台角度抖动量：≤±0.005°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9、飞行器支持全向避障；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（三）、环境适应性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1、最大起飞海拔高度：≥6500米；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2、工作环境温度：至少包含（-20℃至50℃）范围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3、飞行器包含夜航灯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4、防护等级：≥IP55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（四）其他要求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1、飞行器实时图传质量：≥1080p/30fps；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2、最大信号有效距离：≥25公里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3、飞行器支持通过4G进行图传传输；</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三、无人机智能电池4块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1、容量≥6750毫安时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2、充电环境温度：至少包含（5℃至45℃）范围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3、最大充电功率：≥1.8C</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4、单块电池循环次数：400次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5、支持低温充电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6、重量：≤650克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四、MicroSD卡1张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1、能够安装到飞行器中</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2、容量：≥64GB</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3、读取速度：≥160MB/s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4、写入速度：≥100MB/s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5、工作温度：至少包含- 25℃ 至 85℃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五、无人机云台保护罩（1个）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六、无人机静音抗结冰浆叶（4对）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七、充电线AC线一根（1根）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八、USB-C至USB-C数据线（1根）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九、无人机、机巢涂装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按照国标《警用无人驾驶航空器外观制式涂装规范》（GA1732-2020）提供警用无人机涂装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十、额度内维修保障服务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1、提供时长：≥2年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2、维修保障内容：机身（包含RTK模块）、机巢，以及配套云台相机、电池、遥控器、智能充电管理器等，每年提供更换2块电池服务，飞行器维修额度≥43600元，机巢维修额度≥73000元。</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十一、第三者责任险</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1、提供时长：≥2年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2、保额≥200万，单次限额≥100万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十二、平台接入调试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根据采购人要求开展无人机的部署、调试网络配置、软件安装配置、安全策略配置、故障恢复和备份、客户端设备调试、网络调试、视频存储调试等工作。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十三、部署施工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根据服务采购人需求，结合实际环境选择合适的路灯杆、岗亭、楼房或其他采购人认可部位进行机坪部署。工作包含机巢底座基础施工，强、弱电安装，设备安装调试，含设备联调，数据回传测试等。设施安全保障部署，含防雷、接地、配电箱等，具体要求如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（1）供应商选点能满足无人机充电和数据传输要求；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（2）供应商提供部署方案和选址勘查、基础环境搭建、土建施工、机场和无人机的部署等服务；包括布点勘察、施工设计、部署调试，涉及高车占道施工、道路开挖，光迁敷设，将无人机设备接入到专网。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十四、喊话器与照明器1套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为飞行器提供喊话功能与照明功能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1、与飞行器适配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2、照明能力：100米情况下，照度≥4lux，50米情况下，照度≥16lux。支持俯仰角度、亮度调节，支持常亮、爆闪（红蓝）工作模式。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3、喊话能力：声压大于等于114分贝，广播距离大于等于300米。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4、云台可转动控制范围：至少包含（-90°至30°）范围。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5、工作环境温度：至少包含（-10°至50°）范围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十五、中继站1台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提升无人机控制与图像传输信号能力。</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1、卫星接收：支持GPS、BDS、Galileo、GLONASS、QZSS、L-Band</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2、系统精度：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基站模式或中继站模式下：基站定位误差（水平≤1.5米（RMS），垂直≤3.0米（RMS）），星基查分精度（水平≤30厘米(RMS)、垂直≤40厘米（RMS）），网络RTK标定（水平≤1厘米（RMS）+1ppm，垂直≤3.0厘米（RMS）+1ppm）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3、基准站最大信号有效距离（中继站与飞行器）：≥15公里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4、中继站模式最大信号有效距离：中继站与飞行器距离≥25公里，中继站与机巢/遥控器距离≥1公里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5、内置电池：容量≥6500毫安时，能量≥46.8瓦时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6、最大工作海拔：≥</w:t>
            </w:r>
            <w:r>
              <w:rPr>
                <w:rFonts w:hint="eastAsia" w:ascii="宋体" w:hAnsi="宋体" w:cs="宋体"/>
                <w:i w:val="0"/>
                <w:iCs w:val="0"/>
                <w:color w:val="000000"/>
                <w:kern w:val="0"/>
                <w:sz w:val="21"/>
                <w:szCs w:val="21"/>
                <w:highlight w:val="none"/>
                <w:u w:val="none"/>
                <w:lang w:val="en-US" w:eastAsia="zh-CN" w:bidi="ar"/>
              </w:rPr>
              <w:t>6</w:t>
            </w:r>
            <w:r>
              <w:rPr>
                <w:rFonts w:hint="eastAsia" w:ascii="宋体" w:hAnsi="宋体" w:eastAsia="宋体" w:cs="宋体"/>
                <w:i w:val="0"/>
                <w:iCs w:val="0"/>
                <w:color w:val="000000"/>
                <w:kern w:val="0"/>
                <w:sz w:val="21"/>
                <w:szCs w:val="21"/>
                <w:highlight w:val="none"/>
                <w:u w:val="none"/>
                <w:lang w:val="en-US" w:eastAsia="zh-CN" w:bidi="ar"/>
              </w:rPr>
              <w:t>000米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7、防护性能：≥IP67</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十六、飞控平台一体机1台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主要功能：可实现飞控平台的应用基础功能、视频监控功能、违法取证功能和交通巡逻功能；基本功能包括无人机注册接入、无人机管理、飞手管理、系统权限等，视频监控功能包括飞行视频监控、飞行任务调度等，违法取证功能包括违法取证设备备案、违法道路维护、违法初筛、违法查询等，交通巡逻功能包括交通巡逻监控、飞行记录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2、硬件要求：Centos7.X系统，X86架构：CPU：2颗12核最高主频3.3GHz及以上；内存：64G及以上；硬盘：2块1.8TB  SAS 10K企业级硬盘及以上；独立RAID卡；网络：2个千兆网卡及以上；1+1冗余热插拔电源。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十七、飞控平台与公安集指平台交换终端1台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主要功能：一是按照无人机开放协议接口接收无人机视频流，统一按照GB/T28181标准规定的公共安全视频监控联网系统的互联结构，传输、交换、控制的基本要求的安全性要求处理，并接入公安网集成指挥平台的视频接入网关；二是按照无人机开放协议接口接收无人机飞行参数信息，统一接入公安网集成指挥平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2、硬件要求：Centos7.X系统，X86架构：CPU：2颗12核最高主频3.3GHz及以上；内存：64G及以上；硬盘：2块1.8TB  SAS 10K企业级硬盘及以上；独立RAID卡；网络：2个千兆网卡及以上；1+1冗余热插拔电源。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十八、无人机数据大脑1台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 主要功能：主要实现存储直连无人机的数据包括手飞式无人机、机巢式无人机、云台相机、飞行载荷采集的数据。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 硬件参数：CPU:16核最高主频3.4GHz CPU 及以上x2；内存:128GB及以上；硬盘: 2块1.92GB SSD，6块4TB企业级硬盘及以上；独立RAID卡，2GB缓存及以上；网卡:2个千兆网口；高性能 HBA卡(或2个万兆光模块+16口千兆电、28口万兆光纤交换机)；1+1冗余热插拔电源。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十九、视频分析一体机1台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1、识别指标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交通违法：异常停车（高速公路、城市快速路）、占用应急车道（高速公路）、压线（高速公路、城市快速路）、开车打手机（全场景）、不系安全带（全场景）、不礼让行人（城市道路）、倒车逆行（高速公路、城市快速路）、货车占用超车道（高速公路）、货车禁行（城市快速路），违法识别综合准确率&gt;90%。（提供承诺书加盖供应商电子公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交通事件：行人上道路（高速公路、城市快速路）、低速行驶（高速公路、城市快速路）、拥堵（高速公路、城市快速路）、施工（高速公路、城市快速路）、事故（高速公路、城市快速路）、起火（全场景）、抛洒物（高速公路、城市快速路），事件综合识别准确率&gt;90%。（提供承诺书加盖供应商电子公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道路交通治理：机动车流量采集（准确识别交叉口、路段车道级的机动车辆数及其类型（可按小型车、大巴车、货车等划分）、转向信息，对5km/h至100km/h速度行驶的机动车识别率达95%以上），交通流速轨迹（全场景下，准确识别车辆运行轨迹与速度栅格，对5km/h至100km/h速度行驶的机动车识别率达95%以上），交叉口冲突识别（分析机动车辆之间以及机动车与非机动车的潜在冲突风险，识别冲突点数量和位置信息，对5km/h至100km/h速度行驶的机动车识别率达95%以上），交叉口排队长度，提供以上参数半年以上使用权限。（提供承诺书加盖供应商电子公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shd w:val="clear"/>
                <w:lang w:val="en-US" w:eastAsia="zh-CN" w:bidi="ar"/>
              </w:rPr>
              <w:t>2、硬件参数:处理器：48核,2.6GHz及以上*2;千兆网卡&gt;1，万兆网卡&gt;1；硬盘：SSD 960G SATA*2及以上电源：可选900W/2000W，1+1冗余电源；视屏加速卡*2：单卡算力不低于 70TFLOPS FP16，单卡能同时支持8路以上1080P视频解析与识别，设备需符合国产化要求;</w:t>
            </w:r>
          </w:p>
        </w:tc>
      </w:tr>
      <w:tr w14:paraId="47459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49" w:type="dxa"/>
            <w:shd w:val="clear" w:color="auto" w:fill="auto"/>
            <w:vAlign w:val="center"/>
          </w:tcPr>
          <w:p w14:paraId="21688225">
            <w:pPr>
              <w:widowControl/>
              <w:adjustRightInd w:val="0"/>
              <w:snapToGrid w:val="0"/>
              <w:spacing w:line="360" w:lineRule="auto"/>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4</w:t>
            </w:r>
          </w:p>
        </w:tc>
        <w:tc>
          <w:tcPr>
            <w:tcW w:w="1030" w:type="dxa"/>
            <w:shd w:val="clear" w:color="auto" w:fill="auto"/>
            <w:vAlign w:val="center"/>
          </w:tcPr>
          <w:p w14:paraId="3086F6D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机场式无人机D套装</w:t>
            </w:r>
          </w:p>
        </w:tc>
        <w:tc>
          <w:tcPr>
            <w:tcW w:w="6643" w:type="dxa"/>
            <w:shd w:val="clear" w:color="auto" w:fill="auto"/>
            <w:vAlign w:val="top"/>
          </w:tcPr>
          <w:p w14:paraId="0B32FDBD">
            <w:pPr>
              <w:keepNext w:val="0"/>
              <w:keepLines w:val="0"/>
              <w:widowControl/>
              <w:suppressLineNumbers w:val="0"/>
              <w:spacing w:line="360" w:lineRule="auto"/>
              <w:jc w:val="left"/>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每套包含：</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一、机巢1台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 防护等级：≥IP56</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 最大运行海拔高度≥4500 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5、最大允许降落风速≥12米/秒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 舱盖直播相机分辨率：≥1920×1080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 舱内直播相机分辨率：≥1920×1080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 配套传感器：包含风速传感器、雨量传感器、环境温度传感器、水浸传感器、舱内温度传感器、舱内湿度传感器；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 支持外接交换机进行数据通信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 工作温度：至少包含（-30°C 至 50°C）范围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10、 支持开盖即飞功能，提升作业效率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11、 设备支持通过4G联网接入；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12、 RTK基站定位精度：水平≤1 cm + 1 ppm（RMS），垂直≤2 cm + 1 ppm（RMS）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13、 机场内含备用电池，电池容量≥12安时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二、飞行器1架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（一）基础飞行性能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2、最大起飞重量：≥2080克；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3、飞行速度：最大上升速度≥10米/秒，最大下降速度8米±2米/秒，最大水平飞行速度≥21米/秒;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5、抗风能力：起飞降落阶段最大可承受风速≥12米/秒;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6、最大可倾斜角度：≥30°</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7、最大旋转角速度：≥200°/秒</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7、悬停精度：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垂直：≤±0.1 米（视觉定位正常工作时）;≤± 0.5 米（GNSS 正常工作时）;≤± 0.1 米（RTK 正常工作时）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水平：≤± 0.3 米（视觉定位正常工作时）;≤± 0.5 米（GNSS 正常工作时）;≤± 0.1 米（RTK 正常工作时）；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8、GNSS：支持GPS + BeiDou + Galileo + QZSS + GLONASS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9、最长飞行时间：≥50分钟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10、最大作业半径：≥10公里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（二）传感器与负载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1、飞行器广角相机（CMOS尺寸≥1/1.3英寸，有效像素≥4800万）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2、飞行器中长焦相机（CMOS尺寸≥1/1.3英寸，有效像素≥4800万）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3、长焦相机（CMOS尺寸≥1/1.5英寸，有效像素≥4800万）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4、飞行器变焦倍数：长焦≥16倍；混合变焦≥112倍；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5、飞行器支持全彩夜视；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6、热成像相机：（分辨率≥640×512，支持点测温与区域测温，数字变焦倍数≥28倍）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7、激光模块测距精度：1米至3米情况下（系统误差&lt;0.3米，随机误差&lt;0.1 米@1σ），其他距离情况下≤±（0.2+0.0015D）（D 代表测量距离，单位米）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8、飞行器支持三轴机械云台（俯仰、横滚、平移）；</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（1）云台结构设计范围：机械限位（俯仰：至少包含（-140°至+113°）范围，横滚：至少包含（-52°至+52°）范围，平移：至少包含（-65°至+65°）范围）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（2）云台可控转动范围：俯仰至少包含（-90°至+90°）范围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（3）云台最大控制转速：≥100°/s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（4）云台角度抖动量：≤±0.005°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9、飞行器支持全向避障；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（三）、环境适应性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1、最大起飞海拔高度：≥6500米；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2、工作环境温度：至少包含（-20℃至50℃）范围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3、飞行器包含夜航灯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4、防护等级：≥IP55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（四）其他要求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1、飞行器实时图传质量：≥1080p/30fps；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2、最大信号有效距离：≥25公里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4、飞行器支持通过4G进行图传传输；</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三、无人机智能电池4块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1、容量≥6750毫安时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2、充电环境温度：至少包含（5℃至45℃）范围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3、最大充电功率：≥1.8C</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4、单块电池循环次数：400次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5、支持低温充电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6、重量：≤650克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四、MicroSD卡1张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1、能够安装到飞行器中</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2、容量：≥64GB</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3、读取速度：≥160MB/s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4、写入速度：≥100MB/s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5、工作温度：至少包含- 25℃ 至 85℃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五、无人机云台保护罩（1个）</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六、无人机静音抗结冰浆叶（4对）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七、充电线AC线一根（1根）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八、USB-C至USB-C数据线（1根）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九、无人机、机巢涂装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按照国标《警用无人驾驶航空器外观制式涂装规范》（GA1732-2020）提供警用无人机涂装</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十、额度内维修保障服务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1、提供时长：≥2年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2、维修保障内容：机身（包含RTK模块）、机巢，以及配套云台相机、电池、遥控器、智能充电管理器等，飞行器维修额度≥43600元，机巢维修额度≥73000元。</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十一、第三者责任险</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1、提供时长：≥2年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2、保额≥200万，单次限额≥100万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十二、平台接入调试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根据采购人要求对无人机的部署、调试网络配置、软件安装配置、安全策略配置、故障恢复和备份、客户端设备调试、网络调试、视频存储调试等工作。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十三、部署施工</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根据服务采购人需求，结合实际环境选择合适的路灯杆、岗亭、楼房或其他采购人认可部位进行机坪部署。工作包含机巢底座基础施工，强、弱电安装，设备安装调试，含设备联调，数据回传测试等。设施安全保障部署，含防雷、接地、配电箱等，具体要求如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（1）供应商选点能满足无人机充电和数据传输要求；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（2）供应商提供部署方案和选址勘查、基础环境搭建、土建施工、机场和无人机的部署等服务；包括布点勘察、施工设计、部署调试，涉及高车占道施工、道路开挖，光迁敷设，将无人机设备接入到专网。</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十四、喊话器与照明器1套</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为飞行器提供喊话功能与照明功能</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1、与飞行器适配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2、照明能力：100米情况下，照度≥4lux，50米情况下，照度≥16lux。支持俯仰角度、亮度调节，支持常亮、爆闪（红蓝）工作模式。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3、喊话能力：声压大于等于114分贝，广播距离大于等于300米。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4、云台可转动控制范围：至少包含（-90°至30°）范围。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5、工作环境温度：至少包含（-10°至50°）范围</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十五、中继站1台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提升无人机控制与图像传输信号能力。</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1、卫星接收：支持GPS、BDS、Galileo、GLONASS、QZSS、L-Band</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2、系统精度：</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基站模式或中继站模式下：基站定位误差（水平≤1.5米（RMS），垂直≤3.0米（RMS）），星基查分精度（水平≤30厘米(RMS)、垂直≤40厘米（RMS）），网络RTK标定（水平≤1厘米（RMS）+1ppm，垂直≤3.0厘米（RMS）+1ppm）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3、基准站最大信号有效距离（中继站与飞行器）：≥15公里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4、中继站模式最大信号有效距离：中继站与飞行器距离≥25公里，中继站与机巢/遥控器距离≥1公里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5、内置电池：容量≥6500毫安时，能量≥46.8瓦时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6、最大工作海拔：≥</w:t>
            </w:r>
            <w:r>
              <w:rPr>
                <w:rFonts w:hint="eastAsia" w:ascii="宋体" w:hAnsi="宋体" w:cs="宋体"/>
                <w:i w:val="0"/>
                <w:iCs w:val="0"/>
                <w:color w:val="000000"/>
                <w:kern w:val="0"/>
                <w:sz w:val="21"/>
                <w:szCs w:val="21"/>
                <w:highlight w:val="none"/>
                <w:u w:val="none"/>
                <w:lang w:val="en-US" w:eastAsia="zh-CN" w:bidi="ar"/>
              </w:rPr>
              <w:t>6</w:t>
            </w:r>
            <w:r>
              <w:rPr>
                <w:rFonts w:hint="eastAsia" w:ascii="宋体" w:hAnsi="宋体" w:eastAsia="宋体" w:cs="宋体"/>
                <w:i w:val="0"/>
                <w:iCs w:val="0"/>
                <w:color w:val="000000"/>
                <w:kern w:val="0"/>
                <w:sz w:val="21"/>
                <w:szCs w:val="21"/>
                <w:highlight w:val="none"/>
                <w:u w:val="none"/>
                <w:lang w:val="en-US" w:eastAsia="zh-CN" w:bidi="ar"/>
              </w:rPr>
              <w:t>000米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7、防护性能：≥IP67</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十六、飞控平台一体机1台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主要功能：可实现飞控平台的应用基础功能、视频监控功能、违法取证功能和交通巡逻功能；基本功能包括无人机注册接入、无人机管理、飞手管理、系统权限等，视频监控功能包括飞行视频监控、飞行任务调度等，违法取证功能包括违法取证设备备案、违法道路维护、违法初筛、违法查询等，交通巡逻功能包括交通巡逻监控、飞行记录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2、硬件要求：Centos7.X系统，X86架构：CPU：2颗12核最高主频3.3GHz及以上；内存：64G及以上；硬盘：2块1.8TB  SAS 10K企业级硬盘及以上；独立RAID卡；网络：2个千兆网卡及以上；1+1冗余热插拔电源。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十七、飞控平台与公安集指平台交换终端1台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主要功能：一是按照无人机开放协议接口接收无人机视频流，统一按照GB/T28181标准规定的公共安全视频监控联网系统的互联结构，传输、交换、控制的基本要求的安全性要求处理，并接入公安网集成指挥平台的视频接入网关；二是按照无人机开放协议接口接收无人机飞行参数信息，统一接入公安网集成指挥平台。</w:t>
            </w:r>
          </w:p>
        </w:tc>
      </w:tr>
    </w:tbl>
    <w:p w14:paraId="6E23A979">
      <w:pPr>
        <w:adjustRightInd w:val="0"/>
        <w:snapToGrid w:val="0"/>
        <w:spacing w:line="360" w:lineRule="auto"/>
        <w:ind w:firstLine="420" w:firstLineChars="200"/>
        <w:rPr>
          <w:rFonts w:ascii="宋体" w:hAnsi="宋体" w:cs="宋体"/>
          <w:bCs/>
          <w:color w:val="auto"/>
          <w:szCs w:val="21"/>
          <w:highlight w:val="none"/>
        </w:rPr>
      </w:pPr>
    </w:p>
    <w:p w14:paraId="68EC4DDE">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br w:type="page"/>
      </w:r>
    </w:p>
    <w:p w14:paraId="016C4008">
      <w:pPr>
        <w:pStyle w:val="6"/>
        <w:snapToGrid w:val="0"/>
        <w:spacing w:line="360" w:lineRule="auto"/>
        <w:ind w:firstLine="643"/>
        <w:jc w:val="center"/>
        <w:rPr>
          <w:rFonts w:ascii="宋体" w:hAnsi="宋体" w:eastAsia="宋体" w:cs="宋体"/>
          <w:color w:val="auto"/>
          <w:sz w:val="32"/>
          <w:szCs w:val="32"/>
          <w:highlight w:val="none"/>
        </w:rPr>
      </w:pPr>
      <w:bookmarkStart w:id="259" w:name="_Toc7893"/>
      <w:r>
        <w:rPr>
          <w:rFonts w:hint="eastAsia" w:ascii="宋体" w:hAnsi="宋体" w:eastAsia="宋体" w:cs="宋体"/>
          <w:color w:val="auto"/>
          <w:sz w:val="32"/>
          <w:szCs w:val="32"/>
          <w:highlight w:val="none"/>
        </w:rPr>
        <w:t>第六章  谈判程序和方法</w:t>
      </w:r>
      <w:bookmarkEnd w:id="246"/>
      <w:bookmarkEnd w:id="247"/>
      <w:bookmarkEnd w:id="259"/>
    </w:p>
    <w:p w14:paraId="5B64E0D0">
      <w:pPr>
        <w:pStyle w:val="7"/>
        <w:adjustRightInd w:val="0"/>
        <w:snapToGrid w:val="0"/>
        <w:spacing w:before="0" w:after="0"/>
        <w:ind w:firstLine="562"/>
        <w:rPr>
          <w:rFonts w:ascii="宋体" w:hAnsi="宋体" w:cs="宋体"/>
          <w:color w:val="auto"/>
          <w:szCs w:val="28"/>
          <w:highlight w:val="none"/>
        </w:rPr>
      </w:pPr>
      <w:bookmarkStart w:id="260" w:name="_Toc191374457"/>
      <w:bookmarkStart w:id="261" w:name="_Toc14809"/>
      <w:bookmarkStart w:id="262" w:name="_Toc481316972"/>
      <w:bookmarkStart w:id="263" w:name="_Toc492340365"/>
      <w:bookmarkStart w:id="264" w:name="_Toc86124093"/>
      <w:bookmarkStart w:id="265" w:name="_Toc496805401"/>
      <w:r>
        <w:rPr>
          <w:rFonts w:hint="eastAsia" w:ascii="宋体" w:hAnsi="宋体" w:cs="宋体"/>
          <w:color w:val="auto"/>
          <w:szCs w:val="28"/>
          <w:highlight w:val="none"/>
        </w:rPr>
        <w:t>谈判程序和方法前附表</w:t>
      </w:r>
      <w:bookmarkEnd w:id="260"/>
      <w:bookmarkEnd w:id="261"/>
      <w:bookmarkEnd w:id="262"/>
      <w:bookmarkEnd w:id="263"/>
      <w:bookmarkEnd w:id="264"/>
      <w:bookmarkEnd w:id="265"/>
    </w:p>
    <w:tbl>
      <w:tblPr>
        <w:tblStyle w:val="42"/>
        <w:tblW w:w="9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900"/>
        <w:gridCol w:w="1750"/>
        <w:gridCol w:w="6136"/>
      </w:tblGrid>
      <w:tr w14:paraId="69188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617" w:type="dxa"/>
            <w:gridSpan w:val="2"/>
            <w:vAlign w:val="center"/>
          </w:tcPr>
          <w:p w14:paraId="68554B99">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b/>
                <w:color w:val="auto"/>
                <w:szCs w:val="21"/>
                <w:highlight w:val="none"/>
              </w:rPr>
            </w:pPr>
            <w:r>
              <w:rPr>
                <w:rFonts w:hint="eastAsia" w:ascii="宋体" w:hAnsi="宋体" w:cs="宋体"/>
                <w:b/>
                <w:color w:val="auto"/>
                <w:szCs w:val="21"/>
                <w:highlight w:val="none"/>
              </w:rPr>
              <w:t>条款号</w:t>
            </w:r>
          </w:p>
        </w:tc>
        <w:tc>
          <w:tcPr>
            <w:tcW w:w="1750" w:type="dxa"/>
            <w:vAlign w:val="center"/>
          </w:tcPr>
          <w:p w14:paraId="1A88F65A">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b/>
                <w:color w:val="auto"/>
                <w:szCs w:val="21"/>
                <w:highlight w:val="none"/>
              </w:rPr>
            </w:pPr>
            <w:r>
              <w:rPr>
                <w:rFonts w:hint="eastAsia" w:ascii="宋体" w:hAnsi="宋体" w:cs="宋体"/>
                <w:b/>
                <w:color w:val="auto"/>
                <w:szCs w:val="21"/>
                <w:highlight w:val="none"/>
              </w:rPr>
              <w:t>审 查 内 容</w:t>
            </w:r>
          </w:p>
        </w:tc>
        <w:tc>
          <w:tcPr>
            <w:tcW w:w="6136" w:type="dxa"/>
            <w:vAlign w:val="center"/>
          </w:tcPr>
          <w:p w14:paraId="74EB1FF2">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b/>
                <w:color w:val="auto"/>
                <w:szCs w:val="21"/>
                <w:highlight w:val="none"/>
              </w:rPr>
            </w:pPr>
            <w:r>
              <w:rPr>
                <w:rFonts w:hint="eastAsia" w:ascii="宋体" w:hAnsi="宋体" w:cs="宋体"/>
                <w:b/>
                <w:color w:val="auto"/>
                <w:szCs w:val="21"/>
                <w:highlight w:val="none"/>
              </w:rPr>
              <w:t>审 查 标 准</w:t>
            </w:r>
          </w:p>
        </w:tc>
      </w:tr>
      <w:tr w14:paraId="491D9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restart"/>
            <w:vAlign w:val="center"/>
          </w:tcPr>
          <w:p w14:paraId="0FB21749">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2.1</w:t>
            </w:r>
          </w:p>
        </w:tc>
        <w:tc>
          <w:tcPr>
            <w:tcW w:w="900" w:type="dxa"/>
            <w:vMerge w:val="restart"/>
            <w:vAlign w:val="center"/>
          </w:tcPr>
          <w:p w14:paraId="3E915D59">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实质性要求审查标准</w:t>
            </w:r>
          </w:p>
        </w:tc>
        <w:tc>
          <w:tcPr>
            <w:tcW w:w="1750" w:type="dxa"/>
            <w:vAlign w:val="center"/>
          </w:tcPr>
          <w:p w14:paraId="506D00C6">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资格条件</w:t>
            </w:r>
          </w:p>
        </w:tc>
        <w:tc>
          <w:tcPr>
            <w:tcW w:w="6136" w:type="dxa"/>
            <w:vAlign w:val="center"/>
          </w:tcPr>
          <w:p w14:paraId="209C94DE">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符合第二章“供应商须知”第4项规定</w:t>
            </w:r>
          </w:p>
        </w:tc>
      </w:tr>
      <w:tr w14:paraId="4AB3A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717" w:type="dxa"/>
            <w:vMerge w:val="continue"/>
            <w:vAlign w:val="center"/>
          </w:tcPr>
          <w:p w14:paraId="59B63A8B">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p>
        </w:tc>
        <w:tc>
          <w:tcPr>
            <w:tcW w:w="900" w:type="dxa"/>
            <w:vMerge w:val="continue"/>
            <w:vAlign w:val="center"/>
          </w:tcPr>
          <w:p w14:paraId="6F7A60DC">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p>
        </w:tc>
        <w:tc>
          <w:tcPr>
            <w:tcW w:w="1750" w:type="dxa"/>
            <w:vAlign w:val="center"/>
          </w:tcPr>
          <w:p w14:paraId="6E7EE8A0">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响应文件有效期</w:t>
            </w:r>
          </w:p>
        </w:tc>
        <w:tc>
          <w:tcPr>
            <w:tcW w:w="6136" w:type="dxa"/>
            <w:vAlign w:val="center"/>
          </w:tcPr>
          <w:p w14:paraId="19C581BF">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符合第二章“供应商须知”第17.1项规定</w:t>
            </w:r>
          </w:p>
        </w:tc>
      </w:tr>
      <w:tr w14:paraId="5B93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269B0ED7">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p>
        </w:tc>
        <w:tc>
          <w:tcPr>
            <w:tcW w:w="900" w:type="dxa"/>
            <w:vMerge w:val="continue"/>
            <w:vAlign w:val="center"/>
          </w:tcPr>
          <w:p w14:paraId="3EE28FE2">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p>
        </w:tc>
        <w:tc>
          <w:tcPr>
            <w:tcW w:w="1750" w:type="dxa"/>
            <w:vAlign w:val="center"/>
          </w:tcPr>
          <w:p w14:paraId="4B0EC970">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谈判保证金</w:t>
            </w:r>
          </w:p>
        </w:tc>
        <w:tc>
          <w:tcPr>
            <w:tcW w:w="6136" w:type="dxa"/>
            <w:vAlign w:val="center"/>
          </w:tcPr>
          <w:p w14:paraId="52302B8A">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符合第二章“供应商须知”第18.1项规定</w:t>
            </w:r>
          </w:p>
        </w:tc>
      </w:tr>
      <w:tr w14:paraId="1F52A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0A97342B">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p>
        </w:tc>
        <w:tc>
          <w:tcPr>
            <w:tcW w:w="900" w:type="dxa"/>
            <w:vMerge w:val="continue"/>
            <w:vAlign w:val="center"/>
          </w:tcPr>
          <w:p w14:paraId="253B6326">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p>
        </w:tc>
        <w:tc>
          <w:tcPr>
            <w:tcW w:w="1750" w:type="dxa"/>
            <w:vAlign w:val="center"/>
          </w:tcPr>
          <w:p w14:paraId="1B0ACA99">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谈判申请函</w:t>
            </w:r>
          </w:p>
        </w:tc>
        <w:tc>
          <w:tcPr>
            <w:tcW w:w="6136" w:type="dxa"/>
            <w:vAlign w:val="center"/>
          </w:tcPr>
          <w:p w14:paraId="2B7C336E">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有法定代表人或委托代理人电子签名或盖章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并加盖供应商电子公章</w:t>
            </w:r>
            <w:r>
              <w:rPr>
                <w:rFonts w:hint="eastAsia" w:ascii="宋体" w:hAnsi="宋体" w:cs="宋体"/>
                <w:color w:val="auto"/>
                <w:szCs w:val="21"/>
                <w:highlight w:val="none"/>
                <w:lang w:eastAsia="zh-CN"/>
              </w:rPr>
              <w:t>；</w:t>
            </w:r>
            <w:r>
              <w:rPr>
                <w:rFonts w:hint="eastAsia" w:ascii="宋体" w:hAnsi="宋体" w:cs="宋体"/>
                <w:color w:val="auto"/>
                <w:szCs w:val="21"/>
                <w:highlight w:val="none"/>
              </w:rPr>
              <w:t>符合第四章“响应文件格式”中规定的格式及内容。</w:t>
            </w:r>
          </w:p>
        </w:tc>
      </w:tr>
      <w:tr w14:paraId="08F68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6C7586FD">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p>
        </w:tc>
        <w:tc>
          <w:tcPr>
            <w:tcW w:w="900" w:type="dxa"/>
            <w:vMerge w:val="continue"/>
            <w:vAlign w:val="center"/>
          </w:tcPr>
          <w:p w14:paraId="2C6ABE2C">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p>
        </w:tc>
        <w:tc>
          <w:tcPr>
            <w:tcW w:w="1750" w:type="dxa"/>
            <w:vAlign w:val="center"/>
          </w:tcPr>
          <w:p w14:paraId="692C0E94">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法定代表人身份证明书</w:t>
            </w:r>
          </w:p>
        </w:tc>
        <w:tc>
          <w:tcPr>
            <w:tcW w:w="6136" w:type="dxa"/>
            <w:vAlign w:val="center"/>
          </w:tcPr>
          <w:p w14:paraId="3AE95DBD">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符合谈判文件规定的格式及内容</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并加盖供应商电子公章。</w:t>
            </w:r>
          </w:p>
        </w:tc>
      </w:tr>
      <w:tr w14:paraId="28BC4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0C225AC3">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p>
        </w:tc>
        <w:tc>
          <w:tcPr>
            <w:tcW w:w="900" w:type="dxa"/>
            <w:vMerge w:val="continue"/>
            <w:vAlign w:val="center"/>
          </w:tcPr>
          <w:p w14:paraId="258C30E9">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p>
        </w:tc>
        <w:tc>
          <w:tcPr>
            <w:tcW w:w="1750" w:type="dxa"/>
            <w:vAlign w:val="center"/>
          </w:tcPr>
          <w:p w14:paraId="2A80ED4E">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法定代表人授权委托书</w:t>
            </w:r>
          </w:p>
        </w:tc>
        <w:tc>
          <w:tcPr>
            <w:tcW w:w="6136" w:type="dxa"/>
            <w:vAlign w:val="center"/>
          </w:tcPr>
          <w:p w14:paraId="7658B5FD">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有法定代表人电子签名或盖章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并加盖供应商电子公章</w:t>
            </w:r>
            <w:r>
              <w:rPr>
                <w:rFonts w:hint="eastAsia" w:ascii="宋体" w:hAnsi="宋体" w:cs="宋体"/>
                <w:color w:val="auto"/>
                <w:szCs w:val="21"/>
                <w:highlight w:val="none"/>
                <w:lang w:eastAsia="zh-CN"/>
              </w:rPr>
              <w:t>；</w:t>
            </w:r>
            <w:r>
              <w:rPr>
                <w:rFonts w:hint="eastAsia" w:ascii="宋体" w:hAnsi="宋体" w:cs="宋体"/>
                <w:color w:val="auto"/>
                <w:szCs w:val="21"/>
                <w:highlight w:val="none"/>
              </w:rPr>
              <w:t>符合谈判文件规定的格式及内容。</w:t>
            </w:r>
          </w:p>
        </w:tc>
      </w:tr>
      <w:tr w14:paraId="34F1D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17" w:type="dxa"/>
            <w:vMerge w:val="continue"/>
            <w:vAlign w:val="center"/>
          </w:tcPr>
          <w:p w14:paraId="227F1444">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p>
        </w:tc>
        <w:tc>
          <w:tcPr>
            <w:tcW w:w="900" w:type="dxa"/>
            <w:vMerge w:val="continue"/>
            <w:vAlign w:val="center"/>
          </w:tcPr>
          <w:p w14:paraId="0A97FB7E">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p>
        </w:tc>
        <w:tc>
          <w:tcPr>
            <w:tcW w:w="1750" w:type="dxa"/>
            <w:vAlign w:val="center"/>
          </w:tcPr>
          <w:p w14:paraId="0C71F318">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供应商具备参加政府采购活动条件承诺书</w:t>
            </w:r>
          </w:p>
        </w:tc>
        <w:tc>
          <w:tcPr>
            <w:tcW w:w="6136" w:type="dxa"/>
            <w:vAlign w:val="center"/>
          </w:tcPr>
          <w:p w14:paraId="2762FC50">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符合《政府采购法》第二十二条规定</w:t>
            </w:r>
          </w:p>
        </w:tc>
      </w:tr>
      <w:tr w14:paraId="53DC8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Merge w:val="continue"/>
            <w:vAlign w:val="center"/>
          </w:tcPr>
          <w:p w14:paraId="49F49F16">
            <w:pPr>
              <w:keepNext w:val="0"/>
              <w:keepLines w:val="0"/>
              <w:pageBreakBefore w:val="0"/>
              <w:widowControl w:val="0"/>
              <w:kinsoku/>
              <w:wordWrap/>
              <w:overflowPunct/>
              <w:topLinePunct w:val="0"/>
              <w:autoSpaceDE/>
              <w:autoSpaceDN/>
              <w:bidi w:val="0"/>
              <w:adjustRightInd w:val="0"/>
              <w:snapToGrid w:val="0"/>
              <w:spacing w:line="440" w:lineRule="exact"/>
              <w:ind w:firstLine="0"/>
              <w:textAlignment w:val="auto"/>
              <w:rPr>
                <w:rFonts w:ascii="宋体" w:hAnsi="宋体" w:cs="宋体"/>
                <w:color w:val="auto"/>
                <w:szCs w:val="21"/>
                <w:highlight w:val="none"/>
              </w:rPr>
            </w:pPr>
          </w:p>
        </w:tc>
        <w:tc>
          <w:tcPr>
            <w:tcW w:w="900" w:type="dxa"/>
            <w:vMerge w:val="continue"/>
            <w:vAlign w:val="center"/>
          </w:tcPr>
          <w:p w14:paraId="2452F672">
            <w:pPr>
              <w:keepNext w:val="0"/>
              <w:keepLines w:val="0"/>
              <w:pageBreakBefore w:val="0"/>
              <w:widowControl w:val="0"/>
              <w:kinsoku/>
              <w:wordWrap/>
              <w:overflowPunct/>
              <w:topLinePunct w:val="0"/>
              <w:autoSpaceDE/>
              <w:autoSpaceDN/>
              <w:bidi w:val="0"/>
              <w:adjustRightInd w:val="0"/>
              <w:snapToGrid w:val="0"/>
              <w:spacing w:line="440" w:lineRule="exact"/>
              <w:ind w:firstLine="0"/>
              <w:textAlignment w:val="auto"/>
              <w:rPr>
                <w:rFonts w:ascii="宋体" w:hAnsi="宋体" w:cs="宋体"/>
                <w:color w:val="auto"/>
                <w:szCs w:val="21"/>
                <w:highlight w:val="none"/>
              </w:rPr>
            </w:pPr>
          </w:p>
        </w:tc>
        <w:tc>
          <w:tcPr>
            <w:tcW w:w="1750" w:type="dxa"/>
            <w:vAlign w:val="center"/>
          </w:tcPr>
          <w:p w14:paraId="13A58E9F">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最后报价</w:t>
            </w:r>
          </w:p>
        </w:tc>
        <w:tc>
          <w:tcPr>
            <w:tcW w:w="6136" w:type="dxa"/>
            <w:vAlign w:val="center"/>
          </w:tcPr>
          <w:p w14:paraId="4F94B575">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最后报价未超过预算金额或最高限价或单价最高限价</w:t>
            </w:r>
          </w:p>
        </w:tc>
      </w:tr>
      <w:tr w14:paraId="72648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Merge w:val="continue"/>
            <w:vAlign w:val="center"/>
          </w:tcPr>
          <w:p w14:paraId="59600D66">
            <w:pPr>
              <w:keepNext w:val="0"/>
              <w:keepLines w:val="0"/>
              <w:pageBreakBefore w:val="0"/>
              <w:widowControl w:val="0"/>
              <w:kinsoku/>
              <w:wordWrap/>
              <w:overflowPunct/>
              <w:topLinePunct w:val="0"/>
              <w:autoSpaceDE/>
              <w:autoSpaceDN/>
              <w:bidi w:val="0"/>
              <w:adjustRightInd w:val="0"/>
              <w:snapToGrid w:val="0"/>
              <w:spacing w:line="440" w:lineRule="exact"/>
              <w:ind w:firstLine="0"/>
              <w:textAlignment w:val="auto"/>
              <w:rPr>
                <w:rFonts w:ascii="宋体" w:hAnsi="宋体" w:cs="宋体"/>
                <w:color w:val="auto"/>
                <w:szCs w:val="21"/>
                <w:highlight w:val="none"/>
              </w:rPr>
            </w:pPr>
          </w:p>
        </w:tc>
        <w:tc>
          <w:tcPr>
            <w:tcW w:w="900" w:type="dxa"/>
            <w:vMerge w:val="continue"/>
            <w:vAlign w:val="center"/>
          </w:tcPr>
          <w:p w14:paraId="436DA89C">
            <w:pPr>
              <w:keepNext w:val="0"/>
              <w:keepLines w:val="0"/>
              <w:pageBreakBefore w:val="0"/>
              <w:widowControl w:val="0"/>
              <w:kinsoku/>
              <w:wordWrap/>
              <w:overflowPunct/>
              <w:topLinePunct w:val="0"/>
              <w:autoSpaceDE/>
              <w:autoSpaceDN/>
              <w:bidi w:val="0"/>
              <w:adjustRightInd w:val="0"/>
              <w:snapToGrid w:val="0"/>
              <w:spacing w:line="440" w:lineRule="exact"/>
              <w:ind w:firstLine="0"/>
              <w:textAlignment w:val="auto"/>
              <w:rPr>
                <w:rFonts w:ascii="宋体" w:hAnsi="宋体" w:cs="宋体"/>
                <w:color w:val="auto"/>
                <w:szCs w:val="21"/>
                <w:highlight w:val="none"/>
              </w:rPr>
            </w:pPr>
          </w:p>
        </w:tc>
        <w:tc>
          <w:tcPr>
            <w:tcW w:w="1750" w:type="dxa"/>
            <w:vAlign w:val="center"/>
          </w:tcPr>
          <w:p w14:paraId="336B2F00">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其它实质性要求</w:t>
            </w:r>
          </w:p>
        </w:tc>
        <w:tc>
          <w:tcPr>
            <w:tcW w:w="6136" w:type="dxa"/>
            <w:vAlign w:val="center"/>
          </w:tcPr>
          <w:p w14:paraId="3F7EE4F9">
            <w:pPr>
              <w:keepNext w:val="0"/>
              <w:keepLines w:val="0"/>
              <w:pageBreakBefore w:val="0"/>
              <w:widowControl w:val="0"/>
              <w:kinsoku/>
              <w:wordWrap/>
              <w:overflowPunct/>
              <w:topLinePunct w:val="0"/>
              <w:autoSpaceDE/>
              <w:autoSpaceDN/>
              <w:bidi w:val="0"/>
              <w:adjustRightInd w:val="0"/>
              <w:snapToGrid w:val="0"/>
              <w:spacing w:line="440" w:lineRule="exact"/>
              <w:ind w:firstLine="0"/>
              <w:jc w:val="left"/>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实质性响应谈判文件中标注★的条款；</w:t>
            </w:r>
          </w:p>
          <w:p w14:paraId="11377CD4">
            <w:pPr>
              <w:keepNext w:val="0"/>
              <w:keepLines w:val="0"/>
              <w:pageBreakBefore w:val="0"/>
              <w:widowControl w:val="0"/>
              <w:kinsoku/>
              <w:wordWrap/>
              <w:overflowPunct/>
              <w:topLinePunct w:val="0"/>
              <w:autoSpaceDE/>
              <w:autoSpaceDN/>
              <w:bidi w:val="0"/>
              <w:adjustRightInd w:val="0"/>
              <w:snapToGrid w:val="0"/>
              <w:spacing w:line="440" w:lineRule="exact"/>
              <w:ind w:firstLine="0"/>
              <w:jc w:val="left"/>
              <w:textAlignment w:val="auto"/>
              <w:rPr>
                <w:rFonts w:hint="eastAsia" w:ascii="宋体" w:hAnsi="宋体" w:eastAsia="宋体" w:cs="宋体"/>
                <w:color w:val="auto"/>
                <w:highlight w:val="none"/>
                <w:lang w:eastAsia="zh-CN"/>
              </w:rPr>
            </w:pPr>
            <w:r>
              <w:rPr>
                <w:rFonts w:hint="eastAsia" w:ascii="宋体" w:hAnsi="宋体" w:cs="宋体"/>
                <w:color w:val="auto"/>
                <w:highlight w:val="none"/>
              </w:rPr>
              <w:t>2.响应文件中针对谈判文件第五章《采购需求》中★技术参数及性能要求未出现负偏离</w:t>
            </w:r>
            <w:r>
              <w:rPr>
                <w:rFonts w:hint="eastAsia" w:ascii="宋体" w:hAnsi="宋体" w:cs="宋体"/>
                <w:color w:val="auto"/>
                <w:highlight w:val="none"/>
                <w:lang w:eastAsia="zh-CN"/>
              </w:rPr>
              <w:t>；</w:t>
            </w:r>
          </w:p>
          <w:p w14:paraId="31C1F325">
            <w:pPr>
              <w:keepNext w:val="0"/>
              <w:keepLines w:val="0"/>
              <w:pageBreakBefore w:val="0"/>
              <w:widowControl w:val="0"/>
              <w:kinsoku/>
              <w:wordWrap/>
              <w:overflowPunct/>
              <w:topLinePunct w:val="0"/>
              <w:autoSpaceDE/>
              <w:autoSpaceDN/>
              <w:bidi w:val="0"/>
              <w:adjustRightInd w:val="0"/>
              <w:snapToGrid w:val="0"/>
              <w:spacing w:line="440" w:lineRule="exact"/>
              <w:ind w:firstLine="0"/>
              <w:jc w:val="left"/>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.未出现竞争性谈判文件规定的其他无效情形。</w:t>
            </w:r>
          </w:p>
        </w:tc>
      </w:tr>
      <w:tr w14:paraId="7C787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7" w:type="dxa"/>
            <w:vAlign w:val="center"/>
          </w:tcPr>
          <w:p w14:paraId="776967B2">
            <w:pPr>
              <w:keepNext w:val="0"/>
              <w:keepLines w:val="0"/>
              <w:pageBreakBefore w:val="0"/>
              <w:widowControl w:val="0"/>
              <w:kinsoku/>
              <w:wordWrap/>
              <w:overflowPunct/>
              <w:topLinePunct w:val="0"/>
              <w:autoSpaceDE/>
              <w:autoSpaceDN/>
              <w:bidi w:val="0"/>
              <w:adjustRightInd w:val="0"/>
              <w:snapToGrid w:val="0"/>
              <w:spacing w:line="440" w:lineRule="exact"/>
              <w:ind w:firstLine="0"/>
              <w:jc w:val="center"/>
              <w:textAlignment w:val="auto"/>
              <w:rPr>
                <w:rFonts w:ascii="宋体" w:hAnsi="宋体" w:cs="宋体"/>
                <w:color w:val="auto"/>
                <w:szCs w:val="21"/>
                <w:highlight w:val="none"/>
              </w:rPr>
            </w:pPr>
            <w:r>
              <w:rPr>
                <w:rFonts w:hint="eastAsia" w:ascii="宋体" w:hAnsi="宋体" w:cs="宋体"/>
                <w:color w:val="auto"/>
                <w:szCs w:val="21"/>
                <w:highlight w:val="none"/>
              </w:rPr>
              <w:t>2.2</w:t>
            </w:r>
          </w:p>
        </w:tc>
        <w:tc>
          <w:tcPr>
            <w:tcW w:w="900" w:type="dxa"/>
            <w:vAlign w:val="center"/>
          </w:tcPr>
          <w:p w14:paraId="59A1C926">
            <w:pPr>
              <w:keepNext w:val="0"/>
              <w:keepLines w:val="0"/>
              <w:pageBreakBefore w:val="0"/>
              <w:widowControl w:val="0"/>
              <w:kinsoku/>
              <w:wordWrap/>
              <w:overflowPunct/>
              <w:topLinePunct w:val="0"/>
              <w:autoSpaceDE/>
              <w:autoSpaceDN/>
              <w:bidi w:val="0"/>
              <w:adjustRightInd w:val="0"/>
              <w:snapToGrid w:val="0"/>
              <w:spacing w:line="440" w:lineRule="exact"/>
              <w:ind w:firstLine="0"/>
              <w:textAlignment w:val="auto"/>
              <w:rPr>
                <w:rFonts w:ascii="宋体" w:hAnsi="宋体" w:cs="宋体"/>
                <w:color w:val="auto"/>
                <w:szCs w:val="21"/>
                <w:highlight w:val="none"/>
              </w:rPr>
            </w:pPr>
            <w:r>
              <w:rPr>
                <w:rFonts w:hint="eastAsia" w:ascii="宋体" w:hAnsi="宋体" w:cs="宋体"/>
                <w:color w:val="auto"/>
                <w:szCs w:val="21"/>
                <w:highlight w:val="none"/>
              </w:rPr>
              <w:t>谈判、比较与评价</w:t>
            </w:r>
          </w:p>
        </w:tc>
        <w:tc>
          <w:tcPr>
            <w:tcW w:w="7886" w:type="dxa"/>
            <w:gridSpan w:val="2"/>
            <w:vAlign w:val="center"/>
          </w:tcPr>
          <w:p w14:paraId="7FE31930">
            <w:pPr>
              <w:keepNext w:val="0"/>
              <w:keepLines w:val="0"/>
              <w:pageBreakBefore w:val="0"/>
              <w:widowControl w:val="0"/>
              <w:kinsoku/>
              <w:wordWrap/>
              <w:overflowPunct/>
              <w:topLinePunct w:val="0"/>
              <w:autoSpaceDE/>
              <w:autoSpaceDN/>
              <w:bidi w:val="0"/>
              <w:adjustRightInd w:val="0"/>
              <w:snapToGrid w:val="0"/>
              <w:spacing w:line="440" w:lineRule="exact"/>
              <w:ind w:firstLine="0"/>
              <w:textAlignment w:val="auto"/>
              <w:rPr>
                <w:rFonts w:ascii="宋体" w:hAnsi="宋体" w:cs="宋体"/>
                <w:color w:val="auto"/>
                <w:szCs w:val="21"/>
                <w:highlight w:val="none"/>
              </w:rPr>
            </w:pPr>
            <w:r>
              <w:rPr>
                <w:rFonts w:hint="eastAsia" w:ascii="宋体" w:hAnsi="宋体" w:cs="宋体"/>
                <w:color w:val="auto"/>
                <w:szCs w:val="21"/>
                <w:highlight w:val="none"/>
              </w:rPr>
              <w:t>谈判小组所有成员集中与通过实质性要求审查的单一供应商分别进行谈判</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谈判结束后</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谈判小组将要求所有继续参加谈判的供应商在规定时间内提交最后报价</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谈判小组根据各供应商最后报价、响应文件及澄清等</w:t>
            </w:r>
            <w:r>
              <w:rPr>
                <w:rFonts w:hint="eastAsia" w:ascii="宋体" w:hAnsi="宋体" w:cs="宋体"/>
                <w:color w:val="auto"/>
                <w:szCs w:val="21"/>
                <w:highlight w:val="none"/>
                <w:lang w:eastAsia="zh-CN"/>
              </w:rPr>
              <w:t>，</w:t>
            </w:r>
            <w:r>
              <w:rPr>
                <w:rFonts w:hint="eastAsia" w:ascii="宋体" w:hAnsi="宋体" w:cs="宋体"/>
                <w:color w:val="auto"/>
                <w:szCs w:val="21"/>
                <w:highlight w:val="none"/>
              </w:rPr>
              <w:t>按“</w:t>
            </w:r>
            <w:r>
              <w:rPr>
                <w:rFonts w:hint="eastAsia" w:ascii="宋体" w:hAnsi="宋体" w:cs="宋体"/>
                <w:b/>
                <w:color w:val="auto"/>
                <w:szCs w:val="21"/>
                <w:highlight w:val="none"/>
              </w:rPr>
              <w:t>谈判程序和方法</w:t>
            </w:r>
            <w:r>
              <w:rPr>
                <w:rFonts w:hint="eastAsia" w:ascii="宋体" w:hAnsi="宋体" w:cs="宋体"/>
                <w:color w:val="auto"/>
                <w:szCs w:val="21"/>
                <w:highlight w:val="none"/>
              </w:rPr>
              <w:t>”中的规定推荐成交候选人。</w:t>
            </w:r>
          </w:p>
        </w:tc>
      </w:tr>
    </w:tbl>
    <w:p w14:paraId="7B7EFBB7">
      <w:pPr>
        <w:pStyle w:val="7"/>
        <w:adjustRightInd w:val="0"/>
        <w:snapToGrid w:val="0"/>
        <w:spacing w:before="0" w:after="0"/>
        <w:jc w:val="both"/>
        <w:rPr>
          <w:rFonts w:ascii="宋体" w:hAnsi="宋体" w:cs="宋体"/>
          <w:color w:val="auto"/>
          <w:szCs w:val="28"/>
          <w:highlight w:val="none"/>
        </w:rPr>
      </w:pPr>
      <w:bookmarkStart w:id="266" w:name="_Toc496805442"/>
      <w:bookmarkStart w:id="267" w:name="_Toc438157953"/>
      <w:bookmarkStart w:id="268" w:name="_Toc464475984"/>
      <w:bookmarkStart w:id="269" w:name="_Toc28986"/>
      <w:bookmarkStart w:id="270" w:name="_Toc481316973"/>
      <w:bookmarkStart w:id="271" w:name="_Toc492340366"/>
      <w:bookmarkStart w:id="272" w:name="_Toc31220"/>
      <w:r>
        <w:rPr>
          <w:rFonts w:hint="eastAsia" w:ascii="宋体" w:hAnsi="宋体" w:cs="宋体"/>
          <w:color w:val="auto"/>
          <w:szCs w:val="28"/>
          <w:highlight w:val="none"/>
        </w:rPr>
        <w:t>1.谈判方法</w:t>
      </w:r>
      <w:bookmarkEnd w:id="266"/>
      <w:bookmarkEnd w:id="267"/>
      <w:bookmarkEnd w:id="268"/>
      <w:bookmarkEnd w:id="269"/>
      <w:bookmarkEnd w:id="270"/>
      <w:bookmarkEnd w:id="271"/>
      <w:bookmarkEnd w:id="272"/>
    </w:p>
    <w:p w14:paraId="5606A84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谈判小组所有成员集中与单一供应商分别进行谈判</w:t>
      </w:r>
      <w:r>
        <w:rPr>
          <w:rFonts w:hint="eastAsia" w:ascii="宋体" w:hAnsi="宋体" w:cs="宋体"/>
          <w:color w:val="auto"/>
          <w:szCs w:val="21"/>
          <w:highlight w:val="none"/>
          <w:lang w:eastAsia="zh-CN"/>
        </w:rPr>
        <w:t>，</w:t>
      </w:r>
      <w:r>
        <w:rPr>
          <w:rFonts w:hint="eastAsia" w:ascii="宋体" w:hAnsi="宋体" w:cs="宋体"/>
          <w:color w:val="auto"/>
          <w:szCs w:val="21"/>
          <w:highlight w:val="none"/>
        </w:rPr>
        <w:t>并给予所有参加谈判的供应商平等的谈判机会。</w:t>
      </w:r>
    </w:p>
    <w:p w14:paraId="5ED87B43">
      <w:pPr>
        <w:pStyle w:val="7"/>
        <w:adjustRightInd w:val="0"/>
        <w:snapToGrid w:val="0"/>
        <w:spacing w:before="0" w:after="0"/>
        <w:jc w:val="both"/>
        <w:rPr>
          <w:rFonts w:ascii="宋体" w:hAnsi="宋体" w:cs="宋体"/>
          <w:color w:val="auto"/>
          <w:szCs w:val="28"/>
          <w:highlight w:val="none"/>
        </w:rPr>
      </w:pPr>
      <w:bookmarkStart w:id="273" w:name="_Toc481316974"/>
      <w:bookmarkStart w:id="274" w:name="_Toc464475985"/>
      <w:bookmarkStart w:id="275" w:name="_Toc347849270"/>
      <w:bookmarkStart w:id="276" w:name="_Toc86124095"/>
      <w:bookmarkStart w:id="277" w:name="_Toc438157954"/>
      <w:bookmarkStart w:id="278" w:name="_Toc492340367"/>
      <w:bookmarkStart w:id="279" w:name="_Toc496805443"/>
      <w:bookmarkStart w:id="280" w:name="_Toc27251"/>
      <w:bookmarkStart w:id="281" w:name="_Toc4348"/>
      <w:r>
        <w:rPr>
          <w:rFonts w:hint="eastAsia" w:ascii="宋体" w:hAnsi="宋体" w:cs="宋体"/>
          <w:color w:val="auto"/>
          <w:szCs w:val="28"/>
          <w:highlight w:val="none"/>
        </w:rPr>
        <w:t>2.谈判</w:t>
      </w:r>
      <w:bookmarkEnd w:id="273"/>
      <w:bookmarkEnd w:id="274"/>
      <w:bookmarkEnd w:id="275"/>
      <w:bookmarkEnd w:id="276"/>
      <w:bookmarkEnd w:id="277"/>
      <w:r>
        <w:rPr>
          <w:rFonts w:hint="eastAsia" w:ascii="宋体" w:hAnsi="宋体" w:cs="宋体"/>
          <w:color w:val="auto"/>
          <w:szCs w:val="28"/>
          <w:highlight w:val="none"/>
        </w:rPr>
        <w:t>程序</w:t>
      </w:r>
      <w:bookmarkEnd w:id="278"/>
      <w:bookmarkEnd w:id="279"/>
      <w:bookmarkEnd w:id="280"/>
      <w:bookmarkEnd w:id="281"/>
    </w:p>
    <w:p w14:paraId="189F061D">
      <w:pPr>
        <w:pStyle w:val="8"/>
        <w:tabs>
          <w:tab w:val="left" w:pos="900"/>
        </w:tabs>
        <w:adjustRightInd w:val="0"/>
        <w:snapToGrid w:val="0"/>
        <w:spacing w:before="0" w:after="0"/>
        <w:ind w:firstLine="0" w:firstLineChars="0"/>
        <w:jc w:val="left"/>
        <w:rPr>
          <w:rFonts w:hAnsi="宋体" w:cs="宋体"/>
          <w:color w:val="auto"/>
          <w:szCs w:val="24"/>
          <w:highlight w:val="none"/>
        </w:rPr>
      </w:pPr>
      <w:bookmarkStart w:id="282" w:name="_Toc347849271"/>
      <w:bookmarkStart w:id="283" w:name="_Toc9701"/>
      <w:bookmarkStart w:id="284" w:name="_Toc86124096"/>
      <w:bookmarkStart w:id="285" w:name="_Toc628"/>
      <w:bookmarkStart w:id="286" w:name="_Toc329810237"/>
      <w:bookmarkStart w:id="287" w:name="_Toc438157955"/>
      <w:bookmarkStart w:id="288" w:name="_Toc191374449"/>
      <w:bookmarkStart w:id="289" w:name="_Toc48271429"/>
      <w:bookmarkStart w:id="290" w:name="_Toc496805444"/>
      <w:bookmarkStart w:id="291" w:name="_Toc464475986"/>
      <w:bookmarkStart w:id="292" w:name="_Toc492340368"/>
      <w:bookmarkStart w:id="293" w:name="_Toc481316975"/>
      <w:r>
        <w:rPr>
          <w:rFonts w:hint="eastAsia" w:hAnsi="宋体" w:cs="宋体"/>
          <w:color w:val="auto"/>
          <w:szCs w:val="24"/>
          <w:highlight w:val="none"/>
        </w:rPr>
        <w:t>2.1实质性要求审查</w:t>
      </w:r>
      <w:bookmarkEnd w:id="282"/>
      <w:bookmarkEnd w:id="283"/>
      <w:bookmarkEnd w:id="284"/>
      <w:bookmarkEnd w:id="285"/>
      <w:bookmarkEnd w:id="286"/>
      <w:bookmarkEnd w:id="287"/>
      <w:bookmarkEnd w:id="288"/>
      <w:bookmarkEnd w:id="289"/>
      <w:bookmarkEnd w:id="290"/>
      <w:bookmarkEnd w:id="291"/>
      <w:bookmarkEnd w:id="292"/>
      <w:bookmarkEnd w:id="293"/>
    </w:p>
    <w:p w14:paraId="57C8905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实质性要求审查标准：谈判小组</w:t>
      </w:r>
      <w:r>
        <w:rPr>
          <w:rFonts w:hint="eastAsia" w:ascii="宋体" w:hAnsi="宋体" w:cs="宋体"/>
          <w:color w:val="auto"/>
          <w:kern w:val="0"/>
          <w:szCs w:val="21"/>
          <w:highlight w:val="none"/>
        </w:rPr>
        <w:t>依据法律法规和谈判文件的规定</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对响应文件中的资格证明等进行审查（详</w:t>
      </w:r>
      <w:r>
        <w:rPr>
          <w:rFonts w:hint="eastAsia" w:ascii="宋体" w:hAnsi="宋体" w:cs="宋体"/>
          <w:color w:val="auto"/>
          <w:szCs w:val="21"/>
          <w:highlight w:val="none"/>
        </w:rPr>
        <w:t>见“</w:t>
      </w:r>
      <w:r>
        <w:rPr>
          <w:rFonts w:hint="eastAsia" w:ascii="宋体" w:hAnsi="宋体" w:cs="宋体"/>
          <w:b/>
          <w:color w:val="auto"/>
          <w:szCs w:val="21"/>
          <w:highlight w:val="none"/>
        </w:rPr>
        <w:t>谈判程序和方法前附表</w:t>
      </w:r>
      <w:r>
        <w:rPr>
          <w:rFonts w:hint="eastAsia" w:ascii="宋体" w:hAnsi="宋体" w:cs="宋体"/>
          <w:color w:val="auto"/>
          <w:szCs w:val="21"/>
          <w:highlight w:val="none"/>
        </w:rPr>
        <w:t>”</w:t>
      </w:r>
      <w:r>
        <w:rPr>
          <w:rFonts w:hint="eastAsia" w:ascii="宋体" w:hAnsi="宋体" w:cs="宋体"/>
          <w:color w:val="auto"/>
          <w:kern w:val="0"/>
          <w:szCs w:val="21"/>
          <w:highlight w:val="none"/>
        </w:rPr>
        <w:t>）</w:t>
      </w:r>
      <w:r>
        <w:rPr>
          <w:rFonts w:hint="eastAsia" w:ascii="宋体" w:hAnsi="宋体" w:cs="宋体"/>
          <w:color w:val="auto"/>
          <w:szCs w:val="21"/>
          <w:highlight w:val="none"/>
        </w:rPr>
        <w:t>。</w:t>
      </w:r>
      <w:r>
        <w:rPr>
          <w:rFonts w:hint="eastAsia" w:ascii="宋体" w:hAnsi="宋体" w:cs="宋体"/>
          <w:bCs/>
          <w:color w:val="auto"/>
          <w:szCs w:val="21"/>
          <w:highlight w:val="none"/>
        </w:rPr>
        <w:t>有一项不符合谈判标准的</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不通过实质性要求审查</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不再参与</w:t>
      </w:r>
      <w:r>
        <w:rPr>
          <w:rFonts w:hint="eastAsia" w:ascii="宋体" w:hAnsi="宋体" w:cs="宋体"/>
          <w:color w:val="auto"/>
          <w:highlight w:val="none"/>
        </w:rPr>
        <w:t>谈判、比较与评价环节</w:t>
      </w:r>
      <w:r>
        <w:rPr>
          <w:rFonts w:hint="eastAsia" w:ascii="宋体" w:hAnsi="宋体" w:cs="宋体"/>
          <w:bCs/>
          <w:color w:val="auto"/>
          <w:szCs w:val="21"/>
          <w:highlight w:val="none"/>
        </w:rPr>
        <w:t>。当符合实质性要求条件的供应商少于三家时</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将终止本次竞争性谈判采购活动。</w:t>
      </w:r>
    </w:p>
    <w:p w14:paraId="7338B874">
      <w:pPr>
        <w:pStyle w:val="8"/>
        <w:tabs>
          <w:tab w:val="left" w:pos="900"/>
        </w:tabs>
        <w:adjustRightInd w:val="0"/>
        <w:snapToGrid w:val="0"/>
        <w:spacing w:before="0" w:after="0"/>
        <w:ind w:firstLine="0" w:firstLineChars="0"/>
        <w:jc w:val="left"/>
        <w:rPr>
          <w:rFonts w:hAnsi="宋体" w:cs="宋体"/>
          <w:color w:val="auto"/>
          <w:szCs w:val="24"/>
          <w:highlight w:val="none"/>
        </w:rPr>
      </w:pPr>
      <w:bookmarkStart w:id="294" w:name="_Toc191374453"/>
      <w:bookmarkStart w:id="295" w:name="_Toc86124100"/>
      <w:bookmarkStart w:id="296" w:name="_Toc48271433"/>
      <w:bookmarkStart w:id="297" w:name="_Toc5251"/>
      <w:bookmarkStart w:id="298" w:name="_Toc481316979"/>
      <w:bookmarkStart w:id="299" w:name="_Toc438157959"/>
      <w:bookmarkStart w:id="300" w:name="_Toc347849275"/>
      <w:bookmarkStart w:id="301" w:name="_Toc492340369"/>
      <w:bookmarkStart w:id="302" w:name="_Toc31344"/>
      <w:bookmarkStart w:id="303" w:name="_Toc464475990"/>
      <w:bookmarkStart w:id="304" w:name="_Toc496805445"/>
      <w:bookmarkStart w:id="305" w:name="_Toc329810241"/>
      <w:r>
        <w:rPr>
          <w:rFonts w:hint="eastAsia" w:hAnsi="宋体" w:cs="宋体"/>
          <w:color w:val="auto"/>
          <w:szCs w:val="24"/>
          <w:highlight w:val="none"/>
        </w:rPr>
        <w:t>2.2</w:t>
      </w:r>
      <w:bookmarkEnd w:id="294"/>
      <w:bookmarkEnd w:id="295"/>
      <w:bookmarkStart w:id="306" w:name="_Toc86124101"/>
      <w:bookmarkStart w:id="307" w:name="_Toc191374454"/>
      <w:r>
        <w:rPr>
          <w:rFonts w:hint="eastAsia" w:hAnsi="宋体" w:cs="宋体"/>
          <w:color w:val="auto"/>
          <w:szCs w:val="24"/>
          <w:highlight w:val="none"/>
        </w:rPr>
        <w:t>谈判</w:t>
      </w:r>
      <w:bookmarkEnd w:id="296"/>
      <w:r>
        <w:rPr>
          <w:rFonts w:hint="eastAsia" w:hAnsi="宋体" w:cs="宋体"/>
          <w:color w:val="auto"/>
          <w:szCs w:val="24"/>
          <w:highlight w:val="none"/>
        </w:rPr>
        <w:t>、比较与评价</w:t>
      </w:r>
      <w:bookmarkEnd w:id="297"/>
      <w:bookmarkEnd w:id="298"/>
      <w:bookmarkEnd w:id="299"/>
      <w:bookmarkEnd w:id="300"/>
      <w:bookmarkEnd w:id="301"/>
      <w:bookmarkEnd w:id="302"/>
      <w:bookmarkEnd w:id="303"/>
      <w:bookmarkEnd w:id="304"/>
      <w:bookmarkEnd w:id="305"/>
    </w:p>
    <w:p w14:paraId="5315021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2.2.1谈判小组所有成员集中与通过实质性要求审查的单一供应商分别进行谈判。在谈判中</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谈判的任何一方不得透露与谈判有关的其他供应商的技术资料、价格、折扣和其他信息。</w:t>
      </w:r>
    </w:p>
    <w:p w14:paraId="322286FA">
      <w:pPr>
        <w:adjustRightInd w:val="0"/>
        <w:snapToGrid w:val="0"/>
        <w:spacing w:line="360" w:lineRule="auto"/>
        <w:ind w:firstLine="411" w:firstLineChars="196"/>
        <w:rPr>
          <w:rFonts w:ascii="宋体" w:hAnsi="宋体" w:cs="宋体"/>
          <w:color w:val="auto"/>
          <w:szCs w:val="21"/>
          <w:highlight w:val="none"/>
        </w:rPr>
      </w:pPr>
      <w:r>
        <w:rPr>
          <w:rFonts w:hint="eastAsia" w:ascii="宋体" w:hAnsi="宋体" w:cs="宋体"/>
          <w:color w:val="auto"/>
          <w:szCs w:val="21"/>
          <w:highlight w:val="none"/>
        </w:rPr>
        <w:t>2.2.2谈判文件有实质性变动的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谈判小组将经采购人代表确认后</w:t>
      </w:r>
      <w:r>
        <w:rPr>
          <w:rFonts w:hint="eastAsia" w:ascii="宋体" w:hAnsi="宋体" w:cs="宋体"/>
          <w:color w:val="auto"/>
          <w:szCs w:val="21"/>
          <w:highlight w:val="none"/>
          <w:lang w:eastAsia="zh-CN"/>
        </w:rPr>
        <w:t>，</w:t>
      </w:r>
      <w:r>
        <w:rPr>
          <w:rFonts w:hint="eastAsia" w:ascii="宋体" w:hAnsi="宋体" w:cs="宋体"/>
          <w:color w:val="auto"/>
          <w:szCs w:val="21"/>
          <w:highlight w:val="none"/>
        </w:rPr>
        <w:t>以书面形式通知所有参加谈判的供应商。但不得对涉及竞争的公平、公正性内容进行修改、变动。</w:t>
      </w:r>
    </w:p>
    <w:p w14:paraId="6569176C">
      <w:pPr>
        <w:adjustRightInd w:val="0"/>
        <w:snapToGrid w:val="0"/>
        <w:spacing w:line="360" w:lineRule="auto"/>
        <w:ind w:firstLine="411" w:firstLineChars="196"/>
        <w:rPr>
          <w:rFonts w:ascii="宋体" w:hAnsi="宋体" w:cs="宋体"/>
          <w:color w:val="auto"/>
          <w:szCs w:val="21"/>
          <w:highlight w:val="none"/>
        </w:rPr>
      </w:pPr>
      <w:r>
        <w:rPr>
          <w:rFonts w:hint="eastAsia" w:ascii="宋体" w:hAnsi="宋体" w:cs="宋体"/>
          <w:color w:val="auto"/>
          <w:szCs w:val="21"/>
          <w:highlight w:val="none"/>
        </w:rPr>
        <w:t>2.2.3为有助于对响应文件的详细审查、评价和比较</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谈判小组可要求对供应商分别进行技术询问、澄清</w:t>
      </w:r>
      <w:r>
        <w:rPr>
          <w:rFonts w:hint="eastAsia" w:ascii="宋体" w:hAnsi="宋体" w:cs="宋体"/>
          <w:color w:val="auto"/>
          <w:szCs w:val="21"/>
          <w:highlight w:val="none"/>
          <w:lang w:eastAsia="zh-CN"/>
        </w:rPr>
        <w:t>，</w:t>
      </w:r>
      <w:r>
        <w:rPr>
          <w:rFonts w:hint="eastAsia" w:ascii="宋体" w:hAnsi="宋体" w:cs="宋体"/>
          <w:color w:val="auto"/>
          <w:szCs w:val="21"/>
          <w:highlight w:val="none"/>
        </w:rPr>
        <w:t>有关要求和答复均现场进行。</w:t>
      </w:r>
    </w:p>
    <w:p w14:paraId="0271DFF5">
      <w:pPr>
        <w:adjustRightInd w:val="0"/>
        <w:snapToGrid w:val="0"/>
        <w:spacing w:line="360" w:lineRule="auto"/>
        <w:ind w:firstLine="411" w:firstLineChars="196"/>
        <w:jc w:val="left"/>
        <w:rPr>
          <w:rFonts w:ascii="宋体" w:hAnsi="宋体" w:cs="宋体"/>
          <w:color w:val="auto"/>
          <w:szCs w:val="21"/>
          <w:highlight w:val="none"/>
        </w:rPr>
      </w:pPr>
      <w:r>
        <w:rPr>
          <w:rFonts w:hint="eastAsia" w:ascii="宋体" w:hAnsi="宋体" w:cs="宋体"/>
          <w:color w:val="auto"/>
          <w:szCs w:val="21"/>
          <w:highlight w:val="none"/>
        </w:rPr>
        <w:t>2.2.4谈判小组对供应商提交的澄清、说明有疑问的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可以要求供应商进一步澄清、说明。谈判小组要求供应商澄清、说明或者更正响应文件应当以书面形式作出。供应商的澄清、说明或者更正应当由法定代表人或其授权代表签字或者加盖供应商电子公章。</w:t>
      </w:r>
    </w:p>
    <w:p w14:paraId="6C8B4B35">
      <w:pPr>
        <w:adjustRightInd w:val="0"/>
        <w:snapToGrid w:val="0"/>
        <w:spacing w:line="360" w:lineRule="auto"/>
        <w:ind w:firstLine="411" w:firstLineChars="196"/>
        <w:rPr>
          <w:rFonts w:ascii="宋体" w:hAnsi="宋体" w:cs="宋体"/>
          <w:color w:val="auto"/>
          <w:szCs w:val="21"/>
          <w:highlight w:val="none"/>
        </w:rPr>
      </w:pPr>
      <w:r>
        <w:rPr>
          <w:rFonts w:hint="eastAsia" w:ascii="宋体" w:hAnsi="宋体" w:cs="宋体"/>
          <w:color w:val="auto"/>
          <w:szCs w:val="21"/>
          <w:highlight w:val="none"/>
        </w:rPr>
        <w:t>2.2.5谈判结束后</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谈判小组将要求所有继续参加谈判的供应商在规定时间内提交最后报价</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提交最后报价的供应商不得少于3家。</w:t>
      </w:r>
      <w:r>
        <w:rPr>
          <w:rFonts w:hint="eastAsia" w:ascii="宋体" w:hAnsi="宋体" w:cs="宋体"/>
          <w:color w:val="auto"/>
          <w:highlight w:val="none"/>
        </w:rPr>
        <w:t>最后报价超过采购预算的</w:t>
      </w:r>
      <w:r>
        <w:rPr>
          <w:rFonts w:hint="eastAsia" w:ascii="宋体" w:hAnsi="宋体" w:cs="宋体"/>
          <w:color w:val="auto"/>
          <w:highlight w:val="none"/>
          <w:lang w:eastAsia="zh-CN"/>
        </w:rPr>
        <w:t>，</w:t>
      </w:r>
      <w:r>
        <w:rPr>
          <w:rFonts w:hint="eastAsia" w:ascii="宋体" w:hAnsi="宋体" w:cs="宋体"/>
          <w:color w:val="auto"/>
          <w:highlight w:val="none"/>
        </w:rPr>
        <w:t>将不被推荐为成交候选人。</w:t>
      </w:r>
    </w:p>
    <w:p w14:paraId="09067A8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2.2.6谈判小组根据各供应商最后报价、响应文件及澄清等</w:t>
      </w:r>
      <w:r>
        <w:rPr>
          <w:rFonts w:hint="eastAsia" w:ascii="宋体" w:hAnsi="宋体" w:cs="宋体"/>
          <w:color w:val="auto"/>
          <w:szCs w:val="21"/>
          <w:highlight w:val="none"/>
          <w:lang w:eastAsia="zh-CN"/>
        </w:rPr>
        <w:t>，</w:t>
      </w:r>
      <w:r>
        <w:rPr>
          <w:rFonts w:hint="eastAsia" w:ascii="宋体" w:hAnsi="宋体" w:cs="宋体"/>
          <w:color w:val="auto"/>
          <w:szCs w:val="21"/>
          <w:highlight w:val="none"/>
        </w:rPr>
        <w:t>按“</w:t>
      </w:r>
      <w:r>
        <w:rPr>
          <w:rFonts w:hint="eastAsia" w:ascii="宋体" w:hAnsi="宋体" w:cs="宋体"/>
          <w:b/>
          <w:color w:val="auto"/>
          <w:szCs w:val="21"/>
          <w:highlight w:val="none"/>
        </w:rPr>
        <w:t>谈判程序和方法</w:t>
      </w:r>
      <w:r>
        <w:rPr>
          <w:rFonts w:hint="eastAsia" w:ascii="宋体" w:hAnsi="宋体" w:cs="宋体"/>
          <w:color w:val="auto"/>
          <w:szCs w:val="21"/>
          <w:highlight w:val="none"/>
        </w:rPr>
        <w:t>”中的规定推荐成交候选人</w:t>
      </w:r>
      <w:r>
        <w:rPr>
          <w:rFonts w:hint="eastAsia" w:ascii="宋体" w:hAnsi="宋体" w:cs="宋体"/>
          <w:color w:val="auto"/>
          <w:szCs w:val="21"/>
          <w:highlight w:val="none"/>
          <w:lang w:eastAsia="zh-CN"/>
        </w:rPr>
        <w:t>，</w:t>
      </w:r>
      <w:r>
        <w:rPr>
          <w:rFonts w:hint="eastAsia" w:ascii="宋体" w:hAnsi="宋体" w:cs="宋体"/>
          <w:color w:val="auto"/>
          <w:szCs w:val="21"/>
          <w:highlight w:val="none"/>
        </w:rPr>
        <w:t>经谈判小组评审</w:t>
      </w:r>
      <w:r>
        <w:rPr>
          <w:rFonts w:hint="eastAsia" w:ascii="宋体" w:hAnsi="宋体" w:cs="宋体"/>
          <w:color w:val="auto"/>
          <w:szCs w:val="21"/>
          <w:highlight w:val="none"/>
          <w:lang w:eastAsia="zh-CN"/>
        </w:rPr>
        <w:t>，</w:t>
      </w:r>
      <w:r>
        <w:rPr>
          <w:rFonts w:hint="eastAsia" w:ascii="宋体" w:hAnsi="宋体" w:cs="宋体"/>
          <w:color w:val="auto"/>
          <w:szCs w:val="21"/>
          <w:highlight w:val="none"/>
        </w:rPr>
        <w:t>质量或服务不能满足谈判文件实质性响应要求的供应商</w:t>
      </w:r>
      <w:r>
        <w:rPr>
          <w:rFonts w:hint="eastAsia" w:ascii="宋体" w:hAnsi="宋体" w:cs="宋体"/>
          <w:color w:val="auto"/>
          <w:szCs w:val="21"/>
          <w:highlight w:val="none"/>
          <w:lang w:eastAsia="zh-CN"/>
        </w:rPr>
        <w:t>，</w:t>
      </w:r>
      <w:r>
        <w:rPr>
          <w:rFonts w:hint="eastAsia" w:ascii="宋体" w:hAnsi="宋体" w:cs="宋体"/>
          <w:color w:val="auto"/>
          <w:szCs w:val="21"/>
          <w:highlight w:val="none"/>
        </w:rPr>
        <w:t>不予推荐成交。</w:t>
      </w:r>
    </w:p>
    <w:p w14:paraId="185A0C97">
      <w:pPr>
        <w:adjustRightInd w:val="0"/>
        <w:snapToGrid w:val="0"/>
        <w:spacing w:line="360" w:lineRule="auto"/>
        <w:ind w:firstLine="411" w:firstLineChars="196"/>
        <w:rPr>
          <w:rFonts w:ascii="宋体" w:hAnsi="宋体" w:cs="宋体"/>
          <w:color w:val="auto"/>
          <w:szCs w:val="21"/>
          <w:highlight w:val="none"/>
        </w:rPr>
      </w:pPr>
      <w:r>
        <w:rPr>
          <w:rFonts w:hint="eastAsia" w:ascii="宋体" w:hAnsi="宋体" w:cs="宋体"/>
          <w:color w:val="auto"/>
          <w:szCs w:val="21"/>
          <w:highlight w:val="none"/>
        </w:rPr>
        <w:t>2.2.7谈判小组成员要依法独立审查</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并对审查意见承担个人责任。谈判小组成员对需要共同认定的事项存在争议的</w:t>
      </w:r>
      <w:r>
        <w:rPr>
          <w:rFonts w:hint="eastAsia" w:ascii="宋体" w:hAnsi="宋体" w:cs="宋体"/>
          <w:color w:val="auto"/>
          <w:szCs w:val="21"/>
          <w:highlight w:val="none"/>
          <w:lang w:eastAsia="zh-CN"/>
        </w:rPr>
        <w:t>，</w:t>
      </w:r>
      <w:r>
        <w:rPr>
          <w:rFonts w:hint="eastAsia" w:ascii="宋体" w:hAnsi="宋体" w:cs="宋体"/>
          <w:color w:val="auto"/>
          <w:szCs w:val="21"/>
          <w:highlight w:val="none"/>
        </w:rPr>
        <w:t>按照少数服从多数的原则做出结论。</w:t>
      </w:r>
    </w:p>
    <w:p w14:paraId="109D6AB8">
      <w:pPr>
        <w:adjustRightInd w:val="0"/>
        <w:snapToGrid w:val="0"/>
        <w:spacing w:line="360" w:lineRule="auto"/>
        <w:ind w:firstLine="411" w:firstLineChars="196"/>
        <w:rPr>
          <w:rFonts w:ascii="宋体" w:hAnsi="宋体" w:cs="宋体"/>
          <w:color w:val="auto"/>
          <w:szCs w:val="21"/>
          <w:highlight w:val="none"/>
        </w:rPr>
      </w:pPr>
      <w:r>
        <w:rPr>
          <w:rFonts w:hint="eastAsia" w:ascii="宋体" w:hAnsi="宋体" w:cs="宋体"/>
          <w:color w:val="auto"/>
          <w:szCs w:val="21"/>
          <w:highlight w:val="none"/>
        </w:rPr>
        <w:t>2.2.8评审报告应当由谈判小组全体人员签字认可。谈判小组成员对评审报告有异议的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谈判小组按照少数服从多数的原则推荐成交候选人</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采购程序继续进行。对评审报告有异议的谈判小组成员</w:t>
      </w:r>
      <w:r>
        <w:rPr>
          <w:rFonts w:hint="eastAsia" w:ascii="宋体" w:hAnsi="宋体" w:cs="宋体"/>
          <w:color w:val="auto"/>
          <w:szCs w:val="21"/>
          <w:highlight w:val="none"/>
          <w:lang w:eastAsia="zh-CN"/>
        </w:rPr>
        <w:t>，</w:t>
      </w:r>
      <w:r>
        <w:rPr>
          <w:rFonts w:hint="eastAsia" w:ascii="宋体" w:hAnsi="宋体" w:cs="宋体"/>
          <w:color w:val="auto"/>
          <w:szCs w:val="21"/>
          <w:highlight w:val="none"/>
        </w:rPr>
        <w:t>应当在报告上签署不同意见并说明理由</w:t>
      </w:r>
      <w:r>
        <w:rPr>
          <w:rFonts w:hint="eastAsia" w:ascii="宋体" w:hAnsi="宋体" w:cs="宋体"/>
          <w:color w:val="auto"/>
          <w:szCs w:val="21"/>
          <w:highlight w:val="none"/>
          <w:lang w:eastAsia="zh-CN"/>
        </w:rPr>
        <w:t>，</w:t>
      </w:r>
      <w:r>
        <w:rPr>
          <w:rFonts w:hint="eastAsia" w:ascii="宋体" w:hAnsi="宋体" w:cs="宋体"/>
          <w:color w:val="auto"/>
          <w:szCs w:val="21"/>
          <w:highlight w:val="none"/>
        </w:rPr>
        <w:t>由谈判小组书面记录相关情况。谈判小组成员拒绝在报告上签字又不书面说明其不同意见和理由的</w:t>
      </w:r>
      <w:r>
        <w:rPr>
          <w:rFonts w:hint="eastAsia" w:ascii="宋体" w:hAnsi="宋体" w:cs="宋体"/>
          <w:color w:val="auto"/>
          <w:szCs w:val="21"/>
          <w:highlight w:val="none"/>
          <w:lang w:eastAsia="zh-CN"/>
        </w:rPr>
        <w:t>，</w:t>
      </w:r>
      <w:r>
        <w:rPr>
          <w:rFonts w:hint="eastAsia" w:ascii="宋体" w:hAnsi="宋体" w:cs="宋体"/>
          <w:color w:val="auto"/>
          <w:szCs w:val="21"/>
          <w:highlight w:val="none"/>
        </w:rPr>
        <w:t>视为同意评审报告。</w:t>
      </w:r>
    </w:p>
    <w:p w14:paraId="6C2C220E">
      <w:pPr>
        <w:pStyle w:val="8"/>
        <w:tabs>
          <w:tab w:val="left" w:pos="900"/>
        </w:tabs>
        <w:adjustRightInd w:val="0"/>
        <w:snapToGrid w:val="0"/>
        <w:spacing w:before="0" w:after="0"/>
        <w:ind w:firstLine="0" w:firstLineChars="0"/>
        <w:jc w:val="left"/>
        <w:rPr>
          <w:rFonts w:hAnsi="宋体" w:cs="宋体"/>
          <w:color w:val="auto"/>
          <w:szCs w:val="24"/>
          <w:highlight w:val="none"/>
        </w:rPr>
      </w:pPr>
      <w:bookmarkStart w:id="308" w:name="_Toc492340370"/>
      <w:bookmarkStart w:id="309" w:name="_Toc347849276"/>
      <w:bookmarkStart w:id="310" w:name="_Toc464475991"/>
      <w:bookmarkStart w:id="311" w:name="_Toc329810242"/>
      <w:bookmarkStart w:id="312" w:name="_Toc496805446"/>
      <w:bookmarkStart w:id="313" w:name="_Toc438157960"/>
      <w:bookmarkStart w:id="314" w:name="_Toc7963"/>
      <w:bookmarkStart w:id="315" w:name="_Toc481316980"/>
      <w:bookmarkStart w:id="316" w:name="_Toc24807"/>
      <w:r>
        <w:rPr>
          <w:rFonts w:hint="eastAsia" w:hAnsi="宋体" w:cs="宋体"/>
          <w:color w:val="auto"/>
          <w:szCs w:val="24"/>
          <w:highlight w:val="none"/>
        </w:rPr>
        <w:t>2.3 谈判结果</w:t>
      </w:r>
      <w:bookmarkEnd w:id="308"/>
      <w:bookmarkEnd w:id="309"/>
      <w:bookmarkEnd w:id="310"/>
      <w:bookmarkEnd w:id="311"/>
      <w:bookmarkEnd w:id="312"/>
      <w:bookmarkEnd w:id="313"/>
      <w:bookmarkEnd w:id="314"/>
      <w:bookmarkEnd w:id="315"/>
      <w:bookmarkEnd w:id="316"/>
    </w:p>
    <w:bookmarkEnd w:id="306"/>
    <w:bookmarkEnd w:id="307"/>
    <w:p w14:paraId="71D164C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谈判小组根据竞争性谈判文件规定的谈判程序和方法对各供应商的响应文件进行评审</w:t>
      </w:r>
      <w:r>
        <w:rPr>
          <w:rFonts w:hint="eastAsia" w:ascii="宋体" w:hAnsi="宋体" w:cs="宋体"/>
          <w:color w:val="auto"/>
          <w:szCs w:val="21"/>
          <w:highlight w:val="none"/>
          <w:lang w:eastAsia="zh-CN"/>
        </w:rPr>
        <w:t>，</w:t>
      </w:r>
      <w:r>
        <w:rPr>
          <w:rFonts w:hint="eastAsia" w:ascii="宋体" w:hAnsi="宋体" w:cs="宋体"/>
          <w:color w:val="auto"/>
          <w:szCs w:val="21"/>
          <w:highlight w:val="none"/>
        </w:rPr>
        <w:t>从质量和服务均能满足采购文件实质性响应要求的供应商中</w:t>
      </w:r>
      <w:r>
        <w:rPr>
          <w:rFonts w:hint="eastAsia" w:ascii="宋体" w:hAnsi="宋体" w:cs="宋体"/>
          <w:color w:val="auto"/>
          <w:szCs w:val="21"/>
          <w:highlight w:val="none"/>
          <w:lang w:eastAsia="zh-CN"/>
        </w:rPr>
        <w:t>，</w:t>
      </w:r>
      <w:r>
        <w:rPr>
          <w:rFonts w:hint="eastAsia" w:ascii="宋体" w:hAnsi="宋体" w:cs="宋体"/>
          <w:color w:val="auto"/>
          <w:szCs w:val="21"/>
          <w:highlight w:val="none"/>
        </w:rPr>
        <w:t>按照最后报价</w:t>
      </w:r>
      <w:r>
        <w:rPr>
          <w:rFonts w:hint="eastAsia" w:ascii="宋体" w:hAnsi="宋体" w:cs="宋体"/>
          <w:color w:val="auto"/>
          <w:highlight w:val="none"/>
        </w:rPr>
        <w:t>（符合中小企业划分标准或残疾人福利性单位的用扣除后的价格参与评审）</w:t>
      </w:r>
      <w:r>
        <w:rPr>
          <w:rFonts w:hint="eastAsia" w:ascii="宋体" w:hAnsi="宋体" w:cs="宋体"/>
          <w:color w:val="auto"/>
          <w:szCs w:val="21"/>
          <w:highlight w:val="none"/>
        </w:rPr>
        <w:t>由低到高的顺序提出3名以上成交候选人</w:t>
      </w:r>
      <w:r>
        <w:rPr>
          <w:rFonts w:hint="eastAsia" w:ascii="宋体" w:hAnsi="宋体" w:cs="宋体"/>
          <w:color w:val="auto"/>
          <w:szCs w:val="21"/>
          <w:highlight w:val="none"/>
          <w:lang w:eastAsia="zh-CN"/>
        </w:rPr>
        <w:t>，</w:t>
      </w:r>
      <w:r>
        <w:rPr>
          <w:rFonts w:hint="eastAsia" w:ascii="宋体" w:hAnsi="宋体" w:cs="宋体"/>
          <w:color w:val="auto"/>
          <w:szCs w:val="21"/>
          <w:highlight w:val="none"/>
        </w:rPr>
        <w:t>最后报价相同的</w:t>
      </w:r>
      <w:r>
        <w:rPr>
          <w:rFonts w:hint="eastAsia" w:ascii="宋体" w:hAnsi="宋体" w:cs="宋体"/>
          <w:color w:val="auto"/>
          <w:szCs w:val="21"/>
          <w:highlight w:val="none"/>
          <w:lang w:eastAsia="zh-CN"/>
        </w:rPr>
        <w:t>，</w:t>
      </w:r>
      <w:r>
        <w:rPr>
          <w:rFonts w:hint="eastAsia" w:ascii="宋体" w:hAnsi="宋体" w:cs="宋体"/>
          <w:color w:val="auto"/>
          <w:szCs w:val="21"/>
          <w:highlight w:val="none"/>
        </w:rPr>
        <w:t>按照节能产品、环境标志产品、技术指标优劣顺序推荐</w:t>
      </w:r>
      <w:r>
        <w:rPr>
          <w:rFonts w:hint="eastAsia" w:ascii="宋体" w:hAnsi="宋体" w:cs="宋体"/>
          <w:color w:val="auto"/>
          <w:szCs w:val="21"/>
          <w:highlight w:val="none"/>
          <w:lang w:eastAsia="zh-CN"/>
        </w:rPr>
        <w:t>，</w:t>
      </w:r>
      <w:r>
        <w:rPr>
          <w:rFonts w:hint="eastAsia" w:ascii="宋体" w:hAnsi="宋体" w:cs="宋体"/>
          <w:color w:val="auto"/>
          <w:szCs w:val="21"/>
          <w:highlight w:val="none"/>
        </w:rPr>
        <w:t>并编写评审报告。</w:t>
      </w:r>
    </w:p>
    <w:p w14:paraId="3B306DCC">
      <w:pPr>
        <w:adjustRightInd w:val="0"/>
        <w:snapToGrid w:val="0"/>
        <w:spacing w:line="360" w:lineRule="auto"/>
        <w:ind w:firstLine="472" w:firstLineChars="225"/>
        <w:rPr>
          <w:rFonts w:ascii="宋体" w:hAnsi="宋体" w:cs="宋体"/>
          <w:color w:val="auto"/>
          <w:szCs w:val="21"/>
          <w:highlight w:val="none"/>
        </w:rPr>
      </w:pPr>
    </w:p>
    <w:p w14:paraId="37FFC482">
      <w:pPr>
        <w:adjustRightInd w:val="0"/>
        <w:snapToGrid w:val="0"/>
        <w:spacing w:line="360" w:lineRule="auto"/>
        <w:rPr>
          <w:rFonts w:ascii="宋体" w:hAnsi="宋体" w:cs="宋体"/>
          <w:color w:val="auto"/>
          <w:szCs w:val="21"/>
          <w:highlight w:val="none"/>
        </w:rPr>
      </w:pPr>
    </w:p>
    <w:sectPr>
      <w:pgSz w:w="11906" w:h="16838"/>
      <w:pgMar w:top="1440" w:right="1800" w:bottom="1440" w:left="1800" w:header="510" w:footer="680" w:gutter="0"/>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380CAC6-23C8-4E41-9346-213CEEA663C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2" w:fontKey="{17890230-A935-4914-B341-9A1CF2DEB054}"/>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D8101">
    <w:pPr>
      <w:pStyle w:val="26"/>
      <w:jc w:val="right"/>
      <w:rPr>
        <w:sz w:val="21"/>
      </w:rPr>
    </w:pPr>
    <w:r>
      <w:drawing>
        <wp:inline distT="0" distB="0" distL="114300" distR="114300">
          <wp:extent cx="1438275" cy="266700"/>
          <wp:effectExtent l="0" t="0" r="9525" b="0"/>
          <wp:docPr id="842848827" name="图片 4"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48827" name="图片 4"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92B409A">
                          <w:pPr>
                            <w:pStyle w:val="26"/>
                          </w:pPr>
                        </w:p>
                        <w:p w14:paraId="250C212D"/>
                      </w:txbxContent>
                    </wps:txbx>
                    <wps:bodyPr wrap="none" lIns="0" tIns="0" rIns="0" bIns="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GzqkhzIAQAAngMAAA4AAAAAAAAAAQAgAAAAHgEAAGRycy9lMm9Eb2Mu&#10;eG1sUEsFBgAAAAAGAAYAWQEAAFgFAAAAAA==&#10;">
              <v:fill on="f" focussize="0,0"/>
              <v:stroke on="f"/>
              <v:imagedata o:title=""/>
              <o:lock v:ext="edit" aspectratio="f"/>
              <v:textbox inset="0mm,0mm,0mm,0mm" style="mso-fit-shape-to-text:t;">
                <w:txbxContent>
                  <w:p w14:paraId="092B409A">
                    <w:pPr>
                      <w:pStyle w:val="26"/>
                    </w:pPr>
                  </w:p>
                  <w:p w14:paraId="250C212D"/>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D87AB">
    <w:pPr>
      <w:pStyle w:val="26"/>
      <w:jc w:val="right"/>
    </w:pPr>
    <w:r>
      <w:drawing>
        <wp:inline distT="0" distB="0" distL="114300" distR="114300">
          <wp:extent cx="1438275" cy="266700"/>
          <wp:effectExtent l="0" t="0" r="9525" b="0"/>
          <wp:docPr id="120358981" name="图片 4"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58981" name="图片 4"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D64D81">
                          <w:pPr>
                            <w:pStyle w:val="26"/>
                            <w:jc w:val="right"/>
                          </w:pPr>
                        </w:p>
                        <w:p w14:paraId="2C43F964"/>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FOhrwyQEAAJ4DAAAOAAAAAAAAAAEAIAAAAB4BAABkcnMvZTJvRG9j&#10;LnhtbFBLBQYAAAAABgAGAFkBAABZBQAAAAA=&#10;">
              <v:fill on="f" focussize="0,0"/>
              <v:stroke on="f"/>
              <v:imagedata o:title=""/>
              <o:lock v:ext="edit" aspectratio="f"/>
              <v:textbox inset="0mm,0mm,0mm,0mm" style="mso-fit-shape-to-text:t;">
                <w:txbxContent>
                  <w:p w14:paraId="19D64D81">
                    <w:pPr>
                      <w:pStyle w:val="26"/>
                      <w:jc w:val="right"/>
                    </w:pPr>
                  </w:p>
                  <w:p w14:paraId="2C43F964"/>
                </w:txbxContent>
              </v:textbox>
            </v:shape>
          </w:pict>
        </mc:Fallback>
      </mc:AlternateContent>
    </w:r>
  </w:p>
  <w:p w14:paraId="614A86CC">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CCF67">
    <w:pPr>
      <w:pStyle w:val="26"/>
      <w:jc w:val="right"/>
      <w:rPr>
        <w:sz w:val="21"/>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2A8608">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3C2A8608">
                    <w:pPr>
                      <w:pStyle w:val="26"/>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1438275" cy="266700"/>
          <wp:effectExtent l="0" t="0" r="9525" b="0"/>
          <wp:docPr id="2073806790" name="图片 4"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806790" name="图片 4"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D35DA71">
                          <w:pPr>
                            <w:pStyle w:val="26"/>
                          </w:pPr>
                        </w:p>
                        <w:p w14:paraId="70FF77A3"/>
                      </w:txbxContent>
                    </wps:txbx>
                    <wps:bodyPr wrap="none" lIns="0" tIns="0" rIns="0" bIns="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PktQnyQEAAJ4DAAAOAAAAAAAAAAEAIAAAAB4BAABkcnMvZTJvRG9j&#10;LnhtbFBLBQYAAAAABgAGAFkBAABZBQAAAAA=&#10;">
              <v:fill on="f" focussize="0,0"/>
              <v:stroke on="f"/>
              <v:imagedata o:title=""/>
              <o:lock v:ext="edit" aspectratio="f"/>
              <v:textbox inset="0mm,0mm,0mm,0mm" style="mso-fit-shape-to-text:t;">
                <w:txbxContent>
                  <w:p w14:paraId="3D35DA71">
                    <w:pPr>
                      <w:pStyle w:val="26"/>
                    </w:pPr>
                  </w:p>
                  <w:p w14:paraId="70FF77A3"/>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5F6B8">
    <w:pPr>
      <w:pStyle w:val="26"/>
      <w:jc w:val="right"/>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7E6037">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1F7E6037">
                    <w:pPr>
                      <w:pStyle w:val="26"/>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1438275" cy="266700"/>
          <wp:effectExtent l="0" t="0" r="9525" b="0"/>
          <wp:docPr id="1206715001" name="图片 4" descr="冠睿小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15001" name="图片 4" descr="冠睿小标"/>
                  <pic:cNvPicPr>
                    <a:picLocks noChangeAspect="1"/>
                  </pic:cNvPicPr>
                </pic:nvPicPr>
                <pic:blipFill>
                  <a:blip r:embed="rId1"/>
                  <a:stretch>
                    <a:fillRect/>
                  </a:stretch>
                </pic:blipFill>
                <pic:spPr>
                  <a:xfrm>
                    <a:off x="0" y="0"/>
                    <a:ext cx="1438275" cy="266700"/>
                  </a:xfrm>
                  <a:prstGeom prst="rect">
                    <a:avLst/>
                  </a:prstGeom>
                  <a:noFill/>
                  <a:ln>
                    <a:noFill/>
                  </a:ln>
                </pic:spPr>
              </pic:pic>
            </a:graphicData>
          </a:graphic>
        </wp:inline>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A63AA45">
                          <w:pPr>
                            <w:pStyle w:val="26"/>
                            <w:jc w:val="right"/>
                          </w:pPr>
                        </w:p>
                        <w:p w14:paraId="4CB2789A"/>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E/Y2e3IAQAAngMAAA4AAAAAAAAAAQAgAAAAHgEAAGRycy9lMm9Eb2Mu&#10;eG1sUEsFBgAAAAAGAAYAWQEAAFgFAAAAAA==&#10;">
              <v:fill on="f" focussize="0,0"/>
              <v:stroke on="f"/>
              <v:imagedata o:title=""/>
              <o:lock v:ext="edit" aspectratio="f"/>
              <v:textbox inset="0mm,0mm,0mm,0mm" style="mso-fit-shape-to-text:t;">
                <w:txbxContent>
                  <w:p w14:paraId="4A63AA45">
                    <w:pPr>
                      <w:pStyle w:val="26"/>
                      <w:jc w:val="right"/>
                    </w:pPr>
                  </w:p>
                  <w:p w14:paraId="4CB2789A"/>
                </w:txbxContent>
              </v:textbox>
            </v:shape>
          </w:pict>
        </mc:Fallback>
      </mc:AlternateContent>
    </w:r>
  </w:p>
  <w:p w14:paraId="159B196A">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62D56">
    <w:pPr>
      <w:pBdr>
        <w:bottom w:val="single" w:color="auto" w:sz="4" w:space="0"/>
      </w:pBdr>
      <w:jc w:val="center"/>
      <w:rPr>
        <w:sz w:val="18"/>
        <w:szCs w:val="18"/>
      </w:rPr>
    </w:pPr>
    <w:r>
      <w:rPr>
        <w:rFonts w:hint="eastAsia" w:hAnsi="宋体"/>
        <w:sz w:val="18"/>
        <w:szCs w:val="18"/>
        <w:lang w:eastAsia="zh-CN"/>
      </w:rPr>
      <w:t>昆明市公安局交通管理支队警用无人机装备采购</w:t>
    </w:r>
    <w:r>
      <w:rPr>
        <w:rFonts w:hint="eastAsia" w:hAnsi="宋体"/>
        <w:sz w:val="18"/>
        <w:szCs w:val="18"/>
      </w:rPr>
      <w:t xml:space="preserve">             </w:t>
    </w:r>
    <w:r>
      <w:rPr>
        <w:rFonts w:hint="eastAsia" w:hAnsi="宋体"/>
        <w:sz w:val="18"/>
        <w:szCs w:val="18"/>
        <w:lang w:val="en-US" w:eastAsia="zh-CN"/>
      </w:rPr>
      <w:t xml:space="preserve">   </w:t>
    </w:r>
    <w:r>
      <w:rPr>
        <w:rFonts w:hint="eastAsia" w:hAnsi="宋体"/>
        <w:sz w:val="18"/>
        <w:szCs w:val="18"/>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DD5B2">
    <w:pPr>
      <w:pBdr>
        <w:bottom w:val="single" w:color="auto" w:sz="4" w:space="0"/>
      </w:pBdr>
      <w:jc w:val="center"/>
      <w:rPr>
        <w:sz w:val="18"/>
        <w:szCs w:val="18"/>
      </w:rPr>
    </w:pPr>
    <w:r>
      <w:rPr>
        <w:rFonts w:hint="eastAsia" w:hAnsi="宋体"/>
        <w:sz w:val="18"/>
        <w:szCs w:val="18"/>
        <w:lang w:eastAsia="zh-CN"/>
      </w:rPr>
      <w:t>昆明市公安局交通管理支队警用无人机装备采购</w:t>
    </w:r>
    <w:r>
      <w:rPr>
        <w:rFonts w:hint="eastAsia" w:hAnsi="宋体"/>
        <w:sz w:val="18"/>
        <w:szCs w:val="18"/>
      </w:rPr>
      <w:t xml:space="preserve">             </w:t>
    </w:r>
    <w:r>
      <w:rPr>
        <w:rFonts w:hint="eastAsia" w:hAnsi="宋体"/>
        <w:sz w:val="18"/>
        <w:szCs w:val="18"/>
        <w:lang w:val="en-US" w:eastAsia="zh-CN"/>
      </w:rPr>
      <w:t xml:space="preserve">            </w:t>
    </w:r>
    <w:r>
      <w:rPr>
        <w:rFonts w:hint="eastAsia" w:hAnsi="宋体"/>
        <w:sz w:val="18"/>
        <w:szCs w:val="18"/>
      </w:rPr>
      <w:t xml:space="preserve">           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7A0F6431"/>
    <w:multiLevelType w:val="singleLevel"/>
    <w:tmpl w:val="7A0F6431"/>
    <w:lvl w:ilvl="0" w:tentative="0">
      <w:start w:val="1"/>
      <w:numFmt w:val="decimal"/>
      <w:suff w:val="space"/>
      <w:lvlText w:val="%1."/>
      <w:lvlJc w:val="left"/>
    </w:lvl>
  </w:abstractNum>
  <w:num w:numId="1">
    <w:abstractNumId w:val="6"/>
  </w:num>
  <w:num w:numId="2">
    <w:abstractNumId w:val="1"/>
  </w:num>
  <w:num w:numId="3">
    <w:abstractNumId w:val="5"/>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A4OWQ3MWQ3NGVmMGZkNTQ2YzUyNjIyZjRjNjg3ODIifQ=="/>
  </w:docVars>
  <w:rsids>
    <w:rsidRoot w:val="003D21E6"/>
    <w:rsid w:val="0000042F"/>
    <w:rsid w:val="0000116D"/>
    <w:rsid w:val="000011A5"/>
    <w:rsid w:val="000017BA"/>
    <w:rsid w:val="00002616"/>
    <w:rsid w:val="00002E53"/>
    <w:rsid w:val="00002FD6"/>
    <w:rsid w:val="00004AB9"/>
    <w:rsid w:val="00004D9F"/>
    <w:rsid w:val="00005000"/>
    <w:rsid w:val="00010186"/>
    <w:rsid w:val="00010306"/>
    <w:rsid w:val="00010D77"/>
    <w:rsid w:val="000120A1"/>
    <w:rsid w:val="000123FE"/>
    <w:rsid w:val="00012512"/>
    <w:rsid w:val="000127A0"/>
    <w:rsid w:val="00013070"/>
    <w:rsid w:val="00013AB6"/>
    <w:rsid w:val="000142B3"/>
    <w:rsid w:val="000154FF"/>
    <w:rsid w:val="00015F3D"/>
    <w:rsid w:val="00016BB0"/>
    <w:rsid w:val="00016D12"/>
    <w:rsid w:val="00016D92"/>
    <w:rsid w:val="00017156"/>
    <w:rsid w:val="00017714"/>
    <w:rsid w:val="00020730"/>
    <w:rsid w:val="000215A0"/>
    <w:rsid w:val="00021A39"/>
    <w:rsid w:val="00024FF3"/>
    <w:rsid w:val="00025609"/>
    <w:rsid w:val="00026A07"/>
    <w:rsid w:val="00027C5B"/>
    <w:rsid w:val="000302B3"/>
    <w:rsid w:val="000309D9"/>
    <w:rsid w:val="00031AEC"/>
    <w:rsid w:val="00032D17"/>
    <w:rsid w:val="000351E8"/>
    <w:rsid w:val="000357D9"/>
    <w:rsid w:val="000366F2"/>
    <w:rsid w:val="00040C59"/>
    <w:rsid w:val="0004181F"/>
    <w:rsid w:val="00041848"/>
    <w:rsid w:val="00041B1E"/>
    <w:rsid w:val="0004387B"/>
    <w:rsid w:val="000444F5"/>
    <w:rsid w:val="000456E5"/>
    <w:rsid w:val="0004673B"/>
    <w:rsid w:val="00047DE9"/>
    <w:rsid w:val="00051C8D"/>
    <w:rsid w:val="00051CD9"/>
    <w:rsid w:val="0005311F"/>
    <w:rsid w:val="000538F0"/>
    <w:rsid w:val="00053ADE"/>
    <w:rsid w:val="000541A9"/>
    <w:rsid w:val="000579E9"/>
    <w:rsid w:val="00060629"/>
    <w:rsid w:val="0006178D"/>
    <w:rsid w:val="0006206A"/>
    <w:rsid w:val="000625C0"/>
    <w:rsid w:val="00062B4E"/>
    <w:rsid w:val="000648DA"/>
    <w:rsid w:val="000653F2"/>
    <w:rsid w:val="00065DAD"/>
    <w:rsid w:val="0006690F"/>
    <w:rsid w:val="0007058D"/>
    <w:rsid w:val="00070A04"/>
    <w:rsid w:val="00071A61"/>
    <w:rsid w:val="00072A3B"/>
    <w:rsid w:val="00073C4E"/>
    <w:rsid w:val="00073E7C"/>
    <w:rsid w:val="00075032"/>
    <w:rsid w:val="00076274"/>
    <w:rsid w:val="00077205"/>
    <w:rsid w:val="000805BC"/>
    <w:rsid w:val="00081F31"/>
    <w:rsid w:val="00082B74"/>
    <w:rsid w:val="000837D1"/>
    <w:rsid w:val="000856F2"/>
    <w:rsid w:val="00085ADB"/>
    <w:rsid w:val="00085CA0"/>
    <w:rsid w:val="000862F2"/>
    <w:rsid w:val="000871A3"/>
    <w:rsid w:val="00090477"/>
    <w:rsid w:val="00093589"/>
    <w:rsid w:val="00093B6B"/>
    <w:rsid w:val="000942E6"/>
    <w:rsid w:val="0009442C"/>
    <w:rsid w:val="0009493C"/>
    <w:rsid w:val="00094CE8"/>
    <w:rsid w:val="00094D27"/>
    <w:rsid w:val="00096AA4"/>
    <w:rsid w:val="00097296"/>
    <w:rsid w:val="00097628"/>
    <w:rsid w:val="000A0ED2"/>
    <w:rsid w:val="000A11D7"/>
    <w:rsid w:val="000A144D"/>
    <w:rsid w:val="000A1DB7"/>
    <w:rsid w:val="000A36D9"/>
    <w:rsid w:val="000A3D54"/>
    <w:rsid w:val="000A41F8"/>
    <w:rsid w:val="000A5163"/>
    <w:rsid w:val="000A55CC"/>
    <w:rsid w:val="000A7F64"/>
    <w:rsid w:val="000B0577"/>
    <w:rsid w:val="000B071C"/>
    <w:rsid w:val="000B0A65"/>
    <w:rsid w:val="000B38E5"/>
    <w:rsid w:val="000B3938"/>
    <w:rsid w:val="000B3C86"/>
    <w:rsid w:val="000B3F26"/>
    <w:rsid w:val="000B45CB"/>
    <w:rsid w:val="000B4760"/>
    <w:rsid w:val="000B494A"/>
    <w:rsid w:val="000B6603"/>
    <w:rsid w:val="000B69D6"/>
    <w:rsid w:val="000C0AB7"/>
    <w:rsid w:val="000C1AC8"/>
    <w:rsid w:val="000C22E5"/>
    <w:rsid w:val="000C25FF"/>
    <w:rsid w:val="000C2E50"/>
    <w:rsid w:val="000C3E36"/>
    <w:rsid w:val="000C4499"/>
    <w:rsid w:val="000C451E"/>
    <w:rsid w:val="000C5C45"/>
    <w:rsid w:val="000C63F5"/>
    <w:rsid w:val="000C737E"/>
    <w:rsid w:val="000D0334"/>
    <w:rsid w:val="000D073F"/>
    <w:rsid w:val="000D09F0"/>
    <w:rsid w:val="000D1920"/>
    <w:rsid w:val="000D28C5"/>
    <w:rsid w:val="000D2BBD"/>
    <w:rsid w:val="000D2FAD"/>
    <w:rsid w:val="000D364C"/>
    <w:rsid w:val="000D3B55"/>
    <w:rsid w:val="000D4075"/>
    <w:rsid w:val="000D4E90"/>
    <w:rsid w:val="000D631A"/>
    <w:rsid w:val="000D6C0B"/>
    <w:rsid w:val="000E062D"/>
    <w:rsid w:val="000E07D6"/>
    <w:rsid w:val="000E1576"/>
    <w:rsid w:val="000E3466"/>
    <w:rsid w:val="000E3AEF"/>
    <w:rsid w:val="000E44A6"/>
    <w:rsid w:val="000E52B3"/>
    <w:rsid w:val="000E6758"/>
    <w:rsid w:val="000E7624"/>
    <w:rsid w:val="000F129D"/>
    <w:rsid w:val="000F2105"/>
    <w:rsid w:val="000F320F"/>
    <w:rsid w:val="000F3379"/>
    <w:rsid w:val="000F38C0"/>
    <w:rsid w:val="000F476E"/>
    <w:rsid w:val="000F49A2"/>
    <w:rsid w:val="000F4F6E"/>
    <w:rsid w:val="000F5E76"/>
    <w:rsid w:val="000F6A8F"/>
    <w:rsid w:val="000F6E7E"/>
    <w:rsid w:val="000F73CF"/>
    <w:rsid w:val="000F7AE7"/>
    <w:rsid w:val="00100EF7"/>
    <w:rsid w:val="00102534"/>
    <w:rsid w:val="00102ECB"/>
    <w:rsid w:val="001048E2"/>
    <w:rsid w:val="0010491E"/>
    <w:rsid w:val="00104949"/>
    <w:rsid w:val="00104A3B"/>
    <w:rsid w:val="00104FAD"/>
    <w:rsid w:val="00105579"/>
    <w:rsid w:val="001057F4"/>
    <w:rsid w:val="0010599E"/>
    <w:rsid w:val="00105CFC"/>
    <w:rsid w:val="001069AD"/>
    <w:rsid w:val="00106B4A"/>
    <w:rsid w:val="00106EF9"/>
    <w:rsid w:val="00107377"/>
    <w:rsid w:val="00110C5A"/>
    <w:rsid w:val="00111C79"/>
    <w:rsid w:val="00111D3F"/>
    <w:rsid w:val="00111FDC"/>
    <w:rsid w:val="0011232A"/>
    <w:rsid w:val="001124EC"/>
    <w:rsid w:val="00114715"/>
    <w:rsid w:val="0011509A"/>
    <w:rsid w:val="00116CCB"/>
    <w:rsid w:val="00117131"/>
    <w:rsid w:val="001207A7"/>
    <w:rsid w:val="0012106C"/>
    <w:rsid w:val="00121335"/>
    <w:rsid w:val="00121621"/>
    <w:rsid w:val="001216BB"/>
    <w:rsid w:val="0012209D"/>
    <w:rsid w:val="00122D10"/>
    <w:rsid w:val="00122E72"/>
    <w:rsid w:val="001230AA"/>
    <w:rsid w:val="001234DF"/>
    <w:rsid w:val="001236C4"/>
    <w:rsid w:val="00125E0E"/>
    <w:rsid w:val="00127D49"/>
    <w:rsid w:val="00127ECA"/>
    <w:rsid w:val="00130523"/>
    <w:rsid w:val="00131A69"/>
    <w:rsid w:val="00131F98"/>
    <w:rsid w:val="0013200A"/>
    <w:rsid w:val="001334FB"/>
    <w:rsid w:val="001342E9"/>
    <w:rsid w:val="00135EF6"/>
    <w:rsid w:val="00136937"/>
    <w:rsid w:val="00136D04"/>
    <w:rsid w:val="0013766C"/>
    <w:rsid w:val="001376D4"/>
    <w:rsid w:val="0014027E"/>
    <w:rsid w:val="00140AA0"/>
    <w:rsid w:val="001422E3"/>
    <w:rsid w:val="00143B28"/>
    <w:rsid w:val="0014581D"/>
    <w:rsid w:val="00147D2E"/>
    <w:rsid w:val="00150580"/>
    <w:rsid w:val="00151AD1"/>
    <w:rsid w:val="00151D13"/>
    <w:rsid w:val="00152DA0"/>
    <w:rsid w:val="00153451"/>
    <w:rsid w:val="001538BC"/>
    <w:rsid w:val="00153F63"/>
    <w:rsid w:val="00154423"/>
    <w:rsid w:val="00154EC9"/>
    <w:rsid w:val="00154F41"/>
    <w:rsid w:val="00163005"/>
    <w:rsid w:val="00163877"/>
    <w:rsid w:val="00165E09"/>
    <w:rsid w:val="0016621B"/>
    <w:rsid w:val="001664F7"/>
    <w:rsid w:val="00167A9A"/>
    <w:rsid w:val="001704B3"/>
    <w:rsid w:val="00171E12"/>
    <w:rsid w:val="00172A1A"/>
    <w:rsid w:val="00172A8E"/>
    <w:rsid w:val="00173846"/>
    <w:rsid w:val="00174A59"/>
    <w:rsid w:val="001777FD"/>
    <w:rsid w:val="001810BE"/>
    <w:rsid w:val="00181983"/>
    <w:rsid w:val="00182248"/>
    <w:rsid w:val="0018428A"/>
    <w:rsid w:val="001847DA"/>
    <w:rsid w:val="001850F6"/>
    <w:rsid w:val="00190079"/>
    <w:rsid w:val="00193BB8"/>
    <w:rsid w:val="00195B25"/>
    <w:rsid w:val="00196FB7"/>
    <w:rsid w:val="001972F3"/>
    <w:rsid w:val="001976C5"/>
    <w:rsid w:val="001A0364"/>
    <w:rsid w:val="001A2532"/>
    <w:rsid w:val="001A3947"/>
    <w:rsid w:val="001A39DF"/>
    <w:rsid w:val="001A43AB"/>
    <w:rsid w:val="001A5CAB"/>
    <w:rsid w:val="001A5E04"/>
    <w:rsid w:val="001A683F"/>
    <w:rsid w:val="001A7C43"/>
    <w:rsid w:val="001B0101"/>
    <w:rsid w:val="001B0772"/>
    <w:rsid w:val="001B07F9"/>
    <w:rsid w:val="001B0C84"/>
    <w:rsid w:val="001B2E86"/>
    <w:rsid w:val="001B2ED9"/>
    <w:rsid w:val="001B5CDD"/>
    <w:rsid w:val="001B5D1F"/>
    <w:rsid w:val="001B60EA"/>
    <w:rsid w:val="001B6429"/>
    <w:rsid w:val="001B721C"/>
    <w:rsid w:val="001C0160"/>
    <w:rsid w:val="001C0B44"/>
    <w:rsid w:val="001C0DC2"/>
    <w:rsid w:val="001C3958"/>
    <w:rsid w:val="001C43EB"/>
    <w:rsid w:val="001C44B6"/>
    <w:rsid w:val="001C47A4"/>
    <w:rsid w:val="001C4E88"/>
    <w:rsid w:val="001C4F94"/>
    <w:rsid w:val="001C5201"/>
    <w:rsid w:val="001C5404"/>
    <w:rsid w:val="001C592D"/>
    <w:rsid w:val="001C68FB"/>
    <w:rsid w:val="001C6BCF"/>
    <w:rsid w:val="001D019B"/>
    <w:rsid w:val="001D051A"/>
    <w:rsid w:val="001D20E7"/>
    <w:rsid w:val="001D2612"/>
    <w:rsid w:val="001D296E"/>
    <w:rsid w:val="001D3688"/>
    <w:rsid w:val="001D4909"/>
    <w:rsid w:val="001D5339"/>
    <w:rsid w:val="001D5413"/>
    <w:rsid w:val="001D5E1E"/>
    <w:rsid w:val="001D73C9"/>
    <w:rsid w:val="001D76A7"/>
    <w:rsid w:val="001E1512"/>
    <w:rsid w:val="001E1B7E"/>
    <w:rsid w:val="001E29F4"/>
    <w:rsid w:val="001E3204"/>
    <w:rsid w:val="001E38B8"/>
    <w:rsid w:val="001E5E29"/>
    <w:rsid w:val="001E638D"/>
    <w:rsid w:val="001E6409"/>
    <w:rsid w:val="001E6948"/>
    <w:rsid w:val="001F078F"/>
    <w:rsid w:val="001F0AA7"/>
    <w:rsid w:val="001F177D"/>
    <w:rsid w:val="001F2878"/>
    <w:rsid w:val="001F32E9"/>
    <w:rsid w:val="001F3F8C"/>
    <w:rsid w:val="001F48A2"/>
    <w:rsid w:val="001F4FBA"/>
    <w:rsid w:val="001F519C"/>
    <w:rsid w:val="001F53B5"/>
    <w:rsid w:val="001F67A0"/>
    <w:rsid w:val="001F6F7B"/>
    <w:rsid w:val="001F72EC"/>
    <w:rsid w:val="00201019"/>
    <w:rsid w:val="00201C33"/>
    <w:rsid w:val="002022C3"/>
    <w:rsid w:val="00202BBC"/>
    <w:rsid w:val="002042E4"/>
    <w:rsid w:val="00204414"/>
    <w:rsid w:val="00204AF3"/>
    <w:rsid w:val="0020671C"/>
    <w:rsid w:val="00206D03"/>
    <w:rsid w:val="00207F87"/>
    <w:rsid w:val="00211602"/>
    <w:rsid w:val="002122D2"/>
    <w:rsid w:val="00213A20"/>
    <w:rsid w:val="002140BC"/>
    <w:rsid w:val="00214212"/>
    <w:rsid w:val="002159B0"/>
    <w:rsid w:val="0021639C"/>
    <w:rsid w:val="00216942"/>
    <w:rsid w:val="002175F3"/>
    <w:rsid w:val="00217683"/>
    <w:rsid w:val="00217A36"/>
    <w:rsid w:val="00220624"/>
    <w:rsid w:val="00220A44"/>
    <w:rsid w:val="00220DF6"/>
    <w:rsid w:val="00222944"/>
    <w:rsid w:val="00222CB9"/>
    <w:rsid w:val="0022315B"/>
    <w:rsid w:val="002245FD"/>
    <w:rsid w:val="0022632D"/>
    <w:rsid w:val="00226DF4"/>
    <w:rsid w:val="002302F2"/>
    <w:rsid w:val="00230A19"/>
    <w:rsid w:val="00230D28"/>
    <w:rsid w:val="0023239E"/>
    <w:rsid w:val="00232658"/>
    <w:rsid w:val="00232C82"/>
    <w:rsid w:val="0023384D"/>
    <w:rsid w:val="0023548C"/>
    <w:rsid w:val="00236B34"/>
    <w:rsid w:val="00237093"/>
    <w:rsid w:val="00240B29"/>
    <w:rsid w:val="00240D27"/>
    <w:rsid w:val="002412DB"/>
    <w:rsid w:val="00241F9E"/>
    <w:rsid w:val="002420ED"/>
    <w:rsid w:val="0024231B"/>
    <w:rsid w:val="00242611"/>
    <w:rsid w:val="00242B65"/>
    <w:rsid w:val="00244B91"/>
    <w:rsid w:val="00245017"/>
    <w:rsid w:val="00245981"/>
    <w:rsid w:val="00247C92"/>
    <w:rsid w:val="00250B90"/>
    <w:rsid w:val="00250C3E"/>
    <w:rsid w:val="002526B5"/>
    <w:rsid w:val="00253258"/>
    <w:rsid w:val="002536AA"/>
    <w:rsid w:val="002538B1"/>
    <w:rsid w:val="002543C7"/>
    <w:rsid w:val="00255342"/>
    <w:rsid w:val="00255470"/>
    <w:rsid w:val="00255B60"/>
    <w:rsid w:val="00262C57"/>
    <w:rsid w:val="00263059"/>
    <w:rsid w:val="002646ED"/>
    <w:rsid w:val="00264E62"/>
    <w:rsid w:val="002656DA"/>
    <w:rsid w:val="00265E70"/>
    <w:rsid w:val="00266889"/>
    <w:rsid w:val="00266A53"/>
    <w:rsid w:val="0026760B"/>
    <w:rsid w:val="00267B61"/>
    <w:rsid w:val="0027135C"/>
    <w:rsid w:val="00271506"/>
    <w:rsid w:val="002718D4"/>
    <w:rsid w:val="00271913"/>
    <w:rsid w:val="00272563"/>
    <w:rsid w:val="00273BB5"/>
    <w:rsid w:val="00273F45"/>
    <w:rsid w:val="002742DF"/>
    <w:rsid w:val="0027495B"/>
    <w:rsid w:val="002758AA"/>
    <w:rsid w:val="002763A7"/>
    <w:rsid w:val="002802B7"/>
    <w:rsid w:val="00280738"/>
    <w:rsid w:val="00280D1D"/>
    <w:rsid w:val="00280F5E"/>
    <w:rsid w:val="0028109F"/>
    <w:rsid w:val="00281A58"/>
    <w:rsid w:val="00281CF9"/>
    <w:rsid w:val="0028205E"/>
    <w:rsid w:val="002822B6"/>
    <w:rsid w:val="00284C59"/>
    <w:rsid w:val="002857C4"/>
    <w:rsid w:val="00285876"/>
    <w:rsid w:val="00286F59"/>
    <w:rsid w:val="0028735E"/>
    <w:rsid w:val="00287844"/>
    <w:rsid w:val="00287AC7"/>
    <w:rsid w:val="00290410"/>
    <w:rsid w:val="0029220E"/>
    <w:rsid w:val="00292AA4"/>
    <w:rsid w:val="002930CE"/>
    <w:rsid w:val="0029334C"/>
    <w:rsid w:val="002955A6"/>
    <w:rsid w:val="0029638F"/>
    <w:rsid w:val="00296C05"/>
    <w:rsid w:val="00296D82"/>
    <w:rsid w:val="00296EDA"/>
    <w:rsid w:val="002A054C"/>
    <w:rsid w:val="002A4995"/>
    <w:rsid w:val="002A4A15"/>
    <w:rsid w:val="002A54A1"/>
    <w:rsid w:val="002A6023"/>
    <w:rsid w:val="002B1E12"/>
    <w:rsid w:val="002B2148"/>
    <w:rsid w:val="002B2312"/>
    <w:rsid w:val="002B3606"/>
    <w:rsid w:val="002B4AC5"/>
    <w:rsid w:val="002B4DC3"/>
    <w:rsid w:val="002B511F"/>
    <w:rsid w:val="002B58E4"/>
    <w:rsid w:val="002B6357"/>
    <w:rsid w:val="002B64D3"/>
    <w:rsid w:val="002C0B7E"/>
    <w:rsid w:val="002C0F85"/>
    <w:rsid w:val="002C19D0"/>
    <w:rsid w:val="002C2001"/>
    <w:rsid w:val="002C3556"/>
    <w:rsid w:val="002C3E05"/>
    <w:rsid w:val="002C42A3"/>
    <w:rsid w:val="002C6307"/>
    <w:rsid w:val="002C7011"/>
    <w:rsid w:val="002D1373"/>
    <w:rsid w:val="002D1388"/>
    <w:rsid w:val="002D1F70"/>
    <w:rsid w:val="002D1F91"/>
    <w:rsid w:val="002D2F8E"/>
    <w:rsid w:val="002D310F"/>
    <w:rsid w:val="002D31A3"/>
    <w:rsid w:val="002D3497"/>
    <w:rsid w:val="002D356E"/>
    <w:rsid w:val="002D3635"/>
    <w:rsid w:val="002D3CE5"/>
    <w:rsid w:val="002D3DB4"/>
    <w:rsid w:val="002D4458"/>
    <w:rsid w:val="002D5EE9"/>
    <w:rsid w:val="002D64D8"/>
    <w:rsid w:val="002D69AD"/>
    <w:rsid w:val="002D7030"/>
    <w:rsid w:val="002D777B"/>
    <w:rsid w:val="002E050D"/>
    <w:rsid w:val="002E13C2"/>
    <w:rsid w:val="002E1A11"/>
    <w:rsid w:val="002E1ED2"/>
    <w:rsid w:val="002E2B02"/>
    <w:rsid w:val="002E2DEF"/>
    <w:rsid w:val="002E43D2"/>
    <w:rsid w:val="002E46E6"/>
    <w:rsid w:val="002E4A44"/>
    <w:rsid w:val="002E4B1B"/>
    <w:rsid w:val="002E5600"/>
    <w:rsid w:val="002E597D"/>
    <w:rsid w:val="002E6C92"/>
    <w:rsid w:val="002E7126"/>
    <w:rsid w:val="002E73A8"/>
    <w:rsid w:val="002E7F1E"/>
    <w:rsid w:val="002E7FE4"/>
    <w:rsid w:val="002F0BE7"/>
    <w:rsid w:val="002F0CFB"/>
    <w:rsid w:val="002F0DF7"/>
    <w:rsid w:val="002F0F10"/>
    <w:rsid w:val="002F1CE2"/>
    <w:rsid w:val="002F2E5C"/>
    <w:rsid w:val="002F3A89"/>
    <w:rsid w:val="002F4673"/>
    <w:rsid w:val="002F6E10"/>
    <w:rsid w:val="00301393"/>
    <w:rsid w:val="0030159B"/>
    <w:rsid w:val="00301A50"/>
    <w:rsid w:val="003025E6"/>
    <w:rsid w:val="00303769"/>
    <w:rsid w:val="0030585D"/>
    <w:rsid w:val="0030598B"/>
    <w:rsid w:val="00305AFD"/>
    <w:rsid w:val="00305B88"/>
    <w:rsid w:val="00305C3D"/>
    <w:rsid w:val="00305DED"/>
    <w:rsid w:val="00311E9F"/>
    <w:rsid w:val="0031250D"/>
    <w:rsid w:val="0031326A"/>
    <w:rsid w:val="00313279"/>
    <w:rsid w:val="003133C3"/>
    <w:rsid w:val="00313A77"/>
    <w:rsid w:val="003154CB"/>
    <w:rsid w:val="0031608B"/>
    <w:rsid w:val="0032151E"/>
    <w:rsid w:val="003225AD"/>
    <w:rsid w:val="0032292B"/>
    <w:rsid w:val="00323C9A"/>
    <w:rsid w:val="0032545A"/>
    <w:rsid w:val="00326506"/>
    <w:rsid w:val="00326CB4"/>
    <w:rsid w:val="0032701A"/>
    <w:rsid w:val="0032743F"/>
    <w:rsid w:val="0033055C"/>
    <w:rsid w:val="003305E6"/>
    <w:rsid w:val="0033060A"/>
    <w:rsid w:val="00330A77"/>
    <w:rsid w:val="00330E6B"/>
    <w:rsid w:val="00330F33"/>
    <w:rsid w:val="003315A7"/>
    <w:rsid w:val="00331660"/>
    <w:rsid w:val="003327EA"/>
    <w:rsid w:val="00332BAA"/>
    <w:rsid w:val="00333979"/>
    <w:rsid w:val="00333B97"/>
    <w:rsid w:val="0033453A"/>
    <w:rsid w:val="00334DF4"/>
    <w:rsid w:val="003355DB"/>
    <w:rsid w:val="003359B7"/>
    <w:rsid w:val="003359D0"/>
    <w:rsid w:val="00335F06"/>
    <w:rsid w:val="003373F4"/>
    <w:rsid w:val="00340101"/>
    <w:rsid w:val="00340E7F"/>
    <w:rsid w:val="00341E47"/>
    <w:rsid w:val="00341FA6"/>
    <w:rsid w:val="00342CDA"/>
    <w:rsid w:val="00343480"/>
    <w:rsid w:val="00343DFA"/>
    <w:rsid w:val="0034432F"/>
    <w:rsid w:val="00345828"/>
    <w:rsid w:val="00346264"/>
    <w:rsid w:val="0034723B"/>
    <w:rsid w:val="00347CD7"/>
    <w:rsid w:val="00350640"/>
    <w:rsid w:val="00350AE6"/>
    <w:rsid w:val="00352462"/>
    <w:rsid w:val="0035271E"/>
    <w:rsid w:val="00352E0B"/>
    <w:rsid w:val="00352E38"/>
    <w:rsid w:val="0035360A"/>
    <w:rsid w:val="003542DB"/>
    <w:rsid w:val="00354397"/>
    <w:rsid w:val="003548A9"/>
    <w:rsid w:val="00357C36"/>
    <w:rsid w:val="00360B29"/>
    <w:rsid w:val="00360C58"/>
    <w:rsid w:val="00360DB7"/>
    <w:rsid w:val="00360F6D"/>
    <w:rsid w:val="00361204"/>
    <w:rsid w:val="00361F66"/>
    <w:rsid w:val="00362C10"/>
    <w:rsid w:val="00362EC1"/>
    <w:rsid w:val="003630D8"/>
    <w:rsid w:val="003640D7"/>
    <w:rsid w:val="00364E33"/>
    <w:rsid w:val="00364F5D"/>
    <w:rsid w:val="003654F9"/>
    <w:rsid w:val="00365D2D"/>
    <w:rsid w:val="0036631E"/>
    <w:rsid w:val="00367320"/>
    <w:rsid w:val="00367EC4"/>
    <w:rsid w:val="0037059C"/>
    <w:rsid w:val="003716DA"/>
    <w:rsid w:val="00374B29"/>
    <w:rsid w:val="00375EEB"/>
    <w:rsid w:val="00377216"/>
    <w:rsid w:val="003772B9"/>
    <w:rsid w:val="003775A0"/>
    <w:rsid w:val="00380F59"/>
    <w:rsid w:val="003817BD"/>
    <w:rsid w:val="00381CA6"/>
    <w:rsid w:val="00382387"/>
    <w:rsid w:val="00382855"/>
    <w:rsid w:val="0038291A"/>
    <w:rsid w:val="003833A7"/>
    <w:rsid w:val="00383A59"/>
    <w:rsid w:val="00383B91"/>
    <w:rsid w:val="00384028"/>
    <w:rsid w:val="003845BE"/>
    <w:rsid w:val="00384BA3"/>
    <w:rsid w:val="0039150B"/>
    <w:rsid w:val="003917D1"/>
    <w:rsid w:val="00391D25"/>
    <w:rsid w:val="00391F7D"/>
    <w:rsid w:val="00392ED8"/>
    <w:rsid w:val="003931AC"/>
    <w:rsid w:val="00393373"/>
    <w:rsid w:val="00394474"/>
    <w:rsid w:val="00396C93"/>
    <w:rsid w:val="003979D1"/>
    <w:rsid w:val="003A049B"/>
    <w:rsid w:val="003A1163"/>
    <w:rsid w:val="003A1A4D"/>
    <w:rsid w:val="003A1F29"/>
    <w:rsid w:val="003A29E4"/>
    <w:rsid w:val="003A3839"/>
    <w:rsid w:val="003A4173"/>
    <w:rsid w:val="003A5803"/>
    <w:rsid w:val="003A5A91"/>
    <w:rsid w:val="003A5AA6"/>
    <w:rsid w:val="003A65CE"/>
    <w:rsid w:val="003A6E11"/>
    <w:rsid w:val="003A748A"/>
    <w:rsid w:val="003B0BE5"/>
    <w:rsid w:val="003B10C1"/>
    <w:rsid w:val="003B13ED"/>
    <w:rsid w:val="003B1437"/>
    <w:rsid w:val="003B2065"/>
    <w:rsid w:val="003B26F9"/>
    <w:rsid w:val="003B3EB9"/>
    <w:rsid w:val="003B7166"/>
    <w:rsid w:val="003B7428"/>
    <w:rsid w:val="003B7A01"/>
    <w:rsid w:val="003B7D8C"/>
    <w:rsid w:val="003C356B"/>
    <w:rsid w:val="003C4414"/>
    <w:rsid w:val="003C4633"/>
    <w:rsid w:val="003C4CF2"/>
    <w:rsid w:val="003C4D08"/>
    <w:rsid w:val="003C4E28"/>
    <w:rsid w:val="003C4F05"/>
    <w:rsid w:val="003C51CE"/>
    <w:rsid w:val="003C6BA6"/>
    <w:rsid w:val="003C7176"/>
    <w:rsid w:val="003D05DE"/>
    <w:rsid w:val="003D1A4E"/>
    <w:rsid w:val="003D21E6"/>
    <w:rsid w:val="003D43F1"/>
    <w:rsid w:val="003D6D7E"/>
    <w:rsid w:val="003D71E9"/>
    <w:rsid w:val="003D725E"/>
    <w:rsid w:val="003D742C"/>
    <w:rsid w:val="003E0618"/>
    <w:rsid w:val="003E175D"/>
    <w:rsid w:val="003E18F5"/>
    <w:rsid w:val="003E2483"/>
    <w:rsid w:val="003E28B3"/>
    <w:rsid w:val="003E33FB"/>
    <w:rsid w:val="003E3FC6"/>
    <w:rsid w:val="003E536D"/>
    <w:rsid w:val="003E60FA"/>
    <w:rsid w:val="003E6CC4"/>
    <w:rsid w:val="003E7803"/>
    <w:rsid w:val="003F14B2"/>
    <w:rsid w:val="003F2081"/>
    <w:rsid w:val="003F216B"/>
    <w:rsid w:val="003F44C4"/>
    <w:rsid w:val="003F5FD7"/>
    <w:rsid w:val="003F622D"/>
    <w:rsid w:val="003F64AF"/>
    <w:rsid w:val="003F6878"/>
    <w:rsid w:val="00401DE6"/>
    <w:rsid w:val="00402E06"/>
    <w:rsid w:val="00403DDB"/>
    <w:rsid w:val="00404EA7"/>
    <w:rsid w:val="004056C0"/>
    <w:rsid w:val="00405731"/>
    <w:rsid w:val="00405B60"/>
    <w:rsid w:val="0040709C"/>
    <w:rsid w:val="0040733F"/>
    <w:rsid w:val="00407CF9"/>
    <w:rsid w:val="00407EF8"/>
    <w:rsid w:val="00410DED"/>
    <w:rsid w:val="00410F75"/>
    <w:rsid w:val="00412223"/>
    <w:rsid w:val="00412F22"/>
    <w:rsid w:val="00412F4E"/>
    <w:rsid w:val="0041393A"/>
    <w:rsid w:val="0041402F"/>
    <w:rsid w:val="0041573C"/>
    <w:rsid w:val="00415BC9"/>
    <w:rsid w:val="004165D7"/>
    <w:rsid w:val="0041699C"/>
    <w:rsid w:val="00420337"/>
    <w:rsid w:val="00420747"/>
    <w:rsid w:val="00421051"/>
    <w:rsid w:val="004219EA"/>
    <w:rsid w:val="00421BE6"/>
    <w:rsid w:val="00421C7A"/>
    <w:rsid w:val="00422A4D"/>
    <w:rsid w:val="00422D96"/>
    <w:rsid w:val="004246C9"/>
    <w:rsid w:val="00424A39"/>
    <w:rsid w:val="00425B22"/>
    <w:rsid w:val="00426566"/>
    <w:rsid w:val="00426A02"/>
    <w:rsid w:val="00427ECE"/>
    <w:rsid w:val="00430A27"/>
    <w:rsid w:val="004329A9"/>
    <w:rsid w:val="004329CA"/>
    <w:rsid w:val="00432DFF"/>
    <w:rsid w:val="00433BC2"/>
    <w:rsid w:val="00434382"/>
    <w:rsid w:val="00434914"/>
    <w:rsid w:val="004354A9"/>
    <w:rsid w:val="0043663B"/>
    <w:rsid w:val="00437477"/>
    <w:rsid w:val="0044010C"/>
    <w:rsid w:val="00440F86"/>
    <w:rsid w:val="00441CEB"/>
    <w:rsid w:val="00442EC9"/>
    <w:rsid w:val="004431B7"/>
    <w:rsid w:val="00443A7D"/>
    <w:rsid w:val="00443D64"/>
    <w:rsid w:val="004444BB"/>
    <w:rsid w:val="004448EE"/>
    <w:rsid w:val="004454F4"/>
    <w:rsid w:val="004460AD"/>
    <w:rsid w:val="004463AB"/>
    <w:rsid w:val="004464B6"/>
    <w:rsid w:val="00446594"/>
    <w:rsid w:val="00446C24"/>
    <w:rsid w:val="00446E5B"/>
    <w:rsid w:val="004504C4"/>
    <w:rsid w:val="004505FF"/>
    <w:rsid w:val="00450A7C"/>
    <w:rsid w:val="004518B6"/>
    <w:rsid w:val="004529CD"/>
    <w:rsid w:val="004535E3"/>
    <w:rsid w:val="00453DBF"/>
    <w:rsid w:val="0045480C"/>
    <w:rsid w:val="00454AE8"/>
    <w:rsid w:val="00454CA7"/>
    <w:rsid w:val="00454D43"/>
    <w:rsid w:val="00455F22"/>
    <w:rsid w:val="00456A1C"/>
    <w:rsid w:val="00457EDB"/>
    <w:rsid w:val="0046015A"/>
    <w:rsid w:val="00460170"/>
    <w:rsid w:val="004631CC"/>
    <w:rsid w:val="00463ABA"/>
    <w:rsid w:val="0046491A"/>
    <w:rsid w:val="004649C5"/>
    <w:rsid w:val="004666BD"/>
    <w:rsid w:val="00466968"/>
    <w:rsid w:val="00471170"/>
    <w:rsid w:val="004732D9"/>
    <w:rsid w:val="004743B6"/>
    <w:rsid w:val="004747F6"/>
    <w:rsid w:val="00475E06"/>
    <w:rsid w:val="00476F97"/>
    <w:rsid w:val="00477D02"/>
    <w:rsid w:val="00480836"/>
    <w:rsid w:val="004813C0"/>
    <w:rsid w:val="00483B4A"/>
    <w:rsid w:val="00483E08"/>
    <w:rsid w:val="00483FAE"/>
    <w:rsid w:val="00483FFD"/>
    <w:rsid w:val="0048550B"/>
    <w:rsid w:val="004856A1"/>
    <w:rsid w:val="00486546"/>
    <w:rsid w:val="00486B64"/>
    <w:rsid w:val="00486D12"/>
    <w:rsid w:val="00487069"/>
    <w:rsid w:val="0049187F"/>
    <w:rsid w:val="0049237C"/>
    <w:rsid w:val="004927D9"/>
    <w:rsid w:val="004927F1"/>
    <w:rsid w:val="00492E06"/>
    <w:rsid w:val="00493F7E"/>
    <w:rsid w:val="00494005"/>
    <w:rsid w:val="00494537"/>
    <w:rsid w:val="00494D7A"/>
    <w:rsid w:val="004963A5"/>
    <w:rsid w:val="004973E5"/>
    <w:rsid w:val="00497BDD"/>
    <w:rsid w:val="00497F19"/>
    <w:rsid w:val="004A16EC"/>
    <w:rsid w:val="004A19D6"/>
    <w:rsid w:val="004A1CF5"/>
    <w:rsid w:val="004A1D61"/>
    <w:rsid w:val="004A219B"/>
    <w:rsid w:val="004A2CE1"/>
    <w:rsid w:val="004A3673"/>
    <w:rsid w:val="004A3CBB"/>
    <w:rsid w:val="004A4048"/>
    <w:rsid w:val="004A5027"/>
    <w:rsid w:val="004A50C9"/>
    <w:rsid w:val="004A50DE"/>
    <w:rsid w:val="004A5622"/>
    <w:rsid w:val="004A59AD"/>
    <w:rsid w:val="004A5EAE"/>
    <w:rsid w:val="004A5EEF"/>
    <w:rsid w:val="004A6146"/>
    <w:rsid w:val="004A6155"/>
    <w:rsid w:val="004A64B8"/>
    <w:rsid w:val="004A65A9"/>
    <w:rsid w:val="004A6877"/>
    <w:rsid w:val="004A776D"/>
    <w:rsid w:val="004B0D50"/>
    <w:rsid w:val="004B1208"/>
    <w:rsid w:val="004B14D5"/>
    <w:rsid w:val="004B29EF"/>
    <w:rsid w:val="004B32E5"/>
    <w:rsid w:val="004B38B3"/>
    <w:rsid w:val="004B597E"/>
    <w:rsid w:val="004B62B2"/>
    <w:rsid w:val="004B62E2"/>
    <w:rsid w:val="004B6757"/>
    <w:rsid w:val="004B6C2E"/>
    <w:rsid w:val="004B7CCE"/>
    <w:rsid w:val="004C0E20"/>
    <w:rsid w:val="004C1238"/>
    <w:rsid w:val="004C18C7"/>
    <w:rsid w:val="004C1A40"/>
    <w:rsid w:val="004C2C6D"/>
    <w:rsid w:val="004C3384"/>
    <w:rsid w:val="004C371A"/>
    <w:rsid w:val="004C3C87"/>
    <w:rsid w:val="004C41B7"/>
    <w:rsid w:val="004C433D"/>
    <w:rsid w:val="004C5C3C"/>
    <w:rsid w:val="004C6E7A"/>
    <w:rsid w:val="004C75BB"/>
    <w:rsid w:val="004C7BB3"/>
    <w:rsid w:val="004D17CC"/>
    <w:rsid w:val="004D1A02"/>
    <w:rsid w:val="004D1E17"/>
    <w:rsid w:val="004D3E4C"/>
    <w:rsid w:val="004D4826"/>
    <w:rsid w:val="004D4EFF"/>
    <w:rsid w:val="004D51E0"/>
    <w:rsid w:val="004D62FC"/>
    <w:rsid w:val="004D6FF1"/>
    <w:rsid w:val="004E1342"/>
    <w:rsid w:val="004E1910"/>
    <w:rsid w:val="004E1F94"/>
    <w:rsid w:val="004E32DF"/>
    <w:rsid w:val="004E411D"/>
    <w:rsid w:val="004E51CB"/>
    <w:rsid w:val="004E554A"/>
    <w:rsid w:val="004E6B49"/>
    <w:rsid w:val="004F14CF"/>
    <w:rsid w:val="004F2263"/>
    <w:rsid w:val="004F5483"/>
    <w:rsid w:val="004F6A24"/>
    <w:rsid w:val="004F6B12"/>
    <w:rsid w:val="004F6E40"/>
    <w:rsid w:val="004F74FC"/>
    <w:rsid w:val="004F77DC"/>
    <w:rsid w:val="005010D4"/>
    <w:rsid w:val="00502095"/>
    <w:rsid w:val="00502376"/>
    <w:rsid w:val="00504A4A"/>
    <w:rsid w:val="00504BE9"/>
    <w:rsid w:val="005050F2"/>
    <w:rsid w:val="00505272"/>
    <w:rsid w:val="00505A8B"/>
    <w:rsid w:val="00505B8B"/>
    <w:rsid w:val="0050629B"/>
    <w:rsid w:val="005064CE"/>
    <w:rsid w:val="00506840"/>
    <w:rsid w:val="00506C77"/>
    <w:rsid w:val="005078D2"/>
    <w:rsid w:val="005105D0"/>
    <w:rsid w:val="005117A7"/>
    <w:rsid w:val="00512712"/>
    <w:rsid w:val="005129CE"/>
    <w:rsid w:val="00513306"/>
    <w:rsid w:val="00513BFE"/>
    <w:rsid w:val="00514285"/>
    <w:rsid w:val="005155A9"/>
    <w:rsid w:val="00515C7B"/>
    <w:rsid w:val="005169E4"/>
    <w:rsid w:val="00516EF4"/>
    <w:rsid w:val="00517BC1"/>
    <w:rsid w:val="00520814"/>
    <w:rsid w:val="00520A14"/>
    <w:rsid w:val="00520E3C"/>
    <w:rsid w:val="00522740"/>
    <w:rsid w:val="00522A17"/>
    <w:rsid w:val="00522A30"/>
    <w:rsid w:val="00523410"/>
    <w:rsid w:val="005239C3"/>
    <w:rsid w:val="00523E1C"/>
    <w:rsid w:val="00524710"/>
    <w:rsid w:val="00524998"/>
    <w:rsid w:val="00524CBD"/>
    <w:rsid w:val="00525556"/>
    <w:rsid w:val="00525B21"/>
    <w:rsid w:val="0052620B"/>
    <w:rsid w:val="005268C6"/>
    <w:rsid w:val="00526A1E"/>
    <w:rsid w:val="005279EF"/>
    <w:rsid w:val="00531233"/>
    <w:rsid w:val="00531517"/>
    <w:rsid w:val="005338B3"/>
    <w:rsid w:val="005347FD"/>
    <w:rsid w:val="005349F1"/>
    <w:rsid w:val="0053659E"/>
    <w:rsid w:val="00536E47"/>
    <w:rsid w:val="00537FF6"/>
    <w:rsid w:val="005406D4"/>
    <w:rsid w:val="00541214"/>
    <w:rsid w:val="005414BE"/>
    <w:rsid w:val="0054164B"/>
    <w:rsid w:val="0054296A"/>
    <w:rsid w:val="00542BA6"/>
    <w:rsid w:val="0054326B"/>
    <w:rsid w:val="00543FE7"/>
    <w:rsid w:val="005442A4"/>
    <w:rsid w:val="005453E3"/>
    <w:rsid w:val="0054578A"/>
    <w:rsid w:val="00545A27"/>
    <w:rsid w:val="00545AEC"/>
    <w:rsid w:val="00547701"/>
    <w:rsid w:val="0055005E"/>
    <w:rsid w:val="00550BB3"/>
    <w:rsid w:val="00552864"/>
    <w:rsid w:val="00554AF7"/>
    <w:rsid w:val="00554D72"/>
    <w:rsid w:val="0055669F"/>
    <w:rsid w:val="00556C89"/>
    <w:rsid w:val="005570D9"/>
    <w:rsid w:val="00557373"/>
    <w:rsid w:val="005576F9"/>
    <w:rsid w:val="00557EEB"/>
    <w:rsid w:val="00560D40"/>
    <w:rsid w:val="00560E6E"/>
    <w:rsid w:val="00561B94"/>
    <w:rsid w:val="005639CA"/>
    <w:rsid w:val="00564410"/>
    <w:rsid w:val="0056492F"/>
    <w:rsid w:val="00565F86"/>
    <w:rsid w:val="00567C94"/>
    <w:rsid w:val="00570259"/>
    <w:rsid w:val="00570B64"/>
    <w:rsid w:val="00570F3A"/>
    <w:rsid w:val="00571B52"/>
    <w:rsid w:val="00572225"/>
    <w:rsid w:val="005732E9"/>
    <w:rsid w:val="005737C0"/>
    <w:rsid w:val="005759C9"/>
    <w:rsid w:val="00577688"/>
    <w:rsid w:val="00577ED3"/>
    <w:rsid w:val="00580150"/>
    <w:rsid w:val="00580354"/>
    <w:rsid w:val="00580FC1"/>
    <w:rsid w:val="0058194C"/>
    <w:rsid w:val="00581D27"/>
    <w:rsid w:val="00582235"/>
    <w:rsid w:val="00582AB2"/>
    <w:rsid w:val="00583488"/>
    <w:rsid w:val="0058355F"/>
    <w:rsid w:val="00584570"/>
    <w:rsid w:val="00584613"/>
    <w:rsid w:val="00585AE3"/>
    <w:rsid w:val="005867B9"/>
    <w:rsid w:val="00586C1E"/>
    <w:rsid w:val="0058752C"/>
    <w:rsid w:val="00587AAB"/>
    <w:rsid w:val="00587BA8"/>
    <w:rsid w:val="0059012D"/>
    <w:rsid w:val="00591C5A"/>
    <w:rsid w:val="005923F4"/>
    <w:rsid w:val="0059260A"/>
    <w:rsid w:val="00593471"/>
    <w:rsid w:val="00594D08"/>
    <w:rsid w:val="0059690F"/>
    <w:rsid w:val="005A0668"/>
    <w:rsid w:val="005A0C61"/>
    <w:rsid w:val="005A22D7"/>
    <w:rsid w:val="005A543F"/>
    <w:rsid w:val="005A71B4"/>
    <w:rsid w:val="005B1A8D"/>
    <w:rsid w:val="005B1DC7"/>
    <w:rsid w:val="005B274F"/>
    <w:rsid w:val="005B2B09"/>
    <w:rsid w:val="005B4852"/>
    <w:rsid w:val="005B54F7"/>
    <w:rsid w:val="005B55A2"/>
    <w:rsid w:val="005B5B00"/>
    <w:rsid w:val="005B6CBB"/>
    <w:rsid w:val="005B6E8A"/>
    <w:rsid w:val="005C03DB"/>
    <w:rsid w:val="005C16D8"/>
    <w:rsid w:val="005C2580"/>
    <w:rsid w:val="005C41A3"/>
    <w:rsid w:val="005C4237"/>
    <w:rsid w:val="005C5452"/>
    <w:rsid w:val="005C5690"/>
    <w:rsid w:val="005C5BB1"/>
    <w:rsid w:val="005C6324"/>
    <w:rsid w:val="005C6478"/>
    <w:rsid w:val="005C7CBE"/>
    <w:rsid w:val="005D2521"/>
    <w:rsid w:val="005D3400"/>
    <w:rsid w:val="005D3C0F"/>
    <w:rsid w:val="005D52C8"/>
    <w:rsid w:val="005D549E"/>
    <w:rsid w:val="005D5B6F"/>
    <w:rsid w:val="005D61A4"/>
    <w:rsid w:val="005D6D70"/>
    <w:rsid w:val="005D7F26"/>
    <w:rsid w:val="005E0CB5"/>
    <w:rsid w:val="005E2A59"/>
    <w:rsid w:val="005E4BAA"/>
    <w:rsid w:val="005E732D"/>
    <w:rsid w:val="005F010B"/>
    <w:rsid w:val="005F25E2"/>
    <w:rsid w:val="005F2D5E"/>
    <w:rsid w:val="005F4B17"/>
    <w:rsid w:val="005F67F7"/>
    <w:rsid w:val="005F71B6"/>
    <w:rsid w:val="005F72CA"/>
    <w:rsid w:val="005F797D"/>
    <w:rsid w:val="006018AF"/>
    <w:rsid w:val="00601A79"/>
    <w:rsid w:val="00601F77"/>
    <w:rsid w:val="0060234E"/>
    <w:rsid w:val="00602ED4"/>
    <w:rsid w:val="00603EF8"/>
    <w:rsid w:val="00604391"/>
    <w:rsid w:val="0060627D"/>
    <w:rsid w:val="00606578"/>
    <w:rsid w:val="00607139"/>
    <w:rsid w:val="00607696"/>
    <w:rsid w:val="00607E4D"/>
    <w:rsid w:val="00607EB1"/>
    <w:rsid w:val="00610DB1"/>
    <w:rsid w:val="00611585"/>
    <w:rsid w:val="00611878"/>
    <w:rsid w:val="00612EB2"/>
    <w:rsid w:val="00613D55"/>
    <w:rsid w:val="00613DF5"/>
    <w:rsid w:val="006147F3"/>
    <w:rsid w:val="00615DAA"/>
    <w:rsid w:val="006162D7"/>
    <w:rsid w:val="0062089B"/>
    <w:rsid w:val="00620B37"/>
    <w:rsid w:val="00621048"/>
    <w:rsid w:val="00621673"/>
    <w:rsid w:val="006218B0"/>
    <w:rsid w:val="00621FE5"/>
    <w:rsid w:val="00623D0B"/>
    <w:rsid w:val="0062421F"/>
    <w:rsid w:val="006262E1"/>
    <w:rsid w:val="00627FEA"/>
    <w:rsid w:val="00630E31"/>
    <w:rsid w:val="006310CF"/>
    <w:rsid w:val="0063173A"/>
    <w:rsid w:val="006325A9"/>
    <w:rsid w:val="00633291"/>
    <w:rsid w:val="00633C07"/>
    <w:rsid w:val="00633C29"/>
    <w:rsid w:val="00634867"/>
    <w:rsid w:val="006353C3"/>
    <w:rsid w:val="006357E4"/>
    <w:rsid w:val="00635AEB"/>
    <w:rsid w:val="00636DB6"/>
    <w:rsid w:val="00637C32"/>
    <w:rsid w:val="00641B21"/>
    <w:rsid w:val="00642176"/>
    <w:rsid w:val="006421E8"/>
    <w:rsid w:val="006437B3"/>
    <w:rsid w:val="00643B59"/>
    <w:rsid w:val="00646D1F"/>
    <w:rsid w:val="00646F68"/>
    <w:rsid w:val="0065124B"/>
    <w:rsid w:val="00651DE5"/>
    <w:rsid w:val="006523B8"/>
    <w:rsid w:val="006525B9"/>
    <w:rsid w:val="00654CF3"/>
    <w:rsid w:val="00654DE1"/>
    <w:rsid w:val="006550EC"/>
    <w:rsid w:val="00655206"/>
    <w:rsid w:val="00656BDC"/>
    <w:rsid w:val="006573D9"/>
    <w:rsid w:val="006575E8"/>
    <w:rsid w:val="006579FD"/>
    <w:rsid w:val="00657AB1"/>
    <w:rsid w:val="00660004"/>
    <w:rsid w:val="00661844"/>
    <w:rsid w:val="00662DF1"/>
    <w:rsid w:val="006633BF"/>
    <w:rsid w:val="006648AC"/>
    <w:rsid w:val="00664A56"/>
    <w:rsid w:val="00665EC5"/>
    <w:rsid w:val="006666D1"/>
    <w:rsid w:val="006673DE"/>
    <w:rsid w:val="00667E54"/>
    <w:rsid w:val="00670A36"/>
    <w:rsid w:val="00671ECF"/>
    <w:rsid w:val="006733A7"/>
    <w:rsid w:val="006737E3"/>
    <w:rsid w:val="00673B6B"/>
    <w:rsid w:val="00673F60"/>
    <w:rsid w:val="00675B1F"/>
    <w:rsid w:val="00676FAB"/>
    <w:rsid w:val="00677055"/>
    <w:rsid w:val="006807AE"/>
    <w:rsid w:val="00680DB1"/>
    <w:rsid w:val="00682308"/>
    <w:rsid w:val="006824A1"/>
    <w:rsid w:val="00682D97"/>
    <w:rsid w:val="00683254"/>
    <w:rsid w:val="00683491"/>
    <w:rsid w:val="0068547B"/>
    <w:rsid w:val="00687B45"/>
    <w:rsid w:val="00690BF9"/>
    <w:rsid w:val="00690FA8"/>
    <w:rsid w:val="00691EA2"/>
    <w:rsid w:val="00691F70"/>
    <w:rsid w:val="00693CAD"/>
    <w:rsid w:val="0069409F"/>
    <w:rsid w:val="006951B4"/>
    <w:rsid w:val="006959FA"/>
    <w:rsid w:val="0069616F"/>
    <w:rsid w:val="00697348"/>
    <w:rsid w:val="00697C86"/>
    <w:rsid w:val="00697D65"/>
    <w:rsid w:val="00697E9D"/>
    <w:rsid w:val="006A2F2C"/>
    <w:rsid w:val="006A349F"/>
    <w:rsid w:val="006A3CDC"/>
    <w:rsid w:val="006A4A39"/>
    <w:rsid w:val="006A576C"/>
    <w:rsid w:val="006A7C32"/>
    <w:rsid w:val="006A7C3D"/>
    <w:rsid w:val="006B09AC"/>
    <w:rsid w:val="006B17CB"/>
    <w:rsid w:val="006B1E9D"/>
    <w:rsid w:val="006B341D"/>
    <w:rsid w:val="006B3656"/>
    <w:rsid w:val="006B37BF"/>
    <w:rsid w:val="006B3F90"/>
    <w:rsid w:val="006B4046"/>
    <w:rsid w:val="006B47F4"/>
    <w:rsid w:val="006B4FA3"/>
    <w:rsid w:val="006B7DF3"/>
    <w:rsid w:val="006B7F89"/>
    <w:rsid w:val="006C0F10"/>
    <w:rsid w:val="006C1B8D"/>
    <w:rsid w:val="006C1E9D"/>
    <w:rsid w:val="006C2E25"/>
    <w:rsid w:val="006C334D"/>
    <w:rsid w:val="006C35CC"/>
    <w:rsid w:val="006C3A3B"/>
    <w:rsid w:val="006C4D51"/>
    <w:rsid w:val="006C4F32"/>
    <w:rsid w:val="006C51F7"/>
    <w:rsid w:val="006C560C"/>
    <w:rsid w:val="006C5791"/>
    <w:rsid w:val="006C788B"/>
    <w:rsid w:val="006C7B7F"/>
    <w:rsid w:val="006D1215"/>
    <w:rsid w:val="006D1236"/>
    <w:rsid w:val="006D2C2F"/>
    <w:rsid w:val="006D3034"/>
    <w:rsid w:val="006D3D97"/>
    <w:rsid w:val="006D4796"/>
    <w:rsid w:val="006D484B"/>
    <w:rsid w:val="006D61E8"/>
    <w:rsid w:val="006D6ACD"/>
    <w:rsid w:val="006D770A"/>
    <w:rsid w:val="006E068A"/>
    <w:rsid w:val="006E10DD"/>
    <w:rsid w:val="006E14B3"/>
    <w:rsid w:val="006E19F3"/>
    <w:rsid w:val="006E23A2"/>
    <w:rsid w:val="006E2ACB"/>
    <w:rsid w:val="006E2C36"/>
    <w:rsid w:val="006E458F"/>
    <w:rsid w:val="006E58C8"/>
    <w:rsid w:val="006E5E03"/>
    <w:rsid w:val="006E7185"/>
    <w:rsid w:val="006F2941"/>
    <w:rsid w:val="006F3D35"/>
    <w:rsid w:val="006F3EF0"/>
    <w:rsid w:val="006F4EF5"/>
    <w:rsid w:val="006F6569"/>
    <w:rsid w:val="006F743F"/>
    <w:rsid w:val="006F7497"/>
    <w:rsid w:val="006F792D"/>
    <w:rsid w:val="00701E45"/>
    <w:rsid w:val="00702104"/>
    <w:rsid w:val="00702B0E"/>
    <w:rsid w:val="00703071"/>
    <w:rsid w:val="00704968"/>
    <w:rsid w:val="00704C30"/>
    <w:rsid w:val="00707875"/>
    <w:rsid w:val="00707E77"/>
    <w:rsid w:val="00710105"/>
    <w:rsid w:val="0071116F"/>
    <w:rsid w:val="007113B0"/>
    <w:rsid w:val="00711681"/>
    <w:rsid w:val="0071184B"/>
    <w:rsid w:val="00711E04"/>
    <w:rsid w:val="0071224C"/>
    <w:rsid w:val="00712CA8"/>
    <w:rsid w:val="00713E31"/>
    <w:rsid w:val="00716A20"/>
    <w:rsid w:val="0071707A"/>
    <w:rsid w:val="0071768C"/>
    <w:rsid w:val="007176B8"/>
    <w:rsid w:val="00720503"/>
    <w:rsid w:val="007213B2"/>
    <w:rsid w:val="00721F31"/>
    <w:rsid w:val="0072204C"/>
    <w:rsid w:val="007220C6"/>
    <w:rsid w:val="0072217E"/>
    <w:rsid w:val="00722674"/>
    <w:rsid w:val="007229CA"/>
    <w:rsid w:val="00722A2C"/>
    <w:rsid w:val="0072383F"/>
    <w:rsid w:val="007267CA"/>
    <w:rsid w:val="00726D42"/>
    <w:rsid w:val="00727008"/>
    <w:rsid w:val="00727B52"/>
    <w:rsid w:val="007300E9"/>
    <w:rsid w:val="00731065"/>
    <w:rsid w:val="007310D1"/>
    <w:rsid w:val="0073201A"/>
    <w:rsid w:val="007321F8"/>
    <w:rsid w:val="007323BE"/>
    <w:rsid w:val="0073265E"/>
    <w:rsid w:val="00732C05"/>
    <w:rsid w:val="007338E1"/>
    <w:rsid w:val="00734521"/>
    <w:rsid w:val="007347E1"/>
    <w:rsid w:val="00734C78"/>
    <w:rsid w:val="00734CAE"/>
    <w:rsid w:val="007350B7"/>
    <w:rsid w:val="00735962"/>
    <w:rsid w:val="00735CBF"/>
    <w:rsid w:val="00736033"/>
    <w:rsid w:val="0073607F"/>
    <w:rsid w:val="007362FA"/>
    <w:rsid w:val="0073732B"/>
    <w:rsid w:val="00737566"/>
    <w:rsid w:val="00737AA3"/>
    <w:rsid w:val="00741F84"/>
    <w:rsid w:val="007425E2"/>
    <w:rsid w:val="007439A5"/>
    <w:rsid w:val="00744522"/>
    <w:rsid w:val="0074592D"/>
    <w:rsid w:val="00745EC9"/>
    <w:rsid w:val="00746D1F"/>
    <w:rsid w:val="00747542"/>
    <w:rsid w:val="00747574"/>
    <w:rsid w:val="007479B4"/>
    <w:rsid w:val="00747A97"/>
    <w:rsid w:val="00747BCD"/>
    <w:rsid w:val="00750366"/>
    <w:rsid w:val="007506D4"/>
    <w:rsid w:val="00751625"/>
    <w:rsid w:val="00751754"/>
    <w:rsid w:val="00751E4F"/>
    <w:rsid w:val="00753B21"/>
    <w:rsid w:val="0075587E"/>
    <w:rsid w:val="00755C51"/>
    <w:rsid w:val="00756DA4"/>
    <w:rsid w:val="00756E85"/>
    <w:rsid w:val="00757306"/>
    <w:rsid w:val="00760DD6"/>
    <w:rsid w:val="0076240E"/>
    <w:rsid w:val="00762583"/>
    <w:rsid w:val="00763433"/>
    <w:rsid w:val="00763490"/>
    <w:rsid w:val="00763CC6"/>
    <w:rsid w:val="00764041"/>
    <w:rsid w:val="007642B6"/>
    <w:rsid w:val="00766218"/>
    <w:rsid w:val="007664B5"/>
    <w:rsid w:val="007677BD"/>
    <w:rsid w:val="0076793B"/>
    <w:rsid w:val="00770125"/>
    <w:rsid w:val="00770232"/>
    <w:rsid w:val="00770792"/>
    <w:rsid w:val="00770C4A"/>
    <w:rsid w:val="007718D4"/>
    <w:rsid w:val="0077460B"/>
    <w:rsid w:val="007751E7"/>
    <w:rsid w:val="00775255"/>
    <w:rsid w:val="00775C34"/>
    <w:rsid w:val="00776BCA"/>
    <w:rsid w:val="00780295"/>
    <w:rsid w:val="007806E9"/>
    <w:rsid w:val="00780B8F"/>
    <w:rsid w:val="00780C7F"/>
    <w:rsid w:val="0078236A"/>
    <w:rsid w:val="007836E0"/>
    <w:rsid w:val="0078377C"/>
    <w:rsid w:val="00783DCD"/>
    <w:rsid w:val="00785709"/>
    <w:rsid w:val="0078723E"/>
    <w:rsid w:val="00787618"/>
    <w:rsid w:val="00787F59"/>
    <w:rsid w:val="00792010"/>
    <w:rsid w:val="007920DA"/>
    <w:rsid w:val="0079327B"/>
    <w:rsid w:val="0079349A"/>
    <w:rsid w:val="00793672"/>
    <w:rsid w:val="007956B3"/>
    <w:rsid w:val="00795822"/>
    <w:rsid w:val="0079633E"/>
    <w:rsid w:val="00796DC7"/>
    <w:rsid w:val="007A066A"/>
    <w:rsid w:val="007A0A3B"/>
    <w:rsid w:val="007A101A"/>
    <w:rsid w:val="007A411F"/>
    <w:rsid w:val="007A434F"/>
    <w:rsid w:val="007A4FFD"/>
    <w:rsid w:val="007A6389"/>
    <w:rsid w:val="007A6FD8"/>
    <w:rsid w:val="007A78E8"/>
    <w:rsid w:val="007A79E0"/>
    <w:rsid w:val="007B0093"/>
    <w:rsid w:val="007B0761"/>
    <w:rsid w:val="007B0A6C"/>
    <w:rsid w:val="007B1B45"/>
    <w:rsid w:val="007B2197"/>
    <w:rsid w:val="007B2C19"/>
    <w:rsid w:val="007B4B43"/>
    <w:rsid w:val="007B518B"/>
    <w:rsid w:val="007B6216"/>
    <w:rsid w:val="007B792D"/>
    <w:rsid w:val="007B7AAE"/>
    <w:rsid w:val="007B7C62"/>
    <w:rsid w:val="007C176F"/>
    <w:rsid w:val="007C185F"/>
    <w:rsid w:val="007C21E8"/>
    <w:rsid w:val="007C237F"/>
    <w:rsid w:val="007C28E8"/>
    <w:rsid w:val="007C411F"/>
    <w:rsid w:val="007C5ECA"/>
    <w:rsid w:val="007C5F1D"/>
    <w:rsid w:val="007C6692"/>
    <w:rsid w:val="007D1565"/>
    <w:rsid w:val="007D1954"/>
    <w:rsid w:val="007D196A"/>
    <w:rsid w:val="007D31CC"/>
    <w:rsid w:val="007D3726"/>
    <w:rsid w:val="007D5CC5"/>
    <w:rsid w:val="007E015B"/>
    <w:rsid w:val="007E017A"/>
    <w:rsid w:val="007E088D"/>
    <w:rsid w:val="007E21B4"/>
    <w:rsid w:val="007E336F"/>
    <w:rsid w:val="007E3C21"/>
    <w:rsid w:val="007E6B2B"/>
    <w:rsid w:val="007E71B9"/>
    <w:rsid w:val="007E7B36"/>
    <w:rsid w:val="007E7DB6"/>
    <w:rsid w:val="007F2B1B"/>
    <w:rsid w:val="007F3259"/>
    <w:rsid w:val="007F3FE1"/>
    <w:rsid w:val="007F5A8E"/>
    <w:rsid w:val="007F5BB5"/>
    <w:rsid w:val="007F7674"/>
    <w:rsid w:val="007F77B6"/>
    <w:rsid w:val="00800320"/>
    <w:rsid w:val="00800BBC"/>
    <w:rsid w:val="008027FD"/>
    <w:rsid w:val="00802AED"/>
    <w:rsid w:val="00803206"/>
    <w:rsid w:val="008035EE"/>
    <w:rsid w:val="008037B9"/>
    <w:rsid w:val="00804A15"/>
    <w:rsid w:val="008059D6"/>
    <w:rsid w:val="008108F4"/>
    <w:rsid w:val="008115FA"/>
    <w:rsid w:val="0081196E"/>
    <w:rsid w:val="0081370A"/>
    <w:rsid w:val="0081379B"/>
    <w:rsid w:val="00814A23"/>
    <w:rsid w:val="008153E2"/>
    <w:rsid w:val="0081543C"/>
    <w:rsid w:val="00815750"/>
    <w:rsid w:val="008174E3"/>
    <w:rsid w:val="00817F1E"/>
    <w:rsid w:val="008210B0"/>
    <w:rsid w:val="0082216C"/>
    <w:rsid w:val="008228E9"/>
    <w:rsid w:val="00822A0B"/>
    <w:rsid w:val="008237AE"/>
    <w:rsid w:val="008243B0"/>
    <w:rsid w:val="00824EC3"/>
    <w:rsid w:val="008250A2"/>
    <w:rsid w:val="00825984"/>
    <w:rsid w:val="0082611F"/>
    <w:rsid w:val="00827B9B"/>
    <w:rsid w:val="0083086B"/>
    <w:rsid w:val="00830DB1"/>
    <w:rsid w:val="00831023"/>
    <w:rsid w:val="00831A51"/>
    <w:rsid w:val="0083233D"/>
    <w:rsid w:val="0083289C"/>
    <w:rsid w:val="008334A5"/>
    <w:rsid w:val="008341CD"/>
    <w:rsid w:val="00835204"/>
    <w:rsid w:val="008354D3"/>
    <w:rsid w:val="00835575"/>
    <w:rsid w:val="00840FAE"/>
    <w:rsid w:val="00841002"/>
    <w:rsid w:val="008412A8"/>
    <w:rsid w:val="00841539"/>
    <w:rsid w:val="00842687"/>
    <w:rsid w:val="00842CD8"/>
    <w:rsid w:val="00842E0B"/>
    <w:rsid w:val="00844329"/>
    <w:rsid w:val="008468B1"/>
    <w:rsid w:val="00846AFE"/>
    <w:rsid w:val="00846E4F"/>
    <w:rsid w:val="008474BF"/>
    <w:rsid w:val="00847DDD"/>
    <w:rsid w:val="00850308"/>
    <w:rsid w:val="008519A5"/>
    <w:rsid w:val="00852349"/>
    <w:rsid w:val="00852677"/>
    <w:rsid w:val="008529D8"/>
    <w:rsid w:val="00853D7E"/>
    <w:rsid w:val="00854E31"/>
    <w:rsid w:val="00855195"/>
    <w:rsid w:val="00856D56"/>
    <w:rsid w:val="0086010E"/>
    <w:rsid w:val="00860922"/>
    <w:rsid w:val="0086095B"/>
    <w:rsid w:val="00860EC2"/>
    <w:rsid w:val="00860F8B"/>
    <w:rsid w:val="00861313"/>
    <w:rsid w:val="008615B8"/>
    <w:rsid w:val="00861F81"/>
    <w:rsid w:val="0086235C"/>
    <w:rsid w:val="0086395C"/>
    <w:rsid w:val="00863B12"/>
    <w:rsid w:val="008648A1"/>
    <w:rsid w:val="00865484"/>
    <w:rsid w:val="008655DA"/>
    <w:rsid w:val="00866988"/>
    <w:rsid w:val="00866CC0"/>
    <w:rsid w:val="00867734"/>
    <w:rsid w:val="00867E5D"/>
    <w:rsid w:val="00871C2C"/>
    <w:rsid w:val="00871D36"/>
    <w:rsid w:val="0087460D"/>
    <w:rsid w:val="008747AE"/>
    <w:rsid w:val="00874B63"/>
    <w:rsid w:val="00874B73"/>
    <w:rsid w:val="00875584"/>
    <w:rsid w:val="008758EB"/>
    <w:rsid w:val="0087593A"/>
    <w:rsid w:val="008766CD"/>
    <w:rsid w:val="008801C6"/>
    <w:rsid w:val="0088048F"/>
    <w:rsid w:val="00880DFF"/>
    <w:rsid w:val="00880E26"/>
    <w:rsid w:val="00880F0D"/>
    <w:rsid w:val="0088296A"/>
    <w:rsid w:val="00883063"/>
    <w:rsid w:val="00883431"/>
    <w:rsid w:val="0088379A"/>
    <w:rsid w:val="00883AC1"/>
    <w:rsid w:val="00887969"/>
    <w:rsid w:val="00887A67"/>
    <w:rsid w:val="008904E1"/>
    <w:rsid w:val="0089130A"/>
    <w:rsid w:val="00893EE5"/>
    <w:rsid w:val="008942F0"/>
    <w:rsid w:val="00895739"/>
    <w:rsid w:val="0089624D"/>
    <w:rsid w:val="00896551"/>
    <w:rsid w:val="00896E3F"/>
    <w:rsid w:val="00896FA1"/>
    <w:rsid w:val="008971A5"/>
    <w:rsid w:val="00897334"/>
    <w:rsid w:val="00897BCB"/>
    <w:rsid w:val="008A15CE"/>
    <w:rsid w:val="008A2159"/>
    <w:rsid w:val="008A2D28"/>
    <w:rsid w:val="008A3256"/>
    <w:rsid w:val="008A4563"/>
    <w:rsid w:val="008A45F0"/>
    <w:rsid w:val="008A5570"/>
    <w:rsid w:val="008A6376"/>
    <w:rsid w:val="008A6831"/>
    <w:rsid w:val="008A7633"/>
    <w:rsid w:val="008B00BF"/>
    <w:rsid w:val="008B0B4A"/>
    <w:rsid w:val="008B0C75"/>
    <w:rsid w:val="008B0D0B"/>
    <w:rsid w:val="008B1968"/>
    <w:rsid w:val="008B2F15"/>
    <w:rsid w:val="008B3926"/>
    <w:rsid w:val="008B41D8"/>
    <w:rsid w:val="008B4A5B"/>
    <w:rsid w:val="008B4EF6"/>
    <w:rsid w:val="008B54CE"/>
    <w:rsid w:val="008B560B"/>
    <w:rsid w:val="008B56FA"/>
    <w:rsid w:val="008B5AF8"/>
    <w:rsid w:val="008B6A78"/>
    <w:rsid w:val="008B6AB8"/>
    <w:rsid w:val="008B6B63"/>
    <w:rsid w:val="008B7036"/>
    <w:rsid w:val="008B7089"/>
    <w:rsid w:val="008B7E21"/>
    <w:rsid w:val="008C0A66"/>
    <w:rsid w:val="008C1738"/>
    <w:rsid w:val="008C1A97"/>
    <w:rsid w:val="008C1BF8"/>
    <w:rsid w:val="008C1C6F"/>
    <w:rsid w:val="008C201E"/>
    <w:rsid w:val="008C2193"/>
    <w:rsid w:val="008C2EE6"/>
    <w:rsid w:val="008C4964"/>
    <w:rsid w:val="008C79E3"/>
    <w:rsid w:val="008D0E5A"/>
    <w:rsid w:val="008D1042"/>
    <w:rsid w:val="008D2BC8"/>
    <w:rsid w:val="008D367A"/>
    <w:rsid w:val="008D4EF0"/>
    <w:rsid w:val="008D51F8"/>
    <w:rsid w:val="008D5CB3"/>
    <w:rsid w:val="008D5F5F"/>
    <w:rsid w:val="008D613F"/>
    <w:rsid w:val="008D7386"/>
    <w:rsid w:val="008D7F7C"/>
    <w:rsid w:val="008E0536"/>
    <w:rsid w:val="008E05EC"/>
    <w:rsid w:val="008E1D6B"/>
    <w:rsid w:val="008E3396"/>
    <w:rsid w:val="008E36EF"/>
    <w:rsid w:val="008E4C77"/>
    <w:rsid w:val="008E4FD1"/>
    <w:rsid w:val="008E5472"/>
    <w:rsid w:val="008E64B3"/>
    <w:rsid w:val="008F1FC9"/>
    <w:rsid w:val="008F319E"/>
    <w:rsid w:val="008F3BC0"/>
    <w:rsid w:val="008F3EA7"/>
    <w:rsid w:val="008F422F"/>
    <w:rsid w:val="008F45C6"/>
    <w:rsid w:val="008F4642"/>
    <w:rsid w:val="008F4D02"/>
    <w:rsid w:val="008F552F"/>
    <w:rsid w:val="008F5C8F"/>
    <w:rsid w:val="008F5EEE"/>
    <w:rsid w:val="008F75CC"/>
    <w:rsid w:val="00900CFE"/>
    <w:rsid w:val="0090175C"/>
    <w:rsid w:val="00901A08"/>
    <w:rsid w:val="00903AE6"/>
    <w:rsid w:val="00903F6B"/>
    <w:rsid w:val="009059E9"/>
    <w:rsid w:val="00905EBE"/>
    <w:rsid w:val="009070D5"/>
    <w:rsid w:val="009102E1"/>
    <w:rsid w:val="009107C0"/>
    <w:rsid w:val="00910EB8"/>
    <w:rsid w:val="009113B3"/>
    <w:rsid w:val="00912D59"/>
    <w:rsid w:val="00913532"/>
    <w:rsid w:val="00914643"/>
    <w:rsid w:val="00915B0D"/>
    <w:rsid w:val="0091653F"/>
    <w:rsid w:val="00916892"/>
    <w:rsid w:val="00916E75"/>
    <w:rsid w:val="00917CBF"/>
    <w:rsid w:val="00917FBC"/>
    <w:rsid w:val="00920B40"/>
    <w:rsid w:val="00921401"/>
    <w:rsid w:val="00921ED7"/>
    <w:rsid w:val="00923083"/>
    <w:rsid w:val="00924BBE"/>
    <w:rsid w:val="00925169"/>
    <w:rsid w:val="00925A3D"/>
    <w:rsid w:val="00925D79"/>
    <w:rsid w:val="00925EA0"/>
    <w:rsid w:val="0092674A"/>
    <w:rsid w:val="0092697C"/>
    <w:rsid w:val="0092707F"/>
    <w:rsid w:val="00927260"/>
    <w:rsid w:val="009273D7"/>
    <w:rsid w:val="00927DAB"/>
    <w:rsid w:val="00930280"/>
    <w:rsid w:val="00930A1B"/>
    <w:rsid w:val="00931413"/>
    <w:rsid w:val="00931691"/>
    <w:rsid w:val="00931F36"/>
    <w:rsid w:val="00932DD5"/>
    <w:rsid w:val="00933138"/>
    <w:rsid w:val="00933198"/>
    <w:rsid w:val="00933937"/>
    <w:rsid w:val="00935715"/>
    <w:rsid w:val="00936A71"/>
    <w:rsid w:val="00937435"/>
    <w:rsid w:val="00937B19"/>
    <w:rsid w:val="00940189"/>
    <w:rsid w:val="00941525"/>
    <w:rsid w:val="00941DC5"/>
    <w:rsid w:val="00943485"/>
    <w:rsid w:val="00943783"/>
    <w:rsid w:val="00946385"/>
    <w:rsid w:val="009469AC"/>
    <w:rsid w:val="009502B1"/>
    <w:rsid w:val="0095082B"/>
    <w:rsid w:val="00950A09"/>
    <w:rsid w:val="00952367"/>
    <w:rsid w:val="0095278D"/>
    <w:rsid w:val="00952FAD"/>
    <w:rsid w:val="009538BE"/>
    <w:rsid w:val="00954236"/>
    <w:rsid w:val="00954D5D"/>
    <w:rsid w:val="009575FC"/>
    <w:rsid w:val="00957755"/>
    <w:rsid w:val="00962908"/>
    <w:rsid w:val="0096508F"/>
    <w:rsid w:val="0096675E"/>
    <w:rsid w:val="00967957"/>
    <w:rsid w:val="00967D45"/>
    <w:rsid w:val="00970E17"/>
    <w:rsid w:val="00970FDE"/>
    <w:rsid w:val="0097309E"/>
    <w:rsid w:val="00974500"/>
    <w:rsid w:val="009748D7"/>
    <w:rsid w:val="00974F10"/>
    <w:rsid w:val="009767AF"/>
    <w:rsid w:val="00977755"/>
    <w:rsid w:val="0098048E"/>
    <w:rsid w:val="00981AAD"/>
    <w:rsid w:val="00982E07"/>
    <w:rsid w:val="009845F4"/>
    <w:rsid w:val="00985D2E"/>
    <w:rsid w:val="00986247"/>
    <w:rsid w:val="00990122"/>
    <w:rsid w:val="00991389"/>
    <w:rsid w:val="009930C0"/>
    <w:rsid w:val="0099320B"/>
    <w:rsid w:val="00993504"/>
    <w:rsid w:val="00993CFA"/>
    <w:rsid w:val="00993FCB"/>
    <w:rsid w:val="00994577"/>
    <w:rsid w:val="009954F8"/>
    <w:rsid w:val="00997C07"/>
    <w:rsid w:val="009A172A"/>
    <w:rsid w:val="009A205A"/>
    <w:rsid w:val="009A28B2"/>
    <w:rsid w:val="009A3A5A"/>
    <w:rsid w:val="009A4546"/>
    <w:rsid w:val="009A52EF"/>
    <w:rsid w:val="009A5EA5"/>
    <w:rsid w:val="009A752E"/>
    <w:rsid w:val="009B01E9"/>
    <w:rsid w:val="009B1B82"/>
    <w:rsid w:val="009B1E16"/>
    <w:rsid w:val="009B3603"/>
    <w:rsid w:val="009B4177"/>
    <w:rsid w:val="009B4282"/>
    <w:rsid w:val="009B4541"/>
    <w:rsid w:val="009B4B46"/>
    <w:rsid w:val="009B4D8B"/>
    <w:rsid w:val="009B5696"/>
    <w:rsid w:val="009B5B21"/>
    <w:rsid w:val="009B6AC3"/>
    <w:rsid w:val="009B7051"/>
    <w:rsid w:val="009B775B"/>
    <w:rsid w:val="009C03D8"/>
    <w:rsid w:val="009C0CC1"/>
    <w:rsid w:val="009C0E96"/>
    <w:rsid w:val="009C1868"/>
    <w:rsid w:val="009C18A2"/>
    <w:rsid w:val="009C1A0E"/>
    <w:rsid w:val="009C2128"/>
    <w:rsid w:val="009C3432"/>
    <w:rsid w:val="009C497C"/>
    <w:rsid w:val="009C5179"/>
    <w:rsid w:val="009C55B9"/>
    <w:rsid w:val="009C5883"/>
    <w:rsid w:val="009C5BE2"/>
    <w:rsid w:val="009C60D1"/>
    <w:rsid w:val="009C6224"/>
    <w:rsid w:val="009C6E1B"/>
    <w:rsid w:val="009C7A14"/>
    <w:rsid w:val="009D1836"/>
    <w:rsid w:val="009D2427"/>
    <w:rsid w:val="009D24EB"/>
    <w:rsid w:val="009D340F"/>
    <w:rsid w:val="009D3461"/>
    <w:rsid w:val="009D4557"/>
    <w:rsid w:val="009D49C0"/>
    <w:rsid w:val="009D5BE8"/>
    <w:rsid w:val="009D6100"/>
    <w:rsid w:val="009D61B2"/>
    <w:rsid w:val="009D757C"/>
    <w:rsid w:val="009E05F9"/>
    <w:rsid w:val="009E1B97"/>
    <w:rsid w:val="009E1E2A"/>
    <w:rsid w:val="009E20D9"/>
    <w:rsid w:val="009E218E"/>
    <w:rsid w:val="009E2525"/>
    <w:rsid w:val="009E262A"/>
    <w:rsid w:val="009E472D"/>
    <w:rsid w:val="009E571E"/>
    <w:rsid w:val="009E7C93"/>
    <w:rsid w:val="009F0CED"/>
    <w:rsid w:val="009F113D"/>
    <w:rsid w:val="009F1303"/>
    <w:rsid w:val="009F1BB2"/>
    <w:rsid w:val="009F3FFC"/>
    <w:rsid w:val="009F58C7"/>
    <w:rsid w:val="009F7668"/>
    <w:rsid w:val="009F7C14"/>
    <w:rsid w:val="00A005D6"/>
    <w:rsid w:val="00A00C32"/>
    <w:rsid w:val="00A01E77"/>
    <w:rsid w:val="00A02D1E"/>
    <w:rsid w:val="00A0607E"/>
    <w:rsid w:val="00A06480"/>
    <w:rsid w:val="00A10639"/>
    <w:rsid w:val="00A1086C"/>
    <w:rsid w:val="00A1303B"/>
    <w:rsid w:val="00A1336E"/>
    <w:rsid w:val="00A13AE1"/>
    <w:rsid w:val="00A13C90"/>
    <w:rsid w:val="00A157E5"/>
    <w:rsid w:val="00A17849"/>
    <w:rsid w:val="00A17BF6"/>
    <w:rsid w:val="00A2092B"/>
    <w:rsid w:val="00A20C13"/>
    <w:rsid w:val="00A21386"/>
    <w:rsid w:val="00A22FE8"/>
    <w:rsid w:val="00A23D4F"/>
    <w:rsid w:val="00A25273"/>
    <w:rsid w:val="00A2652B"/>
    <w:rsid w:val="00A26787"/>
    <w:rsid w:val="00A27571"/>
    <w:rsid w:val="00A279DB"/>
    <w:rsid w:val="00A27BDB"/>
    <w:rsid w:val="00A30163"/>
    <w:rsid w:val="00A3059D"/>
    <w:rsid w:val="00A33A93"/>
    <w:rsid w:val="00A34365"/>
    <w:rsid w:val="00A347BE"/>
    <w:rsid w:val="00A3557C"/>
    <w:rsid w:val="00A3689B"/>
    <w:rsid w:val="00A40269"/>
    <w:rsid w:val="00A4080A"/>
    <w:rsid w:val="00A40EB0"/>
    <w:rsid w:val="00A41121"/>
    <w:rsid w:val="00A4140A"/>
    <w:rsid w:val="00A41F25"/>
    <w:rsid w:val="00A421E5"/>
    <w:rsid w:val="00A42226"/>
    <w:rsid w:val="00A434DB"/>
    <w:rsid w:val="00A44513"/>
    <w:rsid w:val="00A446FA"/>
    <w:rsid w:val="00A46200"/>
    <w:rsid w:val="00A46EE2"/>
    <w:rsid w:val="00A4795C"/>
    <w:rsid w:val="00A503AF"/>
    <w:rsid w:val="00A527CF"/>
    <w:rsid w:val="00A52D44"/>
    <w:rsid w:val="00A542DC"/>
    <w:rsid w:val="00A544B7"/>
    <w:rsid w:val="00A54EC4"/>
    <w:rsid w:val="00A554B6"/>
    <w:rsid w:val="00A55DC7"/>
    <w:rsid w:val="00A56B70"/>
    <w:rsid w:val="00A56E26"/>
    <w:rsid w:val="00A57769"/>
    <w:rsid w:val="00A6098D"/>
    <w:rsid w:val="00A60F96"/>
    <w:rsid w:val="00A60FB3"/>
    <w:rsid w:val="00A626ED"/>
    <w:rsid w:val="00A62836"/>
    <w:rsid w:val="00A6426D"/>
    <w:rsid w:val="00A642A2"/>
    <w:rsid w:val="00A64A08"/>
    <w:rsid w:val="00A64F76"/>
    <w:rsid w:val="00A659BD"/>
    <w:rsid w:val="00A66129"/>
    <w:rsid w:val="00A66245"/>
    <w:rsid w:val="00A67C3C"/>
    <w:rsid w:val="00A7290C"/>
    <w:rsid w:val="00A742D6"/>
    <w:rsid w:val="00A760F0"/>
    <w:rsid w:val="00A7642B"/>
    <w:rsid w:val="00A7675C"/>
    <w:rsid w:val="00A76A0A"/>
    <w:rsid w:val="00A77C9F"/>
    <w:rsid w:val="00A80059"/>
    <w:rsid w:val="00A8114A"/>
    <w:rsid w:val="00A81E12"/>
    <w:rsid w:val="00A82250"/>
    <w:rsid w:val="00A83583"/>
    <w:rsid w:val="00A8358E"/>
    <w:rsid w:val="00A85D9E"/>
    <w:rsid w:val="00A85DE9"/>
    <w:rsid w:val="00A8610E"/>
    <w:rsid w:val="00A872B9"/>
    <w:rsid w:val="00A876EB"/>
    <w:rsid w:val="00A92352"/>
    <w:rsid w:val="00A926C5"/>
    <w:rsid w:val="00A92F1A"/>
    <w:rsid w:val="00A933D9"/>
    <w:rsid w:val="00A93A5C"/>
    <w:rsid w:val="00A941A6"/>
    <w:rsid w:val="00A950B5"/>
    <w:rsid w:val="00A95462"/>
    <w:rsid w:val="00A95893"/>
    <w:rsid w:val="00A95BA5"/>
    <w:rsid w:val="00A96712"/>
    <w:rsid w:val="00A96CAA"/>
    <w:rsid w:val="00A975AF"/>
    <w:rsid w:val="00A97B8B"/>
    <w:rsid w:val="00AA0D14"/>
    <w:rsid w:val="00AA4140"/>
    <w:rsid w:val="00AA48A3"/>
    <w:rsid w:val="00AA56FD"/>
    <w:rsid w:val="00AA6183"/>
    <w:rsid w:val="00AA7258"/>
    <w:rsid w:val="00AB05BE"/>
    <w:rsid w:val="00AB0F4C"/>
    <w:rsid w:val="00AB216F"/>
    <w:rsid w:val="00AB2B50"/>
    <w:rsid w:val="00AB32B8"/>
    <w:rsid w:val="00AB3814"/>
    <w:rsid w:val="00AB390A"/>
    <w:rsid w:val="00AB4705"/>
    <w:rsid w:val="00AB4765"/>
    <w:rsid w:val="00AB6593"/>
    <w:rsid w:val="00AB72C4"/>
    <w:rsid w:val="00AB77D4"/>
    <w:rsid w:val="00AC0718"/>
    <w:rsid w:val="00AC1148"/>
    <w:rsid w:val="00AC1643"/>
    <w:rsid w:val="00AC2433"/>
    <w:rsid w:val="00AC2811"/>
    <w:rsid w:val="00AC2C55"/>
    <w:rsid w:val="00AC4CCC"/>
    <w:rsid w:val="00AC680E"/>
    <w:rsid w:val="00AC771A"/>
    <w:rsid w:val="00AC788A"/>
    <w:rsid w:val="00AD000B"/>
    <w:rsid w:val="00AD0DF2"/>
    <w:rsid w:val="00AD12F5"/>
    <w:rsid w:val="00AD3F94"/>
    <w:rsid w:val="00AD4141"/>
    <w:rsid w:val="00AD4737"/>
    <w:rsid w:val="00AE0278"/>
    <w:rsid w:val="00AE06CC"/>
    <w:rsid w:val="00AE06E3"/>
    <w:rsid w:val="00AE07BB"/>
    <w:rsid w:val="00AE21E0"/>
    <w:rsid w:val="00AE37FB"/>
    <w:rsid w:val="00AE3ADA"/>
    <w:rsid w:val="00AE45F9"/>
    <w:rsid w:val="00AE5D4F"/>
    <w:rsid w:val="00AE5E3C"/>
    <w:rsid w:val="00AE624C"/>
    <w:rsid w:val="00AE66CB"/>
    <w:rsid w:val="00AE70B9"/>
    <w:rsid w:val="00AE7A1F"/>
    <w:rsid w:val="00AF0A86"/>
    <w:rsid w:val="00AF1B27"/>
    <w:rsid w:val="00AF1E47"/>
    <w:rsid w:val="00AF211C"/>
    <w:rsid w:val="00AF2713"/>
    <w:rsid w:val="00AF2959"/>
    <w:rsid w:val="00AF2C5E"/>
    <w:rsid w:val="00AF5022"/>
    <w:rsid w:val="00AF52EE"/>
    <w:rsid w:val="00AF63AD"/>
    <w:rsid w:val="00AF6B65"/>
    <w:rsid w:val="00AF6BD6"/>
    <w:rsid w:val="00B000DA"/>
    <w:rsid w:val="00B012DD"/>
    <w:rsid w:val="00B01369"/>
    <w:rsid w:val="00B015B5"/>
    <w:rsid w:val="00B027E3"/>
    <w:rsid w:val="00B028EE"/>
    <w:rsid w:val="00B03D4C"/>
    <w:rsid w:val="00B03DC5"/>
    <w:rsid w:val="00B049F9"/>
    <w:rsid w:val="00B05323"/>
    <w:rsid w:val="00B064A5"/>
    <w:rsid w:val="00B06B7A"/>
    <w:rsid w:val="00B06D0F"/>
    <w:rsid w:val="00B07768"/>
    <w:rsid w:val="00B1022E"/>
    <w:rsid w:val="00B10995"/>
    <w:rsid w:val="00B11FFE"/>
    <w:rsid w:val="00B12D8B"/>
    <w:rsid w:val="00B13CA7"/>
    <w:rsid w:val="00B17A69"/>
    <w:rsid w:val="00B218DD"/>
    <w:rsid w:val="00B221D5"/>
    <w:rsid w:val="00B23F06"/>
    <w:rsid w:val="00B2521B"/>
    <w:rsid w:val="00B2564C"/>
    <w:rsid w:val="00B2641C"/>
    <w:rsid w:val="00B279E7"/>
    <w:rsid w:val="00B309BF"/>
    <w:rsid w:val="00B30FA0"/>
    <w:rsid w:val="00B30FB8"/>
    <w:rsid w:val="00B30FCC"/>
    <w:rsid w:val="00B31564"/>
    <w:rsid w:val="00B31EE5"/>
    <w:rsid w:val="00B325B5"/>
    <w:rsid w:val="00B33699"/>
    <w:rsid w:val="00B3613D"/>
    <w:rsid w:val="00B3659A"/>
    <w:rsid w:val="00B3704A"/>
    <w:rsid w:val="00B37EC2"/>
    <w:rsid w:val="00B40527"/>
    <w:rsid w:val="00B40E96"/>
    <w:rsid w:val="00B415C3"/>
    <w:rsid w:val="00B415F0"/>
    <w:rsid w:val="00B423A4"/>
    <w:rsid w:val="00B42439"/>
    <w:rsid w:val="00B427CF"/>
    <w:rsid w:val="00B42F3D"/>
    <w:rsid w:val="00B43183"/>
    <w:rsid w:val="00B43DA2"/>
    <w:rsid w:val="00B44873"/>
    <w:rsid w:val="00B45978"/>
    <w:rsid w:val="00B4776A"/>
    <w:rsid w:val="00B477FC"/>
    <w:rsid w:val="00B479EE"/>
    <w:rsid w:val="00B47EE9"/>
    <w:rsid w:val="00B513E8"/>
    <w:rsid w:val="00B53871"/>
    <w:rsid w:val="00B55263"/>
    <w:rsid w:val="00B570F6"/>
    <w:rsid w:val="00B57343"/>
    <w:rsid w:val="00B6022A"/>
    <w:rsid w:val="00B60562"/>
    <w:rsid w:val="00B62E81"/>
    <w:rsid w:val="00B63470"/>
    <w:rsid w:val="00B65710"/>
    <w:rsid w:val="00B65F5F"/>
    <w:rsid w:val="00B66A54"/>
    <w:rsid w:val="00B672D6"/>
    <w:rsid w:val="00B7074D"/>
    <w:rsid w:val="00B70967"/>
    <w:rsid w:val="00B70B96"/>
    <w:rsid w:val="00B73360"/>
    <w:rsid w:val="00B73513"/>
    <w:rsid w:val="00B74E6D"/>
    <w:rsid w:val="00B758EB"/>
    <w:rsid w:val="00B80E85"/>
    <w:rsid w:val="00B81957"/>
    <w:rsid w:val="00B81A85"/>
    <w:rsid w:val="00B82194"/>
    <w:rsid w:val="00B829F2"/>
    <w:rsid w:val="00B83862"/>
    <w:rsid w:val="00B85456"/>
    <w:rsid w:val="00B875F5"/>
    <w:rsid w:val="00B87D88"/>
    <w:rsid w:val="00B9055D"/>
    <w:rsid w:val="00B9075F"/>
    <w:rsid w:val="00B90DCB"/>
    <w:rsid w:val="00B912C4"/>
    <w:rsid w:val="00B92015"/>
    <w:rsid w:val="00B9215B"/>
    <w:rsid w:val="00B92CD3"/>
    <w:rsid w:val="00B939D1"/>
    <w:rsid w:val="00B93C09"/>
    <w:rsid w:val="00B9421F"/>
    <w:rsid w:val="00B947C3"/>
    <w:rsid w:val="00B95F87"/>
    <w:rsid w:val="00B96063"/>
    <w:rsid w:val="00B96356"/>
    <w:rsid w:val="00B97593"/>
    <w:rsid w:val="00B97790"/>
    <w:rsid w:val="00B97B76"/>
    <w:rsid w:val="00BA0EF8"/>
    <w:rsid w:val="00BA18C7"/>
    <w:rsid w:val="00BA318D"/>
    <w:rsid w:val="00BA3588"/>
    <w:rsid w:val="00BA4046"/>
    <w:rsid w:val="00BA4A95"/>
    <w:rsid w:val="00BA4D48"/>
    <w:rsid w:val="00BA75A6"/>
    <w:rsid w:val="00BA7F5C"/>
    <w:rsid w:val="00BB0619"/>
    <w:rsid w:val="00BB0B4B"/>
    <w:rsid w:val="00BB0E5D"/>
    <w:rsid w:val="00BB1892"/>
    <w:rsid w:val="00BB1AD0"/>
    <w:rsid w:val="00BB2976"/>
    <w:rsid w:val="00BB32BB"/>
    <w:rsid w:val="00BC0CBA"/>
    <w:rsid w:val="00BC1527"/>
    <w:rsid w:val="00BC16B9"/>
    <w:rsid w:val="00BC28C1"/>
    <w:rsid w:val="00BC2DCF"/>
    <w:rsid w:val="00BC2E1D"/>
    <w:rsid w:val="00BC355A"/>
    <w:rsid w:val="00BC3625"/>
    <w:rsid w:val="00BC5EC1"/>
    <w:rsid w:val="00BC704A"/>
    <w:rsid w:val="00BC7753"/>
    <w:rsid w:val="00BD0BA1"/>
    <w:rsid w:val="00BD0C9E"/>
    <w:rsid w:val="00BD1A0E"/>
    <w:rsid w:val="00BD1AD2"/>
    <w:rsid w:val="00BD2DB0"/>
    <w:rsid w:val="00BD39B3"/>
    <w:rsid w:val="00BD3BB5"/>
    <w:rsid w:val="00BD3E08"/>
    <w:rsid w:val="00BD4662"/>
    <w:rsid w:val="00BD674A"/>
    <w:rsid w:val="00BE03BE"/>
    <w:rsid w:val="00BE10E1"/>
    <w:rsid w:val="00BE1E86"/>
    <w:rsid w:val="00BE5399"/>
    <w:rsid w:val="00BE6623"/>
    <w:rsid w:val="00BE7195"/>
    <w:rsid w:val="00BE7B8B"/>
    <w:rsid w:val="00BF06D1"/>
    <w:rsid w:val="00BF3247"/>
    <w:rsid w:val="00BF3450"/>
    <w:rsid w:val="00BF46C7"/>
    <w:rsid w:val="00BF68D4"/>
    <w:rsid w:val="00BF7485"/>
    <w:rsid w:val="00C000DF"/>
    <w:rsid w:val="00C0035F"/>
    <w:rsid w:val="00C01062"/>
    <w:rsid w:val="00C03C01"/>
    <w:rsid w:val="00C0447A"/>
    <w:rsid w:val="00C06648"/>
    <w:rsid w:val="00C0747F"/>
    <w:rsid w:val="00C1015D"/>
    <w:rsid w:val="00C10946"/>
    <w:rsid w:val="00C1104B"/>
    <w:rsid w:val="00C115C4"/>
    <w:rsid w:val="00C129F1"/>
    <w:rsid w:val="00C1394A"/>
    <w:rsid w:val="00C13B63"/>
    <w:rsid w:val="00C152E7"/>
    <w:rsid w:val="00C15D1E"/>
    <w:rsid w:val="00C16E1D"/>
    <w:rsid w:val="00C17E67"/>
    <w:rsid w:val="00C21123"/>
    <w:rsid w:val="00C225BC"/>
    <w:rsid w:val="00C22B44"/>
    <w:rsid w:val="00C23055"/>
    <w:rsid w:val="00C2355A"/>
    <w:rsid w:val="00C23E15"/>
    <w:rsid w:val="00C24B43"/>
    <w:rsid w:val="00C251DA"/>
    <w:rsid w:val="00C256B9"/>
    <w:rsid w:val="00C26177"/>
    <w:rsid w:val="00C26FB6"/>
    <w:rsid w:val="00C27515"/>
    <w:rsid w:val="00C3038E"/>
    <w:rsid w:val="00C30781"/>
    <w:rsid w:val="00C32223"/>
    <w:rsid w:val="00C331B8"/>
    <w:rsid w:val="00C34304"/>
    <w:rsid w:val="00C34998"/>
    <w:rsid w:val="00C36EED"/>
    <w:rsid w:val="00C37AE6"/>
    <w:rsid w:val="00C4096C"/>
    <w:rsid w:val="00C41664"/>
    <w:rsid w:val="00C41B76"/>
    <w:rsid w:val="00C42373"/>
    <w:rsid w:val="00C44400"/>
    <w:rsid w:val="00C4452A"/>
    <w:rsid w:val="00C44C59"/>
    <w:rsid w:val="00C4584F"/>
    <w:rsid w:val="00C4679C"/>
    <w:rsid w:val="00C4779F"/>
    <w:rsid w:val="00C47C9C"/>
    <w:rsid w:val="00C503E8"/>
    <w:rsid w:val="00C50558"/>
    <w:rsid w:val="00C50B62"/>
    <w:rsid w:val="00C51B60"/>
    <w:rsid w:val="00C51B82"/>
    <w:rsid w:val="00C51ECA"/>
    <w:rsid w:val="00C52D37"/>
    <w:rsid w:val="00C52DBE"/>
    <w:rsid w:val="00C53E49"/>
    <w:rsid w:val="00C54786"/>
    <w:rsid w:val="00C551DB"/>
    <w:rsid w:val="00C5527B"/>
    <w:rsid w:val="00C56135"/>
    <w:rsid w:val="00C56978"/>
    <w:rsid w:val="00C605A3"/>
    <w:rsid w:val="00C605B1"/>
    <w:rsid w:val="00C608F6"/>
    <w:rsid w:val="00C60AD4"/>
    <w:rsid w:val="00C62D8D"/>
    <w:rsid w:val="00C652BA"/>
    <w:rsid w:val="00C6538D"/>
    <w:rsid w:val="00C6797E"/>
    <w:rsid w:val="00C70A32"/>
    <w:rsid w:val="00C71AA2"/>
    <w:rsid w:val="00C71FC5"/>
    <w:rsid w:val="00C720D6"/>
    <w:rsid w:val="00C72E57"/>
    <w:rsid w:val="00C7313F"/>
    <w:rsid w:val="00C73212"/>
    <w:rsid w:val="00C73BF0"/>
    <w:rsid w:val="00C74130"/>
    <w:rsid w:val="00C74EC7"/>
    <w:rsid w:val="00C754C5"/>
    <w:rsid w:val="00C767A6"/>
    <w:rsid w:val="00C813CC"/>
    <w:rsid w:val="00C828E6"/>
    <w:rsid w:val="00C83A29"/>
    <w:rsid w:val="00C83D55"/>
    <w:rsid w:val="00C84C08"/>
    <w:rsid w:val="00C85BC0"/>
    <w:rsid w:val="00C85C1C"/>
    <w:rsid w:val="00C861FD"/>
    <w:rsid w:val="00C86DC1"/>
    <w:rsid w:val="00C90C72"/>
    <w:rsid w:val="00C91572"/>
    <w:rsid w:val="00C91D5B"/>
    <w:rsid w:val="00C92458"/>
    <w:rsid w:val="00C92E24"/>
    <w:rsid w:val="00C93167"/>
    <w:rsid w:val="00C940A9"/>
    <w:rsid w:val="00C957B4"/>
    <w:rsid w:val="00C9661A"/>
    <w:rsid w:val="00C969C5"/>
    <w:rsid w:val="00C977F0"/>
    <w:rsid w:val="00CA0966"/>
    <w:rsid w:val="00CA11B5"/>
    <w:rsid w:val="00CA141D"/>
    <w:rsid w:val="00CA18A9"/>
    <w:rsid w:val="00CA2380"/>
    <w:rsid w:val="00CA2D0C"/>
    <w:rsid w:val="00CA30F4"/>
    <w:rsid w:val="00CA4443"/>
    <w:rsid w:val="00CA4547"/>
    <w:rsid w:val="00CA459C"/>
    <w:rsid w:val="00CA559A"/>
    <w:rsid w:val="00CA610A"/>
    <w:rsid w:val="00CA6268"/>
    <w:rsid w:val="00CA653D"/>
    <w:rsid w:val="00CA6C6C"/>
    <w:rsid w:val="00CB1107"/>
    <w:rsid w:val="00CB296C"/>
    <w:rsid w:val="00CB36EF"/>
    <w:rsid w:val="00CB558C"/>
    <w:rsid w:val="00CB6090"/>
    <w:rsid w:val="00CB6343"/>
    <w:rsid w:val="00CB6380"/>
    <w:rsid w:val="00CB6CA0"/>
    <w:rsid w:val="00CC023A"/>
    <w:rsid w:val="00CC1295"/>
    <w:rsid w:val="00CC1CCC"/>
    <w:rsid w:val="00CC1FA7"/>
    <w:rsid w:val="00CC272D"/>
    <w:rsid w:val="00CC282F"/>
    <w:rsid w:val="00CC3815"/>
    <w:rsid w:val="00CC408F"/>
    <w:rsid w:val="00CC4AB7"/>
    <w:rsid w:val="00CC4F1D"/>
    <w:rsid w:val="00CC64EE"/>
    <w:rsid w:val="00CD083D"/>
    <w:rsid w:val="00CD1DC3"/>
    <w:rsid w:val="00CD21E5"/>
    <w:rsid w:val="00CD2F26"/>
    <w:rsid w:val="00CD3998"/>
    <w:rsid w:val="00CD488B"/>
    <w:rsid w:val="00CD58B2"/>
    <w:rsid w:val="00CE01FB"/>
    <w:rsid w:val="00CE03A0"/>
    <w:rsid w:val="00CE07D2"/>
    <w:rsid w:val="00CE12AE"/>
    <w:rsid w:val="00CE1478"/>
    <w:rsid w:val="00CE17B7"/>
    <w:rsid w:val="00CE1875"/>
    <w:rsid w:val="00CE1C8F"/>
    <w:rsid w:val="00CE1F3B"/>
    <w:rsid w:val="00CE2CC6"/>
    <w:rsid w:val="00CE45F2"/>
    <w:rsid w:val="00CE5181"/>
    <w:rsid w:val="00CE5DB2"/>
    <w:rsid w:val="00CE6240"/>
    <w:rsid w:val="00CE742F"/>
    <w:rsid w:val="00CF0073"/>
    <w:rsid w:val="00CF1039"/>
    <w:rsid w:val="00CF11CB"/>
    <w:rsid w:val="00CF1338"/>
    <w:rsid w:val="00CF1365"/>
    <w:rsid w:val="00CF1371"/>
    <w:rsid w:val="00CF4FDD"/>
    <w:rsid w:val="00CF6F37"/>
    <w:rsid w:val="00D00ED3"/>
    <w:rsid w:val="00D011AF"/>
    <w:rsid w:val="00D02C6A"/>
    <w:rsid w:val="00D03097"/>
    <w:rsid w:val="00D04D09"/>
    <w:rsid w:val="00D04F27"/>
    <w:rsid w:val="00D058DC"/>
    <w:rsid w:val="00D06E94"/>
    <w:rsid w:val="00D07034"/>
    <w:rsid w:val="00D07478"/>
    <w:rsid w:val="00D0760F"/>
    <w:rsid w:val="00D07E4A"/>
    <w:rsid w:val="00D103CB"/>
    <w:rsid w:val="00D1080A"/>
    <w:rsid w:val="00D10872"/>
    <w:rsid w:val="00D1115A"/>
    <w:rsid w:val="00D113C3"/>
    <w:rsid w:val="00D115B7"/>
    <w:rsid w:val="00D11808"/>
    <w:rsid w:val="00D124B6"/>
    <w:rsid w:val="00D12968"/>
    <w:rsid w:val="00D13E59"/>
    <w:rsid w:val="00D13E7C"/>
    <w:rsid w:val="00D14C24"/>
    <w:rsid w:val="00D154D9"/>
    <w:rsid w:val="00D2000A"/>
    <w:rsid w:val="00D21314"/>
    <w:rsid w:val="00D232C1"/>
    <w:rsid w:val="00D240F7"/>
    <w:rsid w:val="00D24951"/>
    <w:rsid w:val="00D25115"/>
    <w:rsid w:val="00D25538"/>
    <w:rsid w:val="00D25C8D"/>
    <w:rsid w:val="00D263F5"/>
    <w:rsid w:val="00D265BC"/>
    <w:rsid w:val="00D3025F"/>
    <w:rsid w:val="00D30445"/>
    <w:rsid w:val="00D30535"/>
    <w:rsid w:val="00D312D3"/>
    <w:rsid w:val="00D3145A"/>
    <w:rsid w:val="00D32372"/>
    <w:rsid w:val="00D3245C"/>
    <w:rsid w:val="00D32CFE"/>
    <w:rsid w:val="00D330CB"/>
    <w:rsid w:val="00D331AC"/>
    <w:rsid w:val="00D3414E"/>
    <w:rsid w:val="00D34682"/>
    <w:rsid w:val="00D35847"/>
    <w:rsid w:val="00D3649A"/>
    <w:rsid w:val="00D37DBE"/>
    <w:rsid w:val="00D40938"/>
    <w:rsid w:val="00D40A8C"/>
    <w:rsid w:val="00D41365"/>
    <w:rsid w:val="00D41810"/>
    <w:rsid w:val="00D42FA4"/>
    <w:rsid w:val="00D431A3"/>
    <w:rsid w:val="00D43850"/>
    <w:rsid w:val="00D43C1B"/>
    <w:rsid w:val="00D44E5F"/>
    <w:rsid w:val="00D4526D"/>
    <w:rsid w:val="00D45E4D"/>
    <w:rsid w:val="00D466FE"/>
    <w:rsid w:val="00D476BA"/>
    <w:rsid w:val="00D50CCF"/>
    <w:rsid w:val="00D513BC"/>
    <w:rsid w:val="00D515C9"/>
    <w:rsid w:val="00D5167F"/>
    <w:rsid w:val="00D53948"/>
    <w:rsid w:val="00D53B9A"/>
    <w:rsid w:val="00D54CC5"/>
    <w:rsid w:val="00D55C3A"/>
    <w:rsid w:val="00D5600E"/>
    <w:rsid w:val="00D57006"/>
    <w:rsid w:val="00D57A16"/>
    <w:rsid w:val="00D60291"/>
    <w:rsid w:val="00D608B5"/>
    <w:rsid w:val="00D61977"/>
    <w:rsid w:val="00D62071"/>
    <w:rsid w:val="00D6280A"/>
    <w:rsid w:val="00D63CB7"/>
    <w:rsid w:val="00D642BC"/>
    <w:rsid w:val="00D66651"/>
    <w:rsid w:val="00D70CE1"/>
    <w:rsid w:val="00D70E7A"/>
    <w:rsid w:val="00D715E8"/>
    <w:rsid w:val="00D71E95"/>
    <w:rsid w:val="00D74C4B"/>
    <w:rsid w:val="00D75609"/>
    <w:rsid w:val="00D75847"/>
    <w:rsid w:val="00D767E8"/>
    <w:rsid w:val="00D77B8C"/>
    <w:rsid w:val="00D80168"/>
    <w:rsid w:val="00D8036E"/>
    <w:rsid w:val="00D81280"/>
    <w:rsid w:val="00D817E7"/>
    <w:rsid w:val="00D81AB8"/>
    <w:rsid w:val="00D81CE0"/>
    <w:rsid w:val="00D83E74"/>
    <w:rsid w:val="00D85853"/>
    <w:rsid w:val="00D86A0F"/>
    <w:rsid w:val="00D86A8B"/>
    <w:rsid w:val="00D879D7"/>
    <w:rsid w:val="00D9055B"/>
    <w:rsid w:val="00D9125B"/>
    <w:rsid w:val="00D91CE5"/>
    <w:rsid w:val="00D94162"/>
    <w:rsid w:val="00D94972"/>
    <w:rsid w:val="00D95967"/>
    <w:rsid w:val="00D96C10"/>
    <w:rsid w:val="00D97701"/>
    <w:rsid w:val="00DA0355"/>
    <w:rsid w:val="00DA1248"/>
    <w:rsid w:val="00DA188D"/>
    <w:rsid w:val="00DA2A17"/>
    <w:rsid w:val="00DA35C7"/>
    <w:rsid w:val="00DA3A56"/>
    <w:rsid w:val="00DA4D81"/>
    <w:rsid w:val="00DA5708"/>
    <w:rsid w:val="00DA5DED"/>
    <w:rsid w:val="00DA5F5B"/>
    <w:rsid w:val="00DA672E"/>
    <w:rsid w:val="00DA685F"/>
    <w:rsid w:val="00DA6D8D"/>
    <w:rsid w:val="00DA6DE6"/>
    <w:rsid w:val="00DB2DBE"/>
    <w:rsid w:val="00DB33C4"/>
    <w:rsid w:val="00DB4254"/>
    <w:rsid w:val="00DB5E74"/>
    <w:rsid w:val="00DB7236"/>
    <w:rsid w:val="00DC216C"/>
    <w:rsid w:val="00DC3311"/>
    <w:rsid w:val="00DC52EF"/>
    <w:rsid w:val="00DC568B"/>
    <w:rsid w:val="00DC5B9F"/>
    <w:rsid w:val="00DC728D"/>
    <w:rsid w:val="00DC781F"/>
    <w:rsid w:val="00DC79C8"/>
    <w:rsid w:val="00DC7AF3"/>
    <w:rsid w:val="00DC7EBD"/>
    <w:rsid w:val="00DD059A"/>
    <w:rsid w:val="00DD0E4A"/>
    <w:rsid w:val="00DD282B"/>
    <w:rsid w:val="00DD2E02"/>
    <w:rsid w:val="00DD307B"/>
    <w:rsid w:val="00DD3902"/>
    <w:rsid w:val="00DD4011"/>
    <w:rsid w:val="00DD556F"/>
    <w:rsid w:val="00DD6375"/>
    <w:rsid w:val="00DD7D9B"/>
    <w:rsid w:val="00DE02DD"/>
    <w:rsid w:val="00DE0520"/>
    <w:rsid w:val="00DE0ECF"/>
    <w:rsid w:val="00DE1D57"/>
    <w:rsid w:val="00DE1DEF"/>
    <w:rsid w:val="00DE3579"/>
    <w:rsid w:val="00DE48A7"/>
    <w:rsid w:val="00DE49D4"/>
    <w:rsid w:val="00DE4B73"/>
    <w:rsid w:val="00DE4E92"/>
    <w:rsid w:val="00DE6890"/>
    <w:rsid w:val="00DE6F6E"/>
    <w:rsid w:val="00DE7F3A"/>
    <w:rsid w:val="00DE7FA1"/>
    <w:rsid w:val="00DF0AFE"/>
    <w:rsid w:val="00DF17F5"/>
    <w:rsid w:val="00DF2108"/>
    <w:rsid w:val="00DF2F3D"/>
    <w:rsid w:val="00DF437C"/>
    <w:rsid w:val="00DF45C4"/>
    <w:rsid w:val="00DF5074"/>
    <w:rsid w:val="00DF58EB"/>
    <w:rsid w:val="00DF69CD"/>
    <w:rsid w:val="00E00AD6"/>
    <w:rsid w:val="00E0423C"/>
    <w:rsid w:val="00E04328"/>
    <w:rsid w:val="00E05C12"/>
    <w:rsid w:val="00E06161"/>
    <w:rsid w:val="00E06F65"/>
    <w:rsid w:val="00E10BB4"/>
    <w:rsid w:val="00E14FFA"/>
    <w:rsid w:val="00E15571"/>
    <w:rsid w:val="00E163C7"/>
    <w:rsid w:val="00E1731F"/>
    <w:rsid w:val="00E1764F"/>
    <w:rsid w:val="00E176D2"/>
    <w:rsid w:val="00E1772E"/>
    <w:rsid w:val="00E20287"/>
    <w:rsid w:val="00E214E6"/>
    <w:rsid w:val="00E21C4A"/>
    <w:rsid w:val="00E22574"/>
    <w:rsid w:val="00E23580"/>
    <w:rsid w:val="00E23992"/>
    <w:rsid w:val="00E23A0C"/>
    <w:rsid w:val="00E25309"/>
    <w:rsid w:val="00E25594"/>
    <w:rsid w:val="00E25CD4"/>
    <w:rsid w:val="00E26AF0"/>
    <w:rsid w:val="00E26EDE"/>
    <w:rsid w:val="00E279CE"/>
    <w:rsid w:val="00E27B92"/>
    <w:rsid w:val="00E30A08"/>
    <w:rsid w:val="00E30A1B"/>
    <w:rsid w:val="00E31065"/>
    <w:rsid w:val="00E3123F"/>
    <w:rsid w:val="00E34938"/>
    <w:rsid w:val="00E34C12"/>
    <w:rsid w:val="00E35186"/>
    <w:rsid w:val="00E3632C"/>
    <w:rsid w:val="00E37160"/>
    <w:rsid w:val="00E371BF"/>
    <w:rsid w:val="00E37681"/>
    <w:rsid w:val="00E40469"/>
    <w:rsid w:val="00E40C2D"/>
    <w:rsid w:val="00E418CF"/>
    <w:rsid w:val="00E41B0D"/>
    <w:rsid w:val="00E41BD4"/>
    <w:rsid w:val="00E43082"/>
    <w:rsid w:val="00E4556D"/>
    <w:rsid w:val="00E46F2F"/>
    <w:rsid w:val="00E47230"/>
    <w:rsid w:val="00E474B8"/>
    <w:rsid w:val="00E47870"/>
    <w:rsid w:val="00E50604"/>
    <w:rsid w:val="00E51AF8"/>
    <w:rsid w:val="00E52986"/>
    <w:rsid w:val="00E52AF3"/>
    <w:rsid w:val="00E52EF3"/>
    <w:rsid w:val="00E544F1"/>
    <w:rsid w:val="00E564C8"/>
    <w:rsid w:val="00E5694D"/>
    <w:rsid w:val="00E56F79"/>
    <w:rsid w:val="00E57B65"/>
    <w:rsid w:val="00E608ED"/>
    <w:rsid w:val="00E60F74"/>
    <w:rsid w:val="00E61C86"/>
    <w:rsid w:val="00E61E41"/>
    <w:rsid w:val="00E6221E"/>
    <w:rsid w:val="00E62972"/>
    <w:rsid w:val="00E63821"/>
    <w:rsid w:val="00E63B6D"/>
    <w:rsid w:val="00E6540C"/>
    <w:rsid w:val="00E65585"/>
    <w:rsid w:val="00E67E45"/>
    <w:rsid w:val="00E734B7"/>
    <w:rsid w:val="00E7372D"/>
    <w:rsid w:val="00E751A4"/>
    <w:rsid w:val="00E75692"/>
    <w:rsid w:val="00E75DA5"/>
    <w:rsid w:val="00E76E38"/>
    <w:rsid w:val="00E77AF2"/>
    <w:rsid w:val="00E803F6"/>
    <w:rsid w:val="00E80B57"/>
    <w:rsid w:val="00E81B74"/>
    <w:rsid w:val="00E81D32"/>
    <w:rsid w:val="00E84703"/>
    <w:rsid w:val="00E85139"/>
    <w:rsid w:val="00E871D5"/>
    <w:rsid w:val="00E87565"/>
    <w:rsid w:val="00E87FB0"/>
    <w:rsid w:val="00E9011D"/>
    <w:rsid w:val="00E90145"/>
    <w:rsid w:val="00E9020D"/>
    <w:rsid w:val="00E906CF"/>
    <w:rsid w:val="00E90C00"/>
    <w:rsid w:val="00E91146"/>
    <w:rsid w:val="00E91AD8"/>
    <w:rsid w:val="00E91F2F"/>
    <w:rsid w:val="00E92104"/>
    <w:rsid w:val="00E93096"/>
    <w:rsid w:val="00E93949"/>
    <w:rsid w:val="00E93962"/>
    <w:rsid w:val="00E93B7A"/>
    <w:rsid w:val="00E9433A"/>
    <w:rsid w:val="00E94447"/>
    <w:rsid w:val="00E94820"/>
    <w:rsid w:val="00E96030"/>
    <w:rsid w:val="00E97AFF"/>
    <w:rsid w:val="00EA0F46"/>
    <w:rsid w:val="00EA1CB3"/>
    <w:rsid w:val="00EA2274"/>
    <w:rsid w:val="00EA2485"/>
    <w:rsid w:val="00EA27E1"/>
    <w:rsid w:val="00EA39E7"/>
    <w:rsid w:val="00EA503F"/>
    <w:rsid w:val="00EA791E"/>
    <w:rsid w:val="00EA79CD"/>
    <w:rsid w:val="00EA7FEA"/>
    <w:rsid w:val="00EB01CF"/>
    <w:rsid w:val="00EB01EA"/>
    <w:rsid w:val="00EB0370"/>
    <w:rsid w:val="00EB13C8"/>
    <w:rsid w:val="00EB1C50"/>
    <w:rsid w:val="00EB3A37"/>
    <w:rsid w:val="00EB701D"/>
    <w:rsid w:val="00EB7157"/>
    <w:rsid w:val="00EB7E79"/>
    <w:rsid w:val="00EC0158"/>
    <w:rsid w:val="00EC08A4"/>
    <w:rsid w:val="00EC2EA7"/>
    <w:rsid w:val="00EC481D"/>
    <w:rsid w:val="00EC4DCD"/>
    <w:rsid w:val="00EC513D"/>
    <w:rsid w:val="00EC517E"/>
    <w:rsid w:val="00EC5203"/>
    <w:rsid w:val="00EC5250"/>
    <w:rsid w:val="00EC58D9"/>
    <w:rsid w:val="00EC5FA7"/>
    <w:rsid w:val="00EC7317"/>
    <w:rsid w:val="00EC7D50"/>
    <w:rsid w:val="00ED059D"/>
    <w:rsid w:val="00ED069B"/>
    <w:rsid w:val="00ED1787"/>
    <w:rsid w:val="00ED1EC0"/>
    <w:rsid w:val="00ED2323"/>
    <w:rsid w:val="00ED2B0D"/>
    <w:rsid w:val="00ED2D7E"/>
    <w:rsid w:val="00ED30FA"/>
    <w:rsid w:val="00ED3B41"/>
    <w:rsid w:val="00ED3ED3"/>
    <w:rsid w:val="00ED4280"/>
    <w:rsid w:val="00ED73D8"/>
    <w:rsid w:val="00ED7AC6"/>
    <w:rsid w:val="00EE0295"/>
    <w:rsid w:val="00EE08B1"/>
    <w:rsid w:val="00EE19F5"/>
    <w:rsid w:val="00EE1CAE"/>
    <w:rsid w:val="00EE3D71"/>
    <w:rsid w:val="00EE477D"/>
    <w:rsid w:val="00EE53B0"/>
    <w:rsid w:val="00EE6B20"/>
    <w:rsid w:val="00EE71C3"/>
    <w:rsid w:val="00EE7577"/>
    <w:rsid w:val="00EF0021"/>
    <w:rsid w:val="00EF00BA"/>
    <w:rsid w:val="00EF204C"/>
    <w:rsid w:val="00EF23F6"/>
    <w:rsid w:val="00EF3E03"/>
    <w:rsid w:val="00EF3F38"/>
    <w:rsid w:val="00EF48C2"/>
    <w:rsid w:val="00EF5814"/>
    <w:rsid w:val="00EF6F6C"/>
    <w:rsid w:val="00EF78CA"/>
    <w:rsid w:val="00EF7D69"/>
    <w:rsid w:val="00F01CF7"/>
    <w:rsid w:val="00F02107"/>
    <w:rsid w:val="00F022F5"/>
    <w:rsid w:val="00F031BE"/>
    <w:rsid w:val="00F0515A"/>
    <w:rsid w:val="00F05314"/>
    <w:rsid w:val="00F071A7"/>
    <w:rsid w:val="00F078BA"/>
    <w:rsid w:val="00F10149"/>
    <w:rsid w:val="00F101DC"/>
    <w:rsid w:val="00F103EA"/>
    <w:rsid w:val="00F108FE"/>
    <w:rsid w:val="00F10CCE"/>
    <w:rsid w:val="00F110F9"/>
    <w:rsid w:val="00F11423"/>
    <w:rsid w:val="00F11AA5"/>
    <w:rsid w:val="00F13148"/>
    <w:rsid w:val="00F159A8"/>
    <w:rsid w:val="00F15E54"/>
    <w:rsid w:val="00F222B3"/>
    <w:rsid w:val="00F2282C"/>
    <w:rsid w:val="00F22CA2"/>
    <w:rsid w:val="00F22E4B"/>
    <w:rsid w:val="00F277A4"/>
    <w:rsid w:val="00F309FB"/>
    <w:rsid w:val="00F31729"/>
    <w:rsid w:val="00F31C9E"/>
    <w:rsid w:val="00F32209"/>
    <w:rsid w:val="00F327F4"/>
    <w:rsid w:val="00F32C62"/>
    <w:rsid w:val="00F338B2"/>
    <w:rsid w:val="00F33ED1"/>
    <w:rsid w:val="00F34005"/>
    <w:rsid w:val="00F34460"/>
    <w:rsid w:val="00F34953"/>
    <w:rsid w:val="00F35DC6"/>
    <w:rsid w:val="00F36EAA"/>
    <w:rsid w:val="00F40783"/>
    <w:rsid w:val="00F419C8"/>
    <w:rsid w:val="00F42953"/>
    <w:rsid w:val="00F435A2"/>
    <w:rsid w:val="00F43B3D"/>
    <w:rsid w:val="00F43F2F"/>
    <w:rsid w:val="00F44CEA"/>
    <w:rsid w:val="00F45909"/>
    <w:rsid w:val="00F459B4"/>
    <w:rsid w:val="00F461B6"/>
    <w:rsid w:val="00F46596"/>
    <w:rsid w:val="00F4703A"/>
    <w:rsid w:val="00F47C63"/>
    <w:rsid w:val="00F501C9"/>
    <w:rsid w:val="00F50972"/>
    <w:rsid w:val="00F51A0D"/>
    <w:rsid w:val="00F521B0"/>
    <w:rsid w:val="00F53403"/>
    <w:rsid w:val="00F554E5"/>
    <w:rsid w:val="00F55A7A"/>
    <w:rsid w:val="00F55B80"/>
    <w:rsid w:val="00F56735"/>
    <w:rsid w:val="00F576C5"/>
    <w:rsid w:val="00F57CBF"/>
    <w:rsid w:val="00F600ED"/>
    <w:rsid w:val="00F60542"/>
    <w:rsid w:val="00F6086F"/>
    <w:rsid w:val="00F610C1"/>
    <w:rsid w:val="00F61868"/>
    <w:rsid w:val="00F61E61"/>
    <w:rsid w:val="00F63D17"/>
    <w:rsid w:val="00F64C99"/>
    <w:rsid w:val="00F65409"/>
    <w:rsid w:val="00F669CF"/>
    <w:rsid w:val="00F66A9C"/>
    <w:rsid w:val="00F66CD8"/>
    <w:rsid w:val="00F67EC9"/>
    <w:rsid w:val="00F705F3"/>
    <w:rsid w:val="00F706E3"/>
    <w:rsid w:val="00F7096C"/>
    <w:rsid w:val="00F7099B"/>
    <w:rsid w:val="00F719FA"/>
    <w:rsid w:val="00F72885"/>
    <w:rsid w:val="00F74268"/>
    <w:rsid w:val="00F74584"/>
    <w:rsid w:val="00F745F6"/>
    <w:rsid w:val="00F7465C"/>
    <w:rsid w:val="00F81FDE"/>
    <w:rsid w:val="00F82AB3"/>
    <w:rsid w:val="00F82C04"/>
    <w:rsid w:val="00F83B6A"/>
    <w:rsid w:val="00F8438C"/>
    <w:rsid w:val="00F84957"/>
    <w:rsid w:val="00F84E87"/>
    <w:rsid w:val="00F84ECD"/>
    <w:rsid w:val="00F85905"/>
    <w:rsid w:val="00F86080"/>
    <w:rsid w:val="00F8773D"/>
    <w:rsid w:val="00F9010A"/>
    <w:rsid w:val="00F9039B"/>
    <w:rsid w:val="00F9080F"/>
    <w:rsid w:val="00F90C35"/>
    <w:rsid w:val="00F90E4D"/>
    <w:rsid w:val="00F91492"/>
    <w:rsid w:val="00F91814"/>
    <w:rsid w:val="00F92154"/>
    <w:rsid w:val="00F92AE6"/>
    <w:rsid w:val="00F92F52"/>
    <w:rsid w:val="00F9333A"/>
    <w:rsid w:val="00F93DA8"/>
    <w:rsid w:val="00F93F29"/>
    <w:rsid w:val="00F951CC"/>
    <w:rsid w:val="00F95789"/>
    <w:rsid w:val="00F95F87"/>
    <w:rsid w:val="00F96982"/>
    <w:rsid w:val="00F97443"/>
    <w:rsid w:val="00F97A79"/>
    <w:rsid w:val="00FA0ABF"/>
    <w:rsid w:val="00FA15A4"/>
    <w:rsid w:val="00FA4BC1"/>
    <w:rsid w:val="00FA5838"/>
    <w:rsid w:val="00FA782F"/>
    <w:rsid w:val="00FB0216"/>
    <w:rsid w:val="00FB0843"/>
    <w:rsid w:val="00FB2E4A"/>
    <w:rsid w:val="00FB3A8F"/>
    <w:rsid w:val="00FB47AB"/>
    <w:rsid w:val="00FB4B4B"/>
    <w:rsid w:val="00FB4D5A"/>
    <w:rsid w:val="00FB72CA"/>
    <w:rsid w:val="00FB7A74"/>
    <w:rsid w:val="00FC0B2C"/>
    <w:rsid w:val="00FC191A"/>
    <w:rsid w:val="00FC202C"/>
    <w:rsid w:val="00FC3222"/>
    <w:rsid w:val="00FC5CB9"/>
    <w:rsid w:val="00FC6D08"/>
    <w:rsid w:val="00FD0371"/>
    <w:rsid w:val="00FD118A"/>
    <w:rsid w:val="00FD1E08"/>
    <w:rsid w:val="00FD1E9D"/>
    <w:rsid w:val="00FD22E5"/>
    <w:rsid w:val="00FD2677"/>
    <w:rsid w:val="00FD2A8B"/>
    <w:rsid w:val="00FD2BD8"/>
    <w:rsid w:val="00FD37B7"/>
    <w:rsid w:val="00FD3803"/>
    <w:rsid w:val="00FD386C"/>
    <w:rsid w:val="00FD3A1F"/>
    <w:rsid w:val="00FD3EF8"/>
    <w:rsid w:val="00FD4FC0"/>
    <w:rsid w:val="00FD5617"/>
    <w:rsid w:val="00FD5B1E"/>
    <w:rsid w:val="00FD62B9"/>
    <w:rsid w:val="00FD7159"/>
    <w:rsid w:val="00FD75A3"/>
    <w:rsid w:val="00FE1DAE"/>
    <w:rsid w:val="00FE2541"/>
    <w:rsid w:val="00FE5501"/>
    <w:rsid w:val="00FE5D7B"/>
    <w:rsid w:val="00FE5F09"/>
    <w:rsid w:val="00FE6CF7"/>
    <w:rsid w:val="00FE7890"/>
    <w:rsid w:val="00FE7C3B"/>
    <w:rsid w:val="00FF02B3"/>
    <w:rsid w:val="00FF04D7"/>
    <w:rsid w:val="00FF09C9"/>
    <w:rsid w:val="00FF15ED"/>
    <w:rsid w:val="00FF1612"/>
    <w:rsid w:val="00FF28F1"/>
    <w:rsid w:val="00FF3EF2"/>
    <w:rsid w:val="00FF4BA6"/>
    <w:rsid w:val="00FF661E"/>
    <w:rsid w:val="00FF7508"/>
    <w:rsid w:val="00FF78F5"/>
    <w:rsid w:val="00FF7E44"/>
    <w:rsid w:val="01717A11"/>
    <w:rsid w:val="01994B7A"/>
    <w:rsid w:val="0221355E"/>
    <w:rsid w:val="0225759F"/>
    <w:rsid w:val="02B01020"/>
    <w:rsid w:val="02FF77DD"/>
    <w:rsid w:val="030B0115"/>
    <w:rsid w:val="03B7272D"/>
    <w:rsid w:val="03B95AE7"/>
    <w:rsid w:val="03F91C5A"/>
    <w:rsid w:val="0407356A"/>
    <w:rsid w:val="047A1615"/>
    <w:rsid w:val="048005CF"/>
    <w:rsid w:val="04AA32D8"/>
    <w:rsid w:val="04B93290"/>
    <w:rsid w:val="04CB550F"/>
    <w:rsid w:val="0507107C"/>
    <w:rsid w:val="050B0AD1"/>
    <w:rsid w:val="051027E3"/>
    <w:rsid w:val="05287DD6"/>
    <w:rsid w:val="055B2550"/>
    <w:rsid w:val="059C2C58"/>
    <w:rsid w:val="05BD7E93"/>
    <w:rsid w:val="05E65DF7"/>
    <w:rsid w:val="05F068BA"/>
    <w:rsid w:val="06413884"/>
    <w:rsid w:val="064D66C7"/>
    <w:rsid w:val="06570259"/>
    <w:rsid w:val="066213C5"/>
    <w:rsid w:val="067E12EE"/>
    <w:rsid w:val="06973A90"/>
    <w:rsid w:val="06D37A95"/>
    <w:rsid w:val="078E65BD"/>
    <w:rsid w:val="07950B26"/>
    <w:rsid w:val="07AD4763"/>
    <w:rsid w:val="07AF648A"/>
    <w:rsid w:val="07F2603F"/>
    <w:rsid w:val="082B61CD"/>
    <w:rsid w:val="083D1B91"/>
    <w:rsid w:val="088D33BC"/>
    <w:rsid w:val="08A31AD3"/>
    <w:rsid w:val="08D24499"/>
    <w:rsid w:val="08E20D37"/>
    <w:rsid w:val="08F1791D"/>
    <w:rsid w:val="09120680"/>
    <w:rsid w:val="09183031"/>
    <w:rsid w:val="09334719"/>
    <w:rsid w:val="0938349D"/>
    <w:rsid w:val="093924E2"/>
    <w:rsid w:val="095F4D3F"/>
    <w:rsid w:val="09815F03"/>
    <w:rsid w:val="099B4FD5"/>
    <w:rsid w:val="09AA6F59"/>
    <w:rsid w:val="09B5423E"/>
    <w:rsid w:val="09E831E8"/>
    <w:rsid w:val="0A3305A4"/>
    <w:rsid w:val="0A3B212C"/>
    <w:rsid w:val="0AAA6E2C"/>
    <w:rsid w:val="0B520C80"/>
    <w:rsid w:val="0B6032EA"/>
    <w:rsid w:val="0BAA12A1"/>
    <w:rsid w:val="0C6769F7"/>
    <w:rsid w:val="0C786174"/>
    <w:rsid w:val="0C89583A"/>
    <w:rsid w:val="0C895C47"/>
    <w:rsid w:val="0C8C0749"/>
    <w:rsid w:val="0C9C4180"/>
    <w:rsid w:val="0C9C6183"/>
    <w:rsid w:val="0CFD33F5"/>
    <w:rsid w:val="0D44353F"/>
    <w:rsid w:val="0D9826EA"/>
    <w:rsid w:val="0DAF27A4"/>
    <w:rsid w:val="0DB56458"/>
    <w:rsid w:val="0DDA4971"/>
    <w:rsid w:val="0DE4596E"/>
    <w:rsid w:val="0DF1589D"/>
    <w:rsid w:val="0DF7041A"/>
    <w:rsid w:val="0E09677F"/>
    <w:rsid w:val="0E0C7DBD"/>
    <w:rsid w:val="0E105702"/>
    <w:rsid w:val="0E236D2F"/>
    <w:rsid w:val="0E28418C"/>
    <w:rsid w:val="0E475979"/>
    <w:rsid w:val="0E7F743B"/>
    <w:rsid w:val="0EB702E4"/>
    <w:rsid w:val="0F2A4B44"/>
    <w:rsid w:val="0F69657F"/>
    <w:rsid w:val="0FC30448"/>
    <w:rsid w:val="0FDE53EC"/>
    <w:rsid w:val="0FEC320D"/>
    <w:rsid w:val="100A67F0"/>
    <w:rsid w:val="103277E3"/>
    <w:rsid w:val="10395AFA"/>
    <w:rsid w:val="108A3B9C"/>
    <w:rsid w:val="10BD7ADE"/>
    <w:rsid w:val="10CE622E"/>
    <w:rsid w:val="11047EE5"/>
    <w:rsid w:val="11307011"/>
    <w:rsid w:val="11614A58"/>
    <w:rsid w:val="1162193B"/>
    <w:rsid w:val="11863DB9"/>
    <w:rsid w:val="11DA3D6B"/>
    <w:rsid w:val="11EA17CD"/>
    <w:rsid w:val="11FD3A30"/>
    <w:rsid w:val="12012899"/>
    <w:rsid w:val="120F5B98"/>
    <w:rsid w:val="121908E3"/>
    <w:rsid w:val="127D49C0"/>
    <w:rsid w:val="130A0829"/>
    <w:rsid w:val="133E5D52"/>
    <w:rsid w:val="134175B9"/>
    <w:rsid w:val="134A6EAA"/>
    <w:rsid w:val="135154B3"/>
    <w:rsid w:val="138A6CBD"/>
    <w:rsid w:val="146B6E96"/>
    <w:rsid w:val="148A3566"/>
    <w:rsid w:val="14A61226"/>
    <w:rsid w:val="14B755E6"/>
    <w:rsid w:val="14BD7ADA"/>
    <w:rsid w:val="14C51D87"/>
    <w:rsid w:val="14E6367A"/>
    <w:rsid w:val="14F5095B"/>
    <w:rsid w:val="14FB471B"/>
    <w:rsid w:val="15B32891"/>
    <w:rsid w:val="16095BA1"/>
    <w:rsid w:val="16137DD1"/>
    <w:rsid w:val="162B2D81"/>
    <w:rsid w:val="165F49C1"/>
    <w:rsid w:val="168C7E4B"/>
    <w:rsid w:val="16CD60CE"/>
    <w:rsid w:val="16F615E1"/>
    <w:rsid w:val="16FB7141"/>
    <w:rsid w:val="178044A6"/>
    <w:rsid w:val="179901BE"/>
    <w:rsid w:val="17C53A77"/>
    <w:rsid w:val="17E06B04"/>
    <w:rsid w:val="17EB1AB4"/>
    <w:rsid w:val="17F26B08"/>
    <w:rsid w:val="18357EE7"/>
    <w:rsid w:val="18567D7C"/>
    <w:rsid w:val="18585DDC"/>
    <w:rsid w:val="188159D9"/>
    <w:rsid w:val="18A04B6C"/>
    <w:rsid w:val="18B50D5B"/>
    <w:rsid w:val="18C27C65"/>
    <w:rsid w:val="18F953B8"/>
    <w:rsid w:val="18FE5D0F"/>
    <w:rsid w:val="1929372E"/>
    <w:rsid w:val="192B040B"/>
    <w:rsid w:val="196735C7"/>
    <w:rsid w:val="19677E6A"/>
    <w:rsid w:val="1972381E"/>
    <w:rsid w:val="197E599A"/>
    <w:rsid w:val="199148C0"/>
    <w:rsid w:val="19B10E6B"/>
    <w:rsid w:val="19E468B7"/>
    <w:rsid w:val="19E51F44"/>
    <w:rsid w:val="19E70E0E"/>
    <w:rsid w:val="19EF469B"/>
    <w:rsid w:val="1A061660"/>
    <w:rsid w:val="1A24245F"/>
    <w:rsid w:val="1A3C42F7"/>
    <w:rsid w:val="1A407387"/>
    <w:rsid w:val="1A4E60D8"/>
    <w:rsid w:val="1B200DCD"/>
    <w:rsid w:val="1B54270A"/>
    <w:rsid w:val="1B6A01B8"/>
    <w:rsid w:val="1B7023CE"/>
    <w:rsid w:val="1B941F2A"/>
    <w:rsid w:val="1B9B7E27"/>
    <w:rsid w:val="1BBB463C"/>
    <w:rsid w:val="1BDF22A2"/>
    <w:rsid w:val="1BE973A9"/>
    <w:rsid w:val="1BF63A07"/>
    <w:rsid w:val="1C3F7DA1"/>
    <w:rsid w:val="1CE756C6"/>
    <w:rsid w:val="1CF807DF"/>
    <w:rsid w:val="1D1262AF"/>
    <w:rsid w:val="1D1E2D82"/>
    <w:rsid w:val="1D39331E"/>
    <w:rsid w:val="1D4F0AF5"/>
    <w:rsid w:val="1D93351D"/>
    <w:rsid w:val="1D9B2591"/>
    <w:rsid w:val="1DA904CE"/>
    <w:rsid w:val="1E0A7400"/>
    <w:rsid w:val="1E544367"/>
    <w:rsid w:val="1E6C14A7"/>
    <w:rsid w:val="1E8E4590"/>
    <w:rsid w:val="1EA700D7"/>
    <w:rsid w:val="1EB30B76"/>
    <w:rsid w:val="1ED02718"/>
    <w:rsid w:val="1F3922C5"/>
    <w:rsid w:val="1F495847"/>
    <w:rsid w:val="1F5639A9"/>
    <w:rsid w:val="1F7950FB"/>
    <w:rsid w:val="1F9936A3"/>
    <w:rsid w:val="1FD63B9A"/>
    <w:rsid w:val="202B720C"/>
    <w:rsid w:val="205A45F1"/>
    <w:rsid w:val="208D05BE"/>
    <w:rsid w:val="20EB0AAC"/>
    <w:rsid w:val="20EB6B1A"/>
    <w:rsid w:val="21715035"/>
    <w:rsid w:val="21D108A4"/>
    <w:rsid w:val="21E4296F"/>
    <w:rsid w:val="21F546A4"/>
    <w:rsid w:val="221E3F00"/>
    <w:rsid w:val="22A5416A"/>
    <w:rsid w:val="22A82BBD"/>
    <w:rsid w:val="22A87693"/>
    <w:rsid w:val="22B8599C"/>
    <w:rsid w:val="22F51678"/>
    <w:rsid w:val="22FA3875"/>
    <w:rsid w:val="23447A14"/>
    <w:rsid w:val="23C827A7"/>
    <w:rsid w:val="249C6416"/>
    <w:rsid w:val="24BC2F5C"/>
    <w:rsid w:val="24CC2082"/>
    <w:rsid w:val="24D52702"/>
    <w:rsid w:val="24FD15A3"/>
    <w:rsid w:val="252030A7"/>
    <w:rsid w:val="254A6C60"/>
    <w:rsid w:val="255C1F3C"/>
    <w:rsid w:val="25670609"/>
    <w:rsid w:val="256B6EEA"/>
    <w:rsid w:val="25936F18"/>
    <w:rsid w:val="259A20CF"/>
    <w:rsid w:val="25A12E55"/>
    <w:rsid w:val="25D570AA"/>
    <w:rsid w:val="25FB7371"/>
    <w:rsid w:val="26184A84"/>
    <w:rsid w:val="26191607"/>
    <w:rsid w:val="263A6224"/>
    <w:rsid w:val="265C46E7"/>
    <w:rsid w:val="265D54EB"/>
    <w:rsid w:val="26D24B53"/>
    <w:rsid w:val="26D44D9E"/>
    <w:rsid w:val="27070CA1"/>
    <w:rsid w:val="270C7FBF"/>
    <w:rsid w:val="27110C67"/>
    <w:rsid w:val="271E4EE9"/>
    <w:rsid w:val="278803BB"/>
    <w:rsid w:val="27F57C7A"/>
    <w:rsid w:val="284474BA"/>
    <w:rsid w:val="28625612"/>
    <w:rsid w:val="28721618"/>
    <w:rsid w:val="288315D2"/>
    <w:rsid w:val="29293BFD"/>
    <w:rsid w:val="29AE4B90"/>
    <w:rsid w:val="29BF54C4"/>
    <w:rsid w:val="29ED0762"/>
    <w:rsid w:val="2A790F52"/>
    <w:rsid w:val="2A82768C"/>
    <w:rsid w:val="2A88365C"/>
    <w:rsid w:val="2AC3077D"/>
    <w:rsid w:val="2B1344E2"/>
    <w:rsid w:val="2B1B6149"/>
    <w:rsid w:val="2B6E4D12"/>
    <w:rsid w:val="2BA8022A"/>
    <w:rsid w:val="2BC2163A"/>
    <w:rsid w:val="2BD1414E"/>
    <w:rsid w:val="2BD954EB"/>
    <w:rsid w:val="2BDA3187"/>
    <w:rsid w:val="2BFC47F6"/>
    <w:rsid w:val="2C51243E"/>
    <w:rsid w:val="2C687852"/>
    <w:rsid w:val="2C8939D5"/>
    <w:rsid w:val="2CA81950"/>
    <w:rsid w:val="2CC55886"/>
    <w:rsid w:val="2CFC27F3"/>
    <w:rsid w:val="2D5442CA"/>
    <w:rsid w:val="2D8B6DC2"/>
    <w:rsid w:val="2D972291"/>
    <w:rsid w:val="2DB96A0A"/>
    <w:rsid w:val="2DF166C7"/>
    <w:rsid w:val="2DF86A07"/>
    <w:rsid w:val="2E6D0AE5"/>
    <w:rsid w:val="2E74006D"/>
    <w:rsid w:val="2E8519CE"/>
    <w:rsid w:val="2E861631"/>
    <w:rsid w:val="2E9C444B"/>
    <w:rsid w:val="2E9D5EF0"/>
    <w:rsid w:val="2EAF049C"/>
    <w:rsid w:val="2EDE519C"/>
    <w:rsid w:val="2EF043FE"/>
    <w:rsid w:val="2F212122"/>
    <w:rsid w:val="2F5F2AB5"/>
    <w:rsid w:val="2F8C4669"/>
    <w:rsid w:val="2F9D6E36"/>
    <w:rsid w:val="2FA474D7"/>
    <w:rsid w:val="2FD44698"/>
    <w:rsid w:val="2FF34336"/>
    <w:rsid w:val="2FFD1131"/>
    <w:rsid w:val="300351B0"/>
    <w:rsid w:val="30524573"/>
    <w:rsid w:val="30BA3153"/>
    <w:rsid w:val="30E216D3"/>
    <w:rsid w:val="310D2A8E"/>
    <w:rsid w:val="3132324B"/>
    <w:rsid w:val="313E4B34"/>
    <w:rsid w:val="31972861"/>
    <w:rsid w:val="31B57B6A"/>
    <w:rsid w:val="31C709F7"/>
    <w:rsid w:val="31FE3C2F"/>
    <w:rsid w:val="3207440B"/>
    <w:rsid w:val="3210535E"/>
    <w:rsid w:val="32620623"/>
    <w:rsid w:val="329A1124"/>
    <w:rsid w:val="32B86D11"/>
    <w:rsid w:val="331C593D"/>
    <w:rsid w:val="332130EA"/>
    <w:rsid w:val="337002FD"/>
    <w:rsid w:val="33756F4C"/>
    <w:rsid w:val="33794048"/>
    <w:rsid w:val="337D109C"/>
    <w:rsid w:val="33812055"/>
    <w:rsid w:val="33A80DCA"/>
    <w:rsid w:val="33C0338F"/>
    <w:rsid w:val="33C65D02"/>
    <w:rsid w:val="33DB5DEB"/>
    <w:rsid w:val="3440142E"/>
    <w:rsid w:val="346B7B1F"/>
    <w:rsid w:val="35625794"/>
    <w:rsid w:val="35695B6B"/>
    <w:rsid w:val="35756A33"/>
    <w:rsid w:val="35764394"/>
    <w:rsid w:val="35BB0825"/>
    <w:rsid w:val="35BB0836"/>
    <w:rsid w:val="35F47911"/>
    <w:rsid w:val="36083EA1"/>
    <w:rsid w:val="360A4309"/>
    <w:rsid w:val="3615292F"/>
    <w:rsid w:val="36181F50"/>
    <w:rsid w:val="36542EC4"/>
    <w:rsid w:val="36681FFB"/>
    <w:rsid w:val="366D4F88"/>
    <w:rsid w:val="367D7C82"/>
    <w:rsid w:val="368E4D48"/>
    <w:rsid w:val="36FF1994"/>
    <w:rsid w:val="371A7103"/>
    <w:rsid w:val="37237706"/>
    <w:rsid w:val="3787775E"/>
    <w:rsid w:val="37B14D4B"/>
    <w:rsid w:val="384D470D"/>
    <w:rsid w:val="386C76BC"/>
    <w:rsid w:val="38792858"/>
    <w:rsid w:val="388000EA"/>
    <w:rsid w:val="3885558E"/>
    <w:rsid w:val="38A71582"/>
    <w:rsid w:val="38F90D9E"/>
    <w:rsid w:val="391612E8"/>
    <w:rsid w:val="39203377"/>
    <w:rsid w:val="393A3157"/>
    <w:rsid w:val="395E71FA"/>
    <w:rsid w:val="396B3281"/>
    <w:rsid w:val="39877D3A"/>
    <w:rsid w:val="398A40C7"/>
    <w:rsid w:val="39925921"/>
    <w:rsid w:val="39BA4025"/>
    <w:rsid w:val="39CD2AD7"/>
    <w:rsid w:val="3A2A76EF"/>
    <w:rsid w:val="3A5A097A"/>
    <w:rsid w:val="3A743936"/>
    <w:rsid w:val="3AC60AFD"/>
    <w:rsid w:val="3ADC7A1E"/>
    <w:rsid w:val="3B096350"/>
    <w:rsid w:val="3B8A41FA"/>
    <w:rsid w:val="3B8F383E"/>
    <w:rsid w:val="3BA168A1"/>
    <w:rsid w:val="3C152DBD"/>
    <w:rsid w:val="3C3C6B49"/>
    <w:rsid w:val="3C41537B"/>
    <w:rsid w:val="3C4877C4"/>
    <w:rsid w:val="3C7C2F0F"/>
    <w:rsid w:val="3CB36292"/>
    <w:rsid w:val="3CCD7084"/>
    <w:rsid w:val="3CFD148A"/>
    <w:rsid w:val="3D0D7463"/>
    <w:rsid w:val="3D3C42ED"/>
    <w:rsid w:val="3D515309"/>
    <w:rsid w:val="3DF4071C"/>
    <w:rsid w:val="3E341DFE"/>
    <w:rsid w:val="3E7331D4"/>
    <w:rsid w:val="3E8A166F"/>
    <w:rsid w:val="3EA31AE2"/>
    <w:rsid w:val="3ECD0E4F"/>
    <w:rsid w:val="3ED44181"/>
    <w:rsid w:val="3EF67563"/>
    <w:rsid w:val="3F425D83"/>
    <w:rsid w:val="3F7033C6"/>
    <w:rsid w:val="3F9645EA"/>
    <w:rsid w:val="3FAF1A7E"/>
    <w:rsid w:val="3FB628D7"/>
    <w:rsid w:val="3FCC1EB9"/>
    <w:rsid w:val="3FEC09B9"/>
    <w:rsid w:val="40172C96"/>
    <w:rsid w:val="40203C74"/>
    <w:rsid w:val="40296850"/>
    <w:rsid w:val="402A7D77"/>
    <w:rsid w:val="403A261B"/>
    <w:rsid w:val="40C965A5"/>
    <w:rsid w:val="40D51C52"/>
    <w:rsid w:val="40DA53F5"/>
    <w:rsid w:val="411D20B3"/>
    <w:rsid w:val="41264E27"/>
    <w:rsid w:val="417E09CE"/>
    <w:rsid w:val="41BA07B6"/>
    <w:rsid w:val="41EE0379"/>
    <w:rsid w:val="42195422"/>
    <w:rsid w:val="42304B49"/>
    <w:rsid w:val="42313480"/>
    <w:rsid w:val="424268CE"/>
    <w:rsid w:val="424E22D3"/>
    <w:rsid w:val="425D2E52"/>
    <w:rsid w:val="42BF297F"/>
    <w:rsid w:val="42C01EBD"/>
    <w:rsid w:val="42FF5145"/>
    <w:rsid w:val="43050EA5"/>
    <w:rsid w:val="43462D46"/>
    <w:rsid w:val="43D86DBD"/>
    <w:rsid w:val="43DD305D"/>
    <w:rsid w:val="43E503D2"/>
    <w:rsid w:val="43E94C15"/>
    <w:rsid w:val="44176E6F"/>
    <w:rsid w:val="4419772C"/>
    <w:rsid w:val="443834D1"/>
    <w:rsid w:val="4468150F"/>
    <w:rsid w:val="44694C46"/>
    <w:rsid w:val="44743631"/>
    <w:rsid w:val="44BD5C4D"/>
    <w:rsid w:val="44CB5C3B"/>
    <w:rsid w:val="45554AF1"/>
    <w:rsid w:val="455B4991"/>
    <w:rsid w:val="45915F1C"/>
    <w:rsid w:val="45AD6389"/>
    <w:rsid w:val="45D16F47"/>
    <w:rsid w:val="45D54EDE"/>
    <w:rsid w:val="45E83F3B"/>
    <w:rsid w:val="45ED0BBB"/>
    <w:rsid w:val="4607066A"/>
    <w:rsid w:val="462D0C00"/>
    <w:rsid w:val="46382CD9"/>
    <w:rsid w:val="465A2719"/>
    <w:rsid w:val="46F14D89"/>
    <w:rsid w:val="47255F06"/>
    <w:rsid w:val="474C1AD3"/>
    <w:rsid w:val="475A0986"/>
    <w:rsid w:val="479650E7"/>
    <w:rsid w:val="47A3438B"/>
    <w:rsid w:val="47C628EB"/>
    <w:rsid w:val="47C63E08"/>
    <w:rsid w:val="47FC6FEC"/>
    <w:rsid w:val="483A52FE"/>
    <w:rsid w:val="48506114"/>
    <w:rsid w:val="48642650"/>
    <w:rsid w:val="48FA0238"/>
    <w:rsid w:val="491868E5"/>
    <w:rsid w:val="49213AF3"/>
    <w:rsid w:val="49B900C8"/>
    <w:rsid w:val="49F37AF5"/>
    <w:rsid w:val="4A0A67F4"/>
    <w:rsid w:val="4A492BF3"/>
    <w:rsid w:val="4A845BD6"/>
    <w:rsid w:val="4A9B5B61"/>
    <w:rsid w:val="4ADB2066"/>
    <w:rsid w:val="4AFE50C3"/>
    <w:rsid w:val="4B005B2E"/>
    <w:rsid w:val="4B0F3B03"/>
    <w:rsid w:val="4B2D2EF5"/>
    <w:rsid w:val="4B7547FF"/>
    <w:rsid w:val="4B87719B"/>
    <w:rsid w:val="4BAE52DF"/>
    <w:rsid w:val="4BD21D75"/>
    <w:rsid w:val="4C240CF9"/>
    <w:rsid w:val="4C677D77"/>
    <w:rsid w:val="4C8E429B"/>
    <w:rsid w:val="4C90574A"/>
    <w:rsid w:val="4CA4386B"/>
    <w:rsid w:val="4CDF1767"/>
    <w:rsid w:val="4D770B5F"/>
    <w:rsid w:val="4DCF2504"/>
    <w:rsid w:val="4E0062C6"/>
    <w:rsid w:val="4E167EB6"/>
    <w:rsid w:val="4E4B3BC9"/>
    <w:rsid w:val="4ED00509"/>
    <w:rsid w:val="4ED81FAB"/>
    <w:rsid w:val="4EE26DC7"/>
    <w:rsid w:val="4EE6016B"/>
    <w:rsid w:val="4EF45B88"/>
    <w:rsid w:val="4F0A19A6"/>
    <w:rsid w:val="4F183407"/>
    <w:rsid w:val="4FA27746"/>
    <w:rsid w:val="4FB0333A"/>
    <w:rsid w:val="4FC6682E"/>
    <w:rsid w:val="4FE4628C"/>
    <w:rsid w:val="501030B1"/>
    <w:rsid w:val="501841B0"/>
    <w:rsid w:val="50C22AEE"/>
    <w:rsid w:val="50F175E0"/>
    <w:rsid w:val="50F711D9"/>
    <w:rsid w:val="512F483D"/>
    <w:rsid w:val="516B7A51"/>
    <w:rsid w:val="517746EB"/>
    <w:rsid w:val="51B25F3A"/>
    <w:rsid w:val="52844068"/>
    <w:rsid w:val="52935D32"/>
    <w:rsid w:val="52B02143"/>
    <w:rsid w:val="530E067E"/>
    <w:rsid w:val="531B560F"/>
    <w:rsid w:val="532819C5"/>
    <w:rsid w:val="53650BCB"/>
    <w:rsid w:val="53A35904"/>
    <w:rsid w:val="53D51084"/>
    <w:rsid w:val="53D94A0C"/>
    <w:rsid w:val="540532FE"/>
    <w:rsid w:val="54E62DF2"/>
    <w:rsid w:val="555B0F26"/>
    <w:rsid w:val="55921E53"/>
    <w:rsid w:val="55B27ACE"/>
    <w:rsid w:val="55B56B9C"/>
    <w:rsid w:val="564A13CC"/>
    <w:rsid w:val="56507644"/>
    <w:rsid w:val="56AA161A"/>
    <w:rsid w:val="56BC575E"/>
    <w:rsid w:val="56E308A0"/>
    <w:rsid w:val="56E6742C"/>
    <w:rsid w:val="570D7301"/>
    <w:rsid w:val="578278F8"/>
    <w:rsid w:val="578F24D4"/>
    <w:rsid w:val="57CD268A"/>
    <w:rsid w:val="58106AC3"/>
    <w:rsid w:val="58327C9E"/>
    <w:rsid w:val="58622633"/>
    <w:rsid w:val="58A31EA6"/>
    <w:rsid w:val="58C95B27"/>
    <w:rsid w:val="58FF2388"/>
    <w:rsid w:val="590A0C4D"/>
    <w:rsid w:val="59275536"/>
    <w:rsid w:val="5935613A"/>
    <w:rsid w:val="596565DA"/>
    <w:rsid w:val="596C6C0A"/>
    <w:rsid w:val="59710532"/>
    <w:rsid w:val="59D83A66"/>
    <w:rsid w:val="59E5370D"/>
    <w:rsid w:val="5A014C2A"/>
    <w:rsid w:val="5A1261E1"/>
    <w:rsid w:val="5A146BDD"/>
    <w:rsid w:val="5A675A17"/>
    <w:rsid w:val="5AC93AAB"/>
    <w:rsid w:val="5AE448E6"/>
    <w:rsid w:val="5B0373F5"/>
    <w:rsid w:val="5B0978FF"/>
    <w:rsid w:val="5B461487"/>
    <w:rsid w:val="5B8A4251"/>
    <w:rsid w:val="5BB54207"/>
    <w:rsid w:val="5BF704CD"/>
    <w:rsid w:val="5C192A0F"/>
    <w:rsid w:val="5C377C38"/>
    <w:rsid w:val="5C66072D"/>
    <w:rsid w:val="5C732EDA"/>
    <w:rsid w:val="5C77632C"/>
    <w:rsid w:val="5C8B2430"/>
    <w:rsid w:val="5CAC2539"/>
    <w:rsid w:val="5CEC631E"/>
    <w:rsid w:val="5D0011A8"/>
    <w:rsid w:val="5D055863"/>
    <w:rsid w:val="5D467A6D"/>
    <w:rsid w:val="5D7D47EF"/>
    <w:rsid w:val="5D8D34C9"/>
    <w:rsid w:val="5DC32898"/>
    <w:rsid w:val="5DEB54F4"/>
    <w:rsid w:val="5E4D3BF4"/>
    <w:rsid w:val="5E5168B5"/>
    <w:rsid w:val="5E581E1A"/>
    <w:rsid w:val="5F610B6B"/>
    <w:rsid w:val="5F762912"/>
    <w:rsid w:val="5F926F9A"/>
    <w:rsid w:val="5FC45C0D"/>
    <w:rsid w:val="5FEB5BCC"/>
    <w:rsid w:val="5FF23DF6"/>
    <w:rsid w:val="5FF747EF"/>
    <w:rsid w:val="5FFE59AF"/>
    <w:rsid w:val="600A269D"/>
    <w:rsid w:val="60276D97"/>
    <w:rsid w:val="602A40F6"/>
    <w:rsid w:val="604D7335"/>
    <w:rsid w:val="60734147"/>
    <w:rsid w:val="60BC595F"/>
    <w:rsid w:val="60BF4EBC"/>
    <w:rsid w:val="60C87DDA"/>
    <w:rsid w:val="6147641C"/>
    <w:rsid w:val="615C0CEB"/>
    <w:rsid w:val="616510B6"/>
    <w:rsid w:val="6172722A"/>
    <w:rsid w:val="619743F4"/>
    <w:rsid w:val="620D4340"/>
    <w:rsid w:val="621B7096"/>
    <w:rsid w:val="622E545C"/>
    <w:rsid w:val="629E50E6"/>
    <w:rsid w:val="62A50A05"/>
    <w:rsid w:val="62C80BF7"/>
    <w:rsid w:val="631172A7"/>
    <w:rsid w:val="632E56A8"/>
    <w:rsid w:val="633D386F"/>
    <w:rsid w:val="63452365"/>
    <w:rsid w:val="637900E2"/>
    <w:rsid w:val="637D3ABD"/>
    <w:rsid w:val="63D61EA6"/>
    <w:rsid w:val="642671DC"/>
    <w:rsid w:val="650E0D0D"/>
    <w:rsid w:val="651F3BC2"/>
    <w:rsid w:val="653E3041"/>
    <w:rsid w:val="654725D5"/>
    <w:rsid w:val="657E315F"/>
    <w:rsid w:val="65C11692"/>
    <w:rsid w:val="65D75707"/>
    <w:rsid w:val="65EA1D44"/>
    <w:rsid w:val="65FD2C93"/>
    <w:rsid w:val="666A2430"/>
    <w:rsid w:val="66764946"/>
    <w:rsid w:val="667E3793"/>
    <w:rsid w:val="66836647"/>
    <w:rsid w:val="66880618"/>
    <w:rsid w:val="6688164F"/>
    <w:rsid w:val="66BE4A01"/>
    <w:rsid w:val="66DD061A"/>
    <w:rsid w:val="66EC4BC3"/>
    <w:rsid w:val="67010E0D"/>
    <w:rsid w:val="67465C55"/>
    <w:rsid w:val="675461D0"/>
    <w:rsid w:val="676568C6"/>
    <w:rsid w:val="67BB6F54"/>
    <w:rsid w:val="67DC621F"/>
    <w:rsid w:val="67F31667"/>
    <w:rsid w:val="68136A0C"/>
    <w:rsid w:val="68534438"/>
    <w:rsid w:val="68544BF5"/>
    <w:rsid w:val="68906C64"/>
    <w:rsid w:val="68B73F4A"/>
    <w:rsid w:val="6937352C"/>
    <w:rsid w:val="695D7F55"/>
    <w:rsid w:val="698B242F"/>
    <w:rsid w:val="698E0829"/>
    <w:rsid w:val="69A65836"/>
    <w:rsid w:val="69C40CE0"/>
    <w:rsid w:val="69C41D1E"/>
    <w:rsid w:val="6A341FFB"/>
    <w:rsid w:val="6A654A85"/>
    <w:rsid w:val="6A681775"/>
    <w:rsid w:val="6A782AF3"/>
    <w:rsid w:val="6A8110A4"/>
    <w:rsid w:val="6AA87EC6"/>
    <w:rsid w:val="6AD72FA9"/>
    <w:rsid w:val="6AEB410F"/>
    <w:rsid w:val="6B091261"/>
    <w:rsid w:val="6B260FAC"/>
    <w:rsid w:val="6B3D1F09"/>
    <w:rsid w:val="6BA869ED"/>
    <w:rsid w:val="6BB22B20"/>
    <w:rsid w:val="6BEF1429"/>
    <w:rsid w:val="6BF0033A"/>
    <w:rsid w:val="6C4249E7"/>
    <w:rsid w:val="6C4A1515"/>
    <w:rsid w:val="6C8A2604"/>
    <w:rsid w:val="6CA83783"/>
    <w:rsid w:val="6CFB6AD9"/>
    <w:rsid w:val="6D111762"/>
    <w:rsid w:val="6D380AFE"/>
    <w:rsid w:val="6D7E287D"/>
    <w:rsid w:val="6D951FFC"/>
    <w:rsid w:val="6DCF41EC"/>
    <w:rsid w:val="6EA0539E"/>
    <w:rsid w:val="6EA62F38"/>
    <w:rsid w:val="6F0D1B51"/>
    <w:rsid w:val="6F317A67"/>
    <w:rsid w:val="6F443280"/>
    <w:rsid w:val="6F581311"/>
    <w:rsid w:val="6F686405"/>
    <w:rsid w:val="6F6E5C7D"/>
    <w:rsid w:val="6F783996"/>
    <w:rsid w:val="6FD131C7"/>
    <w:rsid w:val="6FD80DD6"/>
    <w:rsid w:val="70294050"/>
    <w:rsid w:val="703127CA"/>
    <w:rsid w:val="70732E3D"/>
    <w:rsid w:val="70D850D2"/>
    <w:rsid w:val="70E8161D"/>
    <w:rsid w:val="710F3481"/>
    <w:rsid w:val="71225C4C"/>
    <w:rsid w:val="712264BB"/>
    <w:rsid w:val="71245C30"/>
    <w:rsid w:val="71C47C60"/>
    <w:rsid w:val="71E402BA"/>
    <w:rsid w:val="71F11895"/>
    <w:rsid w:val="72064488"/>
    <w:rsid w:val="72356628"/>
    <w:rsid w:val="724606BF"/>
    <w:rsid w:val="72555EB2"/>
    <w:rsid w:val="727F26DA"/>
    <w:rsid w:val="728F5B0B"/>
    <w:rsid w:val="72BD57A8"/>
    <w:rsid w:val="72CD40BC"/>
    <w:rsid w:val="72D80D10"/>
    <w:rsid w:val="7320054A"/>
    <w:rsid w:val="737A531C"/>
    <w:rsid w:val="738A079E"/>
    <w:rsid w:val="738E13A2"/>
    <w:rsid w:val="73AF60E6"/>
    <w:rsid w:val="73BB6668"/>
    <w:rsid w:val="73D55118"/>
    <w:rsid w:val="73DA4A3B"/>
    <w:rsid w:val="74034635"/>
    <w:rsid w:val="741154EE"/>
    <w:rsid w:val="741311AA"/>
    <w:rsid w:val="74371CB9"/>
    <w:rsid w:val="74502038"/>
    <w:rsid w:val="74765D3C"/>
    <w:rsid w:val="74805637"/>
    <w:rsid w:val="74956EB9"/>
    <w:rsid w:val="749F7DA1"/>
    <w:rsid w:val="74A036A1"/>
    <w:rsid w:val="74A1308E"/>
    <w:rsid w:val="74D24A0B"/>
    <w:rsid w:val="75A73BE9"/>
    <w:rsid w:val="76382DA8"/>
    <w:rsid w:val="76787FBE"/>
    <w:rsid w:val="76EB7E9A"/>
    <w:rsid w:val="76F52DF3"/>
    <w:rsid w:val="7736563A"/>
    <w:rsid w:val="77B358A8"/>
    <w:rsid w:val="77BA5D68"/>
    <w:rsid w:val="77F254F5"/>
    <w:rsid w:val="77F474CB"/>
    <w:rsid w:val="781118A0"/>
    <w:rsid w:val="781F4FC6"/>
    <w:rsid w:val="782E1760"/>
    <w:rsid w:val="78670C60"/>
    <w:rsid w:val="78C53AE4"/>
    <w:rsid w:val="792D02F7"/>
    <w:rsid w:val="796A3E08"/>
    <w:rsid w:val="79807ECB"/>
    <w:rsid w:val="799177D5"/>
    <w:rsid w:val="799D1084"/>
    <w:rsid w:val="79B42ACE"/>
    <w:rsid w:val="79CB1B50"/>
    <w:rsid w:val="79E332DD"/>
    <w:rsid w:val="79FF7F16"/>
    <w:rsid w:val="7A2A78D9"/>
    <w:rsid w:val="7A5C6B68"/>
    <w:rsid w:val="7A6F7109"/>
    <w:rsid w:val="7A8870D1"/>
    <w:rsid w:val="7AE5249F"/>
    <w:rsid w:val="7B0D2845"/>
    <w:rsid w:val="7B1A1EBF"/>
    <w:rsid w:val="7B254479"/>
    <w:rsid w:val="7BBF3A95"/>
    <w:rsid w:val="7BD25037"/>
    <w:rsid w:val="7BE71F75"/>
    <w:rsid w:val="7C082304"/>
    <w:rsid w:val="7C6A2138"/>
    <w:rsid w:val="7CA45D02"/>
    <w:rsid w:val="7CC70628"/>
    <w:rsid w:val="7CD953AB"/>
    <w:rsid w:val="7CF82358"/>
    <w:rsid w:val="7D0260E7"/>
    <w:rsid w:val="7D1067AE"/>
    <w:rsid w:val="7D4548DB"/>
    <w:rsid w:val="7D4E25C2"/>
    <w:rsid w:val="7D9D5AD8"/>
    <w:rsid w:val="7E3779E1"/>
    <w:rsid w:val="7E6C1EA1"/>
    <w:rsid w:val="7E7A2181"/>
    <w:rsid w:val="7E933D3D"/>
    <w:rsid w:val="7E947454"/>
    <w:rsid w:val="7EB14351"/>
    <w:rsid w:val="7EC81478"/>
    <w:rsid w:val="7EF12510"/>
    <w:rsid w:val="7F061D55"/>
    <w:rsid w:val="7F361938"/>
    <w:rsid w:val="7F441310"/>
    <w:rsid w:val="7F4E401B"/>
    <w:rsid w:val="7F516864"/>
    <w:rsid w:val="7FBB1FB8"/>
    <w:rsid w:val="7FBD5515"/>
    <w:rsid w:val="7FF05526"/>
    <w:rsid w:val="7FFA008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124"/>
    <w:autoRedefine/>
    <w:qFormat/>
    <w:uiPriority w:val="0"/>
    <w:pPr>
      <w:keepNext/>
      <w:autoSpaceDE w:val="0"/>
      <w:autoSpaceDN w:val="0"/>
      <w:adjustRightInd w:val="0"/>
      <w:jc w:val="left"/>
      <w:outlineLvl w:val="0"/>
    </w:pPr>
    <w:rPr>
      <w:rFonts w:ascii="仿宋_GB2312" w:eastAsia="仿宋_GB2312"/>
      <w:b/>
      <w:bCs/>
      <w:color w:val="000000"/>
      <w:kern w:val="0"/>
      <w:sz w:val="28"/>
      <w:szCs w:val="20"/>
    </w:rPr>
  </w:style>
  <w:style w:type="paragraph" w:styleId="7">
    <w:name w:val="heading 2"/>
    <w:basedOn w:val="1"/>
    <w:next w:val="1"/>
    <w:link w:val="52"/>
    <w:autoRedefine/>
    <w:qFormat/>
    <w:uiPriority w:val="9"/>
    <w:pPr>
      <w:keepNext/>
      <w:keepLines/>
      <w:spacing w:before="120" w:after="120" w:line="360" w:lineRule="auto"/>
      <w:jc w:val="center"/>
      <w:outlineLvl w:val="1"/>
    </w:pPr>
    <w:rPr>
      <w:rFonts w:ascii="Arial" w:hAnsi="Arial"/>
      <w:b/>
      <w:bCs/>
      <w:sz w:val="28"/>
      <w:szCs w:val="32"/>
    </w:rPr>
  </w:style>
  <w:style w:type="paragraph" w:styleId="8">
    <w:name w:val="heading 3"/>
    <w:basedOn w:val="1"/>
    <w:next w:val="1"/>
    <w:link w:val="128"/>
    <w:autoRedefine/>
    <w:qFormat/>
    <w:uiPriority w:val="9"/>
    <w:pPr>
      <w:keepNext/>
      <w:keepLines/>
      <w:spacing w:before="120" w:after="120" w:line="360" w:lineRule="auto"/>
      <w:ind w:firstLine="200" w:firstLineChars="200"/>
      <w:jc w:val="center"/>
      <w:outlineLvl w:val="2"/>
    </w:pPr>
    <w:rPr>
      <w:rFonts w:ascii="宋体"/>
      <w:b/>
      <w:bCs/>
      <w:sz w:val="24"/>
      <w:szCs w:val="32"/>
    </w:rPr>
  </w:style>
  <w:style w:type="paragraph" w:styleId="9">
    <w:name w:val="heading 4"/>
    <w:basedOn w:val="1"/>
    <w:next w:val="1"/>
    <w:link w:val="118"/>
    <w:autoRedefine/>
    <w:qFormat/>
    <w:uiPriority w:val="0"/>
    <w:pPr>
      <w:keepNext/>
      <w:keepLines/>
      <w:spacing w:before="280" w:after="290" w:line="376" w:lineRule="auto"/>
      <w:outlineLvl w:val="3"/>
    </w:pPr>
    <w:rPr>
      <w:rFonts w:ascii="Cambria" w:hAnsi="Cambria"/>
      <w:b/>
      <w:bCs/>
      <w:snapToGrid w:val="0"/>
      <w:kern w:val="21"/>
      <w:sz w:val="28"/>
      <w:szCs w:val="28"/>
    </w:rPr>
  </w:style>
  <w:style w:type="paragraph" w:styleId="10">
    <w:name w:val="heading 5"/>
    <w:basedOn w:val="1"/>
    <w:next w:val="1"/>
    <w:autoRedefine/>
    <w:qFormat/>
    <w:uiPriority w:val="0"/>
    <w:pPr>
      <w:keepNext/>
      <w:keepLines/>
      <w:tabs>
        <w:tab w:val="left" w:pos="2100"/>
      </w:tabs>
      <w:adjustRightInd w:val="0"/>
      <w:spacing w:before="280" w:after="290" w:line="376" w:lineRule="atLeast"/>
      <w:ind w:left="2100" w:hanging="420"/>
      <w:textAlignment w:val="baseline"/>
      <w:outlineLvl w:val="4"/>
    </w:pPr>
    <w:rPr>
      <w:b/>
      <w:kern w:val="0"/>
      <w:sz w:val="28"/>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Normal Indent1"/>
    <w:basedOn w:val="3"/>
    <w:qFormat/>
    <w:uiPriority w:val="99"/>
    <w:pPr>
      <w:ind w:firstLine="420" w:firstLineChars="200"/>
    </w:pPr>
    <w:rPr>
      <w:rFonts w:cs="Times New Roman"/>
    </w:rPr>
  </w:style>
  <w:style w:type="paragraph" w:customStyle="1" w:styleId="3">
    <w:name w:val="正文 New"/>
    <w:next w:val="4"/>
    <w:qFormat/>
    <w:uiPriority w:val="0"/>
    <w:pPr>
      <w:widowControl w:val="0"/>
      <w:jc w:val="both"/>
    </w:pPr>
    <w:rPr>
      <w:rFonts w:ascii="Calibri" w:hAnsi="Calibri" w:eastAsia="宋体" w:cs="黑体"/>
      <w:kern w:val="2"/>
      <w:sz w:val="21"/>
      <w:szCs w:val="22"/>
      <w:lang w:val="en-US" w:eastAsia="zh-CN" w:bidi="ar-SA"/>
    </w:rPr>
  </w:style>
  <w:style w:type="paragraph" w:customStyle="1" w:styleId="4">
    <w:name w:val="图表目录1"/>
    <w:basedOn w:val="5"/>
    <w:next w:val="5"/>
    <w:qFormat/>
    <w:uiPriority w:val="0"/>
    <w:pPr>
      <w:ind w:left="200" w:leftChars="200" w:hanging="200" w:hangingChars="200"/>
    </w:pPr>
    <w:rPr>
      <w:rFonts w:ascii="Calibri" w:hAnsi="Calibri" w:eastAsia="仿宋_GB2312" w:cs="宋体"/>
      <w:sz w:val="32"/>
      <w:szCs w:val="32"/>
    </w:rPr>
  </w:style>
  <w:style w:type="paragraph" w:customStyle="1" w:styleId="5">
    <w:name w:val="正文 New New New New New New New New New New New New New New New New New New New New New New New New New New New New New New New New New New New New New New New New New New New New New New New New New New New New New New New New New New New New New New Ne"/>
    <w:next w:val="4"/>
    <w:qFormat/>
    <w:uiPriority w:val="0"/>
    <w:pPr>
      <w:widowControl w:val="0"/>
      <w:jc w:val="both"/>
    </w:pPr>
    <w:rPr>
      <w:rFonts w:ascii="Times New Roman" w:hAnsi="Times New Roman" w:eastAsia="宋体" w:cs="黑体"/>
      <w:kern w:val="2"/>
      <w:sz w:val="21"/>
      <w:szCs w:val="24"/>
      <w:lang w:val="en-US" w:eastAsia="zh-CN" w:bidi="ar-SA"/>
    </w:rPr>
  </w:style>
  <w:style w:type="paragraph" w:styleId="11">
    <w:name w:val="toc 7"/>
    <w:basedOn w:val="1"/>
    <w:next w:val="1"/>
    <w:autoRedefine/>
    <w:qFormat/>
    <w:uiPriority w:val="0"/>
    <w:pPr>
      <w:ind w:left="1200" w:leftChars="1200"/>
    </w:pPr>
  </w:style>
  <w:style w:type="paragraph" w:styleId="12">
    <w:name w:val="Normal Indent"/>
    <w:basedOn w:val="1"/>
    <w:link w:val="119"/>
    <w:autoRedefine/>
    <w:qFormat/>
    <w:uiPriority w:val="0"/>
    <w:pPr>
      <w:tabs>
        <w:tab w:val="left" w:pos="750"/>
      </w:tabs>
      <w:spacing w:beforeLines="50" w:line="300" w:lineRule="auto"/>
      <w:ind w:firstLine="200" w:firstLineChars="200"/>
    </w:pPr>
    <w:rPr>
      <w:rFonts w:ascii="宋体"/>
      <w:szCs w:val="20"/>
    </w:rPr>
  </w:style>
  <w:style w:type="paragraph" w:styleId="13">
    <w:name w:val="caption"/>
    <w:basedOn w:val="1"/>
    <w:next w:val="1"/>
    <w:autoRedefine/>
    <w:qFormat/>
    <w:uiPriority w:val="0"/>
    <w:rPr>
      <w:rFonts w:ascii="Cambria" w:hAnsi="Cambria" w:eastAsia="黑体"/>
      <w:sz w:val="20"/>
      <w:szCs w:val="20"/>
    </w:rPr>
  </w:style>
  <w:style w:type="paragraph" w:styleId="14">
    <w:name w:val="Document Map"/>
    <w:basedOn w:val="1"/>
    <w:autoRedefine/>
    <w:qFormat/>
    <w:uiPriority w:val="0"/>
    <w:pPr>
      <w:shd w:val="clear" w:color="auto" w:fill="000080"/>
    </w:pPr>
  </w:style>
  <w:style w:type="paragraph" w:styleId="15">
    <w:name w:val="annotation text"/>
    <w:basedOn w:val="1"/>
    <w:link w:val="135"/>
    <w:autoRedefine/>
    <w:qFormat/>
    <w:uiPriority w:val="0"/>
    <w:pPr>
      <w:jc w:val="left"/>
    </w:pPr>
    <w:rPr>
      <w:szCs w:val="20"/>
    </w:rPr>
  </w:style>
  <w:style w:type="paragraph" w:styleId="16">
    <w:name w:val="Body Text 3"/>
    <w:basedOn w:val="1"/>
    <w:link w:val="134"/>
    <w:autoRedefine/>
    <w:qFormat/>
    <w:uiPriority w:val="0"/>
    <w:pPr>
      <w:spacing w:after="120"/>
    </w:pPr>
    <w:rPr>
      <w:sz w:val="16"/>
      <w:szCs w:val="16"/>
    </w:rPr>
  </w:style>
  <w:style w:type="paragraph" w:styleId="17">
    <w:name w:val="Body Text"/>
    <w:basedOn w:val="1"/>
    <w:next w:val="1"/>
    <w:autoRedefine/>
    <w:qFormat/>
    <w:uiPriority w:val="0"/>
    <w:pPr>
      <w:adjustRightInd w:val="0"/>
      <w:spacing w:line="360" w:lineRule="auto"/>
    </w:pPr>
    <w:rPr>
      <w:rFonts w:ascii="宋体"/>
      <w:bCs/>
      <w:iCs/>
      <w:color w:val="FF00FF"/>
      <w:kern w:val="44"/>
      <w:sz w:val="28"/>
      <w:szCs w:val="20"/>
    </w:rPr>
  </w:style>
  <w:style w:type="paragraph" w:styleId="18">
    <w:name w:val="Body Text Indent"/>
    <w:basedOn w:val="1"/>
    <w:link w:val="59"/>
    <w:autoRedefine/>
    <w:qFormat/>
    <w:uiPriority w:val="0"/>
    <w:pPr>
      <w:ind w:firstLine="200" w:firstLineChars="200"/>
      <w:jc w:val="left"/>
    </w:pPr>
    <w:rPr>
      <w:rFonts w:ascii="仿宋_GB2312" w:eastAsia="仿宋_GB2312"/>
      <w:sz w:val="28"/>
    </w:rPr>
  </w:style>
  <w:style w:type="paragraph" w:styleId="19">
    <w:name w:val="toc 5"/>
    <w:basedOn w:val="1"/>
    <w:next w:val="1"/>
    <w:autoRedefine/>
    <w:qFormat/>
    <w:uiPriority w:val="0"/>
    <w:pPr>
      <w:ind w:left="800" w:leftChars="800"/>
    </w:pPr>
  </w:style>
  <w:style w:type="paragraph" w:styleId="20">
    <w:name w:val="toc 3"/>
    <w:basedOn w:val="1"/>
    <w:next w:val="1"/>
    <w:autoRedefine/>
    <w:qFormat/>
    <w:uiPriority w:val="39"/>
    <w:pPr>
      <w:tabs>
        <w:tab w:val="right" w:leader="dot" w:pos="9515"/>
      </w:tabs>
      <w:ind w:left="400" w:leftChars="400"/>
    </w:pPr>
  </w:style>
  <w:style w:type="paragraph" w:styleId="21">
    <w:name w:val="Plain Text"/>
    <w:basedOn w:val="1"/>
    <w:link w:val="53"/>
    <w:autoRedefine/>
    <w:qFormat/>
    <w:uiPriority w:val="99"/>
    <w:pPr>
      <w:autoSpaceDE w:val="0"/>
      <w:autoSpaceDN w:val="0"/>
      <w:adjustRightInd w:val="0"/>
      <w:jc w:val="left"/>
    </w:pPr>
    <w:rPr>
      <w:rFonts w:ascii="宋体"/>
      <w:kern w:val="0"/>
      <w:sz w:val="20"/>
    </w:rPr>
  </w:style>
  <w:style w:type="paragraph" w:styleId="22">
    <w:name w:val="toc 8"/>
    <w:basedOn w:val="1"/>
    <w:next w:val="1"/>
    <w:autoRedefine/>
    <w:qFormat/>
    <w:uiPriority w:val="0"/>
    <w:pPr>
      <w:ind w:left="1400" w:leftChars="1400"/>
    </w:pPr>
  </w:style>
  <w:style w:type="paragraph" w:styleId="23">
    <w:name w:val="Date"/>
    <w:basedOn w:val="1"/>
    <w:next w:val="1"/>
    <w:autoRedefine/>
    <w:qFormat/>
    <w:uiPriority w:val="0"/>
    <w:pPr>
      <w:ind w:left="2500" w:leftChars="2500"/>
    </w:pPr>
    <w:rPr>
      <w:rFonts w:ascii="仿宋_GB2312" w:eastAsia="仿宋_GB2312"/>
      <w:sz w:val="28"/>
    </w:rPr>
  </w:style>
  <w:style w:type="paragraph" w:styleId="24">
    <w:name w:val="Body Text Indent 2"/>
    <w:basedOn w:val="1"/>
    <w:link w:val="159"/>
    <w:autoRedefine/>
    <w:qFormat/>
    <w:uiPriority w:val="0"/>
    <w:pPr>
      <w:spacing w:line="60" w:lineRule="auto"/>
      <w:ind w:firstLine="128" w:firstLineChars="128"/>
    </w:pPr>
    <w:rPr>
      <w:rFonts w:ascii="仿宋_GB2312" w:eastAsia="仿宋_GB2312"/>
      <w:sz w:val="28"/>
    </w:rPr>
  </w:style>
  <w:style w:type="paragraph" w:styleId="25">
    <w:name w:val="Balloon Text"/>
    <w:basedOn w:val="1"/>
    <w:autoRedefine/>
    <w:qFormat/>
    <w:uiPriority w:val="0"/>
    <w:rPr>
      <w:sz w:val="18"/>
      <w:szCs w:val="18"/>
    </w:rPr>
  </w:style>
  <w:style w:type="paragraph" w:styleId="26">
    <w:name w:val="footer"/>
    <w:basedOn w:val="1"/>
    <w:link w:val="54"/>
    <w:autoRedefine/>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27">
    <w:name w:val="header"/>
    <w:basedOn w:val="1"/>
    <w:link w:val="125"/>
    <w:autoRedefine/>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28">
    <w:name w:val="toc 1"/>
    <w:basedOn w:val="1"/>
    <w:next w:val="1"/>
    <w:autoRedefine/>
    <w:qFormat/>
    <w:uiPriority w:val="39"/>
  </w:style>
  <w:style w:type="paragraph" w:styleId="29">
    <w:name w:val="toc 4"/>
    <w:basedOn w:val="1"/>
    <w:next w:val="1"/>
    <w:autoRedefine/>
    <w:qFormat/>
    <w:uiPriority w:val="0"/>
    <w:pPr>
      <w:ind w:left="600" w:leftChars="600"/>
    </w:pPr>
  </w:style>
  <w:style w:type="paragraph" w:styleId="30">
    <w:name w:val="footnote text"/>
    <w:basedOn w:val="1"/>
    <w:autoRedefine/>
    <w:qFormat/>
    <w:uiPriority w:val="0"/>
    <w:pPr>
      <w:snapToGrid w:val="0"/>
      <w:jc w:val="left"/>
    </w:pPr>
    <w:rPr>
      <w:sz w:val="18"/>
      <w:szCs w:val="18"/>
    </w:rPr>
  </w:style>
  <w:style w:type="paragraph" w:styleId="31">
    <w:name w:val="toc 6"/>
    <w:basedOn w:val="1"/>
    <w:next w:val="1"/>
    <w:autoRedefine/>
    <w:qFormat/>
    <w:uiPriority w:val="0"/>
    <w:pPr>
      <w:ind w:left="1000" w:leftChars="1000"/>
    </w:pPr>
  </w:style>
  <w:style w:type="paragraph" w:styleId="32">
    <w:name w:val="Body Text Indent 3"/>
    <w:basedOn w:val="1"/>
    <w:autoRedefine/>
    <w:qFormat/>
    <w:uiPriority w:val="0"/>
    <w:pPr>
      <w:spacing w:line="360" w:lineRule="auto"/>
      <w:ind w:firstLine="192" w:firstLineChars="192"/>
    </w:pPr>
    <w:rPr>
      <w:rFonts w:ascii="仿宋_GB2312" w:eastAsia="仿宋_GB2312"/>
      <w:color w:val="3366FF"/>
      <w:sz w:val="24"/>
    </w:rPr>
  </w:style>
  <w:style w:type="paragraph" w:styleId="33">
    <w:name w:val="table of figures"/>
    <w:basedOn w:val="1"/>
    <w:next w:val="1"/>
    <w:autoRedefine/>
    <w:qFormat/>
    <w:uiPriority w:val="0"/>
    <w:pPr>
      <w:ind w:left="840" w:hanging="420"/>
    </w:pPr>
    <w:rPr>
      <w:szCs w:val="20"/>
    </w:rPr>
  </w:style>
  <w:style w:type="paragraph" w:styleId="34">
    <w:name w:val="toc 2"/>
    <w:basedOn w:val="1"/>
    <w:next w:val="1"/>
    <w:autoRedefine/>
    <w:qFormat/>
    <w:uiPriority w:val="39"/>
    <w:pPr>
      <w:tabs>
        <w:tab w:val="right" w:leader="dot" w:pos="9515"/>
      </w:tabs>
      <w:ind w:left="270" w:leftChars="100" w:right="100" w:rightChars="100" w:hanging="60"/>
    </w:pPr>
  </w:style>
  <w:style w:type="paragraph" w:styleId="35">
    <w:name w:val="toc 9"/>
    <w:basedOn w:val="1"/>
    <w:next w:val="1"/>
    <w:autoRedefine/>
    <w:qFormat/>
    <w:uiPriority w:val="0"/>
    <w:pPr>
      <w:ind w:left="1600" w:leftChars="1600"/>
    </w:pPr>
  </w:style>
  <w:style w:type="paragraph" w:styleId="36">
    <w:name w:val="Body Text 2"/>
    <w:basedOn w:val="1"/>
    <w:link w:val="126"/>
    <w:autoRedefine/>
    <w:qFormat/>
    <w:uiPriority w:val="0"/>
    <w:rPr>
      <w:rFonts w:ascii="宋体"/>
      <w:sz w:val="13"/>
      <w:szCs w:val="20"/>
    </w:rPr>
  </w:style>
  <w:style w:type="paragraph" w:styleId="37">
    <w:name w:val="HTML Preformatted"/>
    <w:basedOn w:val="1"/>
    <w:link w:val="57"/>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Arial Unicode MS" w:cs="Arial"/>
      <w:kern w:val="0"/>
      <w:sz w:val="20"/>
      <w:szCs w:val="20"/>
    </w:rPr>
  </w:style>
  <w:style w:type="paragraph" w:styleId="38">
    <w:name w:val="Normal (Web)"/>
    <w:basedOn w:val="1"/>
    <w:autoRedefine/>
    <w:qFormat/>
    <w:uiPriority w:val="99"/>
    <w:pPr>
      <w:widowControl/>
      <w:spacing w:before="100" w:beforeAutospacing="1" w:after="100" w:afterAutospacing="1"/>
      <w:jc w:val="left"/>
    </w:pPr>
    <w:rPr>
      <w:rFonts w:ascii="宋体" w:hAnsi="宋体"/>
      <w:kern w:val="0"/>
      <w:sz w:val="24"/>
    </w:rPr>
  </w:style>
  <w:style w:type="paragraph" w:styleId="39">
    <w:name w:val="annotation subject"/>
    <w:basedOn w:val="15"/>
    <w:next w:val="15"/>
    <w:link w:val="136"/>
    <w:autoRedefine/>
    <w:qFormat/>
    <w:uiPriority w:val="0"/>
    <w:rPr>
      <w:rFonts w:ascii="宋体"/>
      <w:b/>
      <w:bCs/>
      <w:snapToGrid w:val="0"/>
      <w:kern w:val="21"/>
      <w:szCs w:val="24"/>
    </w:rPr>
  </w:style>
  <w:style w:type="paragraph" w:styleId="40">
    <w:name w:val="Body Text First Indent"/>
    <w:basedOn w:val="17"/>
    <w:autoRedefine/>
    <w:qFormat/>
    <w:uiPriority w:val="0"/>
    <w:pPr>
      <w:tabs>
        <w:tab w:val="center" w:pos="2185"/>
      </w:tabs>
      <w:adjustRightInd/>
      <w:spacing w:beforeLines="50" w:line="300" w:lineRule="auto"/>
      <w:ind w:firstLine="200" w:firstLineChars="200"/>
    </w:pPr>
    <w:rPr>
      <w:rFonts w:ascii="楷体_GB2312" w:eastAsia="楷体_GB2312"/>
      <w:bCs w:val="0"/>
      <w:iCs w:val="0"/>
      <w:color w:val="auto"/>
      <w:spacing w:val="4"/>
      <w:kern w:val="2"/>
      <w:sz w:val="21"/>
    </w:rPr>
  </w:style>
  <w:style w:type="paragraph" w:styleId="41">
    <w:name w:val="Body Text First Indent 2"/>
    <w:basedOn w:val="18"/>
    <w:autoRedefine/>
    <w:qFormat/>
    <w:uiPriority w:val="0"/>
    <w:pPr>
      <w:spacing w:after="120"/>
      <w:ind w:left="420" w:leftChars="200" w:firstLine="420"/>
    </w:pPr>
  </w:style>
  <w:style w:type="table" w:styleId="43">
    <w:name w:val="Table Grid"/>
    <w:basedOn w:val="42"/>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basedOn w:val="44"/>
    <w:autoRedefine/>
    <w:qFormat/>
    <w:uiPriority w:val="0"/>
    <w:rPr>
      <w:b/>
      <w:bCs/>
    </w:rPr>
  </w:style>
  <w:style w:type="character" w:styleId="46">
    <w:name w:val="page number"/>
    <w:basedOn w:val="44"/>
    <w:autoRedefine/>
    <w:qFormat/>
    <w:uiPriority w:val="0"/>
  </w:style>
  <w:style w:type="character" w:styleId="47">
    <w:name w:val="FollowedHyperlink"/>
    <w:autoRedefine/>
    <w:qFormat/>
    <w:uiPriority w:val="0"/>
    <w:rPr>
      <w:color w:val="800080"/>
      <w:u w:val="single"/>
    </w:rPr>
  </w:style>
  <w:style w:type="character" w:styleId="48">
    <w:name w:val="Hyperlink"/>
    <w:autoRedefine/>
    <w:qFormat/>
    <w:uiPriority w:val="99"/>
    <w:rPr>
      <w:color w:val="0000FF"/>
      <w:u w:val="single"/>
    </w:rPr>
  </w:style>
  <w:style w:type="character" w:styleId="49">
    <w:name w:val="annotation reference"/>
    <w:autoRedefine/>
    <w:qFormat/>
    <w:uiPriority w:val="0"/>
    <w:rPr>
      <w:sz w:val="21"/>
      <w:szCs w:val="21"/>
    </w:rPr>
  </w:style>
  <w:style w:type="character" w:customStyle="1" w:styleId="50">
    <w:name w:val="纯文本 Char1"/>
    <w:autoRedefine/>
    <w:qFormat/>
    <w:uiPriority w:val="0"/>
    <w:rPr>
      <w:rFonts w:ascii="宋体"/>
      <w:szCs w:val="24"/>
    </w:rPr>
  </w:style>
  <w:style w:type="character" w:customStyle="1" w:styleId="51">
    <w:name w:val="普通文字 Char Char1"/>
    <w:basedOn w:val="44"/>
    <w:autoRedefine/>
    <w:qFormat/>
    <w:uiPriority w:val="0"/>
    <w:rPr>
      <w:rFonts w:ascii="宋体" w:eastAsia="宋体"/>
      <w:kern w:val="2"/>
      <w:sz w:val="21"/>
      <w:lang w:val="en-US" w:eastAsia="zh-CN" w:bidi="ar-SA"/>
    </w:rPr>
  </w:style>
  <w:style w:type="character" w:customStyle="1" w:styleId="52">
    <w:name w:val="标题 2 字符"/>
    <w:basedOn w:val="44"/>
    <w:link w:val="7"/>
    <w:autoRedefine/>
    <w:qFormat/>
    <w:uiPriority w:val="9"/>
    <w:rPr>
      <w:rFonts w:ascii="Arial" w:hAnsi="Arial"/>
      <w:b/>
      <w:bCs/>
      <w:kern w:val="2"/>
      <w:sz w:val="28"/>
      <w:szCs w:val="32"/>
    </w:rPr>
  </w:style>
  <w:style w:type="character" w:customStyle="1" w:styleId="53">
    <w:name w:val="纯文本 字符"/>
    <w:link w:val="21"/>
    <w:autoRedefine/>
    <w:qFormat/>
    <w:uiPriority w:val="99"/>
    <w:rPr>
      <w:rFonts w:ascii="宋体"/>
      <w:szCs w:val="24"/>
    </w:rPr>
  </w:style>
  <w:style w:type="character" w:customStyle="1" w:styleId="54">
    <w:name w:val="页脚 字符"/>
    <w:link w:val="26"/>
    <w:autoRedefine/>
    <w:qFormat/>
    <w:uiPriority w:val="99"/>
    <w:rPr>
      <w:sz w:val="18"/>
    </w:rPr>
  </w:style>
  <w:style w:type="character" w:customStyle="1" w:styleId="55">
    <w:name w:val="para1"/>
    <w:autoRedefine/>
    <w:qFormat/>
    <w:uiPriority w:val="0"/>
    <w:rPr>
      <w:rFonts w:hint="default" w:ascii="Arial" w:hAnsi="Arial" w:cs="Arial"/>
      <w:sz w:val="18"/>
      <w:szCs w:val="18"/>
    </w:rPr>
  </w:style>
  <w:style w:type="character" w:customStyle="1" w:styleId="56">
    <w:name w:val="grame"/>
    <w:basedOn w:val="44"/>
    <w:autoRedefine/>
    <w:qFormat/>
    <w:uiPriority w:val="0"/>
  </w:style>
  <w:style w:type="character" w:customStyle="1" w:styleId="57">
    <w:name w:val="HTML 预设格式 字符"/>
    <w:basedOn w:val="44"/>
    <w:link w:val="37"/>
    <w:autoRedefine/>
    <w:qFormat/>
    <w:uiPriority w:val="0"/>
    <w:rPr>
      <w:rFonts w:ascii="Arial" w:hAnsi="Arial" w:eastAsia="Arial Unicode MS" w:cs="Arial"/>
    </w:rPr>
  </w:style>
  <w:style w:type="character" w:customStyle="1" w:styleId="58">
    <w:name w:val="apple-converted-space"/>
    <w:basedOn w:val="44"/>
    <w:autoRedefine/>
    <w:qFormat/>
    <w:uiPriority w:val="0"/>
  </w:style>
  <w:style w:type="character" w:customStyle="1" w:styleId="59">
    <w:name w:val="正文文本缩进 字符"/>
    <w:basedOn w:val="44"/>
    <w:link w:val="18"/>
    <w:autoRedefine/>
    <w:qFormat/>
    <w:uiPriority w:val="0"/>
    <w:rPr>
      <w:rFonts w:ascii="仿宋_GB2312" w:eastAsia="仿宋_GB2312"/>
      <w:kern w:val="2"/>
      <w:sz w:val="28"/>
      <w:szCs w:val="24"/>
    </w:rPr>
  </w:style>
  <w:style w:type="paragraph" w:customStyle="1" w:styleId="60">
    <w:name w:val="xl58"/>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61">
    <w:name w:val="xl6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62">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63">
    <w:name w:val="Char"/>
    <w:basedOn w:val="1"/>
    <w:autoRedefine/>
    <w:qFormat/>
    <w:uiPriority w:val="0"/>
  </w:style>
  <w:style w:type="paragraph" w:customStyle="1" w:styleId="64">
    <w:name w:val="xl41"/>
    <w:basedOn w:val="1"/>
    <w:autoRedefine/>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65">
    <w:name w:val="font8"/>
    <w:basedOn w:val="1"/>
    <w:autoRedefine/>
    <w:qFormat/>
    <w:uiPriority w:val="0"/>
    <w:pPr>
      <w:widowControl/>
      <w:spacing w:before="100" w:beforeAutospacing="1" w:after="100" w:afterAutospacing="1"/>
      <w:jc w:val="left"/>
    </w:pPr>
    <w:rPr>
      <w:kern w:val="0"/>
      <w:sz w:val="20"/>
      <w:szCs w:val="20"/>
    </w:rPr>
  </w:style>
  <w:style w:type="paragraph" w:customStyle="1" w:styleId="66">
    <w:name w:val="xl65"/>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67">
    <w:name w:val="xl5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68">
    <w:name w:val="xl44"/>
    <w:basedOn w:val="1"/>
    <w:autoRedefine/>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69">
    <w:name w:val="font9"/>
    <w:basedOn w:val="1"/>
    <w:autoRedefine/>
    <w:qFormat/>
    <w:uiPriority w:val="0"/>
    <w:pPr>
      <w:widowControl/>
      <w:spacing w:before="100" w:beforeAutospacing="1" w:after="100" w:afterAutospacing="1"/>
      <w:jc w:val="left"/>
    </w:pPr>
    <w:rPr>
      <w:rFonts w:ascii="宋体"/>
      <w:b/>
      <w:bCs/>
      <w:color w:val="000000"/>
      <w:kern w:val="0"/>
      <w:sz w:val="18"/>
      <w:szCs w:val="18"/>
    </w:rPr>
  </w:style>
  <w:style w:type="paragraph" w:customStyle="1" w:styleId="70">
    <w:name w:val="xl29"/>
    <w:basedOn w:val="1"/>
    <w:autoRedefine/>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71">
    <w:name w:val="xl6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72">
    <w:name w:val="xl26"/>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3">
    <w:name w:val="xl40"/>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74">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75">
    <w:name w:val="xl51"/>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76">
    <w:name w:val="xl33"/>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7">
    <w:name w:val="Title_u"/>
    <w:basedOn w:val="1"/>
    <w:autoRedefine/>
    <w:qFormat/>
    <w:uiPriority w:val="0"/>
    <w:pPr>
      <w:widowControl/>
      <w:overflowPunct w:val="0"/>
      <w:autoSpaceDE w:val="0"/>
      <w:autoSpaceDN w:val="0"/>
      <w:adjustRightInd w:val="0"/>
      <w:spacing w:before="120" w:line="360" w:lineRule="auto"/>
      <w:jc w:val="center"/>
      <w:textAlignment w:val="baseline"/>
    </w:pPr>
    <w:rPr>
      <w:rFonts w:ascii="黑体" w:eastAsia="黑体"/>
      <w:b/>
      <w:kern w:val="0"/>
      <w:sz w:val="28"/>
      <w:szCs w:val="20"/>
    </w:rPr>
  </w:style>
  <w:style w:type="paragraph" w:customStyle="1" w:styleId="78">
    <w:name w:val="xl47"/>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79">
    <w:name w:val="xl3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0">
    <w:name w:val="xl34"/>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1">
    <w:name w:val="xl38"/>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82">
    <w:name w:val="xl52"/>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83">
    <w:name w:val="Char Char Char1 Char Char Char Char"/>
    <w:basedOn w:val="1"/>
    <w:autoRedefine/>
    <w:qFormat/>
    <w:uiPriority w:val="0"/>
  </w:style>
  <w:style w:type="paragraph" w:customStyle="1" w:styleId="84">
    <w:name w:val="xl61"/>
    <w:basedOn w:val="1"/>
    <w:autoRedefine/>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85">
    <w:name w:val="xl37"/>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6">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87">
    <w:name w:val="样式1"/>
    <w:basedOn w:val="1"/>
    <w:autoRedefine/>
    <w:qFormat/>
    <w:uiPriority w:val="0"/>
    <w:pPr>
      <w:spacing w:before="120"/>
    </w:pPr>
    <w:rPr>
      <w:rFonts w:eastAsia="仿宋_GB2312"/>
      <w:sz w:val="24"/>
      <w:szCs w:val="20"/>
    </w:rPr>
  </w:style>
  <w:style w:type="paragraph" w:customStyle="1" w:styleId="88">
    <w:name w:val="Bullet_Title"/>
    <w:basedOn w:val="1"/>
    <w:autoRedefine/>
    <w:qFormat/>
    <w:uiPriority w:val="0"/>
    <w:pPr>
      <w:tabs>
        <w:tab w:val="left" w:pos="814"/>
      </w:tabs>
      <w:spacing w:after="78" w:line="300" w:lineRule="auto"/>
      <w:ind w:left="794" w:hanging="340"/>
    </w:pPr>
    <w:rPr>
      <w:rFonts w:ascii="Arial Narrow" w:hAnsi="Arial Narrow"/>
      <w:sz w:val="24"/>
      <w:szCs w:val="20"/>
    </w:rPr>
  </w:style>
  <w:style w:type="paragraph" w:customStyle="1" w:styleId="89">
    <w:name w:val="xl2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90">
    <w:name w:val="xl27"/>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91">
    <w:name w:val="xl42"/>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2">
    <w:name w:val="Char Char Char Char"/>
    <w:basedOn w:val="1"/>
    <w:autoRedefine/>
    <w:qFormat/>
    <w:uiPriority w:val="0"/>
    <w:rPr>
      <w:rFonts w:ascii="Tahoma" w:hAnsi="Tahoma"/>
      <w:sz w:val="24"/>
      <w:szCs w:val="20"/>
    </w:rPr>
  </w:style>
  <w:style w:type="paragraph" w:customStyle="1" w:styleId="93">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94">
    <w:name w:val="xl35"/>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5">
    <w:name w:val="xl43"/>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96">
    <w:name w:val="xl49"/>
    <w:basedOn w:val="1"/>
    <w:autoRedefine/>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97">
    <w:name w:val="font7"/>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98">
    <w:name w:val="xl24"/>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9">
    <w:name w:val="xl4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00">
    <w:name w:val="xl23"/>
    <w:next w:val="89"/>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01">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02">
    <w:name w:val="xl31"/>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03">
    <w:name w:val="xl39"/>
    <w:basedOn w:val="1"/>
    <w:autoRedefine/>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04">
    <w:name w:val="Char Char Char Char Char Char Char Char Char Char"/>
    <w:basedOn w:val="1"/>
    <w:autoRedefine/>
    <w:qFormat/>
    <w:uiPriority w:val="0"/>
    <w:rPr>
      <w:rFonts w:ascii="Tahoma" w:hAnsi="Tahoma"/>
      <w:sz w:val="24"/>
      <w:szCs w:val="20"/>
    </w:rPr>
  </w:style>
  <w:style w:type="paragraph" w:customStyle="1" w:styleId="105">
    <w:name w:val="font5"/>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06">
    <w:name w:val="xl45"/>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07">
    <w:name w:val="xl32"/>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08">
    <w:name w:val="xl6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09">
    <w:name w:val="xl25"/>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0">
    <w:name w:val="xl30"/>
    <w:basedOn w:val="1"/>
    <w:autoRedefine/>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11">
    <w:name w:val="font6"/>
    <w:basedOn w:val="1"/>
    <w:autoRedefine/>
    <w:qFormat/>
    <w:uiPriority w:val="0"/>
    <w:pPr>
      <w:widowControl/>
      <w:spacing w:before="100" w:beforeAutospacing="1" w:after="100" w:afterAutospacing="1"/>
      <w:jc w:val="left"/>
    </w:pPr>
    <w:rPr>
      <w:rFonts w:ascii="宋体"/>
      <w:color w:val="0000FF"/>
      <w:kern w:val="0"/>
      <w:sz w:val="24"/>
      <w:u w:val="single"/>
    </w:rPr>
  </w:style>
  <w:style w:type="paragraph" w:customStyle="1" w:styleId="112">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13">
    <w:name w:val="xl59"/>
    <w:basedOn w:val="1"/>
    <w:autoRedefine/>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14">
    <w:name w:val="Char13"/>
    <w:basedOn w:val="1"/>
    <w:autoRedefine/>
    <w:qFormat/>
    <w:uiPriority w:val="0"/>
  </w:style>
  <w:style w:type="paragraph" w:customStyle="1" w:styleId="115">
    <w:name w:val="xl48"/>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6">
    <w:name w:val="列出段落1"/>
    <w:basedOn w:val="1"/>
    <w:autoRedefine/>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117">
    <w:name w:val="lemmawgt-lemmatitle-title1"/>
    <w:basedOn w:val="44"/>
    <w:autoRedefine/>
    <w:qFormat/>
    <w:uiPriority w:val="0"/>
  </w:style>
  <w:style w:type="character" w:customStyle="1" w:styleId="118">
    <w:name w:val="标题 4 字符"/>
    <w:basedOn w:val="44"/>
    <w:link w:val="9"/>
    <w:autoRedefine/>
    <w:qFormat/>
    <w:uiPriority w:val="0"/>
    <w:rPr>
      <w:rFonts w:ascii="Cambria" w:hAnsi="Cambria"/>
      <w:b/>
      <w:bCs/>
      <w:snapToGrid w:val="0"/>
      <w:kern w:val="21"/>
      <w:sz w:val="28"/>
      <w:szCs w:val="28"/>
    </w:rPr>
  </w:style>
  <w:style w:type="character" w:customStyle="1" w:styleId="119">
    <w:name w:val="正文缩进 字符"/>
    <w:link w:val="12"/>
    <w:autoRedefine/>
    <w:qFormat/>
    <w:uiPriority w:val="0"/>
    <w:rPr>
      <w:rFonts w:ascii="宋体"/>
      <w:kern w:val="2"/>
      <w:sz w:val="21"/>
    </w:rPr>
  </w:style>
  <w:style w:type="character" w:customStyle="1" w:styleId="120">
    <w:name w:val="招标2 Char Char"/>
    <w:basedOn w:val="121"/>
    <w:link w:val="123"/>
    <w:autoRedefine/>
    <w:qFormat/>
    <w:uiPriority w:val="0"/>
    <w:rPr>
      <w:rFonts w:hAnsi="宋体"/>
      <w:sz w:val="24"/>
      <w:szCs w:val="24"/>
    </w:rPr>
  </w:style>
  <w:style w:type="character" w:customStyle="1" w:styleId="121">
    <w:name w:val="招标 Char Char"/>
    <w:link w:val="122"/>
    <w:autoRedefine/>
    <w:qFormat/>
    <w:uiPriority w:val="0"/>
    <w:rPr>
      <w:rFonts w:hAnsi="宋体"/>
      <w:sz w:val="24"/>
      <w:szCs w:val="24"/>
    </w:rPr>
  </w:style>
  <w:style w:type="paragraph" w:customStyle="1" w:styleId="122">
    <w:name w:val="招标"/>
    <w:basedOn w:val="21"/>
    <w:link w:val="121"/>
    <w:autoRedefine/>
    <w:qFormat/>
    <w:uiPriority w:val="0"/>
    <w:pPr>
      <w:autoSpaceDE/>
      <w:autoSpaceDN/>
      <w:adjustRightInd/>
      <w:spacing w:line="276" w:lineRule="auto"/>
      <w:jc w:val="both"/>
    </w:pPr>
    <w:rPr>
      <w:rFonts w:ascii="Times New Roman" w:hAnsi="宋体"/>
      <w:sz w:val="24"/>
    </w:rPr>
  </w:style>
  <w:style w:type="paragraph" w:customStyle="1" w:styleId="123">
    <w:name w:val="招标2"/>
    <w:basedOn w:val="122"/>
    <w:link w:val="120"/>
    <w:autoRedefine/>
    <w:qFormat/>
    <w:uiPriority w:val="0"/>
    <w:pPr>
      <w:spacing w:line="300" w:lineRule="auto"/>
      <w:ind w:left="851"/>
    </w:pPr>
  </w:style>
  <w:style w:type="character" w:customStyle="1" w:styleId="124">
    <w:name w:val="标题 1 字符"/>
    <w:link w:val="6"/>
    <w:autoRedefine/>
    <w:qFormat/>
    <w:locked/>
    <w:uiPriority w:val="0"/>
    <w:rPr>
      <w:rFonts w:ascii="仿宋_GB2312" w:eastAsia="仿宋_GB2312"/>
      <w:b/>
      <w:bCs/>
      <w:color w:val="000000"/>
      <w:sz w:val="28"/>
    </w:rPr>
  </w:style>
  <w:style w:type="character" w:customStyle="1" w:styleId="125">
    <w:name w:val="页眉 字符"/>
    <w:link w:val="27"/>
    <w:autoRedefine/>
    <w:qFormat/>
    <w:locked/>
    <w:uiPriority w:val="0"/>
    <w:rPr>
      <w:sz w:val="18"/>
    </w:rPr>
  </w:style>
  <w:style w:type="character" w:customStyle="1" w:styleId="126">
    <w:name w:val="正文文本 2 字符"/>
    <w:link w:val="36"/>
    <w:autoRedefine/>
    <w:qFormat/>
    <w:uiPriority w:val="0"/>
    <w:rPr>
      <w:rFonts w:ascii="宋体"/>
      <w:kern w:val="2"/>
      <w:sz w:val="13"/>
    </w:rPr>
  </w:style>
  <w:style w:type="character" w:customStyle="1" w:styleId="127">
    <w:name w:val="批注文字 Char"/>
    <w:autoRedefine/>
    <w:qFormat/>
    <w:uiPriority w:val="0"/>
    <w:rPr>
      <w:kern w:val="2"/>
      <w:sz w:val="21"/>
    </w:rPr>
  </w:style>
  <w:style w:type="character" w:customStyle="1" w:styleId="128">
    <w:name w:val="标题 3 字符"/>
    <w:link w:val="8"/>
    <w:autoRedefine/>
    <w:qFormat/>
    <w:uiPriority w:val="9"/>
    <w:rPr>
      <w:rFonts w:ascii="宋体"/>
      <w:b/>
      <w:bCs/>
      <w:kern w:val="2"/>
      <w:sz w:val="24"/>
      <w:szCs w:val="32"/>
    </w:rPr>
  </w:style>
  <w:style w:type="character" w:customStyle="1" w:styleId="129">
    <w:name w:val="招标5 Char Char"/>
    <w:link w:val="130"/>
    <w:autoRedefine/>
    <w:qFormat/>
    <w:uiPriority w:val="0"/>
    <w:rPr>
      <w:kern w:val="2"/>
      <w:sz w:val="18"/>
      <w:szCs w:val="18"/>
    </w:rPr>
  </w:style>
  <w:style w:type="paragraph" w:customStyle="1" w:styleId="130">
    <w:name w:val="招标5"/>
    <w:basedOn w:val="1"/>
    <w:link w:val="129"/>
    <w:autoRedefine/>
    <w:qFormat/>
    <w:uiPriority w:val="0"/>
    <w:pPr>
      <w:spacing w:line="300" w:lineRule="auto"/>
    </w:pPr>
    <w:rPr>
      <w:sz w:val="18"/>
      <w:szCs w:val="18"/>
    </w:rPr>
  </w:style>
  <w:style w:type="character" w:customStyle="1" w:styleId="131">
    <w:name w:val="apple-style-span"/>
    <w:basedOn w:val="44"/>
    <w:autoRedefine/>
    <w:qFormat/>
    <w:uiPriority w:val="0"/>
  </w:style>
  <w:style w:type="character" w:customStyle="1" w:styleId="132">
    <w:name w:val="表格正文 Char"/>
    <w:link w:val="133"/>
    <w:autoRedefine/>
    <w:qFormat/>
    <w:uiPriority w:val="0"/>
    <w:rPr>
      <w:rFonts w:ascii="宋体" w:hAnsi="宋体"/>
      <w:kern w:val="2"/>
      <w:sz w:val="21"/>
      <w:szCs w:val="21"/>
      <w:lang w:val="zh-CN"/>
    </w:rPr>
  </w:style>
  <w:style w:type="paragraph" w:customStyle="1" w:styleId="133">
    <w:name w:val="表格正文"/>
    <w:basedOn w:val="12"/>
    <w:link w:val="132"/>
    <w:autoRedefine/>
    <w:qFormat/>
    <w:uiPriority w:val="0"/>
    <w:pPr>
      <w:tabs>
        <w:tab w:val="clear" w:pos="750"/>
      </w:tabs>
      <w:adjustRightInd w:val="0"/>
      <w:snapToGrid w:val="0"/>
      <w:spacing w:before="156" w:afterLines="50" w:line="240" w:lineRule="auto"/>
      <w:ind w:firstLine="0" w:firstLineChars="0"/>
    </w:pPr>
    <w:rPr>
      <w:rFonts w:hAnsi="宋体"/>
      <w:szCs w:val="21"/>
      <w:lang w:val="zh-CN"/>
    </w:rPr>
  </w:style>
  <w:style w:type="character" w:customStyle="1" w:styleId="134">
    <w:name w:val="正文文本 3 字符"/>
    <w:basedOn w:val="44"/>
    <w:link w:val="16"/>
    <w:autoRedefine/>
    <w:qFormat/>
    <w:uiPriority w:val="0"/>
    <w:rPr>
      <w:kern w:val="2"/>
      <w:sz w:val="16"/>
      <w:szCs w:val="16"/>
    </w:rPr>
  </w:style>
  <w:style w:type="character" w:customStyle="1" w:styleId="135">
    <w:name w:val="批注文字 字符"/>
    <w:basedOn w:val="44"/>
    <w:link w:val="15"/>
    <w:autoRedefine/>
    <w:qFormat/>
    <w:uiPriority w:val="0"/>
    <w:rPr>
      <w:kern w:val="2"/>
      <w:sz w:val="21"/>
      <w:szCs w:val="24"/>
    </w:rPr>
  </w:style>
  <w:style w:type="character" w:customStyle="1" w:styleId="136">
    <w:name w:val="批注主题 字符"/>
    <w:basedOn w:val="135"/>
    <w:link w:val="39"/>
    <w:autoRedefine/>
    <w:qFormat/>
    <w:uiPriority w:val="0"/>
    <w:rPr>
      <w:rFonts w:ascii="宋体"/>
      <w:b/>
      <w:bCs/>
      <w:snapToGrid w:val="0"/>
      <w:kern w:val="21"/>
      <w:sz w:val="21"/>
      <w:szCs w:val="24"/>
    </w:rPr>
  </w:style>
  <w:style w:type="paragraph" w:customStyle="1" w:styleId="137">
    <w:name w:val="抬头"/>
    <w:basedOn w:val="1"/>
    <w:autoRedefine/>
    <w:qFormat/>
    <w:uiPriority w:val="0"/>
    <w:pPr>
      <w:spacing w:beforeLines="50" w:line="360" w:lineRule="auto"/>
    </w:pPr>
    <w:rPr>
      <w:rFonts w:ascii="宋体"/>
      <w:sz w:val="24"/>
    </w:rPr>
  </w:style>
  <w:style w:type="paragraph" w:customStyle="1" w:styleId="138">
    <w:name w:val="Char Char1"/>
    <w:basedOn w:val="1"/>
    <w:autoRedefine/>
    <w:qFormat/>
    <w:uiPriority w:val="0"/>
    <w:pPr>
      <w:widowControl/>
      <w:spacing w:after="160" w:line="240" w:lineRule="exact"/>
      <w:jc w:val="left"/>
    </w:pPr>
    <w:rPr>
      <w:rFonts w:ascii="Verdana" w:hAnsi="Verdana" w:eastAsia="仿宋_GB2312"/>
      <w:kern w:val="0"/>
      <w:sz w:val="20"/>
      <w:szCs w:val="20"/>
      <w:lang w:eastAsia="en-US"/>
    </w:rPr>
  </w:style>
  <w:style w:type="paragraph" w:customStyle="1" w:styleId="139">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0">
    <w:name w:val="ÕýÎÄ"/>
    <w:autoRedefine/>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41">
    <w:name w:val="Char Char2 Char Char"/>
    <w:basedOn w:val="1"/>
    <w:autoRedefine/>
    <w:qFormat/>
    <w:uiPriority w:val="0"/>
    <w:rPr>
      <w:szCs w:val="20"/>
    </w:rPr>
  </w:style>
  <w:style w:type="paragraph" w:customStyle="1" w:styleId="142">
    <w:name w:val="正文五号"/>
    <w:basedOn w:val="1"/>
    <w:autoRedefine/>
    <w:qFormat/>
    <w:uiPriority w:val="0"/>
    <w:rPr>
      <w:rFonts w:hint="eastAsia" w:ascii="宋体" w:eastAsia="仿宋_GB2312"/>
      <w:szCs w:val="20"/>
    </w:rPr>
  </w:style>
  <w:style w:type="paragraph" w:customStyle="1" w:styleId="143">
    <w:name w:val="Char Char Char Char1"/>
    <w:basedOn w:val="1"/>
    <w:autoRedefine/>
    <w:qFormat/>
    <w:uiPriority w:val="0"/>
  </w:style>
  <w:style w:type="paragraph" w:customStyle="1" w:styleId="144">
    <w:name w:val="Char1"/>
    <w:basedOn w:val="1"/>
    <w:autoRedefine/>
    <w:semiHidden/>
    <w:qFormat/>
    <w:uiPriority w:val="0"/>
    <w:pPr>
      <w:widowControl/>
      <w:spacing w:line="400" w:lineRule="exact"/>
      <w:jc w:val="center"/>
    </w:pPr>
    <w:rPr>
      <w:rFonts w:ascii="Verdana" w:hAnsi="Verdana"/>
      <w:kern w:val="0"/>
      <w:szCs w:val="20"/>
      <w:lang w:eastAsia="en-US"/>
    </w:rPr>
  </w:style>
  <w:style w:type="paragraph" w:customStyle="1" w:styleId="145">
    <w:name w:val="Char Char2 Char Char1"/>
    <w:basedOn w:val="1"/>
    <w:autoRedefine/>
    <w:qFormat/>
    <w:uiPriority w:val="0"/>
    <w:rPr>
      <w:szCs w:val="20"/>
    </w:rPr>
  </w:style>
  <w:style w:type="paragraph" w:customStyle="1" w:styleId="146">
    <w:name w:val="p13"/>
    <w:basedOn w:val="1"/>
    <w:autoRedefine/>
    <w:qFormat/>
    <w:uiPriority w:val="0"/>
    <w:pPr>
      <w:tabs>
        <w:tab w:val="left" w:pos="860"/>
      </w:tabs>
      <w:spacing w:line="400" w:lineRule="atLeast"/>
      <w:ind w:left="576" w:hanging="144"/>
      <w:jc w:val="left"/>
    </w:pPr>
    <w:rPr>
      <w:snapToGrid w:val="0"/>
      <w:kern w:val="0"/>
      <w:sz w:val="24"/>
      <w:szCs w:val="20"/>
      <w:lang w:val="en-GB" w:eastAsia="en-US"/>
    </w:rPr>
  </w:style>
  <w:style w:type="paragraph" w:customStyle="1" w:styleId="147">
    <w:name w:val="p39"/>
    <w:basedOn w:val="1"/>
    <w:autoRedefine/>
    <w:qFormat/>
    <w:uiPriority w:val="0"/>
    <w:pPr>
      <w:tabs>
        <w:tab w:val="left" w:pos="1100"/>
      </w:tabs>
      <w:spacing w:line="240" w:lineRule="atLeast"/>
      <w:ind w:left="288" w:hanging="1152"/>
    </w:pPr>
    <w:rPr>
      <w:snapToGrid w:val="0"/>
      <w:kern w:val="0"/>
      <w:sz w:val="24"/>
      <w:szCs w:val="20"/>
      <w:lang w:val="en-GB" w:eastAsia="en-US"/>
    </w:rPr>
  </w:style>
  <w:style w:type="paragraph" w:customStyle="1" w:styleId="148">
    <w:name w:val="目录"/>
    <w:basedOn w:val="1"/>
    <w:autoRedefine/>
    <w:qFormat/>
    <w:uiPriority w:val="0"/>
    <w:pPr>
      <w:widowControl/>
      <w:jc w:val="center"/>
    </w:pPr>
    <w:rPr>
      <w:rFonts w:ascii="宋体"/>
      <w:b/>
      <w:kern w:val="0"/>
      <w:sz w:val="36"/>
      <w:szCs w:val="20"/>
    </w:rPr>
  </w:style>
  <w:style w:type="paragraph" w:customStyle="1" w:styleId="149">
    <w:name w:val="列出段落2"/>
    <w:basedOn w:val="1"/>
    <w:link w:val="160"/>
    <w:autoRedefine/>
    <w:qFormat/>
    <w:uiPriority w:val="0"/>
    <w:pPr>
      <w:ind w:firstLine="420" w:firstLineChars="200"/>
    </w:pPr>
  </w:style>
  <w:style w:type="paragraph" w:customStyle="1" w:styleId="150">
    <w:name w:val="默认段落字体 Para Char"/>
    <w:basedOn w:val="1"/>
    <w:autoRedefine/>
    <w:qFormat/>
    <w:uiPriority w:val="0"/>
    <w:rPr>
      <w:szCs w:val="20"/>
    </w:rPr>
  </w:style>
  <w:style w:type="paragraph" w:customStyle="1" w:styleId="151">
    <w:name w:val="彩色列表 - 强调文字颜色 11"/>
    <w:basedOn w:val="1"/>
    <w:autoRedefine/>
    <w:qFormat/>
    <w:uiPriority w:val="0"/>
    <w:pPr>
      <w:ind w:firstLine="420" w:firstLineChars="200"/>
    </w:pPr>
    <w:rPr>
      <w:rFonts w:ascii="Calibri" w:hAnsi="Calibri"/>
      <w:szCs w:val="22"/>
    </w:rPr>
  </w:style>
  <w:style w:type="paragraph" w:customStyle="1" w:styleId="152">
    <w:name w:val="p3"/>
    <w:basedOn w:val="1"/>
    <w:autoRedefine/>
    <w:qFormat/>
    <w:uiPriority w:val="0"/>
    <w:pPr>
      <w:tabs>
        <w:tab w:val="left" w:pos="360"/>
      </w:tabs>
      <w:spacing w:line="400" w:lineRule="atLeast"/>
      <w:ind w:left="1080"/>
      <w:jc w:val="left"/>
    </w:pPr>
    <w:rPr>
      <w:snapToGrid w:val="0"/>
      <w:kern w:val="0"/>
      <w:sz w:val="24"/>
      <w:szCs w:val="20"/>
      <w:lang w:val="en-GB" w:eastAsia="en-US"/>
    </w:rPr>
  </w:style>
  <w:style w:type="paragraph" w:customStyle="1" w:styleId="153">
    <w:name w:val="默认段落字体 Para Char Char Char Char"/>
    <w:basedOn w:val="1"/>
    <w:autoRedefine/>
    <w:qFormat/>
    <w:uiPriority w:val="0"/>
  </w:style>
  <w:style w:type="paragraph" w:customStyle="1" w:styleId="154">
    <w:name w:val="表格"/>
    <w:basedOn w:val="1"/>
    <w:autoRedefine/>
    <w:qFormat/>
    <w:uiPriority w:val="0"/>
    <w:pPr>
      <w:tabs>
        <w:tab w:val="left" w:pos="1200"/>
      </w:tabs>
      <w:spacing w:line="500" w:lineRule="exact"/>
      <w:jc w:val="center"/>
    </w:pPr>
    <w:rPr>
      <w:rFonts w:ascii="宋体"/>
      <w:sz w:val="24"/>
      <w:szCs w:val="18"/>
    </w:rPr>
  </w:style>
  <w:style w:type="paragraph" w:customStyle="1" w:styleId="155">
    <w:name w:val="Char Char Char Char Char Char1 Char"/>
    <w:basedOn w:val="1"/>
    <w:autoRedefine/>
    <w:qFormat/>
    <w:uiPriority w:val="0"/>
    <w:pPr>
      <w:widowControl/>
      <w:spacing w:after="160" w:line="240" w:lineRule="exact"/>
      <w:jc w:val="left"/>
    </w:pPr>
    <w:rPr>
      <w:rFonts w:ascii="Verdana" w:hAnsi="Verdana"/>
      <w:kern w:val="0"/>
      <w:szCs w:val="20"/>
      <w:lang w:eastAsia="en-US"/>
    </w:rPr>
  </w:style>
  <w:style w:type="paragraph" w:customStyle="1" w:styleId="156">
    <w:name w:val="列出段落21"/>
    <w:basedOn w:val="1"/>
    <w:autoRedefine/>
    <w:qFormat/>
    <w:uiPriority w:val="0"/>
    <w:pPr>
      <w:ind w:firstLine="420" w:firstLineChars="200"/>
    </w:pPr>
    <w:rPr>
      <w:rFonts w:ascii="Calibri" w:hAnsi="Calibri"/>
      <w:szCs w:val="22"/>
    </w:rPr>
  </w:style>
  <w:style w:type="paragraph" w:customStyle="1" w:styleId="157">
    <w:name w:val="小标题"/>
    <w:basedOn w:val="1"/>
    <w:autoRedefine/>
    <w:qFormat/>
    <w:uiPriority w:val="0"/>
    <w:pPr>
      <w:tabs>
        <w:tab w:val="left" w:pos="420"/>
      </w:tabs>
      <w:spacing w:beforeLines="25"/>
    </w:pPr>
    <w:rPr>
      <w:rFonts w:ascii="Arial" w:hAnsi="Arial" w:eastAsia="黑体"/>
      <w:b/>
      <w:snapToGrid w:val="0"/>
      <w:sz w:val="24"/>
      <w:szCs w:val="20"/>
    </w:rPr>
  </w:style>
  <w:style w:type="paragraph" w:customStyle="1" w:styleId="158">
    <w:name w:val="项目排列"/>
    <w:basedOn w:val="1"/>
    <w:autoRedefine/>
    <w:qFormat/>
    <w:uiPriority w:val="0"/>
    <w:pPr>
      <w:tabs>
        <w:tab w:val="left" w:pos="900"/>
      </w:tabs>
      <w:spacing w:beforeLines="50" w:line="300" w:lineRule="auto"/>
    </w:pPr>
    <w:rPr>
      <w:snapToGrid w:val="0"/>
      <w:sz w:val="24"/>
    </w:rPr>
  </w:style>
  <w:style w:type="character" w:customStyle="1" w:styleId="159">
    <w:name w:val="正文文本缩进 2 字符"/>
    <w:link w:val="24"/>
    <w:autoRedefine/>
    <w:qFormat/>
    <w:uiPriority w:val="0"/>
    <w:rPr>
      <w:rFonts w:ascii="仿宋_GB2312" w:eastAsia="仿宋_GB2312"/>
      <w:kern w:val="2"/>
      <w:sz w:val="28"/>
      <w:szCs w:val="24"/>
    </w:rPr>
  </w:style>
  <w:style w:type="character" w:customStyle="1" w:styleId="160">
    <w:name w:val="列出段落 Char"/>
    <w:link w:val="149"/>
    <w:autoRedefine/>
    <w:qFormat/>
    <w:uiPriority w:val="0"/>
    <w:rPr>
      <w:kern w:val="2"/>
      <w:sz w:val="21"/>
      <w:szCs w:val="24"/>
    </w:rPr>
  </w:style>
  <w:style w:type="character" w:customStyle="1" w:styleId="161">
    <w:name w:val="font11"/>
    <w:basedOn w:val="44"/>
    <w:autoRedefine/>
    <w:qFormat/>
    <w:uiPriority w:val="0"/>
    <w:rPr>
      <w:rFonts w:hint="eastAsia" w:ascii="等线" w:hAnsi="等线" w:eastAsia="等线" w:cs="等线"/>
      <w:color w:val="000000"/>
      <w:sz w:val="21"/>
      <w:szCs w:val="21"/>
      <w:u w:val="none"/>
    </w:rPr>
  </w:style>
  <w:style w:type="character" w:customStyle="1" w:styleId="162">
    <w:name w:val="font21"/>
    <w:basedOn w:val="44"/>
    <w:autoRedefine/>
    <w:qFormat/>
    <w:uiPriority w:val="0"/>
    <w:rPr>
      <w:rFonts w:hint="eastAsia" w:ascii="宋体" w:hAnsi="宋体" w:eastAsia="宋体" w:cs="宋体"/>
      <w:color w:val="000000"/>
      <w:sz w:val="21"/>
      <w:szCs w:val="21"/>
      <w:u w:val="none"/>
    </w:rPr>
  </w:style>
  <w:style w:type="character" w:customStyle="1" w:styleId="163">
    <w:name w:val="font31"/>
    <w:basedOn w:val="44"/>
    <w:autoRedefine/>
    <w:qFormat/>
    <w:uiPriority w:val="0"/>
    <w:rPr>
      <w:rFonts w:hint="default" w:ascii="Times New Roman" w:hAnsi="Times New Roman" w:cs="Times New Roman"/>
      <w:color w:val="000000"/>
      <w:sz w:val="18"/>
      <w:szCs w:val="18"/>
      <w:u w:val="none"/>
    </w:rPr>
  </w:style>
  <w:style w:type="character" w:customStyle="1" w:styleId="164">
    <w:name w:val="font01"/>
    <w:basedOn w:val="44"/>
    <w:autoRedefine/>
    <w:qFormat/>
    <w:uiPriority w:val="0"/>
    <w:rPr>
      <w:rFonts w:hint="eastAsia" w:ascii="宋体" w:hAnsi="宋体" w:eastAsia="宋体" w:cs="宋体"/>
      <w:color w:val="000000"/>
      <w:sz w:val="20"/>
      <w:szCs w:val="20"/>
      <w:u w:val="none"/>
    </w:rPr>
  </w:style>
  <w:style w:type="paragraph" w:customStyle="1" w:styleId="165">
    <w:name w:val="列出段落3"/>
    <w:basedOn w:val="1"/>
    <w:autoRedefine/>
    <w:qFormat/>
    <w:uiPriority w:val="34"/>
    <w:pPr>
      <w:ind w:firstLine="420" w:firstLineChars="200"/>
    </w:pPr>
  </w:style>
  <w:style w:type="character" w:customStyle="1" w:styleId="166">
    <w:name w:val="font41"/>
    <w:basedOn w:val="44"/>
    <w:autoRedefine/>
    <w:qFormat/>
    <w:uiPriority w:val="0"/>
    <w:rPr>
      <w:rFonts w:hint="eastAsia" w:ascii="宋体" w:hAnsi="宋体" w:eastAsia="宋体" w:cs="宋体"/>
      <w:color w:val="FF0000"/>
      <w:sz w:val="20"/>
      <w:szCs w:val="20"/>
      <w:u w:val="none"/>
    </w:rPr>
  </w:style>
  <w:style w:type="table" w:customStyle="1" w:styleId="167">
    <w:name w:val="Table Normal"/>
    <w:autoRedefine/>
    <w:semiHidden/>
    <w:unhideWhenUsed/>
    <w:qFormat/>
    <w:uiPriority w:val="0"/>
    <w:tblPr>
      <w:tblCellMar>
        <w:top w:w="0" w:type="dxa"/>
        <w:left w:w="0" w:type="dxa"/>
        <w:bottom w:w="0" w:type="dxa"/>
        <w:right w:w="0" w:type="dxa"/>
      </w:tblCellMar>
    </w:tblPr>
  </w:style>
  <w:style w:type="paragraph" w:customStyle="1" w:styleId="168">
    <w:name w:val="文档结构图1"/>
    <w:basedOn w:val="1"/>
    <w:autoRedefine/>
    <w:qFormat/>
    <w:uiPriority w:val="0"/>
  </w:style>
  <w:style w:type="paragraph" w:customStyle="1" w:styleId="169">
    <w:name w:val="列出段落11"/>
    <w:basedOn w:val="1"/>
    <w:autoRedefine/>
    <w:qFormat/>
    <w:uiPriority w:val="99"/>
    <w:pPr>
      <w:ind w:firstLine="420" w:firstLineChars="200"/>
    </w:pPr>
  </w:style>
  <w:style w:type="paragraph" w:customStyle="1" w:styleId="170">
    <w:name w:val="Default"/>
    <w:autoRedefine/>
    <w:qFormat/>
    <w:uiPriority w:val="0"/>
    <w:pPr>
      <w:widowControl w:val="0"/>
      <w:autoSpaceDE w:val="0"/>
      <w:autoSpaceDN w:val="0"/>
      <w:adjustRightInd w:val="0"/>
      <w:spacing w:line="440" w:lineRule="exact"/>
    </w:pPr>
    <w:rPr>
      <w:rFonts w:ascii="Times New Roman" w:hAnsi="Times New Roman" w:eastAsia="宋体" w:cs="宋体"/>
      <w:color w:val="000000"/>
      <w:sz w:val="24"/>
      <w:szCs w:val="24"/>
      <w:lang w:val="en-US" w:eastAsia="zh-CN" w:bidi="ar-SA"/>
    </w:rPr>
  </w:style>
  <w:style w:type="paragraph" w:styleId="171">
    <w:name w:val="List Paragraph"/>
    <w:basedOn w:val="1"/>
    <w:autoRedefine/>
    <w:qFormat/>
    <w:uiPriority w:val="34"/>
    <w:pPr>
      <w:ind w:left="720"/>
      <w:contextualSpacing/>
      <w:jc w:val="left"/>
    </w:pPr>
    <w:rPr>
      <w:rFonts w:ascii="等线" w:hAnsi="等线" w:eastAsia="等线"/>
      <w:sz w:val="22"/>
    </w:rPr>
  </w:style>
  <w:style w:type="paragraph" w:customStyle="1" w:styleId="17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z</Company>
  <Pages>96</Pages>
  <Words>21591</Words>
  <Characters>23122</Characters>
  <Lines>326</Lines>
  <Paragraphs>91</Paragraphs>
  <TotalTime>25</TotalTime>
  <ScaleCrop>false</ScaleCrop>
  <LinksUpToDate>false</LinksUpToDate>
  <CharactersWithSpaces>24954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2025-07-04T04:23:00Z</dcterms:created>
  <dc:creator>z</dc:creator>
  <cp:lastModifiedBy>云南冠睿</cp:lastModifiedBy>
  <cp:lastPrinted>2017-10-12T05:20:00Z</cp:lastPrinted>
  <dcterms:modified xsi:type="dcterms:W3CDTF">2025-10-16T10:40:06Z</dcterms:modified>
  <dc:title>询价书</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4F90DF5BBD6840DAAF2D209EDB907D94_13</vt:lpwstr>
  </property>
  <property fmtid="{D5CDD505-2E9C-101B-9397-08002B2CF9AE}" pid="4" name="KSOTemplateDocerSaveRecord">
    <vt:lpwstr>eyJoZGlkIjoiYzFiMjFmMDQwMzUyYTUyZjhkMWNmMGZhZmMzN2Q4NmYiLCJ1c2VySWQiOiIzODk4NjE3NzIifQ==</vt:lpwstr>
  </property>
</Properties>
</file>