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8484CF">
      <w:pPr>
        <w:adjustRightInd w:val="0"/>
        <w:spacing w:after="0" w:line="360" w:lineRule="auto"/>
        <w:jc w:val="center"/>
        <w:textAlignment w:val="baseline"/>
        <w:outlineLvl w:val="0"/>
        <w:rPr>
          <w:rFonts w:hint="eastAsia" w:ascii="宋体" w:hAnsi="宋体" w:eastAsia="宋体" w:cs="宋体"/>
          <w:b/>
          <w:bCs/>
          <w:color w:val="auto"/>
          <w:kern w:val="0"/>
          <w:sz w:val="72"/>
          <w:szCs w:val="72"/>
        </w:rPr>
      </w:pPr>
      <w:r>
        <w:rPr>
          <w:color w:val="auto"/>
        </w:rPr>
        <w:br w:type="textWrapping"/>
      </w:r>
      <w:r>
        <w:rPr>
          <w:rFonts w:hint="eastAsia" w:ascii="宋体" w:hAnsi="宋体" w:cs="宋体"/>
          <w:b/>
          <w:bCs/>
          <w:color w:val="auto"/>
          <w:sz w:val="52"/>
          <w:szCs w:val="52"/>
          <w:lang w:eastAsia="zh-CN"/>
        </w:rPr>
        <w:t>南华县人民医院64排CT、血管造影X射线机维保服务采购项目</w:t>
      </w:r>
    </w:p>
    <w:p w14:paraId="35812D29">
      <w:pPr>
        <w:rPr>
          <w:rFonts w:hint="eastAsia"/>
          <w:color w:val="auto"/>
        </w:rPr>
      </w:pPr>
    </w:p>
    <w:p w14:paraId="14B6CAF0">
      <w:pPr>
        <w:pStyle w:val="17"/>
        <w:spacing w:line="360" w:lineRule="auto"/>
        <w:ind w:left="0" w:leftChars="0" w:firstLine="0" w:firstLineChars="0"/>
        <w:jc w:val="center"/>
        <w:rPr>
          <w:rFonts w:hint="eastAsia" w:ascii="宋体" w:hAnsi="宋体" w:eastAsia="宋体" w:cs="宋体"/>
          <w:b/>
          <w:bCs/>
          <w:color w:val="auto"/>
          <w:kern w:val="0"/>
          <w:sz w:val="72"/>
          <w:szCs w:val="72"/>
        </w:rPr>
      </w:pPr>
      <w:r>
        <w:rPr>
          <w:rFonts w:hint="eastAsia" w:ascii="仿宋" w:hAnsi="仿宋" w:eastAsia="仿宋" w:cs="仿宋"/>
          <w:b/>
          <w:bCs/>
          <w:color w:val="auto"/>
          <w:kern w:val="0"/>
          <w:sz w:val="96"/>
          <w:szCs w:val="96"/>
          <w:lang w:val="zh-CN"/>
        </w:rPr>
        <w:drawing>
          <wp:inline distT="0" distB="0" distL="114300" distR="114300">
            <wp:extent cx="1323975" cy="1397000"/>
            <wp:effectExtent l="0" t="0" r="1905" b="5080"/>
            <wp:docPr id="5" name="图片 2" descr="c7a198f5f1e8adcbc0600d71c91d2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c7a198f5f1e8adcbc0600d71c91d2ea"/>
                    <pic:cNvPicPr>
                      <a:picLocks noChangeAspect="1"/>
                    </pic:cNvPicPr>
                  </pic:nvPicPr>
                  <pic:blipFill>
                    <a:blip r:embed="rId8"/>
                    <a:stretch>
                      <a:fillRect/>
                    </a:stretch>
                  </pic:blipFill>
                  <pic:spPr>
                    <a:xfrm>
                      <a:off x="0" y="0"/>
                      <a:ext cx="1323975" cy="1397000"/>
                    </a:xfrm>
                    <a:prstGeom prst="rect">
                      <a:avLst/>
                    </a:prstGeom>
                    <a:noFill/>
                    <a:ln>
                      <a:noFill/>
                    </a:ln>
                  </pic:spPr>
                </pic:pic>
              </a:graphicData>
            </a:graphic>
          </wp:inline>
        </w:drawing>
      </w:r>
    </w:p>
    <w:p w14:paraId="443038F2">
      <w:pPr>
        <w:pStyle w:val="17"/>
        <w:spacing w:line="360" w:lineRule="auto"/>
        <w:ind w:left="0" w:leftChars="0" w:firstLine="0" w:firstLineChars="0"/>
        <w:jc w:val="center"/>
        <w:rPr>
          <w:rFonts w:hint="eastAsia" w:ascii="宋体" w:hAnsi="宋体" w:eastAsia="宋体" w:cs="宋体"/>
          <w:b/>
          <w:bCs/>
          <w:color w:val="auto"/>
          <w:kern w:val="0"/>
          <w:sz w:val="28"/>
          <w:szCs w:val="28"/>
          <w:lang w:val="en-US" w:eastAsia="zh-CN" w:bidi="ar-SA"/>
        </w:rPr>
      </w:pPr>
      <w:r>
        <w:rPr>
          <w:rFonts w:hint="eastAsia" w:ascii="宋体" w:hAnsi="宋体" w:eastAsia="宋体" w:cs="宋体"/>
          <w:b/>
          <w:bCs/>
          <w:color w:val="auto"/>
          <w:kern w:val="0"/>
          <w:sz w:val="72"/>
          <w:szCs w:val="72"/>
        </w:rPr>
        <w:t>招标文件</w:t>
      </w:r>
      <w:r>
        <w:rPr>
          <w:rFonts w:hint="eastAsia" w:ascii="宋体" w:hAnsi="宋体" w:eastAsia="宋体" w:cs="宋体"/>
          <w:b/>
          <w:bCs/>
          <w:color w:val="auto"/>
          <w:kern w:val="0"/>
          <w:sz w:val="72"/>
          <w:szCs w:val="72"/>
        </w:rPr>
        <w:br w:type="textWrapping"/>
      </w:r>
      <w:r>
        <w:rPr>
          <w:rFonts w:hint="eastAsia" w:ascii="宋体" w:hAnsi="宋体" w:cs="宋体"/>
          <w:b/>
          <w:bCs/>
          <w:color w:val="auto"/>
          <w:kern w:val="0"/>
          <w:sz w:val="72"/>
          <w:szCs w:val="72"/>
          <w:lang w:eastAsia="zh-CN"/>
        </w:rPr>
        <w:t>（</w:t>
      </w:r>
      <w:r>
        <w:rPr>
          <w:rFonts w:hint="eastAsia" w:ascii="宋体" w:hAnsi="宋体" w:cs="宋体"/>
          <w:b/>
          <w:bCs/>
          <w:i w:val="0"/>
          <w:iCs w:val="0"/>
          <w:color w:val="auto"/>
          <w:kern w:val="0"/>
          <w:sz w:val="72"/>
          <w:szCs w:val="72"/>
          <w:lang w:val="en-US" w:eastAsia="zh-CN"/>
        </w:rPr>
        <w:t>服务类</w:t>
      </w:r>
      <w:r>
        <w:rPr>
          <w:rFonts w:hint="eastAsia" w:ascii="宋体" w:hAnsi="宋体" w:cs="宋体"/>
          <w:b/>
          <w:bCs/>
          <w:color w:val="auto"/>
          <w:kern w:val="0"/>
          <w:sz w:val="72"/>
          <w:szCs w:val="72"/>
          <w:lang w:eastAsia="zh-CN"/>
        </w:rPr>
        <w:t>）</w:t>
      </w:r>
    </w:p>
    <w:p w14:paraId="738C619B">
      <w:pPr>
        <w:pStyle w:val="17"/>
        <w:spacing w:line="360" w:lineRule="auto"/>
        <w:ind w:left="0" w:leftChars="0" w:firstLine="2530" w:firstLineChars="900"/>
        <w:jc w:val="left"/>
        <w:rPr>
          <w:rFonts w:hint="eastAsia" w:ascii="宋体" w:hAnsi="宋体" w:eastAsia="宋体" w:cs="宋体"/>
          <w:b/>
          <w:bCs/>
          <w:color w:val="auto"/>
          <w:kern w:val="0"/>
          <w:sz w:val="28"/>
          <w:szCs w:val="28"/>
          <w:lang w:val="en-US" w:eastAsia="zh-CN" w:bidi="ar-SA"/>
        </w:rPr>
      </w:pPr>
    </w:p>
    <w:p w14:paraId="10117467">
      <w:pPr>
        <w:pStyle w:val="17"/>
        <w:spacing w:line="360" w:lineRule="auto"/>
        <w:ind w:firstLine="2530" w:firstLineChars="900"/>
        <w:jc w:val="left"/>
        <w:rPr>
          <w:rFonts w:hint="default" w:ascii="宋体" w:hAnsi="宋体" w:eastAsia="宋体" w:cs="宋体"/>
          <w:color w:val="auto"/>
          <w:u w:val="single"/>
          <w:lang w:val="en-US" w:eastAsia="zh-CN"/>
        </w:rPr>
      </w:pPr>
      <w:r>
        <w:rPr>
          <w:rFonts w:hint="eastAsia" w:ascii="宋体" w:hAnsi="宋体" w:eastAsia="宋体" w:cs="宋体"/>
          <w:b/>
          <w:bCs/>
          <w:color w:val="auto"/>
          <w:kern w:val="0"/>
          <w:sz w:val="28"/>
          <w:szCs w:val="28"/>
          <w:lang w:val="en-US" w:eastAsia="zh-CN" w:bidi="ar-SA"/>
        </w:rPr>
        <w:t>项目编号：</w:t>
      </w:r>
      <w:r>
        <w:rPr>
          <w:rFonts w:hint="eastAsia" w:ascii="宋体" w:hAnsi="宋体" w:cs="宋体"/>
          <w:b/>
          <w:bCs/>
          <w:color w:val="auto"/>
          <w:kern w:val="0"/>
          <w:sz w:val="28"/>
          <w:szCs w:val="28"/>
          <w:lang w:val="en-US" w:eastAsia="zh-CN" w:bidi="ar-SA"/>
        </w:rPr>
        <w:t>CXZC2025-G3-00660-TKZB-0007</w:t>
      </w:r>
    </w:p>
    <w:p w14:paraId="3274CB79">
      <w:pPr>
        <w:adjustRightInd w:val="0"/>
        <w:spacing w:after="0" w:line="360" w:lineRule="auto"/>
        <w:jc w:val="both"/>
        <w:textAlignment w:val="baseline"/>
        <w:rPr>
          <w:rFonts w:hint="eastAsia" w:ascii="宋体" w:hAnsi="宋体" w:eastAsia="宋体" w:cs="宋体"/>
          <w:b/>
          <w:bCs/>
          <w:color w:val="auto"/>
          <w:sz w:val="28"/>
          <w:szCs w:val="28"/>
          <w:lang w:val="en-US" w:eastAsia="zh-CN"/>
        </w:rPr>
      </w:pPr>
    </w:p>
    <w:p w14:paraId="08503EDC">
      <w:pPr>
        <w:adjustRightInd w:val="0"/>
        <w:spacing w:after="0" w:line="360" w:lineRule="auto"/>
        <w:ind w:firstLine="2530" w:firstLineChars="900"/>
        <w:jc w:val="both"/>
        <w:textAlignment w:val="baseline"/>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政府采购计划编号</w:t>
      </w:r>
      <w:r>
        <w:rPr>
          <w:rFonts w:hint="eastAsia" w:ascii="宋体" w:hAnsi="宋体" w:eastAsia="宋体" w:cs="宋体"/>
          <w:b/>
          <w:bCs/>
          <w:color w:val="auto"/>
          <w:sz w:val="28"/>
          <w:szCs w:val="28"/>
          <w:lang w:eastAsia="zh-CN"/>
        </w:rPr>
        <w:t>：</w:t>
      </w:r>
      <w:r>
        <w:rPr>
          <w:rFonts w:hint="eastAsia" w:ascii="宋体" w:hAnsi="宋体" w:cs="宋体"/>
          <w:b/>
          <w:bCs/>
          <w:color w:val="auto"/>
          <w:sz w:val="28"/>
          <w:szCs w:val="28"/>
          <w:u w:val="none"/>
          <w:lang w:val="en-US" w:eastAsia="zh-CN"/>
        </w:rPr>
        <w:t>4532324JH202500528</w:t>
      </w:r>
    </w:p>
    <w:p w14:paraId="0598BB85">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690" w:firstLineChars="526"/>
        <w:textAlignment w:val="baseline"/>
        <w:rPr>
          <w:rFonts w:hint="eastAsia" w:ascii="宋体" w:hAnsi="宋体" w:eastAsia="宋体" w:cs="宋体"/>
          <w:b/>
          <w:bCs/>
          <w:color w:val="auto"/>
          <w:sz w:val="32"/>
          <w:szCs w:val="32"/>
          <w:lang w:eastAsia="zh-CN"/>
        </w:rPr>
      </w:pPr>
    </w:p>
    <w:p w14:paraId="6C82C93F">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690" w:firstLineChars="526"/>
        <w:textAlignment w:val="baseline"/>
        <w:rPr>
          <w:rFonts w:hint="eastAsia" w:ascii="宋体" w:hAnsi="宋体" w:cs="宋体"/>
          <w:b/>
          <w:bCs/>
          <w:color w:val="auto"/>
          <w:sz w:val="32"/>
          <w:szCs w:val="32"/>
          <w:lang w:eastAsia="zh-CN"/>
        </w:rPr>
      </w:pPr>
      <w:r>
        <w:rPr>
          <w:rFonts w:hint="eastAsia" w:ascii="宋体" w:hAnsi="宋体" w:eastAsia="宋体" w:cs="宋体"/>
          <w:b/>
          <w:bCs/>
          <w:color w:val="auto"/>
          <w:sz w:val="32"/>
          <w:szCs w:val="32"/>
          <w:lang w:eastAsia="zh-CN"/>
        </w:rPr>
        <w:t>采购人</w:t>
      </w:r>
      <w:r>
        <w:rPr>
          <w:rFonts w:hint="eastAsia" w:ascii="宋体" w:hAnsi="宋体" w:eastAsia="宋体" w:cs="宋体"/>
          <w:b/>
          <w:bCs/>
          <w:color w:val="auto"/>
          <w:sz w:val="32"/>
          <w:szCs w:val="32"/>
        </w:rPr>
        <w:t>：</w:t>
      </w:r>
      <w:r>
        <w:rPr>
          <w:rFonts w:hint="eastAsia" w:ascii="宋体" w:hAnsi="宋体" w:cs="宋体"/>
          <w:b/>
          <w:bCs/>
          <w:color w:val="auto"/>
          <w:sz w:val="32"/>
          <w:szCs w:val="32"/>
          <w:lang w:eastAsia="zh-CN"/>
        </w:rPr>
        <w:t>南华县人民医院</w:t>
      </w:r>
    </w:p>
    <w:p w14:paraId="207EF233">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690" w:firstLineChars="526"/>
        <w:textAlignment w:val="baseline"/>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采购代理机构</w:t>
      </w:r>
      <w:r>
        <w:rPr>
          <w:rFonts w:hint="eastAsia" w:ascii="宋体" w:hAnsi="宋体" w:eastAsia="宋体" w:cs="宋体"/>
          <w:b/>
          <w:bCs/>
          <w:color w:val="auto"/>
          <w:sz w:val="32"/>
          <w:szCs w:val="32"/>
        </w:rPr>
        <w:t>：</w:t>
      </w:r>
      <w:r>
        <w:rPr>
          <w:rFonts w:hint="eastAsia" w:ascii="宋体" w:hAnsi="宋体" w:cs="宋体"/>
          <w:b/>
          <w:bCs/>
          <w:color w:val="auto"/>
          <w:sz w:val="32"/>
          <w:szCs w:val="32"/>
          <w:u w:val="none"/>
          <w:lang w:val="en-US" w:eastAsia="zh-CN"/>
        </w:rPr>
        <w:t xml:space="preserve">楚雄腾凯工程项目管理有限公司  </w:t>
      </w:r>
      <w:r>
        <w:rPr>
          <w:rFonts w:hint="eastAsia" w:ascii="宋体" w:hAnsi="宋体" w:eastAsia="宋体" w:cs="宋体"/>
          <w:b/>
          <w:bCs/>
          <w:color w:val="auto"/>
          <w:sz w:val="32"/>
          <w:szCs w:val="32"/>
          <w:u w:val="none"/>
          <w:lang w:eastAsia="zh-CN"/>
        </w:rPr>
        <w:t xml:space="preserve"> </w:t>
      </w:r>
    </w:p>
    <w:p w14:paraId="4171F1F3">
      <w:pPr>
        <w:keepNext w:val="0"/>
        <w:keepLines w:val="0"/>
        <w:pageBreakBefore w:val="0"/>
        <w:widowControl w:val="0"/>
        <w:kinsoku/>
        <w:wordWrap/>
        <w:overflowPunct/>
        <w:topLinePunct w:val="0"/>
        <w:autoSpaceDE/>
        <w:autoSpaceDN/>
        <w:bidi w:val="0"/>
        <w:adjustRightInd w:val="0"/>
        <w:snapToGrid/>
        <w:spacing w:after="167" w:afterLines="50" w:line="360" w:lineRule="auto"/>
        <w:jc w:val="center"/>
        <w:textAlignment w:val="baseline"/>
        <w:rPr>
          <w:rFonts w:hint="eastAsia" w:ascii="宋体" w:hAnsi="宋体" w:eastAsia="宋体" w:cs="宋体"/>
          <w:b/>
          <w:bCs/>
          <w:color w:val="auto"/>
          <w:sz w:val="32"/>
          <w:szCs w:val="32"/>
        </w:rPr>
      </w:pPr>
      <w:r>
        <w:rPr>
          <w:rFonts w:hint="eastAsia" w:ascii="宋体" w:hAnsi="宋体" w:eastAsia="宋体" w:cs="宋体"/>
          <w:b/>
          <w:bCs/>
          <w:color w:val="auto"/>
          <w:sz w:val="32"/>
          <w:szCs w:val="32"/>
        </w:rPr>
        <w:t>二〇二</w:t>
      </w:r>
      <w:r>
        <w:rPr>
          <w:rFonts w:hint="eastAsia" w:ascii="宋体" w:hAnsi="宋体" w:cs="宋体"/>
          <w:b/>
          <w:bCs/>
          <w:color w:val="auto"/>
          <w:sz w:val="32"/>
          <w:szCs w:val="32"/>
          <w:lang w:val="en-US" w:eastAsia="zh-CN"/>
        </w:rPr>
        <w:t>五</w:t>
      </w:r>
      <w:r>
        <w:rPr>
          <w:rFonts w:hint="eastAsia" w:ascii="宋体" w:hAnsi="宋体" w:eastAsia="宋体" w:cs="宋体"/>
          <w:b/>
          <w:bCs/>
          <w:color w:val="auto"/>
          <w:sz w:val="32"/>
          <w:szCs w:val="32"/>
        </w:rPr>
        <w:t>年</w:t>
      </w:r>
      <w:r>
        <w:rPr>
          <w:rFonts w:hint="eastAsia" w:ascii="宋体" w:hAnsi="宋体" w:cs="宋体"/>
          <w:b/>
          <w:bCs/>
          <w:color w:val="auto"/>
          <w:sz w:val="32"/>
          <w:szCs w:val="32"/>
          <w:lang w:val="en-US" w:eastAsia="zh-CN"/>
        </w:rPr>
        <w:t>十</w:t>
      </w:r>
      <w:r>
        <w:rPr>
          <w:rFonts w:hint="eastAsia" w:ascii="宋体" w:hAnsi="宋体" w:eastAsia="宋体" w:cs="宋体"/>
          <w:b/>
          <w:bCs/>
          <w:color w:val="auto"/>
          <w:sz w:val="32"/>
          <w:szCs w:val="32"/>
        </w:rPr>
        <w:t>月</w:t>
      </w:r>
    </w:p>
    <w:p w14:paraId="3F402F7E">
      <w:pPr>
        <w:keepNext w:val="0"/>
        <w:keepLines w:val="0"/>
        <w:pageBreakBefore w:val="0"/>
        <w:widowControl w:val="0"/>
        <w:tabs>
          <w:tab w:val="left" w:pos="561"/>
        </w:tabs>
        <w:kinsoku/>
        <w:wordWrap w:val="0"/>
        <w:overflowPunct/>
        <w:topLinePunct/>
        <w:autoSpaceDE/>
        <w:autoSpaceDN/>
        <w:bidi w:val="0"/>
        <w:adjustRightInd/>
        <w:snapToGrid/>
        <w:ind w:left="0" w:leftChars="0" w:right="0"/>
        <w:jc w:val="center"/>
        <w:rPr>
          <w:rFonts w:hint="eastAsia" w:ascii="宋体" w:hAnsi="宋体" w:eastAsia="宋体" w:cs="宋体"/>
          <w:b/>
          <w:bCs/>
          <w:color w:val="auto"/>
          <w:sz w:val="44"/>
          <w:szCs w:val="44"/>
          <w:lang w:eastAsia="zh-CN"/>
        </w:rPr>
        <w:sectPr>
          <w:pgSz w:w="11906" w:h="16838"/>
          <w:pgMar w:top="1220" w:right="1080" w:bottom="1440" w:left="1080" w:header="709" w:footer="737" w:gutter="0"/>
          <w:pgBorders>
            <w:top w:val="none" w:sz="0" w:space="0"/>
            <w:left w:val="none" w:sz="0" w:space="0"/>
            <w:bottom w:val="none" w:sz="0" w:space="0"/>
            <w:right w:val="none" w:sz="0" w:space="0"/>
          </w:pgBorders>
          <w:pgNumType w:fmt="decimal" w:start="1"/>
          <w:cols w:space="720" w:num="1"/>
          <w:titlePg/>
          <w:rtlGutter w:val="0"/>
          <w:docGrid w:linePitch="299" w:charSpace="0"/>
        </w:sectPr>
      </w:pPr>
    </w:p>
    <w:p w14:paraId="4D070A9A">
      <w:pPr>
        <w:keepNext w:val="0"/>
        <w:keepLines w:val="0"/>
        <w:pageBreakBefore w:val="0"/>
        <w:widowControl w:val="0"/>
        <w:tabs>
          <w:tab w:val="left" w:pos="561"/>
        </w:tabs>
        <w:kinsoku/>
        <w:wordWrap w:val="0"/>
        <w:overflowPunct/>
        <w:topLinePunct/>
        <w:autoSpaceDE/>
        <w:autoSpaceDN/>
        <w:bidi w:val="0"/>
        <w:adjustRightInd/>
        <w:snapToGrid/>
        <w:ind w:left="0" w:leftChars="0" w:right="0"/>
        <w:jc w:val="center"/>
        <w:rPr>
          <w:rFonts w:hint="eastAsia" w:ascii="宋体" w:hAnsi="宋体" w:eastAsia="宋体" w:cs="宋体"/>
          <w:b/>
          <w:bCs/>
          <w:color w:val="auto"/>
          <w:sz w:val="44"/>
          <w:szCs w:val="44"/>
          <w:lang w:eastAsia="zh-CN"/>
        </w:rPr>
      </w:pPr>
      <w:r>
        <w:rPr>
          <w:rFonts w:hint="eastAsia" w:ascii="宋体" w:hAnsi="宋体" w:eastAsia="宋体" w:cs="宋体"/>
          <w:b/>
          <w:bCs/>
          <w:color w:val="auto"/>
          <w:sz w:val="44"/>
          <w:szCs w:val="44"/>
          <w:lang w:eastAsia="zh-CN"/>
        </w:rPr>
        <w:t>目</w:t>
      </w:r>
      <w:r>
        <w:rPr>
          <w:rFonts w:hint="eastAsia" w:ascii="宋体" w:hAnsi="宋体" w:eastAsia="宋体" w:cs="宋体"/>
          <w:b/>
          <w:bCs/>
          <w:color w:val="auto"/>
          <w:sz w:val="44"/>
          <w:szCs w:val="44"/>
          <w:lang w:eastAsia="zh-CN"/>
        </w:rPr>
        <w:tab/>
      </w:r>
      <w:r>
        <w:rPr>
          <w:rFonts w:hint="eastAsia" w:ascii="宋体" w:hAnsi="宋体" w:eastAsia="宋体" w:cs="宋体"/>
          <w:b/>
          <w:bCs/>
          <w:color w:val="auto"/>
          <w:sz w:val="44"/>
          <w:szCs w:val="44"/>
          <w:lang w:eastAsia="zh-CN"/>
        </w:rPr>
        <w:t>录</w:t>
      </w:r>
    </w:p>
    <w:p w14:paraId="205E5E28">
      <w:pPr>
        <w:pStyle w:val="56"/>
        <w:keepNext w:val="0"/>
        <w:keepLines w:val="0"/>
        <w:pageBreakBefore w:val="0"/>
        <w:widowControl w:val="0"/>
        <w:tabs>
          <w:tab w:val="right" w:leader="dot" w:pos="9638"/>
        </w:tabs>
        <w:kinsoku/>
        <w:overflowPunct/>
        <w:autoSpaceDE/>
        <w:autoSpaceDN/>
        <w:bidi w:val="0"/>
        <w:adjustRightInd/>
        <w:snapToGrid/>
        <w:spacing w:line="360" w:lineRule="auto"/>
        <w:ind w:left="0"/>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TOC \o "1-3" \h \z \u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HYPERLINK \l _Toc30547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lang w:eastAsia="zh-CN"/>
        </w:rPr>
        <w:t>第一章</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招标公告</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_Toc30547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1</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rPr>
        <w:fldChar w:fldCharType="end"/>
      </w:r>
    </w:p>
    <w:p w14:paraId="4EEFC8C2">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_Toc14915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项目概况</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_Toc14915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fldChar w:fldCharType="end"/>
      </w:r>
    </w:p>
    <w:p w14:paraId="7334A108">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_Toc32540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一、项目基本情况</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_Toc32540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fldChar w:fldCharType="end"/>
      </w:r>
    </w:p>
    <w:p w14:paraId="73AC3FFA">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_Toc18857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二、</w:t>
      </w:r>
      <w:r>
        <w:rPr>
          <w:rFonts w:hint="eastAsia" w:cs="宋体"/>
          <w:color w:val="auto"/>
          <w:sz w:val="24"/>
          <w:szCs w:val="24"/>
          <w:lang w:val="en-US" w:eastAsia="zh-CN"/>
        </w:rPr>
        <w:t>供应商</w:t>
      </w:r>
      <w:r>
        <w:rPr>
          <w:rFonts w:hint="eastAsia" w:ascii="宋体" w:hAnsi="宋体" w:eastAsia="宋体" w:cs="宋体"/>
          <w:color w:val="auto"/>
          <w:sz w:val="24"/>
          <w:szCs w:val="24"/>
          <w:lang w:eastAsia="zh-CN"/>
        </w:rPr>
        <w:t>的资格要求</w:t>
      </w:r>
      <w:r>
        <w:rPr>
          <w:rFonts w:hint="eastAsia" w:ascii="宋体" w:hAnsi="宋体" w:eastAsia="宋体" w:cs="宋体"/>
          <w:color w:val="auto"/>
          <w:sz w:val="24"/>
          <w:szCs w:val="24"/>
        </w:rPr>
        <w:tab/>
      </w:r>
      <w:r>
        <w:rPr>
          <w:rFonts w:hint="eastAsia" w:cs="宋体"/>
          <w:color w:val="auto"/>
          <w:sz w:val="24"/>
          <w:szCs w:val="24"/>
          <w:lang w:val="en-US" w:eastAsia="zh-CN"/>
        </w:rPr>
        <w:t>2</w:t>
      </w:r>
      <w:r>
        <w:rPr>
          <w:rFonts w:hint="eastAsia" w:ascii="宋体" w:hAnsi="宋体" w:eastAsia="宋体" w:cs="宋体"/>
          <w:color w:val="auto"/>
          <w:sz w:val="24"/>
          <w:szCs w:val="24"/>
          <w:lang w:eastAsia="zh-CN"/>
        </w:rPr>
        <w:fldChar w:fldCharType="end"/>
      </w:r>
    </w:p>
    <w:p w14:paraId="64EB7CB0">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_Toc15631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三、获取招标文件</w:t>
      </w:r>
      <w:r>
        <w:rPr>
          <w:rFonts w:hint="eastAsia" w:ascii="宋体" w:hAnsi="宋体" w:eastAsia="宋体" w:cs="宋体"/>
          <w:color w:val="auto"/>
          <w:sz w:val="24"/>
          <w:szCs w:val="24"/>
        </w:rPr>
        <w:tab/>
      </w:r>
      <w:r>
        <w:rPr>
          <w:rFonts w:hint="eastAsia" w:cs="宋体"/>
          <w:color w:val="auto"/>
          <w:sz w:val="24"/>
          <w:szCs w:val="24"/>
          <w:lang w:val="en-US" w:eastAsia="zh-CN"/>
        </w:rPr>
        <w:t>3</w:t>
      </w:r>
      <w:r>
        <w:rPr>
          <w:rFonts w:hint="eastAsia" w:ascii="宋体" w:hAnsi="宋体" w:eastAsia="宋体" w:cs="宋体"/>
          <w:color w:val="auto"/>
          <w:sz w:val="24"/>
          <w:szCs w:val="24"/>
          <w:lang w:eastAsia="zh-CN"/>
        </w:rPr>
        <w:fldChar w:fldCharType="end"/>
      </w:r>
    </w:p>
    <w:p w14:paraId="605A9F5D">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_Toc15752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四、提交投标文件截止时间、开标时间和地点</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_Toc15752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fldChar w:fldCharType="end"/>
      </w:r>
    </w:p>
    <w:p w14:paraId="1C3454BF">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_Toc25859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五、公告期限</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_Toc25859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fldChar w:fldCharType="end"/>
      </w:r>
    </w:p>
    <w:p w14:paraId="345327E0">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_Toc11085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六、其他补充事宜</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_Toc11085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fldChar w:fldCharType="end"/>
      </w:r>
    </w:p>
    <w:p w14:paraId="00426B8F">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_Toc15342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七</w:t>
      </w:r>
      <w:r>
        <w:rPr>
          <w:rFonts w:hint="eastAsia" w:ascii="宋体" w:hAnsi="宋体" w:eastAsia="宋体" w:cs="宋体"/>
          <w:color w:val="auto"/>
          <w:sz w:val="24"/>
          <w:szCs w:val="24"/>
          <w:lang w:eastAsia="zh-CN"/>
        </w:rPr>
        <w:t>、对本次招标提出询问，请按以下方式联系</w:t>
      </w:r>
      <w:r>
        <w:rPr>
          <w:rFonts w:hint="eastAsia" w:ascii="宋体" w:hAnsi="宋体" w:eastAsia="宋体" w:cs="宋体"/>
          <w:color w:val="auto"/>
          <w:sz w:val="24"/>
          <w:szCs w:val="24"/>
        </w:rPr>
        <w:tab/>
      </w:r>
      <w:r>
        <w:rPr>
          <w:rFonts w:hint="eastAsia" w:cs="宋体"/>
          <w:color w:val="auto"/>
          <w:sz w:val="24"/>
          <w:szCs w:val="24"/>
          <w:lang w:val="en-US" w:eastAsia="zh-CN"/>
        </w:rPr>
        <w:t>4</w:t>
      </w:r>
      <w:r>
        <w:rPr>
          <w:rFonts w:hint="eastAsia" w:ascii="宋体" w:hAnsi="宋体" w:eastAsia="宋体" w:cs="宋体"/>
          <w:color w:val="auto"/>
          <w:sz w:val="24"/>
          <w:szCs w:val="24"/>
          <w:lang w:eastAsia="zh-CN"/>
        </w:rPr>
        <w:fldChar w:fldCharType="end"/>
      </w:r>
    </w:p>
    <w:p w14:paraId="3A9F83D4">
      <w:pPr>
        <w:pStyle w:val="56"/>
        <w:keepNext w:val="0"/>
        <w:keepLines w:val="0"/>
        <w:pageBreakBefore w:val="0"/>
        <w:widowControl w:val="0"/>
        <w:tabs>
          <w:tab w:val="right" w:leader="dot" w:pos="9638"/>
        </w:tabs>
        <w:kinsoku/>
        <w:overflowPunct/>
        <w:autoSpaceDE/>
        <w:autoSpaceDN/>
        <w:bidi w:val="0"/>
        <w:adjustRightInd/>
        <w:snapToGrid/>
        <w:spacing w:line="360" w:lineRule="auto"/>
        <w:ind w:left="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fldChar w:fldCharType="begin"/>
      </w:r>
      <w:r>
        <w:rPr>
          <w:rFonts w:hint="eastAsia" w:ascii="宋体" w:hAnsi="宋体" w:eastAsia="宋体" w:cs="宋体"/>
          <w:b/>
          <w:bCs/>
          <w:color w:val="auto"/>
          <w:sz w:val="24"/>
          <w:szCs w:val="24"/>
          <w:lang w:eastAsia="zh-CN"/>
        </w:rPr>
        <w:instrText xml:space="preserve"> HYPERLINK \l _Toc4837 </w:instrText>
      </w:r>
      <w:r>
        <w:rPr>
          <w:rFonts w:hint="eastAsia" w:ascii="宋体" w:hAnsi="宋体" w:eastAsia="宋体" w:cs="宋体"/>
          <w:b/>
          <w:bCs/>
          <w:color w:val="auto"/>
          <w:sz w:val="24"/>
          <w:szCs w:val="24"/>
          <w:lang w:eastAsia="zh-CN"/>
        </w:rPr>
        <w:fldChar w:fldCharType="separate"/>
      </w:r>
      <w:r>
        <w:rPr>
          <w:rFonts w:hint="eastAsia" w:ascii="宋体" w:hAnsi="宋体" w:eastAsia="宋体" w:cs="宋体"/>
          <w:b/>
          <w:bCs/>
          <w:color w:val="auto"/>
          <w:sz w:val="24"/>
          <w:szCs w:val="24"/>
          <w:lang w:eastAsia="zh-CN"/>
        </w:rPr>
        <w:t>第二章</w:t>
      </w:r>
      <w:r>
        <w:rPr>
          <w:rFonts w:hint="eastAsia" w:ascii="宋体" w:hAnsi="宋体" w:eastAsia="宋体" w:cs="宋体"/>
          <w:b/>
          <w:bCs/>
          <w:color w:val="auto"/>
          <w:sz w:val="24"/>
          <w:szCs w:val="24"/>
          <w:lang w:val="en-US" w:eastAsia="zh-CN"/>
        </w:rPr>
        <w:t xml:space="preserve"> </w:t>
      </w:r>
      <w:r>
        <w:rPr>
          <w:rFonts w:hint="eastAsia" w:cs="宋体"/>
          <w:b/>
          <w:bCs/>
          <w:color w:val="auto"/>
          <w:sz w:val="24"/>
          <w:szCs w:val="24"/>
          <w:lang w:eastAsia="zh-CN"/>
        </w:rPr>
        <w:t>供应商</w:t>
      </w:r>
      <w:r>
        <w:rPr>
          <w:rFonts w:hint="eastAsia" w:ascii="宋体" w:hAnsi="宋体" w:eastAsia="宋体" w:cs="宋体"/>
          <w:b/>
          <w:bCs/>
          <w:color w:val="auto"/>
          <w:sz w:val="24"/>
          <w:szCs w:val="24"/>
          <w:lang w:eastAsia="zh-CN"/>
        </w:rPr>
        <w:t>须知</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_Toc4837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5</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lang w:eastAsia="zh-CN"/>
        </w:rPr>
        <w:fldChar w:fldCharType="end"/>
      </w:r>
    </w:p>
    <w:p w14:paraId="28D4DE80">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_Toc6735 </w:instrText>
      </w:r>
      <w:r>
        <w:rPr>
          <w:rFonts w:hint="eastAsia" w:ascii="宋体" w:hAnsi="宋体" w:eastAsia="宋体" w:cs="宋体"/>
          <w:color w:val="auto"/>
          <w:sz w:val="24"/>
          <w:szCs w:val="24"/>
          <w:lang w:eastAsia="zh-CN"/>
        </w:rPr>
        <w:fldChar w:fldCharType="separate"/>
      </w:r>
      <w:r>
        <w:rPr>
          <w:rFonts w:hint="eastAsia" w:cs="宋体"/>
          <w:color w:val="auto"/>
          <w:sz w:val="24"/>
          <w:szCs w:val="24"/>
          <w:lang w:eastAsia="zh-CN"/>
        </w:rPr>
        <w:t>供应商</w:t>
      </w:r>
      <w:r>
        <w:rPr>
          <w:rFonts w:hint="eastAsia" w:ascii="宋体" w:hAnsi="宋体" w:eastAsia="宋体" w:cs="宋体"/>
          <w:color w:val="auto"/>
          <w:sz w:val="24"/>
          <w:szCs w:val="24"/>
          <w:lang w:eastAsia="zh-CN"/>
        </w:rPr>
        <w:t>须知前附表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_Toc6735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fldChar w:fldCharType="end"/>
      </w:r>
    </w:p>
    <w:p w14:paraId="2EAEF378">
      <w:pPr>
        <w:pStyle w:val="35"/>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_Toc23491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1.总则</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_Toc23491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19</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fldChar w:fldCharType="end"/>
      </w:r>
    </w:p>
    <w:p w14:paraId="523178C6">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_Toc2002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2.招标文件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_Toc2002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fldChar w:fldCharType="end"/>
      </w:r>
    </w:p>
    <w:p w14:paraId="0CFC2206">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_Toc3212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3.投标文件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_Toc3212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fldChar w:fldCharType="end"/>
      </w:r>
    </w:p>
    <w:p w14:paraId="5A8A612E">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_Toc3718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4.投标</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_Toc3718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fldChar w:fldCharType="end"/>
      </w:r>
    </w:p>
    <w:p w14:paraId="64B2092D">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_Toc25469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5.开标</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_Toc25469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fldChar w:fldCharType="end"/>
      </w:r>
    </w:p>
    <w:p w14:paraId="26774858">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_Toc30628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6.资格审查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_Toc30628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fldChar w:fldCharType="end"/>
      </w:r>
    </w:p>
    <w:p w14:paraId="0FF1DB90">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_Toc9355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7.</w:t>
      </w:r>
      <w:r>
        <w:rPr>
          <w:rFonts w:hint="eastAsia" w:cs="宋体"/>
          <w:color w:val="auto"/>
          <w:sz w:val="24"/>
          <w:szCs w:val="24"/>
          <w:lang w:eastAsia="zh-CN"/>
        </w:rPr>
        <w:t>评审</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_Toc9355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fldChar w:fldCharType="end"/>
      </w:r>
    </w:p>
    <w:p w14:paraId="61D4F224">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_Toc8670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8.中标和合同</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_Toc8670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29</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fldChar w:fldCharType="end"/>
      </w:r>
    </w:p>
    <w:p w14:paraId="6F46255D">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_Toc16532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9.需要补充的其他内容</w:t>
      </w:r>
      <w:r>
        <w:rPr>
          <w:rFonts w:hint="eastAsia" w:ascii="宋体" w:hAnsi="宋体" w:eastAsia="宋体" w:cs="宋体"/>
          <w:color w:val="auto"/>
          <w:sz w:val="24"/>
          <w:szCs w:val="24"/>
        </w:rPr>
        <w:tab/>
      </w:r>
      <w:r>
        <w:rPr>
          <w:rFonts w:hint="eastAsia" w:cs="宋体"/>
          <w:color w:val="auto"/>
          <w:sz w:val="24"/>
          <w:szCs w:val="24"/>
          <w:lang w:val="en-US" w:eastAsia="zh-CN"/>
        </w:rPr>
        <w:t>3</w:t>
      </w:r>
      <w:r>
        <w:rPr>
          <w:rFonts w:hint="eastAsia" w:ascii="宋体" w:hAnsi="宋体" w:eastAsia="宋体" w:cs="宋体"/>
          <w:color w:val="auto"/>
          <w:sz w:val="24"/>
          <w:szCs w:val="24"/>
          <w:lang w:eastAsia="zh-CN"/>
        </w:rPr>
        <w:fldChar w:fldCharType="end"/>
      </w:r>
      <w:r>
        <w:rPr>
          <w:rFonts w:hint="eastAsia" w:cs="宋体"/>
          <w:color w:val="auto"/>
          <w:sz w:val="24"/>
          <w:szCs w:val="24"/>
          <w:lang w:val="en-US" w:eastAsia="zh-CN"/>
        </w:rPr>
        <w:t>0</w:t>
      </w:r>
    </w:p>
    <w:p w14:paraId="5BC7EEC5">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_Toc12466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10.政府采购政策</w:t>
      </w:r>
      <w:r>
        <w:rPr>
          <w:rFonts w:hint="eastAsia" w:ascii="宋体" w:hAnsi="宋体" w:eastAsia="宋体" w:cs="宋体"/>
          <w:color w:val="auto"/>
          <w:sz w:val="24"/>
          <w:szCs w:val="24"/>
        </w:rPr>
        <w:tab/>
      </w:r>
      <w:r>
        <w:rPr>
          <w:rFonts w:hint="eastAsia" w:cs="宋体"/>
          <w:color w:val="auto"/>
          <w:sz w:val="24"/>
          <w:szCs w:val="24"/>
          <w:lang w:val="en-US" w:eastAsia="zh-CN"/>
        </w:rPr>
        <w:t>3</w:t>
      </w:r>
      <w:r>
        <w:rPr>
          <w:rFonts w:hint="eastAsia" w:ascii="宋体" w:hAnsi="宋体" w:eastAsia="宋体" w:cs="宋体"/>
          <w:color w:val="auto"/>
          <w:sz w:val="24"/>
          <w:szCs w:val="24"/>
          <w:lang w:eastAsia="zh-CN"/>
        </w:rPr>
        <w:fldChar w:fldCharType="end"/>
      </w:r>
      <w:r>
        <w:rPr>
          <w:rFonts w:hint="eastAsia" w:cs="宋体"/>
          <w:color w:val="auto"/>
          <w:sz w:val="24"/>
          <w:szCs w:val="24"/>
          <w:lang w:val="en-US" w:eastAsia="zh-CN"/>
        </w:rPr>
        <w:t>0</w:t>
      </w:r>
    </w:p>
    <w:p w14:paraId="5F336D34">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_Toc14591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其他事项</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_Toc14591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fldChar w:fldCharType="end"/>
      </w:r>
    </w:p>
    <w:p w14:paraId="40A97515">
      <w:pPr>
        <w:pStyle w:val="46"/>
        <w:keepNext w:val="0"/>
        <w:keepLines w:val="0"/>
        <w:pageBreakBefore w:val="0"/>
        <w:widowControl w:val="0"/>
        <w:tabs>
          <w:tab w:val="right" w:leader="dot" w:pos="9638"/>
        </w:tabs>
        <w:kinsoku/>
        <w:overflowPunct/>
        <w:autoSpaceDE/>
        <w:autoSpaceDN/>
        <w:bidi w:val="0"/>
        <w:adjustRightInd/>
        <w:snapToGrid/>
        <w:spacing w:line="360" w:lineRule="auto"/>
        <w:ind w:left="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fldChar w:fldCharType="begin"/>
      </w:r>
      <w:r>
        <w:rPr>
          <w:rFonts w:hint="eastAsia" w:ascii="宋体" w:hAnsi="宋体" w:eastAsia="宋体" w:cs="宋体"/>
          <w:b/>
          <w:bCs/>
          <w:color w:val="auto"/>
          <w:sz w:val="24"/>
          <w:szCs w:val="24"/>
          <w:lang w:eastAsia="zh-CN"/>
        </w:rPr>
        <w:instrText xml:space="preserve"> HYPERLINK \l _Toc20179 </w:instrText>
      </w:r>
      <w:r>
        <w:rPr>
          <w:rFonts w:hint="eastAsia" w:ascii="宋体" w:hAnsi="宋体" w:eastAsia="宋体" w:cs="宋体"/>
          <w:b/>
          <w:bCs/>
          <w:color w:val="auto"/>
          <w:sz w:val="24"/>
          <w:szCs w:val="24"/>
          <w:lang w:eastAsia="zh-CN"/>
        </w:rPr>
        <w:fldChar w:fldCharType="separate"/>
      </w:r>
      <w:r>
        <w:rPr>
          <w:rFonts w:hint="eastAsia" w:ascii="宋体" w:hAnsi="宋体" w:eastAsia="宋体" w:cs="宋体"/>
          <w:b/>
          <w:bCs/>
          <w:color w:val="auto"/>
          <w:sz w:val="24"/>
          <w:szCs w:val="24"/>
          <w:lang w:eastAsia="zh-CN"/>
        </w:rPr>
        <w:t>第三章</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评</w:t>
      </w:r>
      <w:r>
        <w:rPr>
          <w:rFonts w:hint="eastAsia" w:ascii="宋体" w:hAnsi="宋体" w:eastAsia="宋体" w:cs="宋体"/>
          <w:b/>
          <w:bCs/>
          <w:color w:val="auto"/>
          <w:sz w:val="24"/>
          <w:szCs w:val="24"/>
          <w:lang w:val="en-US" w:eastAsia="zh-CN"/>
        </w:rPr>
        <w:t>审</w:t>
      </w:r>
      <w:r>
        <w:rPr>
          <w:rFonts w:hint="eastAsia" w:ascii="宋体" w:hAnsi="宋体" w:eastAsia="宋体" w:cs="宋体"/>
          <w:b/>
          <w:bCs/>
          <w:color w:val="auto"/>
          <w:sz w:val="24"/>
          <w:szCs w:val="24"/>
          <w:lang w:eastAsia="zh-CN"/>
        </w:rPr>
        <w:t>办法（综合评分法）</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_Toc20179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41</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lang w:eastAsia="zh-CN"/>
        </w:rPr>
        <w:fldChar w:fldCharType="end"/>
      </w:r>
    </w:p>
    <w:p w14:paraId="272264A8">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cs="宋体"/>
          <w:color w:val="auto"/>
          <w:sz w:val="24"/>
          <w:szCs w:val="24"/>
          <w:lang w:val="en-US" w:eastAsia="zh-CN"/>
        </w:rPr>
        <w:t>.</w:t>
      </w:r>
      <w:r>
        <w:rPr>
          <w:rFonts w:hint="eastAsia" w:ascii="宋体" w:hAnsi="宋体" w:eastAsia="宋体" w:cs="宋体"/>
          <w:color w:val="auto"/>
          <w:sz w:val="24"/>
          <w:szCs w:val="24"/>
          <w:lang w:val="en-US" w:eastAsia="zh-CN"/>
        </w:rPr>
        <w:t>评审标准前附表</w:t>
      </w:r>
      <w:r>
        <w:rPr>
          <w:rFonts w:hint="eastAsia" w:ascii="宋体" w:hAnsi="宋体" w:eastAsia="宋体" w:cs="宋体"/>
          <w:color w:val="auto"/>
          <w:sz w:val="24"/>
          <w:szCs w:val="24"/>
        </w:rPr>
        <w:tab/>
      </w:r>
      <w:r>
        <w:rPr>
          <w:rFonts w:hint="eastAsia" w:cs="宋体"/>
          <w:color w:val="auto"/>
          <w:sz w:val="24"/>
          <w:szCs w:val="24"/>
          <w:lang w:val="en-US" w:eastAsia="zh-CN"/>
        </w:rPr>
        <w:t>41</w:t>
      </w:r>
    </w:p>
    <w:p w14:paraId="2CFDFAE1">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HYPERLINK \l _Toc1065 </w:instrText>
      </w:r>
      <w:r>
        <w:rPr>
          <w:rFonts w:hint="eastAsia" w:ascii="宋体" w:hAnsi="宋体" w:eastAsia="宋体" w:cs="宋体"/>
          <w:color w:val="auto"/>
          <w:sz w:val="24"/>
          <w:szCs w:val="24"/>
          <w:lang w:val="zh-CN"/>
        </w:rPr>
        <w:fldChar w:fldCharType="separate"/>
      </w:r>
      <w:r>
        <w:rPr>
          <w:rFonts w:hint="eastAsia" w:ascii="宋体" w:hAnsi="宋体" w:eastAsia="宋体" w:cs="宋体"/>
          <w:color w:val="auto"/>
          <w:sz w:val="24"/>
          <w:szCs w:val="24"/>
          <w:lang w:val="zh-CN" w:eastAsia="zh-CN"/>
        </w:rPr>
        <w:t>（1）资格审查标准</w:t>
      </w:r>
      <w:r>
        <w:rPr>
          <w:rFonts w:hint="eastAsia" w:ascii="宋体" w:hAnsi="宋体" w:eastAsia="宋体" w:cs="宋体"/>
          <w:color w:val="auto"/>
          <w:sz w:val="24"/>
          <w:szCs w:val="24"/>
        </w:rPr>
        <w:tab/>
      </w:r>
      <w:r>
        <w:rPr>
          <w:rFonts w:hint="eastAsia" w:cs="宋体"/>
          <w:color w:val="auto"/>
          <w:sz w:val="24"/>
          <w:szCs w:val="24"/>
          <w:lang w:val="en-US" w:eastAsia="zh-CN"/>
        </w:rPr>
        <w:t>4</w:t>
      </w:r>
      <w:r>
        <w:rPr>
          <w:rFonts w:hint="eastAsia" w:ascii="宋体" w:hAnsi="宋体" w:eastAsia="宋体" w:cs="宋体"/>
          <w:color w:val="auto"/>
          <w:sz w:val="24"/>
          <w:szCs w:val="24"/>
          <w:lang w:val="zh-CN"/>
        </w:rPr>
        <w:fldChar w:fldCharType="end"/>
      </w:r>
      <w:r>
        <w:rPr>
          <w:rFonts w:hint="eastAsia" w:cs="宋体"/>
          <w:color w:val="auto"/>
          <w:sz w:val="24"/>
          <w:szCs w:val="24"/>
          <w:lang w:val="en-US" w:eastAsia="zh-CN"/>
        </w:rPr>
        <w:t>1</w:t>
      </w:r>
    </w:p>
    <w:p w14:paraId="2B8C2743">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HYPERLINK \l _Toc32749 </w:instrText>
      </w:r>
      <w:r>
        <w:rPr>
          <w:rFonts w:hint="eastAsia" w:ascii="宋体" w:hAnsi="宋体" w:eastAsia="宋体" w:cs="宋体"/>
          <w:color w:val="auto"/>
          <w:sz w:val="24"/>
          <w:szCs w:val="24"/>
          <w:lang w:val="zh-CN"/>
        </w:rPr>
        <w:fldChar w:fldCharType="separate"/>
      </w:r>
      <w:r>
        <w:rPr>
          <w:rFonts w:hint="eastAsia" w:ascii="宋体" w:hAnsi="宋体" w:eastAsia="宋体" w:cs="宋体"/>
          <w:color w:val="auto"/>
          <w:sz w:val="24"/>
          <w:szCs w:val="24"/>
          <w:lang w:val="zh-CN" w:eastAsia="zh-CN"/>
        </w:rPr>
        <w:t>（2）符合性评审标准</w:t>
      </w:r>
      <w:r>
        <w:rPr>
          <w:rFonts w:hint="eastAsia" w:ascii="宋体" w:hAnsi="宋体" w:eastAsia="宋体" w:cs="宋体"/>
          <w:color w:val="auto"/>
          <w:sz w:val="24"/>
          <w:szCs w:val="24"/>
        </w:rPr>
        <w:tab/>
      </w:r>
      <w:r>
        <w:rPr>
          <w:rFonts w:hint="eastAsia" w:cs="宋体"/>
          <w:color w:val="auto"/>
          <w:sz w:val="24"/>
          <w:szCs w:val="24"/>
          <w:lang w:val="en-US" w:eastAsia="zh-CN"/>
        </w:rPr>
        <w:t>4</w:t>
      </w:r>
      <w:r>
        <w:rPr>
          <w:rFonts w:hint="eastAsia" w:ascii="宋体" w:hAnsi="宋体" w:eastAsia="宋体" w:cs="宋体"/>
          <w:color w:val="auto"/>
          <w:sz w:val="24"/>
          <w:szCs w:val="24"/>
          <w:lang w:val="zh-CN"/>
        </w:rPr>
        <w:fldChar w:fldCharType="end"/>
      </w:r>
      <w:r>
        <w:rPr>
          <w:rFonts w:hint="eastAsia" w:cs="宋体"/>
          <w:color w:val="auto"/>
          <w:sz w:val="24"/>
          <w:szCs w:val="24"/>
          <w:lang w:val="en-US" w:eastAsia="zh-CN"/>
        </w:rPr>
        <w:t>3</w:t>
      </w:r>
    </w:p>
    <w:p w14:paraId="188A21BE">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HYPERLINK \l _Toc1867 </w:instrText>
      </w:r>
      <w:r>
        <w:rPr>
          <w:rFonts w:hint="eastAsia" w:ascii="宋体" w:hAnsi="宋体" w:eastAsia="宋体" w:cs="宋体"/>
          <w:color w:val="auto"/>
          <w:sz w:val="24"/>
          <w:szCs w:val="24"/>
          <w:lang w:val="zh-CN"/>
        </w:rPr>
        <w:fldChar w:fldCharType="separate"/>
      </w:r>
      <w:r>
        <w:rPr>
          <w:rFonts w:hint="eastAsia" w:ascii="宋体" w:hAnsi="宋体" w:eastAsia="宋体" w:cs="宋体"/>
          <w:color w:val="auto"/>
          <w:sz w:val="24"/>
          <w:szCs w:val="24"/>
          <w:lang w:val="zh-CN" w:eastAsia="zh-CN"/>
        </w:rPr>
        <w:t>（3）投标报价评分标准</w:t>
      </w:r>
      <w:r>
        <w:rPr>
          <w:rFonts w:hint="eastAsia" w:ascii="宋体" w:hAnsi="宋体" w:eastAsia="宋体" w:cs="宋体"/>
          <w:color w:val="auto"/>
          <w:sz w:val="24"/>
          <w:szCs w:val="24"/>
        </w:rPr>
        <w:tab/>
      </w:r>
      <w:r>
        <w:rPr>
          <w:rFonts w:hint="eastAsia" w:cs="宋体"/>
          <w:color w:val="auto"/>
          <w:sz w:val="24"/>
          <w:szCs w:val="24"/>
          <w:lang w:val="en-US" w:eastAsia="zh-CN"/>
        </w:rPr>
        <w:t>4</w:t>
      </w:r>
      <w:r>
        <w:rPr>
          <w:rFonts w:hint="eastAsia" w:ascii="宋体" w:hAnsi="宋体" w:eastAsia="宋体" w:cs="宋体"/>
          <w:color w:val="auto"/>
          <w:sz w:val="24"/>
          <w:szCs w:val="24"/>
          <w:lang w:val="zh-CN"/>
        </w:rPr>
        <w:fldChar w:fldCharType="end"/>
      </w:r>
      <w:r>
        <w:rPr>
          <w:rFonts w:hint="eastAsia" w:cs="宋体"/>
          <w:color w:val="auto"/>
          <w:sz w:val="24"/>
          <w:szCs w:val="24"/>
          <w:lang w:val="en-US" w:eastAsia="zh-CN"/>
        </w:rPr>
        <w:t>4</w:t>
      </w:r>
    </w:p>
    <w:p w14:paraId="2EAC82F4">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HYPERLINK \l _Toc13920 </w:instrText>
      </w:r>
      <w:r>
        <w:rPr>
          <w:rFonts w:hint="eastAsia" w:ascii="宋体" w:hAnsi="宋体" w:eastAsia="宋体" w:cs="宋体"/>
          <w:color w:val="auto"/>
          <w:sz w:val="24"/>
          <w:szCs w:val="24"/>
          <w:lang w:val="zh-CN"/>
        </w:rPr>
        <w:fldChar w:fldCharType="separate"/>
      </w:r>
      <w:r>
        <w:rPr>
          <w:rFonts w:hint="eastAsia" w:ascii="宋体" w:hAnsi="宋体" w:eastAsia="宋体" w:cs="宋体"/>
          <w:color w:val="auto"/>
          <w:sz w:val="24"/>
          <w:szCs w:val="24"/>
          <w:lang w:val="zh-CN" w:eastAsia="zh-CN"/>
        </w:rPr>
        <w:t>（4）商务技术</w:t>
      </w:r>
      <w:r>
        <w:rPr>
          <w:rFonts w:hint="eastAsia" w:ascii="宋体" w:hAnsi="宋体" w:eastAsia="宋体" w:cs="宋体"/>
          <w:color w:val="auto"/>
          <w:sz w:val="24"/>
          <w:szCs w:val="24"/>
          <w:lang w:val="zh-CN"/>
        </w:rPr>
        <w:t>评分</w:t>
      </w:r>
      <w:r>
        <w:rPr>
          <w:rFonts w:hint="eastAsia" w:ascii="宋体" w:hAnsi="宋体" w:eastAsia="宋体" w:cs="宋体"/>
          <w:color w:val="auto"/>
          <w:sz w:val="24"/>
          <w:szCs w:val="24"/>
          <w:lang w:val="zh-CN" w:eastAsia="zh-CN"/>
        </w:rPr>
        <w:t>标准</w:t>
      </w:r>
      <w:r>
        <w:rPr>
          <w:rFonts w:hint="eastAsia" w:ascii="宋体" w:hAnsi="宋体" w:eastAsia="宋体" w:cs="宋体"/>
          <w:color w:val="auto"/>
          <w:sz w:val="24"/>
          <w:szCs w:val="24"/>
        </w:rPr>
        <w:tab/>
      </w:r>
      <w:r>
        <w:rPr>
          <w:rFonts w:hint="eastAsia" w:cs="宋体"/>
          <w:color w:val="auto"/>
          <w:sz w:val="24"/>
          <w:szCs w:val="24"/>
          <w:lang w:val="en-US" w:eastAsia="zh-CN"/>
        </w:rPr>
        <w:t>4</w:t>
      </w:r>
      <w:r>
        <w:rPr>
          <w:rFonts w:hint="eastAsia" w:ascii="宋体" w:hAnsi="宋体" w:eastAsia="宋体" w:cs="宋体"/>
          <w:color w:val="auto"/>
          <w:sz w:val="24"/>
          <w:szCs w:val="24"/>
          <w:lang w:val="zh-CN"/>
        </w:rPr>
        <w:fldChar w:fldCharType="end"/>
      </w:r>
      <w:r>
        <w:rPr>
          <w:rFonts w:hint="eastAsia" w:cs="宋体"/>
          <w:color w:val="auto"/>
          <w:sz w:val="24"/>
          <w:szCs w:val="24"/>
          <w:lang w:val="en-US" w:eastAsia="zh-CN"/>
        </w:rPr>
        <w:t>5</w:t>
      </w:r>
    </w:p>
    <w:p w14:paraId="0D716F4F">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HYPERLINK \l _Toc6921 </w:instrText>
      </w:r>
      <w:r>
        <w:rPr>
          <w:rFonts w:hint="eastAsia" w:ascii="宋体" w:hAnsi="宋体" w:eastAsia="宋体" w:cs="宋体"/>
          <w:color w:val="auto"/>
          <w:sz w:val="24"/>
          <w:szCs w:val="24"/>
          <w:lang w:val="zh-CN"/>
        </w:rPr>
        <w:fldChar w:fldCharType="separate"/>
      </w:r>
      <w:r>
        <w:rPr>
          <w:rFonts w:hint="eastAsia" w:ascii="宋体" w:hAnsi="宋体" w:eastAsia="宋体" w:cs="宋体"/>
          <w:color w:val="auto"/>
          <w:sz w:val="24"/>
          <w:szCs w:val="24"/>
          <w:lang w:val="zh-CN" w:eastAsia="zh-CN"/>
        </w:rPr>
        <w:t>2.</w:t>
      </w:r>
      <w:r>
        <w:rPr>
          <w:rFonts w:hint="eastAsia" w:cs="宋体"/>
          <w:color w:val="auto"/>
          <w:sz w:val="24"/>
          <w:szCs w:val="24"/>
          <w:lang w:val="zh-CN" w:eastAsia="zh-CN"/>
        </w:rPr>
        <w:t>评审</w:t>
      </w:r>
      <w:r>
        <w:rPr>
          <w:rFonts w:hint="eastAsia" w:ascii="宋体" w:hAnsi="宋体" w:eastAsia="宋体" w:cs="宋体"/>
          <w:color w:val="auto"/>
          <w:sz w:val="24"/>
          <w:szCs w:val="24"/>
          <w:lang w:val="zh-CN" w:eastAsia="zh-CN"/>
        </w:rPr>
        <w:t>方法</w:t>
      </w:r>
      <w:r>
        <w:rPr>
          <w:rFonts w:hint="eastAsia" w:ascii="宋体" w:hAnsi="宋体" w:eastAsia="宋体" w:cs="宋体"/>
          <w:color w:val="auto"/>
          <w:sz w:val="24"/>
          <w:szCs w:val="24"/>
        </w:rPr>
        <w:tab/>
      </w:r>
      <w:r>
        <w:rPr>
          <w:rFonts w:hint="eastAsia" w:cs="宋体"/>
          <w:color w:val="auto"/>
          <w:sz w:val="24"/>
          <w:szCs w:val="24"/>
          <w:lang w:val="en-US" w:eastAsia="zh-CN"/>
        </w:rPr>
        <w:t>4</w:t>
      </w:r>
      <w:r>
        <w:rPr>
          <w:rFonts w:hint="eastAsia" w:ascii="宋体" w:hAnsi="宋体" w:eastAsia="宋体" w:cs="宋体"/>
          <w:color w:val="auto"/>
          <w:sz w:val="24"/>
          <w:szCs w:val="24"/>
          <w:lang w:val="zh-CN"/>
        </w:rPr>
        <w:fldChar w:fldCharType="end"/>
      </w:r>
      <w:r>
        <w:rPr>
          <w:rFonts w:hint="eastAsia" w:cs="宋体"/>
          <w:color w:val="auto"/>
          <w:sz w:val="24"/>
          <w:szCs w:val="24"/>
          <w:lang w:val="en-US" w:eastAsia="zh-CN"/>
        </w:rPr>
        <w:t>8</w:t>
      </w:r>
    </w:p>
    <w:p w14:paraId="24E294E1">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zh-CN"/>
        </w:rPr>
        <w:fldChar w:fldCharType="begin"/>
      </w:r>
      <w:r>
        <w:rPr>
          <w:rFonts w:hint="eastAsia" w:ascii="宋体" w:hAnsi="宋体" w:eastAsia="宋体" w:cs="宋体"/>
          <w:b w:val="0"/>
          <w:bCs w:val="0"/>
          <w:color w:val="auto"/>
          <w:sz w:val="24"/>
          <w:szCs w:val="24"/>
          <w:lang w:val="zh-CN"/>
        </w:rPr>
        <w:instrText xml:space="preserve"> HYPERLINK \l _Toc6157 </w:instrText>
      </w:r>
      <w:r>
        <w:rPr>
          <w:rFonts w:hint="eastAsia" w:ascii="宋体" w:hAnsi="宋体" w:eastAsia="宋体" w:cs="宋体"/>
          <w:b w:val="0"/>
          <w:bCs w:val="0"/>
          <w:color w:val="auto"/>
          <w:sz w:val="24"/>
          <w:szCs w:val="24"/>
          <w:lang w:val="zh-CN"/>
        </w:rPr>
        <w:fldChar w:fldCharType="separate"/>
      </w:r>
      <w:r>
        <w:rPr>
          <w:rFonts w:hint="eastAsia" w:ascii="宋体" w:hAnsi="宋体" w:eastAsia="宋体" w:cs="宋体"/>
          <w:b w:val="0"/>
          <w:bCs w:val="0"/>
          <w:color w:val="auto"/>
          <w:sz w:val="24"/>
          <w:szCs w:val="24"/>
          <w:lang w:val="zh-CN" w:eastAsia="zh-CN"/>
        </w:rPr>
        <w:t>3.</w:t>
      </w:r>
      <w:r>
        <w:rPr>
          <w:rFonts w:hint="eastAsia" w:cs="宋体"/>
          <w:b w:val="0"/>
          <w:bCs w:val="0"/>
          <w:color w:val="auto"/>
          <w:sz w:val="24"/>
          <w:szCs w:val="24"/>
          <w:lang w:val="zh-CN" w:eastAsia="zh-CN"/>
        </w:rPr>
        <w:t>评审</w:t>
      </w:r>
      <w:r>
        <w:rPr>
          <w:rFonts w:hint="eastAsia" w:ascii="宋体" w:hAnsi="宋体" w:eastAsia="宋体" w:cs="宋体"/>
          <w:b w:val="0"/>
          <w:bCs w:val="0"/>
          <w:color w:val="auto"/>
          <w:sz w:val="24"/>
          <w:szCs w:val="24"/>
          <w:lang w:val="zh-CN" w:eastAsia="zh-CN"/>
        </w:rPr>
        <w:t>程序及标准</w:t>
      </w:r>
      <w:r>
        <w:rPr>
          <w:rFonts w:hint="eastAsia" w:ascii="宋体" w:hAnsi="宋体" w:eastAsia="宋体" w:cs="宋体"/>
          <w:b w:val="0"/>
          <w:bCs w:val="0"/>
          <w:color w:val="auto"/>
          <w:sz w:val="24"/>
          <w:szCs w:val="24"/>
        </w:rPr>
        <w:tab/>
      </w:r>
      <w:r>
        <w:rPr>
          <w:rFonts w:hint="eastAsia" w:cs="宋体"/>
          <w:b w:val="0"/>
          <w:bCs w:val="0"/>
          <w:color w:val="auto"/>
          <w:sz w:val="24"/>
          <w:szCs w:val="24"/>
          <w:lang w:val="en-US" w:eastAsia="zh-CN"/>
        </w:rPr>
        <w:t>4</w:t>
      </w:r>
      <w:r>
        <w:rPr>
          <w:rFonts w:hint="eastAsia" w:ascii="宋体" w:hAnsi="宋体" w:eastAsia="宋体" w:cs="宋体"/>
          <w:b w:val="0"/>
          <w:bCs w:val="0"/>
          <w:color w:val="auto"/>
          <w:sz w:val="24"/>
          <w:szCs w:val="24"/>
          <w:lang w:val="zh-CN"/>
        </w:rPr>
        <w:fldChar w:fldCharType="end"/>
      </w:r>
      <w:r>
        <w:rPr>
          <w:rFonts w:hint="eastAsia" w:cs="宋体"/>
          <w:b w:val="0"/>
          <w:bCs w:val="0"/>
          <w:color w:val="auto"/>
          <w:sz w:val="24"/>
          <w:szCs w:val="24"/>
          <w:lang w:val="en-US" w:eastAsia="zh-CN"/>
        </w:rPr>
        <w:t>8</w:t>
      </w:r>
    </w:p>
    <w:p w14:paraId="73E5FBE7">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HYPERLINK \l _Toc21785 </w:instrText>
      </w:r>
      <w:r>
        <w:rPr>
          <w:rFonts w:hint="eastAsia" w:ascii="宋体" w:hAnsi="宋体" w:eastAsia="宋体" w:cs="宋体"/>
          <w:color w:val="auto"/>
          <w:sz w:val="24"/>
          <w:szCs w:val="24"/>
          <w:lang w:val="zh-CN"/>
        </w:rPr>
        <w:fldChar w:fldCharType="separate"/>
      </w:r>
      <w:r>
        <w:rPr>
          <w:rFonts w:hint="eastAsia" w:ascii="宋体" w:hAnsi="宋体" w:eastAsia="宋体" w:cs="宋体"/>
          <w:color w:val="auto"/>
          <w:sz w:val="24"/>
          <w:szCs w:val="24"/>
          <w:lang w:val="zh-CN" w:eastAsia="zh-CN"/>
        </w:rPr>
        <w:t>4.详细评审</w:t>
      </w:r>
      <w:r>
        <w:rPr>
          <w:rFonts w:hint="eastAsia" w:ascii="宋体" w:hAnsi="宋体" w:eastAsia="宋体" w:cs="宋体"/>
          <w:color w:val="auto"/>
          <w:sz w:val="24"/>
          <w:szCs w:val="24"/>
        </w:rPr>
        <w:tab/>
      </w:r>
      <w:r>
        <w:rPr>
          <w:rFonts w:hint="eastAsia" w:cs="宋体"/>
          <w:color w:val="auto"/>
          <w:sz w:val="24"/>
          <w:szCs w:val="24"/>
          <w:lang w:val="en-US" w:eastAsia="zh-CN"/>
        </w:rPr>
        <w:t>4</w:t>
      </w:r>
      <w:r>
        <w:rPr>
          <w:rFonts w:hint="eastAsia" w:ascii="宋体" w:hAnsi="宋体" w:eastAsia="宋体" w:cs="宋体"/>
          <w:color w:val="auto"/>
          <w:sz w:val="24"/>
          <w:szCs w:val="24"/>
          <w:lang w:val="zh-CN"/>
        </w:rPr>
        <w:fldChar w:fldCharType="end"/>
      </w:r>
      <w:r>
        <w:rPr>
          <w:rFonts w:hint="eastAsia" w:cs="宋体"/>
          <w:color w:val="auto"/>
          <w:sz w:val="24"/>
          <w:szCs w:val="24"/>
          <w:lang w:val="en-US" w:eastAsia="zh-CN"/>
        </w:rPr>
        <w:t>8</w:t>
      </w:r>
    </w:p>
    <w:p w14:paraId="5D2DC132">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HYPERLINK \l _Toc17687 </w:instrText>
      </w:r>
      <w:r>
        <w:rPr>
          <w:rFonts w:hint="eastAsia" w:ascii="宋体" w:hAnsi="宋体" w:eastAsia="宋体" w:cs="宋体"/>
          <w:color w:val="auto"/>
          <w:sz w:val="24"/>
          <w:szCs w:val="24"/>
          <w:lang w:val="zh-CN"/>
        </w:rPr>
        <w:fldChar w:fldCharType="separate"/>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.投标文件的澄清</w:t>
      </w:r>
      <w:r>
        <w:rPr>
          <w:rFonts w:hint="eastAsia" w:ascii="宋体" w:hAnsi="宋体" w:eastAsia="宋体" w:cs="宋体"/>
          <w:color w:val="auto"/>
          <w:sz w:val="24"/>
          <w:szCs w:val="24"/>
        </w:rPr>
        <w:tab/>
      </w:r>
      <w:r>
        <w:rPr>
          <w:rFonts w:hint="eastAsia" w:cs="宋体"/>
          <w:color w:val="auto"/>
          <w:sz w:val="24"/>
          <w:szCs w:val="24"/>
          <w:lang w:val="en-US" w:eastAsia="zh-CN"/>
        </w:rPr>
        <w:t>4</w:t>
      </w:r>
      <w:r>
        <w:rPr>
          <w:rFonts w:hint="eastAsia" w:ascii="宋体" w:hAnsi="宋体" w:eastAsia="宋体" w:cs="宋体"/>
          <w:color w:val="auto"/>
          <w:sz w:val="24"/>
          <w:szCs w:val="24"/>
          <w:lang w:val="zh-CN"/>
        </w:rPr>
        <w:fldChar w:fldCharType="end"/>
      </w:r>
      <w:r>
        <w:rPr>
          <w:rFonts w:hint="eastAsia" w:cs="宋体"/>
          <w:color w:val="auto"/>
          <w:sz w:val="24"/>
          <w:szCs w:val="24"/>
          <w:lang w:val="en-US" w:eastAsia="zh-CN"/>
        </w:rPr>
        <w:t>9</w:t>
      </w:r>
    </w:p>
    <w:p w14:paraId="02C966D7">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rPr>
        <w:fldChar w:fldCharType="begin"/>
      </w:r>
      <w:r>
        <w:rPr>
          <w:rFonts w:hint="eastAsia" w:ascii="宋体" w:hAnsi="宋体" w:eastAsia="宋体" w:cs="宋体"/>
          <w:color w:val="auto"/>
          <w:sz w:val="24"/>
          <w:szCs w:val="24"/>
          <w:lang w:val="zh-CN"/>
        </w:rPr>
        <w:instrText xml:space="preserve"> HYPERLINK \l _Toc30058 </w:instrText>
      </w:r>
      <w:r>
        <w:rPr>
          <w:rFonts w:hint="eastAsia" w:ascii="宋体" w:hAnsi="宋体" w:eastAsia="宋体" w:cs="宋体"/>
          <w:color w:val="auto"/>
          <w:sz w:val="24"/>
          <w:szCs w:val="24"/>
          <w:lang w:val="zh-CN"/>
        </w:rPr>
        <w:fldChar w:fldCharType="separate"/>
      </w:r>
      <w:r>
        <w:rPr>
          <w:rFonts w:hint="eastAsia" w:ascii="宋体" w:hAnsi="宋体" w:eastAsia="宋体" w:cs="宋体"/>
          <w:color w:val="auto"/>
          <w:sz w:val="24"/>
          <w:szCs w:val="24"/>
          <w:lang w:val="zh-CN" w:eastAsia="zh-CN"/>
        </w:rPr>
        <w:t>6.</w:t>
      </w:r>
      <w:r>
        <w:rPr>
          <w:rFonts w:hint="eastAsia" w:cs="宋体"/>
          <w:color w:val="auto"/>
          <w:sz w:val="24"/>
          <w:szCs w:val="24"/>
          <w:lang w:val="zh-CN" w:eastAsia="zh-CN"/>
        </w:rPr>
        <w:t>评审</w:t>
      </w:r>
      <w:r>
        <w:rPr>
          <w:rFonts w:hint="eastAsia" w:ascii="宋体" w:hAnsi="宋体" w:eastAsia="宋体" w:cs="宋体"/>
          <w:color w:val="auto"/>
          <w:sz w:val="24"/>
          <w:szCs w:val="24"/>
          <w:lang w:val="zh-CN" w:eastAsia="zh-CN"/>
        </w:rPr>
        <w:t>结果</w:t>
      </w:r>
      <w:r>
        <w:rPr>
          <w:rFonts w:hint="eastAsia" w:ascii="宋体" w:hAnsi="宋体" w:eastAsia="宋体" w:cs="宋体"/>
          <w:color w:val="auto"/>
          <w:sz w:val="24"/>
          <w:szCs w:val="24"/>
        </w:rPr>
        <w:tab/>
      </w:r>
      <w:r>
        <w:rPr>
          <w:rFonts w:hint="eastAsia" w:cs="宋体"/>
          <w:color w:val="auto"/>
          <w:sz w:val="24"/>
          <w:szCs w:val="24"/>
          <w:lang w:val="en-US" w:eastAsia="zh-CN"/>
        </w:rPr>
        <w:t>4</w:t>
      </w:r>
      <w:r>
        <w:rPr>
          <w:rFonts w:hint="eastAsia" w:ascii="宋体" w:hAnsi="宋体" w:eastAsia="宋体" w:cs="宋体"/>
          <w:color w:val="auto"/>
          <w:sz w:val="24"/>
          <w:szCs w:val="24"/>
          <w:lang w:val="zh-CN"/>
        </w:rPr>
        <w:fldChar w:fldCharType="end"/>
      </w:r>
      <w:r>
        <w:rPr>
          <w:rFonts w:hint="eastAsia" w:cs="宋体"/>
          <w:color w:val="auto"/>
          <w:sz w:val="24"/>
          <w:szCs w:val="24"/>
          <w:lang w:val="en-US" w:eastAsia="zh-CN"/>
        </w:rPr>
        <w:t>9</w:t>
      </w:r>
    </w:p>
    <w:p w14:paraId="1557AB40">
      <w:pPr>
        <w:pStyle w:val="46"/>
        <w:keepNext w:val="0"/>
        <w:keepLines w:val="0"/>
        <w:pageBreakBefore w:val="0"/>
        <w:widowControl w:val="0"/>
        <w:tabs>
          <w:tab w:val="right" w:leader="dot" w:pos="9638"/>
        </w:tabs>
        <w:kinsoku/>
        <w:overflowPunct/>
        <w:autoSpaceDE/>
        <w:autoSpaceDN/>
        <w:bidi w:val="0"/>
        <w:adjustRightInd/>
        <w:snapToGrid/>
        <w:spacing w:line="360" w:lineRule="auto"/>
        <w:ind w:left="0"/>
        <w:textAlignment w:val="auto"/>
        <w:rPr>
          <w:rFonts w:hint="default" w:ascii="宋体" w:hAnsi="宋体" w:eastAsia="宋体" w:cs="宋体"/>
          <w:b/>
          <w:bCs/>
          <w:color w:val="auto"/>
          <w:sz w:val="24"/>
          <w:szCs w:val="24"/>
          <w:lang w:val="en-US"/>
        </w:rPr>
      </w:pPr>
      <w:r>
        <w:rPr>
          <w:rFonts w:hint="eastAsia" w:ascii="宋体" w:hAnsi="宋体" w:eastAsia="宋体" w:cs="宋体"/>
          <w:b/>
          <w:bCs/>
          <w:color w:val="auto"/>
          <w:sz w:val="24"/>
          <w:szCs w:val="24"/>
          <w:lang w:eastAsia="zh-CN"/>
        </w:rPr>
        <w:fldChar w:fldCharType="begin"/>
      </w:r>
      <w:r>
        <w:rPr>
          <w:rFonts w:hint="eastAsia" w:ascii="宋体" w:hAnsi="宋体" w:eastAsia="宋体" w:cs="宋体"/>
          <w:b/>
          <w:bCs/>
          <w:color w:val="auto"/>
          <w:sz w:val="24"/>
          <w:szCs w:val="24"/>
          <w:lang w:eastAsia="zh-CN"/>
        </w:rPr>
        <w:instrText xml:space="preserve"> HYPERLINK \l _Toc9810 </w:instrText>
      </w:r>
      <w:r>
        <w:rPr>
          <w:rFonts w:hint="eastAsia" w:ascii="宋体" w:hAnsi="宋体" w:eastAsia="宋体" w:cs="宋体"/>
          <w:b/>
          <w:bCs/>
          <w:color w:val="auto"/>
          <w:sz w:val="24"/>
          <w:szCs w:val="24"/>
          <w:lang w:eastAsia="zh-CN"/>
        </w:rPr>
        <w:fldChar w:fldCharType="separate"/>
      </w:r>
      <w:r>
        <w:rPr>
          <w:rFonts w:hint="eastAsia" w:ascii="宋体" w:hAnsi="宋体" w:eastAsia="宋体" w:cs="宋体"/>
          <w:b/>
          <w:bCs/>
          <w:color w:val="auto"/>
          <w:sz w:val="24"/>
          <w:szCs w:val="24"/>
          <w:lang w:eastAsia="zh-CN"/>
        </w:rPr>
        <w:t>第</w:t>
      </w: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lang w:eastAsia="zh-CN"/>
        </w:rPr>
        <w:t>章</w:t>
      </w:r>
      <w:r>
        <w:rPr>
          <w:rFonts w:hint="eastAsia" w:ascii="宋体" w:hAnsi="宋体" w:eastAsia="宋体" w:cs="宋体"/>
          <w:b/>
          <w:bCs/>
          <w:color w:val="auto"/>
          <w:sz w:val="24"/>
          <w:szCs w:val="24"/>
          <w:lang w:val="en-US" w:eastAsia="zh-CN"/>
        </w:rPr>
        <w:t xml:space="preserve"> 采购需求及要求</w:t>
      </w:r>
      <w:r>
        <w:rPr>
          <w:rFonts w:hint="eastAsia" w:ascii="宋体" w:hAnsi="宋体" w:eastAsia="宋体" w:cs="宋体"/>
          <w:b/>
          <w:bCs/>
          <w:color w:val="auto"/>
          <w:sz w:val="24"/>
          <w:szCs w:val="24"/>
        </w:rPr>
        <w:tab/>
      </w:r>
      <w:r>
        <w:rPr>
          <w:rFonts w:hint="eastAsia" w:cs="宋体"/>
          <w:b/>
          <w:bCs/>
          <w:color w:val="auto"/>
          <w:sz w:val="24"/>
          <w:szCs w:val="24"/>
          <w:lang w:val="en-US" w:eastAsia="zh-CN"/>
        </w:rPr>
        <w:t>5</w:t>
      </w:r>
      <w:r>
        <w:rPr>
          <w:rFonts w:hint="eastAsia" w:ascii="宋体" w:hAnsi="宋体" w:eastAsia="宋体" w:cs="宋体"/>
          <w:b/>
          <w:bCs/>
          <w:color w:val="auto"/>
          <w:sz w:val="24"/>
          <w:szCs w:val="24"/>
          <w:lang w:eastAsia="zh-CN"/>
        </w:rPr>
        <w:fldChar w:fldCharType="end"/>
      </w:r>
      <w:r>
        <w:rPr>
          <w:rFonts w:hint="eastAsia" w:cs="宋体"/>
          <w:b/>
          <w:bCs/>
          <w:color w:val="auto"/>
          <w:sz w:val="24"/>
          <w:szCs w:val="24"/>
          <w:lang w:val="en-US" w:eastAsia="zh-CN"/>
        </w:rPr>
        <w:t>0</w:t>
      </w:r>
    </w:p>
    <w:p w14:paraId="28D32EF0">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_Toc5014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rPr>
        <w:t>、特别说明与规定</w:t>
      </w:r>
      <w:r>
        <w:rPr>
          <w:rFonts w:hint="eastAsia" w:ascii="宋体" w:hAnsi="宋体" w:eastAsia="宋体" w:cs="宋体"/>
          <w:color w:val="auto"/>
          <w:sz w:val="24"/>
          <w:szCs w:val="24"/>
        </w:rPr>
        <w:tab/>
      </w:r>
      <w:r>
        <w:rPr>
          <w:rFonts w:hint="eastAsia" w:cs="宋体"/>
          <w:color w:val="auto"/>
          <w:sz w:val="24"/>
          <w:szCs w:val="24"/>
          <w:lang w:val="en-US" w:eastAsia="zh-CN"/>
        </w:rPr>
        <w:t>5</w:t>
      </w:r>
      <w:r>
        <w:rPr>
          <w:rFonts w:hint="eastAsia" w:ascii="宋体" w:hAnsi="宋体" w:eastAsia="宋体" w:cs="宋体"/>
          <w:color w:val="auto"/>
          <w:sz w:val="24"/>
          <w:szCs w:val="24"/>
          <w:lang w:eastAsia="zh-CN"/>
        </w:rPr>
        <w:fldChar w:fldCharType="end"/>
      </w:r>
      <w:r>
        <w:rPr>
          <w:rFonts w:hint="eastAsia" w:cs="宋体"/>
          <w:color w:val="auto"/>
          <w:sz w:val="24"/>
          <w:szCs w:val="24"/>
          <w:lang w:val="en-US" w:eastAsia="zh-CN"/>
        </w:rPr>
        <w:t>0</w:t>
      </w:r>
    </w:p>
    <w:p w14:paraId="64F1377A">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eastAsia" w:cs="宋体"/>
          <w:color w:val="auto"/>
          <w:sz w:val="24"/>
          <w:szCs w:val="24"/>
          <w:lang w:val="en-US" w:eastAsia="zh-CN"/>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_Toc24816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二、技术要求</w:t>
      </w:r>
      <w:r>
        <w:rPr>
          <w:rFonts w:hint="eastAsia" w:ascii="宋体" w:hAnsi="宋体" w:eastAsia="宋体" w:cs="宋体"/>
          <w:color w:val="auto"/>
          <w:sz w:val="24"/>
          <w:szCs w:val="24"/>
        </w:rPr>
        <w:tab/>
      </w:r>
      <w:r>
        <w:rPr>
          <w:rFonts w:hint="eastAsia" w:cs="宋体"/>
          <w:color w:val="auto"/>
          <w:sz w:val="24"/>
          <w:szCs w:val="24"/>
          <w:lang w:val="en-US" w:eastAsia="zh-CN"/>
        </w:rPr>
        <w:t>5</w:t>
      </w:r>
      <w:r>
        <w:rPr>
          <w:rFonts w:hint="eastAsia" w:ascii="宋体" w:hAnsi="宋体" w:eastAsia="宋体" w:cs="宋体"/>
          <w:color w:val="auto"/>
          <w:sz w:val="24"/>
          <w:szCs w:val="24"/>
          <w:lang w:eastAsia="zh-CN"/>
        </w:rPr>
        <w:fldChar w:fldCharType="end"/>
      </w:r>
      <w:r>
        <w:rPr>
          <w:rFonts w:hint="eastAsia" w:cs="宋体"/>
          <w:color w:val="auto"/>
          <w:sz w:val="24"/>
          <w:szCs w:val="24"/>
          <w:lang w:val="en-US" w:eastAsia="zh-CN"/>
        </w:rPr>
        <w:t>2</w:t>
      </w:r>
    </w:p>
    <w:p w14:paraId="75A64CFC">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_Toc8801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三、</w:t>
      </w:r>
      <w:r>
        <w:rPr>
          <w:rFonts w:hint="eastAsia" w:cs="宋体"/>
          <w:color w:val="auto"/>
          <w:sz w:val="24"/>
          <w:szCs w:val="24"/>
          <w:lang w:val="en-US" w:eastAsia="zh-CN"/>
        </w:rPr>
        <w:t>其他</w:t>
      </w:r>
      <w:r>
        <w:rPr>
          <w:rFonts w:hint="eastAsia" w:ascii="宋体" w:hAnsi="宋体" w:eastAsia="宋体" w:cs="宋体"/>
          <w:color w:val="auto"/>
          <w:sz w:val="24"/>
          <w:szCs w:val="24"/>
          <w:lang w:val="en-US" w:eastAsia="zh-CN"/>
        </w:rPr>
        <w:t>商务要求</w:t>
      </w:r>
      <w:r>
        <w:rPr>
          <w:rFonts w:hint="eastAsia" w:ascii="宋体" w:hAnsi="宋体" w:eastAsia="宋体" w:cs="宋体"/>
          <w:color w:val="auto"/>
          <w:sz w:val="24"/>
          <w:szCs w:val="24"/>
        </w:rPr>
        <w:tab/>
      </w:r>
      <w:r>
        <w:rPr>
          <w:rFonts w:hint="eastAsia" w:cs="宋体"/>
          <w:color w:val="auto"/>
          <w:sz w:val="24"/>
          <w:szCs w:val="24"/>
          <w:lang w:val="en-US" w:eastAsia="zh-CN"/>
        </w:rPr>
        <w:t>5</w:t>
      </w:r>
      <w:r>
        <w:rPr>
          <w:rFonts w:hint="eastAsia" w:ascii="宋体" w:hAnsi="宋体" w:eastAsia="宋体" w:cs="宋体"/>
          <w:color w:val="auto"/>
          <w:sz w:val="24"/>
          <w:szCs w:val="24"/>
          <w:lang w:eastAsia="zh-CN"/>
        </w:rPr>
        <w:fldChar w:fldCharType="end"/>
      </w:r>
      <w:r>
        <w:rPr>
          <w:rFonts w:hint="eastAsia" w:cs="宋体"/>
          <w:color w:val="auto"/>
          <w:sz w:val="24"/>
          <w:szCs w:val="24"/>
          <w:lang w:val="en-US" w:eastAsia="zh-CN"/>
        </w:rPr>
        <w:t>4</w:t>
      </w:r>
    </w:p>
    <w:p w14:paraId="39D7C416">
      <w:pPr>
        <w:pStyle w:val="46"/>
        <w:keepNext w:val="0"/>
        <w:keepLines w:val="0"/>
        <w:pageBreakBefore w:val="0"/>
        <w:widowControl w:val="0"/>
        <w:tabs>
          <w:tab w:val="right" w:leader="dot" w:pos="9638"/>
        </w:tabs>
        <w:kinsoku/>
        <w:overflowPunct/>
        <w:autoSpaceDE/>
        <w:autoSpaceDN/>
        <w:bidi w:val="0"/>
        <w:adjustRightInd/>
        <w:snapToGrid/>
        <w:spacing w:line="360" w:lineRule="auto"/>
        <w:ind w:left="0"/>
        <w:textAlignment w:val="auto"/>
        <w:rPr>
          <w:rFonts w:hint="default" w:ascii="宋体" w:hAnsi="宋体" w:eastAsia="宋体" w:cs="宋体"/>
          <w:b/>
          <w:bCs/>
          <w:color w:val="auto"/>
          <w:sz w:val="24"/>
          <w:szCs w:val="24"/>
          <w:lang w:val="en-US"/>
        </w:rPr>
      </w:pPr>
      <w:r>
        <w:rPr>
          <w:rFonts w:hint="eastAsia" w:ascii="宋体" w:hAnsi="宋体" w:eastAsia="宋体" w:cs="宋体"/>
          <w:b/>
          <w:bCs/>
          <w:color w:val="auto"/>
          <w:sz w:val="24"/>
          <w:szCs w:val="24"/>
          <w:lang w:eastAsia="zh-CN"/>
        </w:rPr>
        <w:fldChar w:fldCharType="begin"/>
      </w:r>
      <w:r>
        <w:rPr>
          <w:rFonts w:hint="eastAsia" w:ascii="宋体" w:hAnsi="宋体" w:eastAsia="宋体" w:cs="宋体"/>
          <w:b/>
          <w:bCs/>
          <w:color w:val="auto"/>
          <w:sz w:val="24"/>
          <w:szCs w:val="24"/>
          <w:lang w:eastAsia="zh-CN"/>
        </w:rPr>
        <w:instrText xml:space="preserve"> HYPERLINK \l _Toc26305 </w:instrText>
      </w:r>
      <w:r>
        <w:rPr>
          <w:rFonts w:hint="eastAsia" w:ascii="宋体" w:hAnsi="宋体" w:eastAsia="宋体" w:cs="宋体"/>
          <w:b/>
          <w:bCs/>
          <w:color w:val="auto"/>
          <w:sz w:val="24"/>
          <w:szCs w:val="24"/>
          <w:lang w:eastAsia="zh-CN"/>
        </w:rPr>
        <w:fldChar w:fldCharType="separate"/>
      </w:r>
      <w:r>
        <w:rPr>
          <w:rFonts w:hint="eastAsia" w:ascii="宋体" w:hAnsi="宋体" w:eastAsia="宋体" w:cs="宋体"/>
          <w:b/>
          <w:bCs/>
          <w:color w:val="auto"/>
          <w:sz w:val="24"/>
          <w:szCs w:val="24"/>
          <w:lang w:eastAsia="zh-CN"/>
        </w:rPr>
        <w:t>第</w:t>
      </w: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lang w:eastAsia="zh-CN"/>
        </w:rPr>
        <w:t>章</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合同条款及格式</w:t>
      </w:r>
      <w:r>
        <w:rPr>
          <w:rFonts w:hint="eastAsia" w:ascii="宋体" w:hAnsi="宋体" w:eastAsia="宋体" w:cs="宋体"/>
          <w:b/>
          <w:bCs/>
          <w:color w:val="auto"/>
          <w:sz w:val="24"/>
          <w:szCs w:val="24"/>
        </w:rPr>
        <w:tab/>
      </w:r>
      <w:r>
        <w:rPr>
          <w:rFonts w:hint="eastAsia" w:cs="宋体"/>
          <w:b/>
          <w:bCs/>
          <w:color w:val="auto"/>
          <w:sz w:val="24"/>
          <w:szCs w:val="24"/>
          <w:lang w:val="en-US" w:eastAsia="zh-CN"/>
        </w:rPr>
        <w:t>6</w:t>
      </w:r>
      <w:r>
        <w:rPr>
          <w:rFonts w:hint="eastAsia" w:ascii="宋体" w:hAnsi="宋体" w:eastAsia="宋体" w:cs="宋体"/>
          <w:b/>
          <w:bCs/>
          <w:color w:val="auto"/>
          <w:sz w:val="24"/>
          <w:szCs w:val="24"/>
          <w:lang w:eastAsia="zh-CN"/>
        </w:rPr>
        <w:fldChar w:fldCharType="end"/>
      </w:r>
      <w:r>
        <w:rPr>
          <w:rFonts w:hint="eastAsia" w:cs="宋体"/>
          <w:b/>
          <w:bCs/>
          <w:color w:val="auto"/>
          <w:sz w:val="24"/>
          <w:szCs w:val="24"/>
          <w:lang w:val="en-US" w:eastAsia="zh-CN"/>
        </w:rPr>
        <w:t>0</w:t>
      </w:r>
    </w:p>
    <w:p w14:paraId="0EFAE34E">
      <w:pPr>
        <w:pStyle w:val="46"/>
        <w:keepNext w:val="0"/>
        <w:keepLines w:val="0"/>
        <w:pageBreakBefore w:val="0"/>
        <w:widowControl w:val="0"/>
        <w:tabs>
          <w:tab w:val="right" w:leader="dot" w:pos="9638"/>
        </w:tabs>
        <w:kinsoku/>
        <w:overflowPunct/>
        <w:autoSpaceDE/>
        <w:autoSpaceDN/>
        <w:bidi w:val="0"/>
        <w:adjustRightInd/>
        <w:snapToGrid/>
        <w:spacing w:line="360" w:lineRule="auto"/>
        <w:ind w:left="0"/>
        <w:textAlignment w:val="auto"/>
        <w:rPr>
          <w:rFonts w:hint="default" w:ascii="宋体" w:hAnsi="宋体" w:eastAsia="宋体" w:cs="宋体"/>
          <w:b/>
          <w:bCs/>
          <w:color w:val="auto"/>
          <w:sz w:val="24"/>
          <w:szCs w:val="24"/>
          <w:lang w:val="en-US"/>
        </w:rPr>
      </w:pPr>
      <w:r>
        <w:rPr>
          <w:rFonts w:hint="eastAsia" w:ascii="宋体" w:hAnsi="宋体" w:eastAsia="宋体" w:cs="宋体"/>
          <w:b/>
          <w:bCs/>
          <w:color w:val="auto"/>
          <w:sz w:val="24"/>
          <w:szCs w:val="24"/>
          <w:lang w:eastAsia="zh-CN"/>
        </w:rPr>
        <w:fldChar w:fldCharType="begin"/>
      </w:r>
      <w:r>
        <w:rPr>
          <w:rFonts w:hint="eastAsia" w:ascii="宋体" w:hAnsi="宋体" w:eastAsia="宋体" w:cs="宋体"/>
          <w:b/>
          <w:bCs/>
          <w:color w:val="auto"/>
          <w:sz w:val="24"/>
          <w:szCs w:val="24"/>
          <w:lang w:eastAsia="zh-CN"/>
        </w:rPr>
        <w:instrText xml:space="preserve"> HYPERLINK \l _Toc5392 </w:instrText>
      </w:r>
      <w:r>
        <w:rPr>
          <w:rFonts w:hint="eastAsia" w:ascii="宋体" w:hAnsi="宋体" w:eastAsia="宋体" w:cs="宋体"/>
          <w:b/>
          <w:bCs/>
          <w:color w:val="auto"/>
          <w:sz w:val="24"/>
          <w:szCs w:val="24"/>
          <w:lang w:eastAsia="zh-CN"/>
        </w:rPr>
        <w:fldChar w:fldCharType="separate"/>
      </w:r>
      <w:r>
        <w:rPr>
          <w:rFonts w:hint="eastAsia" w:ascii="宋体" w:hAnsi="宋体" w:eastAsia="宋体" w:cs="宋体"/>
          <w:b/>
          <w:bCs/>
          <w:color w:val="auto"/>
          <w:sz w:val="24"/>
          <w:szCs w:val="24"/>
          <w:lang w:eastAsia="zh-CN"/>
        </w:rPr>
        <w:t>第六章</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投标文件格式</w:t>
      </w:r>
      <w:r>
        <w:rPr>
          <w:rFonts w:hint="eastAsia" w:ascii="宋体" w:hAnsi="宋体" w:eastAsia="宋体" w:cs="宋体"/>
          <w:b/>
          <w:bCs/>
          <w:color w:val="auto"/>
          <w:sz w:val="24"/>
          <w:szCs w:val="24"/>
        </w:rPr>
        <w:tab/>
      </w:r>
      <w:r>
        <w:rPr>
          <w:rFonts w:hint="eastAsia" w:cs="宋体"/>
          <w:b/>
          <w:bCs/>
          <w:color w:val="auto"/>
          <w:sz w:val="24"/>
          <w:szCs w:val="24"/>
          <w:lang w:val="en-US" w:eastAsia="zh-CN"/>
        </w:rPr>
        <w:t>8</w:t>
      </w:r>
      <w:r>
        <w:rPr>
          <w:rFonts w:hint="eastAsia" w:ascii="宋体" w:hAnsi="宋体" w:eastAsia="宋体" w:cs="宋体"/>
          <w:b/>
          <w:bCs/>
          <w:color w:val="auto"/>
          <w:sz w:val="24"/>
          <w:szCs w:val="24"/>
          <w:lang w:eastAsia="zh-CN"/>
        </w:rPr>
        <w:fldChar w:fldCharType="end"/>
      </w:r>
      <w:r>
        <w:rPr>
          <w:rFonts w:hint="eastAsia" w:cs="宋体"/>
          <w:b/>
          <w:bCs/>
          <w:color w:val="auto"/>
          <w:sz w:val="24"/>
          <w:szCs w:val="24"/>
          <w:lang w:val="en-US" w:eastAsia="zh-CN"/>
        </w:rPr>
        <w:t>9</w:t>
      </w:r>
    </w:p>
    <w:p w14:paraId="4F24520E">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_Toc22489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资格审查部分</w:t>
      </w:r>
      <w:r>
        <w:rPr>
          <w:rFonts w:hint="eastAsia" w:ascii="宋体" w:hAnsi="宋体" w:eastAsia="宋体" w:cs="宋体"/>
          <w:color w:val="auto"/>
          <w:sz w:val="24"/>
          <w:szCs w:val="24"/>
        </w:rPr>
        <w:tab/>
      </w:r>
      <w:r>
        <w:rPr>
          <w:rFonts w:hint="eastAsia" w:cs="宋体"/>
          <w:color w:val="auto"/>
          <w:sz w:val="24"/>
          <w:szCs w:val="24"/>
          <w:lang w:val="en-US" w:eastAsia="zh-CN"/>
        </w:rPr>
        <w:t>9</w:t>
      </w:r>
      <w:r>
        <w:rPr>
          <w:rFonts w:hint="eastAsia" w:ascii="宋体" w:hAnsi="宋体" w:eastAsia="宋体" w:cs="宋体"/>
          <w:color w:val="auto"/>
          <w:sz w:val="24"/>
          <w:szCs w:val="24"/>
          <w:lang w:eastAsia="zh-CN"/>
        </w:rPr>
        <w:fldChar w:fldCharType="end"/>
      </w:r>
      <w:r>
        <w:rPr>
          <w:rFonts w:hint="eastAsia" w:cs="宋体"/>
          <w:color w:val="auto"/>
          <w:sz w:val="24"/>
          <w:szCs w:val="24"/>
          <w:lang w:val="en-US" w:eastAsia="zh-CN"/>
        </w:rPr>
        <w:t>1</w:t>
      </w:r>
    </w:p>
    <w:p w14:paraId="63F6F184">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_Toc23242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报价</w:t>
      </w:r>
      <w:r>
        <w:rPr>
          <w:rFonts w:hint="eastAsia" w:ascii="宋体" w:hAnsi="宋体" w:eastAsia="宋体" w:cs="宋体"/>
          <w:color w:val="auto"/>
          <w:sz w:val="24"/>
          <w:szCs w:val="24"/>
          <w:lang w:eastAsia="zh-CN"/>
        </w:rPr>
        <w:t>部分</w:t>
      </w:r>
      <w:r>
        <w:rPr>
          <w:rFonts w:hint="eastAsia" w:ascii="宋体" w:hAnsi="宋体" w:eastAsia="宋体" w:cs="宋体"/>
          <w:color w:val="auto"/>
          <w:sz w:val="24"/>
          <w:szCs w:val="24"/>
        </w:rPr>
        <w:tab/>
      </w:r>
      <w:r>
        <w:rPr>
          <w:rFonts w:hint="eastAsia" w:cs="宋体"/>
          <w:color w:val="auto"/>
          <w:sz w:val="24"/>
          <w:szCs w:val="24"/>
          <w:lang w:val="en-US" w:eastAsia="zh-CN"/>
        </w:rPr>
        <w:t>1</w:t>
      </w:r>
      <w:r>
        <w:rPr>
          <w:rFonts w:hint="eastAsia" w:ascii="宋体" w:hAnsi="宋体" w:eastAsia="宋体" w:cs="宋体"/>
          <w:color w:val="auto"/>
          <w:sz w:val="24"/>
          <w:szCs w:val="24"/>
          <w:lang w:eastAsia="zh-CN"/>
        </w:rPr>
        <w:fldChar w:fldCharType="end"/>
      </w:r>
      <w:r>
        <w:rPr>
          <w:rFonts w:hint="eastAsia" w:cs="宋体"/>
          <w:color w:val="auto"/>
          <w:sz w:val="24"/>
          <w:szCs w:val="24"/>
          <w:lang w:val="en-US" w:eastAsia="zh-CN"/>
        </w:rPr>
        <w:t>05</w:t>
      </w:r>
    </w:p>
    <w:p w14:paraId="03E8375D">
      <w:pPr>
        <w:pStyle w:val="56"/>
        <w:keepNext w:val="0"/>
        <w:keepLines w:val="0"/>
        <w:pageBreakBefore w:val="0"/>
        <w:widowControl w:val="0"/>
        <w:tabs>
          <w:tab w:val="right" w:leader="dot" w:pos="9638"/>
        </w:tabs>
        <w:kinsoku/>
        <w:overflowPunct/>
        <w:autoSpaceDE/>
        <w:autoSpaceDN/>
        <w:bidi w:val="0"/>
        <w:adjustRightInd/>
        <w:snapToGrid/>
        <w:spacing w:line="360" w:lineRule="auto"/>
        <w:ind w:left="0" w:firstLine="480" w:firstLineChars="200"/>
        <w:textAlignment w:val="auto"/>
        <w:rPr>
          <w:rFonts w:hint="default" w:ascii="宋体" w:hAnsi="宋体" w:eastAsia="宋体" w:cs="宋体"/>
          <w:color w:val="auto"/>
          <w:sz w:val="24"/>
          <w:szCs w:val="24"/>
          <w:lang w:val="en-US"/>
        </w:rPr>
      </w:pPr>
      <w:r>
        <w:rPr>
          <w:rFonts w:hint="eastAsia" w:cs="宋体"/>
          <w:color w:val="auto"/>
          <w:sz w:val="24"/>
          <w:szCs w:val="24"/>
          <w:lang w:val="en-US" w:eastAsia="zh-CN"/>
        </w:rPr>
        <w:t>技术、</w:t>
      </w: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_Toc10976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商务部分</w:t>
      </w:r>
      <w:r>
        <w:rPr>
          <w:rFonts w:hint="eastAsia" w:ascii="宋体" w:hAnsi="宋体" w:eastAsia="宋体" w:cs="宋体"/>
          <w:color w:val="auto"/>
          <w:sz w:val="24"/>
          <w:szCs w:val="24"/>
        </w:rPr>
        <w:tab/>
      </w:r>
      <w:r>
        <w:rPr>
          <w:rFonts w:hint="eastAsia" w:cs="宋体"/>
          <w:color w:val="auto"/>
          <w:sz w:val="24"/>
          <w:szCs w:val="24"/>
          <w:lang w:val="en-US" w:eastAsia="zh-CN"/>
        </w:rPr>
        <w:t>1</w:t>
      </w:r>
      <w:r>
        <w:rPr>
          <w:rFonts w:hint="eastAsia" w:ascii="宋体" w:hAnsi="宋体" w:eastAsia="宋体" w:cs="宋体"/>
          <w:color w:val="auto"/>
          <w:sz w:val="24"/>
          <w:szCs w:val="24"/>
          <w:lang w:eastAsia="zh-CN"/>
        </w:rPr>
        <w:fldChar w:fldCharType="end"/>
      </w:r>
      <w:r>
        <w:rPr>
          <w:rFonts w:hint="eastAsia" w:cs="宋体"/>
          <w:color w:val="auto"/>
          <w:sz w:val="24"/>
          <w:szCs w:val="24"/>
          <w:lang w:val="en-US" w:eastAsia="zh-CN"/>
        </w:rPr>
        <w:t>13</w:t>
      </w:r>
    </w:p>
    <w:p w14:paraId="6E0569CC">
      <w:pPr>
        <w:pStyle w:val="35"/>
        <w:keepNext w:val="0"/>
        <w:keepLines w:val="0"/>
        <w:pageBreakBefore w:val="0"/>
        <w:widowControl w:val="0"/>
        <w:tabs>
          <w:tab w:val="right" w:leader="dot" w:pos="8736"/>
        </w:tabs>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32"/>
          <w:szCs w:val="28"/>
          <w:lang w:eastAsia="zh-CN"/>
        </w:rPr>
      </w:pPr>
      <w:r>
        <w:rPr>
          <w:rFonts w:hint="eastAsia" w:ascii="宋体" w:hAnsi="宋体" w:eastAsia="宋体" w:cs="宋体"/>
          <w:color w:val="auto"/>
          <w:sz w:val="24"/>
          <w:szCs w:val="24"/>
          <w:lang w:eastAsia="zh-CN"/>
        </w:rPr>
        <w:fldChar w:fldCharType="end"/>
      </w:r>
    </w:p>
    <w:p w14:paraId="19A922D3">
      <w:pPr>
        <w:pStyle w:val="3"/>
        <w:keepNext w:val="0"/>
        <w:keepLines w:val="0"/>
        <w:pageBreakBefore w:val="0"/>
        <w:widowControl w:val="0"/>
        <w:kinsoku/>
        <w:wordWrap w:val="0"/>
        <w:overflowPunct/>
        <w:topLinePunct/>
        <w:autoSpaceDE/>
        <w:autoSpaceDN/>
        <w:bidi w:val="0"/>
        <w:adjustRightInd/>
        <w:snapToGrid/>
        <w:spacing w:before="0" w:after="0"/>
        <w:ind w:left="0" w:leftChars="0" w:right="0"/>
        <w:rPr>
          <w:rStyle w:val="89"/>
          <w:rFonts w:hint="eastAsia" w:ascii="宋体" w:hAnsi="宋体" w:eastAsia="宋体" w:cs="宋体"/>
          <w:b/>
          <w:color w:val="auto"/>
          <w:lang w:eastAsia="zh-CN"/>
        </w:rPr>
        <w:sectPr>
          <w:pgSz w:w="11906" w:h="16838"/>
          <w:pgMar w:top="1220" w:right="1080" w:bottom="1440" w:left="1080" w:header="709" w:footer="737" w:gutter="0"/>
          <w:pgBorders>
            <w:top w:val="none" w:sz="0" w:space="0"/>
            <w:left w:val="none" w:sz="0" w:space="0"/>
            <w:bottom w:val="none" w:sz="0" w:space="0"/>
            <w:right w:val="none" w:sz="0" w:space="0"/>
          </w:pgBorders>
          <w:pgNumType w:fmt="decimal" w:start="1"/>
          <w:cols w:space="720" w:num="1"/>
          <w:titlePg/>
          <w:rtlGutter w:val="0"/>
          <w:docGrid w:linePitch="299" w:charSpace="0"/>
        </w:sectPr>
      </w:pPr>
      <w:bookmarkStart w:id="0" w:name="_Toc497486315"/>
    </w:p>
    <w:p w14:paraId="7C0E9D60">
      <w:pPr>
        <w:pStyle w:val="3"/>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rPr>
          <w:rFonts w:hint="eastAsia" w:ascii="宋体" w:hAnsi="宋体" w:eastAsia="宋体" w:cs="宋体"/>
          <w:color w:val="auto"/>
          <w:sz w:val="40"/>
          <w:lang w:eastAsia="zh-CN"/>
        </w:rPr>
      </w:pPr>
      <w:bookmarkStart w:id="1" w:name="_Toc30547"/>
      <w:r>
        <w:rPr>
          <w:rStyle w:val="89"/>
          <w:rFonts w:hint="eastAsia" w:ascii="宋体" w:hAnsi="宋体" w:eastAsia="宋体" w:cs="宋体"/>
          <w:b/>
          <w:color w:val="auto"/>
          <w:lang w:eastAsia="zh-CN"/>
        </w:rPr>
        <w:t>第一章</w:t>
      </w:r>
      <w:bookmarkEnd w:id="0"/>
      <w:bookmarkStart w:id="2" w:name="_Hlk145057294"/>
      <w:r>
        <w:rPr>
          <w:rStyle w:val="89"/>
          <w:rFonts w:hint="eastAsia" w:ascii="宋体" w:hAnsi="宋体" w:eastAsia="宋体" w:cs="宋体"/>
          <w:b/>
          <w:color w:val="auto"/>
          <w:lang w:val="en-US" w:eastAsia="zh-CN"/>
        </w:rPr>
        <w:t xml:space="preserve"> </w:t>
      </w:r>
      <w:r>
        <w:rPr>
          <w:rStyle w:val="89"/>
          <w:rFonts w:hint="eastAsia" w:ascii="宋体" w:hAnsi="宋体" w:eastAsia="宋体" w:cs="宋体"/>
          <w:b/>
          <w:color w:val="auto"/>
          <w:lang w:eastAsia="zh-CN"/>
        </w:rPr>
        <w:t>招标公告</w:t>
      </w:r>
      <w:bookmarkEnd w:id="1"/>
    </w:p>
    <w:bookmarkEnd w:id="2"/>
    <w:p w14:paraId="14310A4F">
      <w:pPr>
        <w:pStyle w:val="3"/>
        <w:keepNext w:val="0"/>
        <w:keepLines w:val="0"/>
        <w:pageBreakBefore w:val="0"/>
        <w:widowControl w:val="0"/>
        <w:kinsoku/>
        <w:overflowPunct/>
        <w:autoSpaceDE/>
        <w:autoSpaceDN/>
        <w:bidi w:val="0"/>
        <w:adjustRightInd/>
        <w:snapToGrid/>
        <w:spacing w:before="0" w:after="0" w:line="430" w:lineRule="exact"/>
        <w:ind w:left="0" w:firstLine="482" w:firstLineChars="200"/>
        <w:jc w:val="left"/>
        <w:textAlignment w:val="auto"/>
        <w:rPr>
          <w:rFonts w:hint="eastAsia" w:ascii="宋体" w:hAnsi="宋体" w:eastAsia="宋体" w:cs="宋体"/>
          <w:color w:val="auto"/>
          <w:sz w:val="24"/>
          <w:szCs w:val="24"/>
          <w:lang w:eastAsia="zh-CN"/>
        </w:rPr>
      </w:pPr>
      <w:bookmarkStart w:id="3" w:name="_Toc88638735"/>
      <w:bookmarkStart w:id="4" w:name="_Toc14915"/>
      <w:bookmarkStart w:id="5" w:name="_Toc144646644"/>
      <w:bookmarkStart w:id="6" w:name="_Toc88646720"/>
      <w:bookmarkStart w:id="7" w:name="_Toc145067542"/>
      <w:bookmarkStart w:id="8" w:name="_Toc9329733"/>
      <w:bookmarkStart w:id="9" w:name="_Hlk66894590"/>
      <w:bookmarkStart w:id="10" w:name="_Hlk102052857"/>
      <w:bookmarkStart w:id="11" w:name="_Hlk149487957"/>
      <w:r>
        <w:rPr>
          <w:rFonts w:hint="eastAsia" w:ascii="宋体" w:hAnsi="宋体" w:eastAsia="宋体" w:cs="宋体"/>
          <w:color w:val="auto"/>
          <w:sz w:val="24"/>
          <w:szCs w:val="24"/>
          <w:lang w:eastAsia="zh-CN"/>
        </w:rPr>
        <w:t>项目概况</w:t>
      </w:r>
      <w:bookmarkEnd w:id="3"/>
      <w:bookmarkEnd w:id="4"/>
      <w:bookmarkEnd w:id="5"/>
      <w:bookmarkEnd w:id="6"/>
      <w:bookmarkEnd w:id="7"/>
    </w:p>
    <w:p w14:paraId="0EB5A79F">
      <w:pPr>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u w:val="none"/>
          <w:lang w:val="en-US" w:eastAsia="zh-CN"/>
        </w:rPr>
        <w:t>南华县人民医院64排CT、血管造影X射线机维保服务采购项目</w:t>
      </w:r>
      <w:r>
        <w:rPr>
          <w:rFonts w:hint="eastAsia" w:ascii="宋体" w:hAnsi="宋体" w:eastAsia="宋体" w:cs="宋体"/>
          <w:color w:val="auto"/>
          <w:sz w:val="24"/>
          <w:szCs w:val="24"/>
          <w:lang w:eastAsia="zh-CN"/>
        </w:rPr>
        <w:t>的潜在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应在</w:t>
      </w:r>
      <w:r>
        <w:rPr>
          <w:rFonts w:hint="eastAsia" w:ascii="宋体" w:hAnsi="宋体" w:eastAsia="宋体" w:cs="宋体"/>
          <w:color w:val="auto"/>
          <w:sz w:val="24"/>
          <w:szCs w:val="24"/>
          <w:lang w:val="en-US" w:eastAsia="zh-CN"/>
        </w:rPr>
        <w:t>政府采购云平台获取招标文件</w:t>
      </w:r>
      <w:r>
        <w:rPr>
          <w:rFonts w:hint="eastAsia" w:ascii="宋体" w:hAnsi="宋体" w:eastAsia="宋体" w:cs="宋体"/>
          <w:color w:val="auto"/>
          <w:sz w:val="24"/>
          <w:szCs w:val="24"/>
          <w:lang w:eastAsia="zh-CN"/>
        </w:rPr>
        <w:t>，并于</w:t>
      </w:r>
      <w:bookmarkStart w:id="12" w:name="_Hlk146221035"/>
      <w:r>
        <w:rPr>
          <w:rFonts w:hint="eastAsia" w:ascii="宋体" w:hAnsi="宋体" w:eastAsia="宋体" w:cs="宋体"/>
          <w:color w:val="auto"/>
          <w:sz w:val="24"/>
          <w:szCs w:val="24"/>
          <w:u w:val="none"/>
          <w:lang w:eastAsia="zh-CN"/>
        </w:rPr>
        <w:t>202</w:t>
      </w:r>
      <w:r>
        <w:rPr>
          <w:rFonts w:hint="eastAsia" w:ascii="宋体" w:hAnsi="宋体" w:cs="宋体"/>
          <w:color w:val="auto"/>
          <w:sz w:val="24"/>
          <w:szCs w:val="24"/>
          <w:u w:val="none"/>
          <w:lang w:val="en-US" w:eastAsia="zh-CN"/>
        </w:rPr>
        <w:t>5</w:t>
      </w:r>
      <w:r>
        <w:rPr>
          <w:rFonts w:hint="eastAsia" w:ascii="宋体" w:hAnsi="宋体" w:eastAsia="宋体" w:cs="宋体"/>
          <w:color w:val="auto"/>
          <w:sz w:val="24"/>
          <w:szCs w:val="24"/>
          <w:u w:val="none"/>
          <w:lang w:eastAsia="zh-CN"/>
        </w:rPr>
        <w:t>年</w:t>
      </w:r>
      <w:r>
        <w:rPr>
          <w:rFonts w:hint="eastAsia" w:ascii="宋体" w:hAnsi="宋体" w:cs="宋体"/>
          <w:color w:val="auto"/>
          <w:sz w:val="24"/>
          <w:szCs w:val="24"/>
          <w:u w:val="none"/>
          <w:lang w:val="en-US" w:eastAsia="zh-CN"/>
        </w:rPr>
        <w:t>10</w:t>
      </w:r>
      <w:r>
        <w:rPr>
          <w:rFonts w:hint="eastAsia" w:ascii="宋体" w:hAnsi="宋体" w:eastAsia="宋体" w:cs="宋体"/>
          <w:color w:val="auto"/>
          <w:sz w:val="24"/>
          <w:szCs w:val="24"/>
          <w:u w:val="none"/>
          <w:lang w:eastAsia="zh-CN"/>
        </w:rPr>
        <w:t>月</w:t>
      </w:r>
      <w:r>
        <w:rPr>
          <w:rFonts w:hint="eastAsia" w:ascii="宋体" w:hAnsi="宋体" w:cs="宋体"/>
          <w:color w:val="auto"/>
          <w:sz w:val="24"/>
          <w:szCs w:val="24"/>
          <w:u w:val="none"/>
          <w:lang w:val="en-US" w:eastAsia="zh-CN"/>
        </w:rPr>
        <w:t>31</w:t>
      </w:r>
      <w:r>
        <w:rPr>
          <w:rFonts w:hint="eastAsia" w:ascii="宋体" w:hAnsi="宋体" w:eastAsia="宋体" w:cs="宋体"/>
          <w:color w:val="auto"/>
          <w:sz w:val="24"/>
          <w:szCs w:val="24"/>
          <w:u w:val="none"/>
          <w:lang w:eastAsia="zh-CN"/>
        </w:rPr>
        <w:t>日</w:t>
      </w:r>
      <w:r>
        <w:rPr>
          <w:rFonts w:hint="eastAsia" w:ascii="宋体" w:hAnsi="宋体" w:cs="宋体"/>
          <w:color w:val="auto"/>
          <w:sz w:val="24"/>
          <w:szCs w:val="24"/>
          <w:u w:val="none"/>
          <w:lang w:val="en-US" w:eastAsia="zh-CN"/>
        </w:rPr>
        <w:t>09</w:t>
      </w:r>
      <w:r>
        <w:rPr>
          <w:rFonts w:hint="eastAsia" w:ascii="宋体" w:hAnsi="宋体" w:eastAsia="宋体" w:cs="宋体"/>
          <w:color w:val="auto"/>
          <w:sz w:val="24"/>
          <w:szCs w:val="24"/>
          <w:u w:val="none"/>
          <w:lang w:eastAsia="zh-CN"/>
        </w:rPr>
        <w:t>时</w:t>
      </w:r>
      <w:r>
        <w:rPr>
          <w:rFonts w:hint="eastAsia" w:ascii="宋体" w:hAnsi="宋体" w:cs="宋体"/>
          <w:color w:val="auto"/>
          <w:sz w:val="24"/>
          <w:szCs w:val="24"/>
          <w:u w:val="none"/>
          <w:lang w:val="en-US" w:eastAsia="zh-CN"/>
        </w:rPr>
        <w:t>00</w:t>
      </w:r>
      <w:r>
        <w:rPr>
          <w:rFonts w:hint="eastAsia" w:ascii="宋体" w:hAnsi="宋体" w:eastAsia="宋体" w:cs="宋体"/>
          <w:color w:val="auto"/>
          <w:sz w:val="24"/>
          <w:szCs w:val="24"/>
          <w:lang w:eastAsia="zh-CN"/>
        </w:rPr>
        <w:t>分</w:t>
      </w:r>
      <w:bookmarkEnd w:id="12"/>
      <w:r>
        <w:rPr>
          <w:rFonts w:hint="eastAsia" w:ascii="宋体" w:hAnsi="宋体" w:eastAsia="宋体" w:cs="宋体"/>
          <w:color w:val="auto"/>
          <w:sz w:val="24"/>
          <w:szCs w:val="24"/>
          <w:lang w:eastAsia="zh-CN"/>
        </w:rPr>
        <w:t>（北京时间）前递交投标文件。</w:t>
      </w:r>
    </w:p>
    <w:p w14:paraId="17E4290C">
      <w:pPr>
        <w:pStyle w:val="3"/>
        <w:keepNext w:val="0"/>
        <w:keepLines w:val="0"/>
        <w:pageBreakBefore w:val="0"/>
        <w:widowControl w:val="0"/>
        <w:kinsoku/>
        <w:overflowPunct/>
        <w:autoSpaceDE/>
        <w:autoSpaceDN/>
        <w:bidi w:val="0"/>
        <w:adjustRightInd/>
        <w:snapToGrid/>
        <w:spacing w:before="0" w:after="0" w:line="430" w:lineRule="exact"/>
        <w:ind w:firstLine="482" w:firstLineChars="200"/>
        <w:jc w:val="left"/>
        <w:textAlignment w:val="auto"/>
        <w:rPr>
          <w:rFonts w:hint="eastAsia" w:ascii="宋体" w:hAnsi="宋体" w:eastAsia="宋体" w:cs="宋体"/>
          <w:color w:val="auto"/>
          <w:sz w:val="24"/>
          <w:szCs w:val="24"/>
          <w:lang w:eastAsia="zh-CN"/>
        </w:rPr>
      </w:pPr>
      <w:bookmarkStart w:id="13" w:name="_Toc32540"/>
      <w:bookmarkStart w:id="14" w:name="_Toc88638737"/>
      <w:bookmarkStart w:id="15" w:name="_Toc145067543"/>
      <w:bookmarkStart w:id="16" w:name="_Toc88646721"/>
      <w:r>
        <w:rPr>
          <w:rFonts w:hint="eastAsia" w:ascii="宋体" w:hAnsi="宋体" w:eastAsia="宋体" w:cs="宋体"/>
          <w:color w:val="auto"/>
          <w:sz w:val="24"/>
          <w:szCs w:val="24"/>
          <w:lang w:eastAsia="zh-CN"/>
        </w:rPr>
        <w:t>一</w:t>
      </w:r>
      <w:bookmarkEnd w:id="8"/>
      <w:r>
        <w:rPr>
          <w:rFonts w:hint="eastAsia" w:ascii="宋体" w:hAnsi="宋体" w:eastAsia="宋体" w:cs="宋体"/>
          <w:color w:val="auto"/>
          <w:sz w:val="24"/>
          <w:szCs w:val="24"/>
          <w:lang w:eastAsia="zh-CN"/>
        </w:rPr>
        <w:t>、项目基本情况</w:t>
      </w:r>
      <w:bookmarkEnd w:id="13"/>
      <w:bookmarkEnd w:id="14"/>
      <w:bookmarkEnd w:id="15"/>
      <w:bookmarkEnd w:id="16"/>
    </w:p>
    <w:p w14:paraId="7B742A3B">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1.项目编号：</w:t>
      </w:r>
      <w:r>
        <w:rPr>
          <w:rFonts w:hint="eastAsia" w:cs="宋体"/>
          <w:color w:val="auto"/>
          <w:sz w:val="24"/>
          <w:szCs w:val="24"/>
          <w:lang w:eastAsia="zh-CN"/>
        </w:rPr>
        <w:t>CXZC2025-G3-00660-TKZB-0007</w:t>
      </w:r>
      <w:r>
        <w:rPr>
          <w:rFonts w:hint="eastAsia" w:ascii="宋体" w:hAnsi="宋体" w:eastAsia="宋体" w:cs="宋体"/>
          <w:color w:val="auto"/>
          <w:sz w:val="24"/>
          <w:szCs w:val="24"/>
          <w:lang w:eastAsia="zh-CN"/>
        </w:rPr>
        <w:t>；</w:t>
      </w:r>
    </w:p>
    <w:p w14:paraId="5D7F551C">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30" w:lineRule="exact"/>
        <w:ind w:left="0" w:right="0" w:firstLine="480" w:firstLineChars="2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2.项目名称：</w:t>
      </w:r>
      <w:r>
        <w:rPr>
          <w:rFonts w:hint="eastAsia" w:cs="宋体"/>
          <w:color w:val="auto"/>
          <w:sz w:val="24"/>
          <w:szCs w:val="24"/>
          <w:lang w:eastAsia="zh-CN"/>
        </w:rPr>
        <w:t>南华县人民医院64排CT、血管造影X射线机维保服务采购项目</w:t>
      </w:r>
      <w:r>
        <w:rPr>
          <w:rFonts w:hint="eastAsia" w:ascii="宋体" w:hAnsi="宋体" w:eastAsia="宋体" w:cs="宋体"/>
          <w:color w:val="auto"/>
          <w:sz w:val="24"/>
          <w:szCs w:val="24"/>
          <w:lang w:val="en-US" w:eastAsia="zh-CN"/>
        </w:rPr>
        <w:t>；</w:t>
      </w:r>
    </w:p>
    <w:p w14:paraId="1C9335DB">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3.预算金额：</w:t>
      </w:r>
      <w:r>
        <w:rPr>
          <w:rFonts w:hint="eastAsia" w:cs="宋体"/>
          <w:color w:val="auto"/>
          <w:sz w:val="24"/>
          <w:szCs w:val="24"/>
          <w:lang w:val="en-US" w:eastAsia="zh-CN"/>
        </w:rPr>
        <w:t>118.00</w:t>
      </w:r>
      <w:r>
        <w:rPr>
          <w:rFonts w:hint="eastAsia" w:ascii="宋体" w:hAnsi="宋体" w:eastAsia="宋体" w:cs="宋体"/>
          <w:color w:val="auto"/>
          <w:sz w:val="24"/>
          <w:szCs w:val="24"/>
          <w:lang w:val="en-US" w:eastAsia="zh-CN"/>
        </w:rPr>
        <w:t>万</w:t>
      </w:r>
      <w:r>
        <w:rPr>
          <w:rFonts w:hint="eastAsia" w:ascii="宋体" w:hAnsi="宋体" w:eastAsia="宋体" w:cs="宋体"/>
          <w:color w:val="auto"/>
          <w:sz w:val="24"/>
          <w:szCs w:val="24"/>
          <w:lang w:eastAsia="zh-CN"/>
        </w:rPr>
        <w:t>元；</w:t>
      </w:r>
    </w:p>
    <w:p w14:paraId="10B5497D">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30" w:lineRule="exact"/>
        <w:ind w:left="0" w:right="0" w:firstLine="480" w:firstLineChars="2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4.最高限价：</w:t>
      </w:r>
      <w:r>
        <w:rPr>
          <w:rFonts w:hint="eastAsia" w:cs="宋体"/>
          <w:color w:val="auto"/>
          <w:sz w:val="24"/>
          <w:szCs w:val="24"/>
          <w:lang w:val="en-US" w:eastAsia="zh-CN"/>
        </w:rPr>
        <w:t>118.00</w:t>
      </w:r>
      <w:r>
        <w:rPr>
          <w:rFonts w:hint="eastAsia" w:ascii="宋体" w:hAnsi="宋体" w:eastAsia="宋体" w:cs="宋体"/>
          <w:color w:val="auto"/>
          <w:sz w:val="24"/>
          <w:szCs w:val="24"/>
          <w:lang w:val="en-US" w:eastAsia="zh-CN"/>
        </w:rPr>
        <w:t>万</w:t>
      </w:r>
      <w:r>
        <w:rPr>
          <w:rFonts w:hint="eastAsia" w:ascii="宋体" w:hAnsi="宋体" w:eastAsia="宋体" w:cs="宋体"/>
          <w:color w:val="auto"/>
          <w:sz w:val="24"/>
          <w:szCs w:val="24"/>
          <w:lang w:eastAsia="zh-CN"/>
        </w:rPr>
        <w:t>元</w:t>
      </w:r>
      <w:r>
        <w:rPr>
          <w:rFonts w:hint="eastAsia" w:cs="宋体"/>
          <w:color w:val="auto"/>
          <w:sz w:val="24"/>
          <w:szCs w:val="24"/>
          <w:lang w:val="en-US" w:eastAsia="zh-CN"/>
        </w:rPr>
        <w:t>；</w:t>
      </w:r>
    </w:p>
    <w:p w14:paraId="254E2680">
      <w:pPr>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5.采购需求：采购</w:t>
      </w:r>
      <w:r>
        <w:rPr>
          <w:rFonts w:hint="eastAsia" w:ascii="宋体" w:hAnsi="宋体" w:cs="宋体"/>
          <w:color w:val="auto"/>
          <w:sz w:val="24"/>
          <w:szCs w:val="24"/>
          <w:lang w:val="en-US" w:eastAsia="zh-CN"/>
        </w:rPr>
        <w:t>南华县人民医院</w:t>
      </w:r>
      <w:r>
        <w:rPr>
          <w:rFonts w:hint="eastAsia" w:ascii="宋体" w:hAnsi="宋体" w:eastAsia="宋体" w:cs="宋体"/>
          <w:color w:val="auto"/>
          <w:sz w:val="24"/>
          <w:szCs w:val="24"/>
          <w:lang w:val="en-US" w:eastAsia="zh-CN"/>
        </w:rPr>
        <w:t>64排CT、血管造影X射线机维保服务</w:t>
      </w:r>
      <w:r>
        <w:rPr>
          <w:rFonts w:hint="eastAsia" w:ascii="宋体" w:hAnsi="宋体" w:cs="宋体"/>
          <w:color w:val="auto"/>
          <w:sz w:val="24"/>
          <w:szCs w:val="24"/>
          <w:lang w:val="en-US" w:eastAsia="zh-CN"/>
        </w:rPr>
        <w:t>，具体详见招标文件第四章“采购需求及要求”。</w:t>
      </w:r>
    </w:p>
    <w:p w14:paraId="1167D89F">
      <w:pPr>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6.合同履行期限：</w:t>
      </w:r>
      <w:r>
        <w:rPr>
          <w:rFonts w:hint="eastAsia" w:ascii="宋体" w:hAnsi="宋体" w:cs="宋体"/>
          <w:color w:val="auto"/>
          <w:sz w:val="24"/>
          <w:szCs w:val="24"/>
          <w:lang w:val="en-US" w:eastAsia="zh-CN"/>
        </w:rPr>
        <w:t>一</w:t>
      </w:r>
      <w:r>
        <w:rPr>
          <w:rFonts w:hint="eastAsia" w:ascii="宋体" w:hAnsi="宋体" w:cs="宋体"/>
          <w:color w:val="auto"/>
          <w:sz w:val="24"/>
          <w:szCs w:val="24"/>
          <w:lang w:eastAsia="zh-CN"/>
        </w:rPr>
        <w:t>年；</w:t>
      </w:r>
    </w:p>
    <w:p w14:paraId="355A0317">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7.本项目</w:t>
      </w:r>
      <w:r>
        <w:rPr>
          <w:rFonts w:hint="eastAsia" w:ascii="宋体" w:hAnsi="宋体" w:eastAsia="宋体" w:cs="宋体"/>
          <w:b w:val="0"/>
          <w:bCs w:val="0"/>
          <w:i w:val="0"/>
          <w:iCs w:val="0"/>
          <w:color w:val="auto"/>
          <w:sz w:val="24"/>
          <w:szCs w:val="24"/>
          <w:lang w:eastAsia="zh-CN"/>
        </w:rPr>
        <w:t>（</w:t>
      </w:r>
      <w:r>
        <w:rPr>
          <w:rFonts w:hint="eastAsia" w:ascii="宋体" w:hAnsi="宋体" w:eastAsia="宋体" w:cs="宋体"/>
          <w:b w:val="0"/>
          <w:bCs w:val="0"/>
          <w:i w:val="0"/>
          <w:iCs w:val="0"/>
          <w:color w:val="auto"/>
          <w:sz w:val="24"/>
          <w:szCs w:val="24"/>
          <w:lang w:val="en-US" w:eastAsia="zh-CN"/>
        </w:rPr>
        <w:t>不接受</w:t>
      </w:r>
      <w:r>
        <w:rPr>
          <w:rFonts w:hint="eastAsia" w:ascii="宋体" w:hAnsi="宋体" w:eastAsia="宋体" w:cs="宋体"/>
          <w:b w:val="0"/>
          <w:bCs w:val="0"/>
          <w:i w:val="0"/>
          <w:iCs w:val="0"/>
          <w:color w:val="auto"/>
          <w:sz w:val="24"/>
          <w:szCs w:val="24"/>
          <w:lang w:eastAsia="zh-CN"/>
        </w:rPr>
        <w:t>）</w:t>
      </w:r>
      <w:r>
        <w:rPr>
          <w:rFonts w:hint="eastAsia" w:ascii="宋体" w:hAnsi="宋体" w:eastAsia="宋体" w:cs="宋体"/>
          <w:color w:val="auto"/>
          <w:sz w:val="24"/>
          <w:szCs w:val="24"/>
          <w:lang w:eastAsia="zh-CN"/>
        </w:rPr>
        <w:t>联合体投标</w:t>
      </w:r>
      <w:r>
        <w:rPr>
          <w:rFonts w:hint="eastAsia" w:cs="宋体"/>
          <w:color w:val="auto"/>
          <w:sz w:val="24"/>
          <w:szCs w:val="24"/>
          <w:lang w:eastAsia="zh-CN"/>
        </w:rPr>
        <w:t>。</w:t>
      </w:r>
    </w:p>
    <w:p w14:paraId="5AA7104E">
      <w:pPr>
        <w:pStyle w:val="3"/>
        <w:keepNext w:val="0"/>
        <w:keepLines w:val="0"/>
        <w:pageBreakBefore w:val="0"/>
        <w:widowControl w:val="0"/>
        <w:kinsoku/>
        <w:autoSpaceDE/>
        <w:autoSpaceDN/>
        <w:bidi w:val="0"/>
        <w:adjustRightInd/>
        <w:snapToGrid/>
        <w:spacing w:before="0" w:after="0" w:line="430" w:lineRule="exact"/>
        <w:ind w:firstLine="482" w:firstLineChars="200"/>
        <w:jc w:val="left"/>
        <w:textAlignment w:val="auto"/>
        <w:rPr>
          <w:rFonts w:hint="eastAsia" w:ascii="宋体" w:hAnsi="宋体" w:eastAsia="宋体" w:cs="宋体"/>
          <w:color w:val="auto"/>
          <w:sz w:val="24"/>
          <w:szCs w:val="24"/>
          <w:lang w:eastAsia="zh-CN"/>
        </w:rPr>
      </w:pPr>
      <w:bookmarkStart w:id="17" w:name="_Toc18857"/>
      <w:bookmarkStart w:id="18" w:name="_Toc88638738"/>
      <w:bookmarkStart w:id="19" w:name="_Toc145067544"/>
      <w:bookmarkStart w:id="20" w:name="_Toc88646722"/>
      <w:r>
        <w:rPr>
          <w:rFonts w:hint="eastAsia" w:ascii="宋体" w:hAnsi="宋体" w:eastAsia="宋体" w:cs="宋体"/>
          <w:color w:val="auto"/>
          <w:sz w:val="24"/>
          <w:szCs w:val="24"/>
          <w:lang w:eastAsia="zh-CN"/>
        </w:rPr>
        <w:t>二、</w:t>
      </w:r>
      <w:r>
        <w:rPr>
          <w:rFonts w:hint="eastAsia" w:cs="宋体"/>
          <w:color w:val="auto"/>
          <w:sz w:val="24"/>
          <w:szCs w:val="24"/>
          <w:lang w:val="en-US" w:eastAsia="zh-CN"/>
        </w:rPr>
        <w:t>供应商</w:t>
      </w:r>
      <w:r>
        <w:rPr>
          <w:rFonts w:hint="eastAsia" w:ascii="宋体" w:hAnsi="宋体" w:eastAsia="宋体" w:cs="宋体"/>
          <w:color w:val="auto"/>
          <w:sz w:val="24"/>
          <w:szCs w:val="24"/>
          <w:lang w:eastAsia="zh-CN"/>
        </w:rPr>
        <w:t>的资格要求</w:t>
      </w:r>
      <w:bookmarkEnd w:id="17"/>
      <w:bookmarkEnd w:id="18"/>
      <w:bookmarkEnd w:id="19"/>
      <w:bookmarkEnd w:id="20"/>
    </w:p>
    <w:p w14:paraId="6D2F7517">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21" w:name="_Toc16725"/>
      <w:bookmarkStart w:id="22" w:name="_Toc27003"/>
      <w:bookmarkStart w:id="23" w:name="_Toc2450"/>
      <w:bookmarkStart w:id="24" w:name="_Toc30773"/>
      <w:bookmarkStart w:id="25" w:name="_Toc13026"/>
      <w:bookmarkStart w:id="26" w:name="_Toc19792"/>
      <w:bookmarkStart w:id="27" w:name="_Toc28501"/>
      <w:bookmarkStart w:id="28" w:name="_Toc3720"/>
      <w:bookmarkStart w:id="29" w:name="_Toc3038"/>
      <w:bookmarkStart w:id="30" w:name="_Toc525"/>
      <w:bookmarkStart w:id="31" w:name="_Toc6293"/>
      <w:bookmarkStart w:id="32" w:name="_Toc27552"/>
      <w:bookmarkStart w:id="33" w:name="_Toc22018"/>
      <w:bookmarkStart w:id="34" w:name="_Toc4717"/>
      <w:bookmarkStart w:id="35" w:name="_Toc18413"/>
      <w:bookmarkStart w:id="36" w:name="_Toc20770"/>
      <w:bookmarkStart w:id="37" w:name="_Toc13679"/>
      <w:bookmarkStart w:id="38" w:name="_Toc18326"/>
      <w:bookmarkStart w:id="39" w:name="_Toc1678"/>
      <w:bookmarkStart w:id="40" w:name="_Toc21596"/>
      <w:bookmarkStart w:id="41" w:name="_Toc12895"/>
      <w:r>
        <w:rPr>
          <w:rFonts w:hint="eastAsia" w:ascii="宋体" w:hAnsi="宋体" w:eastAsia="宋体" w:cs="宋体"/>
          <w:b w:val="0"/>
          <w:bCs w:val="0"/>
          <w:color w:val="auto"/>
          <w:sz w:val="24"/>
          <w:szCs w:val="24"/>
          <w:lang w:eastAsia="zh-CN"/>
        </w:rPr>
        <w:t>1.满足《中华人民共和国政府采购法》第二十二条规定；</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7C61B844">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42" w:name="_Toc2479"/>
      <w:bookmarkStart w:id="43" w:name="_Toc9648"/>
      <w:bookmarkStart w:id="44" w:name="_Toc5872"/>
      <w:bookmarkStart w:id="45" w:name="_Toc26309"/>
      <w:bookmarkStart w:id="46" w:name="_Toc18680"/>
      <w:bookmarkStart w:id="47" w:name="_Toc2502"/>
      <w:bookmarkStart w:id="48" w:name="_Toc13905"/>
      <w:bookmarkStart w:id="49" w:name="_Toc17883"/>
      <w:bookmarkStart w:id="50" w:name="_Toc11096"/>
      <w:bookmarkStart w:id="51" w:name="_Toc4832"/>
      <w:bookmarkStart w:id="52" w:name="_Toc6382"/>
      <w:bookmarkStart w:id="53" w:name="_Toc2694"/>
      <w:bookmarkStart w:id="54" w:name="_Toc21793"/>
      <w:bookmarkStart w:id="55" w:name="_Toc21835"/>
      <w:bookmarkStart w:id="56" w:name="_Toc7143"/>
      <w:bookmarkStart w:id="57" w:name="_Toc26864"/>
      <w:bookmarkStart w:id="58" w:name="_Toc20673"/>
      <w:bookmarkStart w:id="59" w:name="_Toc568"/>
      <w:bookmarkStart w:id="60" w:name="_Toc18951"/>
      <w:bookmarkStart w:id="61" w:name="_Toc10628"/>
      <w:bookmarkStart w:id="62" w:name="_Toc8275"/>
      <w:r>
        <w:rPr>
          <w:rFonts w:hint="eastAsia" w:ascii="宋体" w:hAnsi="宋体" w:eastAsia="宋体" w:cs="宋体"/>
          <w:b w:val="0"/>
          <w:bCs w:val="0"/>
          <w:color w:val="auto"/>
          <w:sz w:val="24"/>
          <w:szCs w:val="24"/>
          <w:lang w:eastAsia="zh-CN"/>
        </w:rPr>
        <w:t>（一）具有独立承担民事责任的能力；</w:t>
      </w:r>
      <w:bookmarkEnd w:id="42"/>
      <w:bookmarkEnd w:id="43"/>
      <w:bookmarkEnd w:id="44"/>
      <w:bookmarkEnd w:id="45"/>
      <w:bookmarkEnd w:id="46"/>
      <w:bookmarkEnd w:id="47"/>
      <w:bookmarkEnd w:id="48"/>
      <w:bookmarkEnd w:id="49"/>
      <w:bookmarkEnd w:id="50"/>
      <w:bookmarkEnd w:id="51"/>
      <w:bookmarkEnd w:id="52"/>
      <w:bookmarkEnd w:id="53"/>
      <w:bookmarkEnd w:id="54"/>
    </w:p>
    <w:p w14:paraId="0B763E66">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63" w:name="_Toc20913"/>
      <w:bookmarkStart w:id="64" w:name="_Toc30406"/>
      <w:bookmarkStart w:id="65" w:name="_Toc31554"/>
      <w:bookmarkStart w:id="66" w:name="_Toc8644"/>
      <w:bookmarkStart w:id="67" w:name="_Toc6948"/>
      <w:bookmarkStart w:id="68" w:name="_Toc767"/>
      <w:bookmarkStart w:id="69" w:name="_Toc16037"/>
      <w:bookmarkStart w:id="70" w:name="_Toc11394"/>
      <w:bookmarkStart w:id="71" w:name="_Toc541"/>
      <w:bookmarkStart w:id="72" w:name="_Toc17377"/>
      <w:bookmarkStart w:id="73" w:name="_Toc4008"/>
      <w:bookmarkStart w:id="74" w:name="_Toc3800"/>
      <w:bookmarkStart w:id="75" w:name="_Toc22882"/>
      <w:r>
        <w:rPr>
          <w:rFonts w:hint="eastAsia" w:ascii="宋体" w:hAnsi="宋体" w:eastAsia="宋体" w:cs="宋体"/>
          <w:b w:val="0"/>
          <w:bCs w:val="0"/>
          <w:color w:val="auto"/>
          <w:sz w:val="24"/>
          <w:szCs w:val="24"/>
          <w:lang w:eastAsia="zh-CN"/>
        </w:rPr>
        <w:t>（二）具有良好的商业信誉和健全的财务会计制度；</w:t>
      </w:r>
      <w:bookmarkEnd w:id="63"/>
      <w:bookmarkEnd w:id="64"/>
      <w:bookmarkEnd w:id="65"/>
      <w:bookmarkEnd w:id="66"/>
      <w:bookmarkEnd w:id="67"/>
      <w:bookmarkEnd w:id="68"/>
      <w:bookmarkEnd w:id="69"/>
      <w:bookmarkEnd w:id="70"/>
      <w:bookmarkEnd w:id="71"/>
      <w:bookmarkEnd w:id="72"/>
      <w:bookmarkEnd w:id="73"/>
      <w:bookmarkEnd w:id="74"/>
      <w:bookmarkEnd w:id="75"/>
    </w:p>
    <w:p w14:paraId="05312BFE">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76" w:name="_Toc24627"/>
      <w:bookmarkStart w:id="77" w:name="_Toc3463"/>
      <w:bookmarkStart w:id="78" w:name="_Toc30409"/>
      <w:bookmarkStart w:id="79" w:name="_Toc6956"/>
      <w:bookmarkStart w:id="80" w:name="_Toc8484"/>
      <w:bookmarkStart w:id="81" w:name="_Toc16484"/>
      <w:bookmarkStart w:id="82" w:name="_Toc23486"/>
      <w:bookmarkStart w:id="83" w:name="_Toc25798"/>
      <w:bookmarkStart w:id="84" w:name="_Toc21382"/>
      <w:bookmarkStart w:id="85" w:name="_Toc32080"/>
      <w:bookmarkStart w:id="86" w:name="_Toc31781"/>
      <w:bookmarkStart w:id="87" w:name="_Toc3678"/>
      <w:bookmarkStart w:id="88" w:name="_Toc29910"/>
      <w:r>
        <w:rPr>
          <w:rFonts w:hint="eastAsia" w:ascii="宋体" w:hAnsi="宋体" w:eastAsia="宋体" w:cs="宋体"/>
          <w:b w:val="0"/>
          <w:bCs w:val="0"/>
          <w:color w:val="auto"/>
          <w:sz w:val="24"/>
          <w:szCs w:val="24"/>
          <w:lang w:eastAsia="zh-CN"/>
        </w:rPr>
        <w:t>（三）具有履行合同所必需的设备和专业技术能力；</w:t>
      </w:r>
      <w:bookmarkEnd w:id="76"/>
      <w:bookmarkEnd w:id="77"/>
      <w:bookmarkEnd w:id="78"/>
      <w:bookmarkEnd w:id="79"/>
      <w:bookmarkEnd w:id="80"/>
      <w:bookmarkEnd w:id="81"/>
      <w:bookmarkEnd w:id="82"/>
      <w:bookmarkEnd w:id="83"/>
      <w:bookmarkEnd w:id="84"/>
      <w:bookmarkEnd w:id="85"/>
      <w:bookmarkEnd w:id="86"/>
      <w:bookmarkEnd w:id="87"/>
      <w:bookmarkEnd w:id="88"/>
    </w:p>
    <w:p w14:paraId="7C938078">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89" w:name="_Toc7999"/>
      <w:bookmarkStart w:id="90" w:name="_Toc16075"/>
      <w:bookmarkStart w:id="91" w:name="_Toc26363"/>
      <w:bookmarkStart w:id="92" w:name="_Toc10252"/>
      <w:bookmarkStart w:id="93" w:name="_Toc14057"/>
      <w:bookmarkStart w:id="94" w:name="_Toc21324"/>
      <w:bookmarkStart w:id="95" w:name="_Toc29766"/>
      <w:bookmarkStart w:id="96" w:name="_Toc27574"/>
      <w:bookmarkStart w:id="97" w:name="_Toc29180"/>
      <w:bookmarkStart w:id="98" w:name="_Toc22249"/>
      <w:bookmarkStart w:id="99" w:name="_Toc11098"/>
      <w:bookmarkStart w:id="100" w:name="_Toc15307"/>
      <w:bookmarkStart w:id="101" w:name="_Toc17921"/>
      <w:r>
        <w:rPr>
          <w:rFonts w:hint="eastAsia" w:ascii="宋体" w:hAnsi="宋体" w:eastAsia="宋体" w:cs="宋体"/>
          <w:b w:val="0"/>
          <w:bCs w:val="0"/>
          <w:color w:val="auto"/>
          <w:sz w:val="24"/>
          <w:szCs w:val="24"/>
          <w:lang w:eastAsia="zh-CN"/>
        </w:rPr>
        <w:t>（四）有依法缴纳税收和社会保障资金的良好记录；</w:t>
      </w:r>
      <w:bookmarkEnd w:id="89"/>
      <w:bookmarkEnd w:id="90"/>
      <w:bookmarkEnd w:id="91"/>
      <w:bookmarkEnd w:id="92"/>
      <w:bookmarkEnd w:id="93"/>
      <w:bookmarkEnd w:id="94"/>
      <w:bookmarkEnd w:id="95"/>
      <w:bookmarkEnd w:id="96"/>
      <w:bookmarkEnd w:id="97"/>
      <w:bookmarkEnd w:id="98"/>
      <w:bookmarkEnd w:id="99"/>
      <w:bookmarkEnd w:id="100"/>
      <w:bookmarkEnd w:id="101"/>
    </w:p>
    <w:p w14:paraId="794AC420">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102" w:name="_Toc13249"/>
      <w:bookmarkStart w:id="103" w:name="_Toc73"/>
      <w:bookmarkStart w:id="104" w:name="_Toc11562"/>
      <w:bookmarkStart w:id="105" w:name="_Toc244"/>
      <w:bookmarkStart w:id="106" w:name="_Toc17292"/>
      <w:bookmarkStart w:id="107" w:name="_Toc24980"/>
      <w:bookmarkStart w:id="108" w:name="_Toc19458"/>
      <w:bookmarkStart w:id="109" w:name="_Toc2551"/>
      <w:bookmarkStart w:id="110" w:name="_Toc8492"/>
      <w:bookmarkStart w:id="111" w:name="_Toc2932"/>
      <w:bookmarkStart w:id="112" w:name="_Toc20949"/>
      <w:bookmarkStart w:id="113" w:name="_Toc7645"/>
      <w:bookmarkStart w:id="114" w:name="_Toc6229"/>
      <w:r>
        <w:rPr>
          <w:rFonts w:hint="eastAsia" w:ascii="宋体" w:hAnsi="宋体" w:eastAsia="宋体" w:cs="宋体"/>
          <w:b w:val="0"/>
          <w:bCs w:val="0"/>
          <w:color w:val="auto"/>
          <w:sz w:val="24"/>
          <w:szCs w:val="24"/>
          <w:lang w:eastAsia="zh-CN"/>
        </w:rPr>
        <w:t>（五）参加政府采购活动前三年内，在经营活动中没有重大违法记录；</w:t>
      </w:r>
      <w:bookmarkEnd w:id="102"/>
      <w:bookmarkEnd w:id="103"/>
      <w:bookmarkEnd w:id="104"/>
      <w:bookmarkEnd w:id="105"/>
      <w:bookmarkEnd w:id="106"/>
      <w:bookmarkEnd w:id="107"/>
      <w:bookmarkEnd w:id="108"/>
      <w:bookmarkEnd w:id="109"/>
      <w:bookmarkEnd w:id="110"/>
      <w:bookmarkEnd w:id="111"/>
      <w:bookmarkEnd w:id="112"/>
      <w:bookmarkEnd w:id="113"/>
      <w:bookmarkEnd w:id="114"/>
    </w:p>
    <w:p w14:paraId="5FD97752">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115" w:name="_Toc8529"/>
      <w:bookmarkStart w:id="116" w:name="_Toc13428"/>
      <w:bookmarkStart w:id="117" w:name="_Toc1408"/>
      <w:bookmarkStart w:id="118" w:name="_Toc24843"/>
      <w:bookmarkStart w:id="119" w:name="_Toc9826"/>
      <w:bookmarkStart w:id="120" w:name="_Toc32334"/>
      <w:bookmarkStart w:id="121" w:name="_Toc17591"/>
      <w:bookmarkStart w:id="122" w:name="_Toc13746"/>
      <w:bookmarkStart w:id="123" w:name="_Toc11601"/>
      <w:bookmarkStart w:id="124" w:name="_Toc16606"/>
      <w:bookmarkStart w:id="125" w:name="_Toc31184"/>
      <w:bookmarkStart w:id="126" w:name="_Toc1129"/>
      <w:bookmarkStart w:id="127" w:name="_Toc24103"/>
      <w:r>
        <w:rPr>
          <w:rFonts w:hint="eastAsia" w:ascii="宋体" w:hAnsi="宋体" w:eastAsia="宋体" w:cs="宋体"/>
          <w:b w:val="0"/>
          <w:bCs w:val="0"/>
          <w:color w:val="auto"/>
          <w:sz w:val="24"/>
          <w:szCs w:val="24"/>
          <w:lang w:eastAsia="zh-CN"/>
        </w:rPr>
        <w:t>（六）法律、行政法规规定的其他条件。</w:t>
      </w:r>
      <w:bookmarkEnd w:id="115"/>
      <w:bookmarkEnd w:id="116"/>
      <w:bookmarkEnd w:id="117"/>
      <w:bookmarkEnd w:id="118"/>
      <w:bookmarkEnd w:id="119"/>
      <w:bookmarkEnd w:id="120"/>
      <w:bookmarkEnd w:id="121"/>
      <w:bookmarkEnd w:id="122"/>
      <w:bookmarkEnd w:id="123"/>
      <w:bookmarkEnd w:id="124"/>
      <w:bookmarkEnd w:id="125"/>
      <w:bookmarkEnd w:id="126"/>
      <w:bookmarkEnd w:id="127"/>
    </w:p>
    <w:p w14:paraId="206AFCF2">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128" w:name="_Toc28179"/>
      <w:bookmarkStart w:id="129" w:name="_Toc31284"/>
      <w:bookmarkStart w:id="130" w:name="_Toc1855"/>
      <w:bookmarkStart w:id="131" w:name="_Toc25972"/>
      <w:bookmarkStart w:id="132" w:name="_Toc19813"/>
      <w:bookmarkStart w:id="133" w:name="_Toc14096"/>
      <w:bookmarkStart w:id="134" w:name="_Toc22475"/>
      <w:bookmarkStart w:id="135" w:name="_Toc11026"/>
      <w:bookmarkStart w:id="136" w:name="_Toc20300"/>
      <w:bookmarkStart w:id="137" w:name="_Toc29269"/>
      <w:bookmarkStart w:id="138" w:name="_Toc4631"/>
      <w:bookmarkStart w:id="139" w:name="_Toc9407"/>
      <w:bookmarkStart w:id="140" w:name="_Toc16652"/>
      <w:r>
        <w:rPr>
          <w:rFonts w:hint="eastAsia" w:cs="宋体"/>
          <w:b w:val="0"/>
          <w:bCs w:val="0"/>
          <w:color w:val="auto"/>
          <w:sz w:val="24"/>
          <w:szCs w:val="24"/>
          <w:lang w:val="en-US" w:eastAsia="zh-CN"/>
        </w:rPr>
        <w:t>2</w:t>
      </w:r>
      <w:r>
        <w:rPr>
          <w:rFonts w:hint="eastAsia" w:ascii="宋体" w:hAnsi="宋体" w:eastAsia="宋体" w:cs="宋体"/>
          <w:b w:val="0"/>
          <w:bCs w:val="0"/>
          <w:color w:val="auto"/>
          <w:sz w:val="24"/>
          <w:szCs w:val="24"/>
          <w:lang w:eastAsia="zh-CN"/>
        </w:rPr>
        <w:t>.落实政府采购政策需满足的资格要求：</w:t>
      </w:r>
      <w:bookmarkEnd w:id="55"/>
      <w:bookmarkEnd w:id="56"/>
      <w:bookmarkEnd w:id="57"/>
      <w:bookmarkEnd w:id="58"/>
      <w:bookmarkEnd w:id="59"/>
      <w:bookmarkEnd w:id="60"/>
      <w:bookmarkEnd w:id="61"/>
      <w:bookmarkEnd w:id="62"/>
      <w:bookmarkEnd w:id="128"/>
      <w:bookmarkEnd w:id="129"/>
      <w:bookmarkEnd w:id="130"/>
      <w:bookmarkEnd w:id="131"/>
      <w:bookmarkEnd w:id="132"/>
      <w:bookmarkEnd w:id="133"/>
      <w:bookmarkEnd w:id="134"/>
      <w:bookmarkEnd w:id="135"/>
      <w:bookmarkEnd w:id="136"/>
      <w:bookmarkEnd w:id="137"/>
      <w:bookmarkEnd w:id="138"/>
      <w:bookmarkEnd w:id="139"/>
      <w:bookmarkEnd w:id="140"/>
      <w:r>
        <w:rPr>
          <w:rFonts w:hint="eastAsia" w:ascii="宋体" w:hAnsi="宋体" w:eastAsia="宋体" w:cs="宋体"/>
          <w:b w:val="0"/>
          <w:bCs w:val="0"/>
          <w:color w:val="auto"/>
          <w:sz w:val="24"/>
          <w:szCs w:val="24"/>
          <w:lang w:eastAsia="zh-CN"/>
        </w:rPr>
        <w:t>本项目</w:t>
      </w:r>
      <w:r>
        <w:rPr>
          <w:rFonts w:hint="eastAsia" w:ascii="宋体" w:hAnsi="宋体" w:eastAsia="宋体" w:cs="宋体"/>
          <w:b w:val="0"/>
          <w:bCs w:val="0"/>
          <w:i w:val="0"/>
          <w:iCs w:val="0"/>
          <w:color w:val="auto"/>
          <w:sz w:val="24"/>
          <w:szCs w:val="24"/>
          <w:u w:val="none"/>
          <w:lang w:eastAsia="zh-CN"/>
        </w:rPr>
        <w:t>（不属于）</w:t>
      </w:r>
      <w:r>
        <w:rPr>
          <w:rFonts w:hint="eastAsia" w:ascii="宋体" w:hAnsi="宋体" w:eastAsia="宋体" w:cs="宋体"/>
          <w:b w:val="0"/>
          <w:bCs w:val="0"/>
          <w:color w:val="auto"/>
          <w:sz w:val="24"/>
          <w:szCs w:val="24"/>
          <w:lang w:eastAsia="zh-CN"/>
        </w:rPr>
        <w:t>专门面向中小企业采购的项目</w:t>
      </w:r>
      <w:r>
        <w:rPr>
          <w:rFonts w:hint="eastAsia" w:cs="宋体"/>
          <w:b w:val="0"/>
          <w:bCs w:val="0"/>
          <w:color w:val="auto"/>
          <w:sz w:val="24"/>
          <w:szCs w:val="24"/>
          <w:lang w:eastAsia="zh-CN"/>
        </w:rPr>
        <w:t>。</w:t>
      </w:r>
    </w:p>
    <w:p w14:paraId="137BE07A">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141" w:name="_Toc13138"/>
      <w:bookmarkStart w:id="142" w:name="_Toc25407"/>
      <w:bookmarkStart w:id="143" w:name="_Toc8016"/>
      <w:bookmarkStart w:id="144" w:name="_Toc9787"/>
      <w:bookmarkStart w:id="145" w:name="_Toc30599"/>
      <w:bookmarkStart w:id="146" w:name="_Toc20720"/>
      <w:bookmarkStart w:id="147" w:name="_Toc25518"/>
      <w:bookmarkStart w:id="148" w:name="_Toc28915"/>
      <w:bookmarkStart w:id="149" w:name="_Toc16739"/>
      <w:bookmarkStart w:id="150" w:name="_Toc9689"/>
      <w:bookmarkStart w:id="151" w:name="_Toc30118"/>
      <w:bookmarkStart w:id="152" w:name="_Toc575"/>
      <w:bookmarkStart w:id="153" w:name="_Toc16668"/>
      <w:bookmarkStart w:id="154" w:name="_Toc8165"/>
      <w:bookmarkStart w:id="155" w:name="_Toc16706"/>
      <w:bookmarkStart w:id="156" w:name="_Toc28890"/>
      <w:bookmarkStart w:id="157" w:name="_Toc18135"/>
      <w:bookmarkStart w:id="158" w:name="_Toc23913"/>
      <w:bookmarkStart w:id="159" w:name="_Toc1089"/>
      <w:bookmarkStart w:id="160" w:name="_Toc1066"/>
      <w:bookmarkStart w:id="161" w:name="_Toc6423"/>
      <w:r>
        <w:rPr>
          <w:rFonts w:hint="eastAsia" w:cs="宋体"/>
          <w:b w:val="0"/>
          <w:bCs w:val="0"/>
          <w:color w:val="auto"/>
          <w:sz w:val="24"/>
          <w:szCs w:val="24"/>
          <w:lang w:val="en-US" w:eastAsia="zh-CN"/>
        </w:rPr>
        <w:t>3</w:t>
      </w:r>
      <w:r>
        <w:rPr>
          <w:rFonts w:hint="eastAsia" w:ascii="宋体" w:hAnsi="宋体" w:eastAsia="宋体" w:cs="宋体"/>
          <w:b w:val="0"/>
          <w:bCs w:val="0"/>
          <w:color w:val="auto"/>
          <w:sz w:val="24"/>
          <w:szCs w:val="24"/>
          <w:lang w:eastAsia="zh-CN"/>
        </w:rPr>
        <w:t>.本项目的特定资格要求：</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52160938">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80" w:firstLineChars="200"/>
        <w:jc w:val="left"/>
        <w:textAlignment w:val="auto"/>
        <w:rPr>
          <w:rFonts w:hint="eastAsia" w:cs="宋体"/>
          <w:b w:val="0"/>
          <w:bCs w:val="0"/>
          <w:color w:val="auto"/>
          <w:sz w:val="24"/>
          <w:szCs w:val="24"/>
          <w:lang w:eastAsia="zh-CN"/>
        </w:rPr>
      </w:pPr>
      <w:bookmarkStart w:id="162" w:name="_Toc145067545"/>
      <w:bookmarkStart w:id="163" w:name="_Toc88638742"/>
      <w:bookmarkStart w:id="164" w:name="_Toc15631"/>
      <w:bookmarkStart w:id="165" w:name="_Toc88646723"/>
      <w:r>
        <w:rPr>
          <w:rFonts w:hint="eastAsia" w:cs="宋体"/>
          <w:b w:val="0"/>
          <w:bCs w:val="0"/>
          <w:color w:val="auto"/>
          <w:sz w:val="24"/>
          <w:szCs w:val="24"/>
          <w:lang w:eastAsia="zh-CN"/>
        </w:rPr>
        <w:t>（</w:t>
      </w:r>
      <w:r>
        <w:rPr>
          <w:rFonts w:hint="eastAsia" w:cs="宋体"/>
          <w:b w:val="0"/>
          <w:bCs w:val="0"/>
          <w:color w:val="auto"/>
          <w:sz w:val="24"/>
          <w:szCs w:val="24"/>
          <w:lang w:val="en-US" w:eastAsia="zh-CN"/>
        </w:rPr>
        <w:t>1</w:t>
      </w:r>
      <w:r>
        <w:rPr>
          <w:rFonts w:hint="eastAsia" w:cs="宋体"/>
          <w:b w:val="0"/>
          <w:bCs w:val="0"/>
          <w:color w:val="auto"/>
          <w:sz w:val="24"/>
          <w:szCs w:val="24"/>
          <w:lang w:eastAsia="zh-CN"/>
        </w:rPr>
        <w:t>）投标人如果是代理商或经销商，须提供医疗器械经营许可证/备案证；②投标人如果是制造商，须提供医疗器械生产许可证。</w:t>
      </w:r>
    </w:p>
    <w:p w14:paraId="712F3CE3">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b w:val="0"/>
          <w:bCs w:val="0"/>
          <w:color w:val="auto"/>
          <w:sz w:val="24"/>
          <w:szCs w:val="24"/>
          <w:lang w:eastAsia="zh-CN"/>
        </w:rPr>
        <w:t>（</w:t>
      </w:r>
      <w:r>
        <w:rPr>
          <w:rFonts w:hint="eastAsia" w:cs="宋体"/>
          <w:b w:val="0"/>
          <w:bCs w:val="0"/>
          <w:color w:val="auto"/>
          <w:sz w:val="24"/>
          <w:szCs w:val="24"/>
          <w:lang w:val="en-US" w:eastAsia="zh-CN"/>
        </w:rPr>
        <w:t>2</w:t>
      </w:r>
      <w:r>
        <w:rPr>
          <w:rFonts w:hint="eastAsia" w:ascii="宋体" w:hAnsi="宋体" w:eastAsia="宋体" w:cs="宋体"/>
          <w:b w:val="0"/>
          <w:bCs w:val="0"/>
          <w:color w:val="auto"/>
          <w:sz w:val="24"/>
          <w:szCs w:val="24"/>
          <w:lang w:eastAsia="zh-CN"/>
        </w:rPr>
        <w:t>）单位负责人为同一人或者存在直接控股、管理关系的不同</w:t>
      </w: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，不得参加同一合同项下的政府采购活动</w:t>
      </w:r>
      <w:r>
        <w:rPr>
          <w:rFonts w:hint="eastAsia" w:ascii="宋体" w:hAnsi="宋体" w:eastAsia="宋体" w:cs="宋体"/>
          <w:color w:val="auto"/>
          <w:sz w:val="24"/>
          <w:szCs w:val="24"/>
          <w:lang w:eastAsia="zh-CN"/>
        </w:rPr>
        <w:t>。</w:t>
      </w:r>
    </w:p>
    <w:p w14:paraId="35739BE7">
      <w:pPr>
        <w:pStyle w:val="3"/>
        <w:keepNext w:val="0"/>
        <w:keepLines w:val="0"/>
        <w:pageBreakBefore w:val="0"/>
        <w:widowControl w:val="0"/>
        <w:kinsoku/>
        <w:autoSpaceDE/>
        <w:autoSpaceDN/>
        <w:bidi w:val="0"/>
        <w:adjustRightInd/>
        <w:snapToGrid/>
        <w:spacing w:before="0" w:after="0" w:line="430" w:lineRule="exact"/>
        <w:ind w:firstLine="482"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三、获取招标文件</w:t>
      </w:r>
      <w:bookmarkEnd w:id="162"/>
      <w:bookmarkEnd w:id="163"/>
      <w:bookmarkEnd w:id="164"/>
      <w:bookmarkEnd w:id="165"/>
    </w:p>
    <w:bookmarkEnd w:id="9"/>
    <w:p w14:paraId="1447821E">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1.时间：</w:t>
      </w:r>
      <w:r>
        <w:rPr>
          <w:rFonts w:hint="eastAsia" w:ascii="宋体" w:hAnsi="宋体" w:eastAsia="宋体" w:cs="宋体"/>
          <w:color w:val="auto"/>
          <w:sz w:val="24"/>
          <w:szCs w:val="24"/>
          <w:highlight w:val="none"/>
          <w:lang w:eastAsia="zh-CN"/>
        </w:rPr>
        <w:t>20</w:t>
      </w:r>
      <w:r>
        <w:rPr>
          <w:rFonts w:hint="eastAsia" w:ascii="宋体" w:hAnsi="宋体" w:eastAsia="宋体" w:cs="宋体"/>
          <w:color w:val="auto"/>
          <w:sz w:val="24"/>
          <w:szCs w:val="24"/>
          <w:highlight w:val="none"/>
          <w:u w:val="none"/>
          <w:lang w:eastAsia="zh-CN"/>
        </w:rPr>
        <w:t>2</w:t>
      </w:r>
      <w:r>
        <w:rPr>
          <w:rFonts w:hint="eastAsia" w:cs="宋体"/>
          <w:color w:val="auto"/>
          <w:sz w:val="24"/>
          <w:szCs w:val="24"/>
          <w:highlight w:val="none"/>
          <w:u w:val="none"/>
          <w:lang w:val="en-US" w:eastAsia="zh-CN"/>
        </w:rPr>
        <w:t>5年10月10日</w:t>
      </w:r>
      <w:r>
        <w:rPr>
          <w:rFonts w:hint="eastAsia" w:ascii="宋体" w:hAnsi="宋体" w:eastAsia="宋体" w:cs="宋体"/>
          <w:color w:val="auto"/>
          <w:sz w:val="24"/>
          <w:szCs w:val="24"/>
          <w:highlight w:val="none"/>
          <w:lang w:eastAsia="zh-CN"/>
        </w:rPr>
        <w:t>06</w:t>
      </w:r>
      <w:r>
        <w:rPr>
          <w:rFonts w:hint="eastAsia" w:cs="宋体"/>
          <w:color w:val="auto"/>
          <w:sz w:val="24"/>
          <w:szCs w:val="24"/>
          <w:highlight w:val="none"/>
          <w:lang w:val="en-US" w:eastAsia="zh-CN"/>
        </w:rPr>
        <w:t>时</w:t>
      </w:r>
      <w:r>
        <w:rPr>
          <w:rFonts w:hint="eastAsia" w:ascii="宋体" w:hAnsi="宋体" w:eastAsia="宋体" w:cs="宋体"/>
          <w:color w:val="auto"/>
          <w:sz w:val="24"/>
          <w:szCs w:val="24"/>
          <w:highlight w:val="none"/>
          <w:lang w:eastAsia="zh-CN"/>
        </w:rPr>
        <w:t>00</w:t>
      </w:r>
      <w:r>
        <w:rPr>
          <w:rFonts w:hint="eastAsia"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至</w:t>
      </w:r>
      <w:r>
        <w:rPr>
          <w:rFonts w:hint="eastAsia" w:ascii="宋体" w:hAnsi="宋体" w:eastAsia="宋体" w:cs="宋体"/>
          <w:color w:val="auto"/>
          <w:sz w:val="24"/>
          <w:szCs w:val="24"/>
          <w:highlight w:val="none"/>
          <w:u w:val="none"/>
          <w:lang w:eastAsia="zh-CN"/>
        </w:rPr>
        <w:t>202</w:t>
      </w:r>
      <w:r>
        <w:rPr>
          <w:rFonts w:hint="eastAsia" w:cs="宋体"/>
          <w:color w:val="auto"/>
          <w:sz w:val="24"/>
          <w:szCs w:val="24"/>
          <w:highlight w:val="none"/>
          <w:u w:val="none"/>
          <w:lang w:val="en-US" w:eastAsia="zh-CN"/>
        </w:rPr>
        <w:t>5年10月17日</w:t>
      </w:r>
      <w:r>
        <w:rPr>
          <w:rFonts w:hint="eastAsia" w:ascii="宋体" w:hAnsi="宋体" w:eastAsia="宋体" w:cs="宋体"/>
          <w:color w:val="auto"/>
          <w:sz w:val="24"/>
          <w:szCs w:val="24"/>
          <w:highlight w:val="none"/>
          <w:lang w:eastAsia="zh-CN"/>
        </w:rPr>
        <w:t>23</w:t>
      </w:r>
      <w:r>
        <w:rPr>
          <w:rFonts w:hint="eastAsia" w:cs="宋体"/>
          <w:color w:val="auto"/>
          <w:sz w:val="24"/>
          <w:szCs w:val="24"/>
          <w:highlight w:val="none"/>
          <w:lang w:val="en-US" w:eastAsia="zh-CN"/>
        </w:rPr>
        <w:t>时</w:t>
      </w:r>
      <w:r>
        <w:rPr>
          <w:rFonts w:hint="eastAsia" w:ascii="宋体" w:hAnsi="宋体" w:eastAsia="宋体" w:cs="宋体"/>
          <w:color w:val="auto"/>
          <w:sz w:val="24"/>
          <w:szCs w:val="24"/>
          <w:highlight w:val="none"/>
          <w:lang w:eastAsia="zh-CN"/>
        </w:rPr>
        <w:t>59</w:t>
      </w:r>
      <w:r>
        <w:rPr>
          <w:rFonts w:hint="eastAsia"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，每天上午06:00至12:00，下午12:00至23:59（北京时间，法定节假日除外）</w:t>
      </w:r>
      <w:r>
        <w:rPr>
          <w:rFonts w:hint="eastAsia" w:cs="宋体"/>
          <w:color w:val="auto"/>
          <w:sz w:val="24"/>
          <w:szCs w:val="24"/>
          <w:highlight w:val="none"/>
          <w:lang w:eastAsia="zh-CN"/>
        </w:rPr>
        <w:t>。</w:t>
      </w:r>
    </w:p>
    <w:p w14:paraId="590A2EC3">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eastAsia="zh-CN"/>
        </w:rPr>
        <w:t>2.地点：</w:t>
      </w:r>
      <w:r>
        <w:rPr>
          <w:rFonts w:hint="eastAsia" w:ascii="宋体" w:hAnsi="宋体" w:eastAsia="宋体" w:cs="宋体"/>
          <w:color w:val="auto"/>
          <w:sz w:val="24"/>
          <w:szCs w:val="24"/>
          <w:highlight w:val="none"/>
          <w:lang w:val="en-US" w:eastAsia="zh-CN"/>
        </w:rPr>
        <w:t>“政采云”平台（http：//www.zcygov.cn）</w:t>
      </w:r>
      <w:r>
        <w:rPr>
          <w:rFonts w:hint="eastAsia" w:cs="宋体"/>
          <w:color w:val="auto"/>
          <w:sz w:val="24"/>
          <w:szCs w:val="24"/>
          <w:highlight w:val="none"/>
          <w:lang w:val="en-US" w:eastAsia="zh-CN"/>
        </w:rPr>
        <w:t>线上获取</w:t>
      </w:r>
      <w:r>
        <w:rPr>
          <w:rFonts w:hint="eastAsia" w:ascii="宋体" w:hAnsi="宋体" w:eastAsia="宋体" w:cs="宋体"/>
          <w:color w:val="auto"/>
          <w:sz w:val="24"/>
          <w:szCs w:val="24"/>
          <w:lang w:val="en-US" w:eastAsia="zh-CN"/>
        </w:rPr>
        <w:t>（操作路径：登录“政采云”平台－项目采购－获取采购文件－找到本项目－点击“申请获取采购文件”）</w:t>
      </w:r>
      <w:r>
        <w:rPr>
          <w:rFonts w:hint="eastAsia" w:ascii="宋体" w:hAnsi="宋体" w:eastAsia="宋体" w:cs="宋体"/>
          <w:color w:val="auto"/>
          <w:sz w:val="24"/>
          <w:szCs w:val="24"/>
          <w:lang w:eastAsia="zh-CN"/>
        </w:rPr>
        <w:t>。</w:t>
      </w:r>
    </w:p>
    <w:p w14:paraId="20559082">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3.方式：</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凡有意参加投标者，须在政采云平台办理数字证书（CA），并在政采云绑定数字证书（CA）后线上获取采购文件及其他采购资料。CA申领链接：https://middle.zcygov.cn/ca/apply/list?_app_=zcy.sys，CA申领后需登陆政采云平台完成数字证书（CA）绑定才可以使用，数字证书（CA）详见其办理流程。（</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）按上述要求获取文件的</w:t>
      </w:r>
      <w:r>
        <w:rPr>
          <w:rFonts w:hint="eastAsia" w:cs="宋体"/>
          <w:color w:val="auto"/>
          <w:sz w:val="24"/>
          <w:szCs w:val="24"/>
          <w:lang w:eastAsia="zh-CN"/>
        </w:rPr>
        <w:t>供应商</w:t>
      </w:r>
      <w:r>
        <w:rPr>
          <w:rFonts w:hint="eastAsia" w:ascii="宋体" w:hAnsi="宋体" w:eastAsia="宋体" w:cs="宋体"/>
          <w:color w:val="auto"/>
          <w:sz w:val="24"/>
          <w:szCs w:val="24"/>
          <w:lang w:eastAsia="zh-CN"/>
        </w:rPr>
        <w:t>视为合法获取了本项目采购文件，具备本项目的投标资格。</w:t>
      </w:r>
    </w:p>
    <w:p w14:paraId="2AEF1C0B">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4.售价：0.00元。</w:t>
      </w:r>
    </w:p>
    <w:p w14:paraId="74DC9D98">
      <w:pPr>
        <w:pStyle w:val="3"/>
        <w:keepNext w:val="0"/>
        <w:keepLines w:val="0"/>
        <w:pageBreakBefore w:val="0"/>
        <w:widowControl w:val="0"/>
        <w:kinsoku/>
        <w:autoSpaceDE/>
        <w:autoSpaceDN/>
        <w:bidi w:val="0"/>
        <w:adjustRightInd/>
        <w:snapToGrid/>
        <w:spacing w:before="0" w:after="0" w:line="430" w:lineRule="exact"/>
        <w:ind w:left="0" w:firstLine="482" w:firstLineChars="200"/>
        <w:jc w:val="left"/>
        <w:textAlignment w:val="auto"/>
        <w:rPr>
          <w:rFonts w:hint="eastAsia" w:ascii="宋体" w:hAnsi="宋体" w:eastAsia="宋体" w:cs="宋体"/>
          <w:color w:val="auto"/>
          <w:sz w:val="24"/>
          <w:szCs w:val="24"/>
          <w:lang w:eastAsia="zh-CN"/>
        </w:rPr>
      </w:pPr>
      <w:bookmarkStart w:id="166" w:name="_Toc88638747"/>
      <w:bookmarkStart w:id="167" w:name="_Toc15752"/>
      <w:bookmarkStart w:id="168" w:name="_Toc9280"/>
      <w:bookmarkStart w:id="169" w:name="_Toc16746"/>
      <w:bookmarkStart w:id="170" w:name="_Toc88646724"/>
      <w:bookmarkStart w:id="171" w:name="_Toc145067546"/>
      <w:r>
        <w:rPr>
          <w:rFonts w:hint="eastAsia" w:ascii="宋体" w:hAnsi="宋体" w:eastAsia="宋体" w:cs="宋体"/>
          <w:color w:val="auto"/>
          <w:sz w:val="24"/>
          <w:szCs w:val="24"/>
          <w:lang w:eastAsia="zh-CN"/>
        </w:rPr>
        <w:t>四、提交投标文件截止时间、开标时间和地点</w:t>
      </w:r>
      <w:bookmarkEnd w:id="166"/>
      <w:bookmarkEnd w:id="167"/>
      <w:bookmarkEnd w:id="168"/>
      <w:bookmarkEnd w:id="169"/>
      <w:bookmarkEnd w:id="170"/>
      <w:bookmarkEnd w:id="171"/>
    </w:p>
    <w:p w14:paraId="2FB7E063">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bookmarkStart w:id="172" w:name="_Toc88638749"/>
      <w:r>
        <w:rPr>
          <w:rFonts w:hint="eastAsia" w:ascii="宋体" w:hAnsi="宋体" w:eastAsia="宋体" w:cs="宋体"/>
          <w:color w:val="auto"/>
          <w:sz w:val="24"/>
          <w:szCs w:val="24"/>
          <w:lang w:eastAsia="zh-CN"/>
        </w:rPr>
        <w:t>1.投标文件递交的截止时间及开标时间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lang w:eastAsia="zh-CN"/>
        </w:rPr>
        <w:t>202</w:t>
      </w:r>
      <w:r>
        <w:rPr>
          <w:rFonts w:hint="eastAsia" w:cs="宋体"/>
          <w:color w:val="auto"/>
          <w:sz w:val="24"/>
          <w:szCs w:val="24"/>
          <w:highlight w:val="none"/>
          <w:u w:val="none"/>
          <w:lang w:val="en-US" w:eastAsia="zh-CN"/>
        </w:rPr>
        <w:t>5</w:t>
      </w:r>
      <w:r>
        <w:rPr>
          <w:rFonts w:hint="eastAsia" w:ascii="宋体" w:hAnsi="宋体" w:eastAsia="宋体" w:cs="宋体"/>
          <w:color w:val="auto"/>
          <w:sz w:val="24"/>
          <w:szCs w:val="24"/>
          <w:u w:val="none"/>
          <w:lang w:eastAsia="zh-CN"/>
        </w:rPr>
        <w:t>年</w:t>
      </w:r>
      <w:r>
        <w:rPr>
          <w:rFonts w:hint="eastAsia" w:cs="宋体"/>
          <w:color w:val="auto"/>
          <w:sz w:val="24"/>
          <w:szCs w:val="24"/>
          <w:highlight w:val="none"/>
          <w:u w:val="none"/>
          <w:lang w:val="en-US" w:eastAsia="zh-CN"/>
        </w:rPr>
        <w:t>10</w:t>
      </w:r>
      <w:r>
        <w:rPr>
          <w:rFonts w:hint="eastAsia" w:ascii="宋体" w:hAnsi="宋体" w:eastAsia="宋体" w:cs="宋体"/>
          <w:color w:val="auto"/>
          <w:sz w:val="24"/>
          <w:szCs w:val="24"/>
          <w:u w:val="none"/>
          <w:lang w:eastAsia="zh-CN"/>
        </w:rPr>
        <w:t>月</w:t>
      </w:r>
      <w:r>
        <w:rPr>
          <w:rFonts w:hint="eastAsia" w:cs="宋体"/>
          <w:color w:val="auto"/>
          <w:sz w:val="24"/>
          <w:szCs w:val="24"/>
          <w:u w:val="none"/>
          <w:lang w:val="en-US" w:eastAsia="zh-CN"/>
        </w:rPr>
        <w:t>31</w:t>
      </w:r>
      <w:r>
        <w:rPr>
          <w:rFonts w:hint="eastAsia" w:ascii="宋体" w:hAnsi="宋体" w:eastAsia="宋体" w:cs="宋体"/>
          <w:color w:val="auto"/>
          <w:sz w:val="24"/>
          <w:szCs w:val="24"/>
          <w:u w:val="none"/>
          <w:lang w:eastAsia="zh-CN"/>
        </w:rPr>
        <w:t>日</w:t>
      </w:r>
      <w:r>
        <w:rPr>
          <w:rFonts w:hint="eastAsia" w:cs="宋体"/>
          <w:color w:val="auto"/>
          <w:sz w:val="24"/>
          <w:szCs w:val="24"/>
          <w:highlight w:val="none"/>
          <w:u w:val="none"/>
          <w:lang w:val="en-US" w:eastAsia="zh-CN"/>
        </w:rPr>
        <w:t>09</w:t>
      </w:r>
      <w:r>
        <w:rPr>
          <w:rFonts w:hint="eastAsia" w:ascii="宋体" w:hAnsi="宋体" w:eastAsia="宋体" w:cs="宋体"/>
          <w:color w:val="auto"/>
          <w:sz w:val="24"/>
          <w:szCs w:val="24"/>
          <w:u w:val="none"/>
          <w:lang w:eastAsia="zh-CN"/>
        </w:rPr>
        <w:t>时</w:t>
      </w:r>
      <w:r>
        <w:rPr>
          <w:rFonts w:hint="eastAsia" w:cs="宋体"/>
          <w:color w:val="auto"/>
          <w:sz w:val="24"/>
          <w:szCs w:val="24"/>
          <w:highlight w:val="none"/>
          <w:u w:val="none"/>
          <w:lang w:val="en-US" w:eastAsia="zh-CN"/>
        </w:rPr>
        <w:t>00</w:t>
      </w:r>
      <w:r>
        <w:rPr>
          <w:rFonts w:hint="eastAsia" w:ascii="宋体" w:hAnsi="宋体" w:eastAsia="宋体" w:cs="宋体"/>
          <w:color w:val="auto"/>
          <w:sz w:val="24"/>
          <w:szCs w:val="24"/>
          <w:u w:val="none"/>
          <w:lang w:eastAsia="zh-CN"/>
        </w:rPr>
        <w:t>分</w:t>
      </w:r>
      <w:r>
        <w:rPr>
          <w:rFonts w:hint="eastAsia" w:ascii="宋体" w:hAnsi="宋体" w:eastAsia="宋体" w:cs="宋体"/>
          <w:color w:val="auto"/>
          <w:sz w:val="24"/>
          <w:szCs w:val="24"/>
          <w:lang w:eastAsia="zh-CN"/>
        </w:rPr>
        <w:t>（北京时间）</w:t>
      </w:r>
      <w:r>
        <w:rPr>
          <w:rFonts w:hint="eastAsia" w:ascii="宋体" w:hAnsi="宋体" w:eastAsia="宋体" w:cs="宋体"/>
          <w:color w:val="auto"/>
          <w:sz w:val="24"/>
          <w:szCs w:val="24"/>
          <w:lang w:eastAsia="zh-CN"/>
        </w:rPr>
        <w:t>。</w:t>
      </w:r>
    </w:p>
    <w:p w14:paraId="5A88C977">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2.地点：</w:t>
      </w:r>
      <w:bookmarkEnd w:id="172"/>
      <w:r>
        <w:rPr>
          <w:rFonts w:hint="eastAsia" w:ascii="宋体" w:hAnsi="宋体" w:eastAsia="宋体" w:cs="宋体"/>
          <w:color w:val="auto"/>
          <w:sz w:val="24"/>
          <w:szCs w:val="24"/>
          <w:lang w:eastAsia="zh-CN"/>
        </w:rPr>
        <w:t>政采云平台（http：//www.zcygov.cn），</w:t>
      </w:r>
      <w:r>
        <w:rPr>
          <w:rFonts w:hint="eastAsia" w:cs="宋体"/>
          <w:color w:val="auto"/>
          <w:sz w:val="24"/>
          <w:szCs w:val="24"/>
          <w:lang w:eastAsia="zh-CN"/>
        </w:rPr>
        <w:t>供应商</w:t>
      </w:r>
      <w:r>
        <w:rPr>
          <w:rFonts w:hint="eastAsia" w:ascii="宋体" w:hAnsi="宋体" w:eastAsia="宋体" w:cs="宋体"/>
          <w:color w:val="auto"/>
          <w:sz w:val="24"/>
          <w:szCs w:val="24"/>
          <w:lang w:eastAsia="zh-CN"/>
        </w:rPr>
        <w:t>应按照本项目采购文件和“政采云”平台的要求编制、加密后在投标文件提交截止时间前上传至“政采云”平台，投标文件提交截止时间前未完成投标文件上传的，视为撤回投标文件。</w:t>
      </w:r>
      <w:r>
        <w:rPr>
          <w:rFonts w:hint="eastAsia" w:cs="宋体"/>
          <w:color w:val="auto"/>
          <w:sz w:val="24"/>
          <w:szCs w:val="24"/>
          <w:lang w:eastAsia="zh-CN"/>
        </w:rPr>
        <w:t>供应商</w:t>
      </w:r>
      <w:r>
        <w:rPr>
          <w:rFonts w:hint="eastAsia" w:ascii="宋体" w:hAnsi="宋体" w:eastAsia="宋体" w:cs="宋体"/>
          <w:color w:val="auto"/>
          <w:sz w:val="24"/>
          <w:szCs w:val="24"/>
          <w:lang w:eastAsia="zh-CN"/>
        </w:rPr>
        <w:t>在“政采云”平台提交电子版投标文件时，请填写参加远程采购活动经办人联系方式。</w:t>
      </w:r>
    </w:p>
    <w:p w14:paraId="2DE92B3B">
      <w:pPr>
        <w:pStyle w:val="3"/>
        <w:keepNext w:val="0"/>
        <w:keepLines w:val="0"/>
        <w:pageBreakBefore w:val="0"/>
        <w:widowControl w:val="0"/>
        <w:kinsoku/>
        <w:autoSpaceDE/>
        <w:autoSpaceDN/>
        <w:bidi w:val="0"/>
        <w:adjustRightInd/>
        <w:snapToGrid/>
        <w:spacing w:before="0" w:after="0" w:line="430" w:lineRule="exact"/>
        <w:ind w:left="0" w:firstLine="482" w:firstLineChars="200"/>
        <w:jc w:val="left"/>
        <w:textAlignment w:val="auto"/>
        <w:rPr>
          <w:rFonts w:hint="eastAsia" w:ascii="宋体" w:hAnsi="宋体" w:eastAsia="宋体" w:cs="宋体"/>
          <w:color w:val="auto"/>
          <w:sz w:val="24"/>
          <w:szCs w:val="24"/>
          <w:lang w:eastAsia="zh-CN"/>
        </w:rPr>
      </w:pPr>
      <w:bookmarkStart w:id="173" w:name="_Toc145067547"/>
      <w:bookmarkStart w:id="174" w:name="_Toc25859"/>
      <w:bookmarkStart w:id="175" w:name="_Toc20150"/>
      <w:bookmarkStart w:id="176" w:name="_Toc19357"/>
      <w:bookmarkStart w:id="177" w:name="_Toc89951815"/>
      <w:r>
        <w:rPr>
          <w:rFonts w:hint="eastAsia" w:ascii="宋体" w:hAnsi="宋体" w:eastAsia="宋体" w:cs="宋体"/>
          <w:color w:val="auto"/>
          <w:sz w:val="24"/>
          <w:szCs w:val="24"/>
          <w:lang w:eastAsia="zh-CN"/>
        </w:rPr>
        <w:t>五、公告期限</w:t>
      </w:r>
      <w:bookmarkEnd w:id="173"/>
      <w:bookmarkEnd w:id="174"/>
      <w:bookmarkEnd w:id="175"/>
      <w:bookmarkEnd w:id="176"/>
      <w:bookmarkEnd w:id="177"/>
    </w:p>
    <w:p w14:paraId="5C9E80E2">
      <w:pPr>
        <w:pStyle w:val="28"/>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自本公告发布之日起5个工作日。</w:t>
      </w:r>
    </w:p>
    <w:p w14:paraId="6D9B2AFA">
      <w:pPr>
        <w:pStyle w:val="3"/>
        <w:keepNext w:val="0"/>
        <w:keepLines w:val="0"/>
        <w:pageBreakBefore w:val="0"/>
        <w:widowControl w:val="0"/>
        <w:kinsoku/>
        <w:autoSpaceDE/>
        <w:autoSpaceDN/>
        <w:bidi w:val="0"/>
        <w:adjustRightInd/>
        <w:snapToGrid/>
        <w:spacing w:before="0" w:after="0" w:line="430" w:lineRule="exact"/>
        <w:ind w:left="0" w:firstLine="482" w:firstLineChars="200"/>
        <w:jc w:val="left"/>
        <w:textAlignment w:val="auto"/>
        <w:rPr>
          <w:rFonts w:hint="eastAsia" w:ascii="宋体" w:hAnsi="宋体" w:eastAsia="宋体" w:cs="宋体"/>
          <w:color w:val="auto"/>
          <w:sz w:val="24"/>
          <w:szCs w:val="24"/>
          <w:lang w:val="en-US" w:eastAsia="zh-CN"/>
        </w:rPr>
      </w:pPr>
      <w:bookmarkStart w:id="178" w:name="_Toc11085"/>
      <w:bookmarkStart w:id="179" w:name="_Toc11846"/>
      <w:bookmarkStart w:id="180" w:name="_Toc23745"/>
      <w:bookmarkStart w:id="181" w:name="_Toc145067548"/>
      <w:bookmarkStart w:id="182" w:name="_Toc89951816"/>
      <w:r>
        <w:rPr>
          <w:rFonts w:hint="eastAsia" w:ascii="宋体" w:hAnsi="宋体" w:eastAsia="宋体" w:cs="宋体"/>
          <w:color w:val="auto"/>
          <w:sz w:val="24"/>
          <w:szCs w:val="24"/>
          <w:lang w:val="en-US" w:eastAsia="zh-CN"/>
        </w:rPr>
        <w:t>六、其他补充事宜</w:t>
      </w:r>
      <w:bookmarkEnd w:id="178"/>
      <w:bookmarkEnd w:id="179"/>
    </w:p>
    <w:p w14:paraId="0552AAFB">
      <w:pPr>
        <w:keepNext w:val="0"/>
        <w:keepLines w:val="0"/>
        <w:pageBreakBefore w:val="0"/>
        <w:widowControl w:val="0"/>
        <w:kinsoku/>
        <w:wordWrap/>
        <w:overflowPunct/>
        <w:topLinePunct w:val="0"/>
        <w:autoSpaceDE/>
        <w:autoSpaceDN/>
        <w:bidi w:val="0"/>
        <w:adjustRightInd/>
        <w:snapToGrid/>
        <w:spacing w:line="43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开标方式：网上开标</w:t>
      </w:r>
      <w:r>
        <w:rPr>
          <w:rFonts w:hint="eastAsia" w:ascii="宋体" w:hAnsi="宋体" w:cs="宋体"/>
          <w:color w:val="auto"/>
          <w:sz w:val="24"/>
          <w:szCs w:val="24"/>
          <w:lang w:eastAsia="zh-CN"/>
        </w:rPr>
        <w:t>；</w:t>
      </w:r>
    </w:p>
    <w:p w14:paraId="21BA353A">
      <w:pPr>
        <w:keepNext w:val="0"/>
        <w:keepLines w:val="0"/>
        <w:pageBreakBefore w:val="0"/>
        <w:kinsoku/>
        <w:wordWrap w:val="0"/>
        <w:autoSpaceDE/>
        <w:autoSpaceDN/>
        <w:bidi w:val="0"/>
        <w:adjustRightInd/>
        <w:snapToGrid/>
        <w:spacing w:line="430" w:lineRule="exact"/>
        <w:ind w:firstLine="480" w:firstLineChars="200"/>
        <w:textAlignment w:val="auto"/>
        <w:rPr>
          <w:rFonts w:hint="eastAsia" w:ascii="宋体" w:hAnsi="宋体" w:eastAsia="宋体"/>
          <w:bCs/>
          <w:color w:val="auto"/>
          <w:sz w:val="24"/>
          <w:szCs w:val="24"/>
          <w:highlight w:val="none"/>
          <w:lang w:eastAsia="zh-CN" w:bidi="ar"/>
        </w:rPr>
      </w:pPr>
      <w:r>
        <w:rPr>
          <w:rFonts w:hint="eastAsia" w:ascii="宋体" w:hAnsi="宋体"/>
          <w:bCs/>
          <w:color w:val="auto"/>
          <w:sz w:val="24"/>
          <w:szCs w:val="24"/>
          <w:highlight w:val="none"/>
          <w:lang w:val="en-US" w:eastAsia="zh-CN" w:bidi="ar"/>
        </w:rPr>
        <w:t>2.</w:t>
      </w:r>
      <w:r>
        <w:rPr>
          <w:rFonts w:hint="eastAsia" w:ascii="宋体" w:hAnsi="宋体"/>
          <w:bCs/>
          <w:color w:val="auto"/>
          <w:sz w:val="24"/>
          <w:szCs w:val="24"/>
          <w:highlight w:val="none"/>
          <w:lang w:bidi="ar"/>
        </w:rPr>
        <w:t>是否需要缴纳投标保证金：</w:t>
      </w:r>
      <w:r>
        <w:rPr>
          <w:rFonts w:hint="eastAsia" w:ascii="宋体" w:hAnsi="宋体"/>
          <w:bCs/>
          <w:i w:val="0"/>
          <w:iCs w:val="0"/>
          <w:color w:val="auto"/>
          <w:sz w:val="24"/>
          <w:szCs w:val="24"/>
          <w:highlight w:val="none"/>
          <w:lang w:bidi="ar"/>
        </w:rPr>
        <w:t>是</w:t>
      </w:r>
      <w:r>
        <w:rPr>
          <w:rFonts w:hint="eastAsia" w:ascii="宋体" w:hAnsi="宋体"/>
          <w:bCs/>
          <w:color w:val="auto"/>
          <w:sz w:val="24"/>
          <w:szCs w:val="24"/>
          <w:highlight w:val="none"/>
          <w:lang w:eastAsia="zh-CN" w:bidi="ar"/>
        </w:rPr>
        <w:t>；</w:t>
      </w:r>
    </w:p>
    <w:p w14:paraId="5FCA11F3">
      <w:pPr>
        <w:keepNext w:val="0"/>
        <w:keepLines w:val="0"/>
        <w:pageBreakBefore w:val="0"/>
        <w:kinsoku/>
        <w:wordWrap w:val="0"/>
        <w:autoSpaceDE/>
        <w:autoSpaceDN/>
        <w:bidi w:val="0"/>
        <w:adjustRightInd/>
        <w:snapToGrid/>
        <w:spacing w:line="430" w:lineRule="exact"/>
        <w:ind w:firstLine="720" w:firstLineChars="300"/>
        <w:textAlignment w:val="auto"/>
        <w:rPr>
          <w:rFonts w:hint="eastAsia" w:ascii="宋体" w:hAnsi="宋体"/>
          <w:bCs/>
          <w:color w:val="auto"/>
          <w:sz w:val="24"/>
          <w:szCs w:val="24"/>
          <w:highlight w:val="none"/>
          <w:lang w:bidi="ar"/>
        </w:rPr>
      </w:pPr>
      <w:r>
        <w:rPr>
          <w:rFonts w:hint="eastAsia" w:ascii="宋体" w:hAnsi="宋体"/>
          <w:color w:val="auto"/>
          <w:sz w:val="24"/>
          <w:szCs w:val="24"/>
          <w:highlight w:val="none"/>
          <w:lang w:val="en-US" w:eastAsia="zh-CN"/>
        </w:rPr>
        <w:t>标项1：南华县人民医院64排CT、血管造影X射线机维保服务采购项目；</w:t>
      </w:r>
    </w:p>
    <w:p w14:paraId="1CC2985A">
      <w:pPr>
        <w:keepNext w:val="0"/>
        <w:keepLines w:val="0"/>
        <w:pageBreakBefore w:val="0"/>
        <w:kinsoku/>
        <w:wordWrap w:val="0"/>
        <w:autoSpaceDE/>
        <w:autoSpaceDN/>
        <w:bidi w:val="0"/>
        <w:adjustRightInd/>
        <w:snapToGrid/>
        <w:spacing w:line="430" w:lineRule="exact"/>
        <w:ind w:firstLine="720" w:firstLineChars="300"/>
        <w:textAlignment w:val="auto"/>
        <w:rPr>
          <w:rFonts w:hint="eastAsia" w:ascii="宋体" w:hAnsi="宋体"/>
          <w:bCs/>
          <w:color w:val="auto"/>
          <w:sz w:val="24"/>
          <w:szCs w:val="24"/>
          <w:highlight w:val="none"/>
          <w:lang w:eastAsia="zh-CN" w:bidi="ar"/>
        </w:rPr>
      </w:pPr>
      <w:r>
        <w:rPr>
          <w:rFonts w:hint="eastAsia" w:ascii="宋体" w:hAnsi="宋体"/>
          <w:bCs/>
          <w:color w:val="auto"/>
          <w:sz w:val="24"/>
          <w:szCs w:val="24"/>
          <w:highlight w:val="none"/>
          <w:lang w:bidi="ar"/>
        </w:rPr>
        <w:t>保证金金额：</w:t>
      </w:r>
      <w:r>
        <w:rPr>
          <w:rFonts w:hint="eastAsia" w:ascii="宋体" w:hAnsi="宋体"/>
          <w:bCs/>
          <w:color w:val="auto"/>
          <w:sz w:val="24"/>
          <w:szCs w:val="24"/>
          <w:highlight w:val="none"/>
          <w:lang w:val="en-US" w:eastAsia="zh-CN" w:bidi="ar"/>
        </w:rPr>
        <w:t>¥11800.00</w:t>
      </w:r>
      <w:r>
        <w:rPr>
          <w:rFonts w:hint="eastAsia" w:ascii="宋体" w:hAnsi="宋体"/>
          <w:bCs/>
          <w:color w:val="auto"/>
          <w:sz w:val="24"/>
          <w:szCs w:val="24"/>
          <w:highlight w:val="none"/>
          <w:u w:val="none"/>
          <w:lang w:bidi="ar"/>
        </w:rPr>
        <w:t>元</w:t>
      </w:r>
      <w:r>
        <w:rPr>
          <w:rFonts w:hint="eastAsia" w:ascii="宋体" w:hAnsi="宋体"/>
          <w:bCs/>
          <w:color w:val="auto"/>
          <w:sz w:val="24"/>
          <w:szCs w:val="24"/>
          <w:highlight w:val="none"/>
          <w:lang w:eastAsia="zh-CN" w:bidi="ar"/>
        </w:rPr>
        <w:t>；</w:t>
      </w:r>
    </w:p>
    <w:p w14:paraId="65CCF9FD">
      <w:pPr>
        <w:keepNext w:val="0"/>
        <w:keepLines w:val="0"/>
        <w:pageBreakBefore w:val="0"/>
        <w:kinsoku/>
        <w:wordWrap w:val="0"/>
        <w:autoSpaceDE/>
        <w:autoSpaceDN/>
        <w:bidi w:val="0"/>
        <w:adjustRightInd/>
        <w:snapToGrid/>
        <w:spacing w:line="430" w:lineRule="exact"/>
        <w:ind w:firstLine="720" w:firstLineChars="300"/>
        <w:textAlignment w:val="auto"/>
        <w:rPr>
          <w:rFonts w:hint="eastAsia" w:ascii="宋体" w:hAnsi="宋体"/>
          <w:bCs/>
          <w:color w:val="auto"/>
          <w:sz w:val="24"/>
          <w:szCs w:val="24"/>
          <w:highlight w:val="none"/>
          <w:lang w:eastAsia="zh-CN" w:bidi="ar"/>
        </w:rPr>
      </w:pPr>
      <w:r>
        <w:rPr>
          <w:rFonts w:hint="eastAsia" w:ascii="宋体" w:hAnsi="宋体"/>
          <w:bCs/>
          <w:color w:val="auto"/>
          <w:sz w:val="24"/>
          <w:szCs w:val="24"/>
          <w:highlight w:val="none"/>
          <w:lang w:bidi="ar"/>
        </w:rPr>
        <w:t>保证金缴纳方式：支票、汇票、本票、保函</w:t>
      </w:r>
      <w:r>
        <w:rPr>
          <w:rFonts w:hint="eastAsia" w:ascii="宋体" w:hAnsi="宋体"/>
          <w:bCs/>
          <w:color w:val="auto"/>
          <w:sz w:val="24"/>
          <w:szCs w:val="24"/>
          <w:highlight w:val="none"/>
          <w:lang w:eastAsia="zh-CN" w:bidi="ar"/>
        </w:rPr>
        <w:t>、</w:t>
      </w:r>
      <w:r>
        <w:rPr>
          <w:rFonts w:hint="eastAsia" w:ascii="宋体" w:hAnsi="宋体"/>
          <w:bCs/>
          <w:color w:val="auto"/>
          <w:sz w:val="24"/>
          <w:szCs w:val="24"/>
          <w:highlight w:val="none"/>
          <w:lang w:bidi="ar"/>
        </w:rPr>
        <w:t>网银</w:t>
      </w:r>
      <w:r>
        <w:rPr>
          <w:rFonts w:hint="eastAsia" w:ascii="宋体" w:hAnsi="宋体"/>
          <w:bCs/>
          <w:color w:val="auto"/>
          <w:sz w:val="24"/>
          <w:szCs w:val="24"/>
          <w:highlight w:val="none"/>
          <w:lang w:eastAsia="zh-CN" w:bidi="ar"/>
        </w:rPr>
        <w:t>、</w:t>
      </w:r>
      <w:r>
        <w:rPr>
          <w:rFonts w:hint="eastAsia" w:ascii="宋体" w:hAnsi="宋体"/>
          <w:bCs/>
          <w:color w:val="auto"/>
          <w:sz w:val="24"/>
          <w:szCs w:val="24"/>
          <w:highlight w:val="none"/>
          <w:lang w:bidi="ar"/>
        </w:rPr>
        <w:t>转账、电汇</w:t>
      </w:r>
      <w:r>
        <w:rPr>
          <w:rFonts w:hint="eastAsia" w:ascii="宋体" w:hAnsi="宋体"/>
          <w:bCs/>
          <w:color w:val="auto"/>
          <w:sz w:val="24"/>
          <w:szCs w:val="24"/>
          <w:highlight w:val="none"/>
          <w:lang w:eastAsia="zh-CN" w:bidi="ar"/>
        </w:rPr>
        <w:t>等非现金形式，供应商可根据实际情况，选择保证金的缴纳方式；</w:t>
      </w:r>
    </w:p>
    <w:p w14:paraId="7E627153">
      <w:pPr>
        <w:keepNext w:val="0"/>
        <w:keepLines w:val="0"/>
        <w:pageBreakBefore w:val="0"/>
        <w:widowControl w:val="0"/>
        <w:kinsoku/>
        <w:wordWrap/>
        <w:overflowPunct/>
        <w:topLinePunct w:val="0"/>
        <w:autoSpaceDE/>
        <w:autoSpaceDN/>
        <w:bidi w:val="0"/>
        <w:adjustRightInd/>
        <w:snapToGrid/>
        <w:spacing w:line="430" w:lineRule="exact"/>
        <w:ind w:firstLine="720" w:firstLineChars="300"/>
        <w:jc w:val="left"/>
        <w:textAlignment w:val="auto"/>
        <w:rPr>
          <w:rFonts w:ascii="宋体" w:hAnsi="宋体"/>
          <w:color w:val="auto"/>
          <w:sz w:val="24"/>
          <w:szCs w:val="24"/>
          <w:highlight w:val="none"/>
        </w:rPr>
      </w:pPr>
      <w:r>
        <w:rPr>
          <w:rFonts w:hint="eastAsia" w:ascii="宋体" w:hAnsi="宋体"/>
          <w:bCs/>
          <w:color w:val="auto"/>
          <w:sz w:val="24"/>
          <w:szCs w:val="24"/>
          <w:highlight w:val="none"/>
          <w:lang w:bidi="ar"/>
        </w:rPr>
        <w:t>保证金缴纳截止时间</w:t>
      </w:r>
      <w:r>
        <w:rPr>
          <w:rFonts w:hint="eastAsia" w:ascii="宋体" w:hAnsi="宋体"/>
          <w:bCs/>
          <w:color w:val="auto"/>
          <w:sz w:val="24"/>
          <w:szCs w:val="24"/>
          <w:highlight w:val="none"/>
          <w:lang w:bidi="ar"/>
        </w:rPr>
        <w:t>：2025年</w:t>
      </w:r>
      <w:r>
        <w:rPr>
          <w:rFonts w:hint="eastAsia" w:ascii="宋体" w:hAnsi="宋体"/>
          <w:bCs/>
          <w:color w:val="auto"/>
          <w:sz w:val="24"/>
          <w:szCs w:val="24"/>
          <w:highlight w:val="none"/>
          <w:lang w:val="en-US" w:eastAsia="zh-CN" w:bidi="ar"/>
        </w:rPr>
        <w:t>10</w:t>
      </w:r>
      <w:r>
        <w:rPr>
          <w:rFonts w:hint="eastAsia" w:ascii="宋体" w:hAnsi="宋体"/>
          <w:bCs/>
          <w:color w:val="auto"/>
          <w:sz w:val="24"/>
          <w:szCs w:val="24"/>
          <w:highlight w:val="none"/>
          <w:lang w:bidi="ar"/>
        </w:rPr>
        <w:t>月</w:t>
      </w:r>
      <w:r>
        <w:rPr>
          <w:rFonts w:hint="eastAsia" w:ascii="宋体" w:hAnsi="宋体"/>
          <w:bCs/>
          <w:color w:val="auto"/>
          <w:sz w:val="24"/>
          <w:szCs w:val="24"/>
          <w:highlight w:val="none"/>
          <w:lang w:val="en-US" w:eastAsia="zh-CN" w:bidi="ar"/>
        </w:rPr>
        <w:t>31</w:t>
      </w:r>
      <w:r>
        <w:rPr>
          <w:rFonts w:hint="eastAsia" w:ascii="宋体" w:hAnsi="宋体"/>
          <w:bCs/>
          <w:color w:val="auto"/>
          <w:sz w:val="24"/>
          <w:szCs w:val="24"/>
          <w:highlight w:val="none"/>
          <w:lang w:bidi="ar"/>
        </w:rPr>
        <w:t>日09时00分</w:t>
      </w:r>
      <w:r>
        <w:rPr>
          <w:rFonts w:hint="eastAsia" w:ascii="宋体" w:hAnsi="宋体" w:eastAsia="宋体" w:cs="宋体"/>
          <w:color w:val="auto"/>
          <w:sz w:val="24"/>
          <w:szCs w:val="24"/>
          <w:lang w:eastAsia="zh-CN"/>
        </w:rPr>
        <w:t>（北京时间）</w:t>
      </w:r>
      <w:r>
        <w:rPr>
          <w:rFonts w:ascii="宋体" w:hAnsi="宋体"/>
          <w:color w:val="auto"/>
          <w:sz w:val="24"/>
          <w:szCs w:val="24"/>
          <w:highlight w:val="none"/>
        </w:rPr>
        <w:t>。</w:t>
      </w:r>
    </w:p>
    <w:p w14:paraId="0EBA8AA8">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其他：</w:t>
      </w:r>
    </w:p>
    <w:p w14:paraId="5EE9AC07">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3.1 </w:t>
      </w:r>
      <w:r>
        <w:rPr>
          <w:rFonts w:hint="eastAsia" w:ascii="宋体" w:hAnsi="宋体" w:eastAsia="宋体" w:cs="宋体"/>
          <w:color w:val="auto"/>
          <w:sz w:val="24"/>
          <w:szCs w:val="24"/>
          <w:lang w:eastAsia="zh-CN"/>
        </w:rPr>
        <w:t>发布公告的媒介：本次招标公告在《云南省政府采购网》《政府采购云平台》上发布，采购人及采购代理机构对其他网站发布或转载的公告内容不承担任何责任；</w:t>
      </w:r>
    </w:p>
    <w:p w14:paraId="197D9CBE">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3.2 </w:t>
      </w:r>
      <w:r>
        <w:rPr>
          <w:rFonts w:hint="eastAsia" w:ascii="宋体" w:hAnsi="宋体" w:eastAsia="宋体" w:cs="宋体"/>
          <w:color w:val="auto"/>
          <w:sz w:val="24"/>
          <w:szCs w:val="24"/>
          <w:lang w:val="en-US" w:eastAsia="zh-CN"/>
        </w:rPr>
        <w:t xml:space="preserve">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 </w:t>
      </w:r>
    </w:p>
    <w:p w14:paraId="51154DFF">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CA数字证书服务热线 </w:t>
      </w:r>
    </w:p>
    <w:p w14:paraId="24E2638F">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汇信CA：0571-88350735</w:t>
      </w:r>
    </w:p>
    <w:p w14:paraId="2B62CA4F">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云南CA:4006727666</w:t>
      </w:r>
    </w:p>
    <w:p w14:paraId="2870FB81">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云南壹证通：4000040628</w:t>
      </w:r>
    </w:p>
    <w:p w14:paraId="23A6DDE7">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福建CA：0591-87760022</w:t>
      </w:r>
    </w:p>
    <w:p w14:paraId="66A5FDF7">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.1 办理CA数字证书供应商登录云南省省级政府采购电子交易平台查阅操作指南—入驻与配置—CA管理。使用操作指南，按照程序要求办理。</w:t>
      </w:r>
    </w:p>
    <w:p w14:paraId="01CD4184">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.2 注册供应商登录云南省省级政府采购电子交易平台操作指南—入驻与配置—云南省供应商注册入驻与配置。注册入库操作流程指引进行自助注册绑定。</w:t>
      </w:r>
    </w:p>
    <w:p w14:paraId="569F0E00">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.3 驱动、客户端下载供应商登录云南省省级政府采购电子交易平台—我的工作台-CA管理—给当前账号绑定CA—选择对应CA—下载驱动—客户端&amp;驱动下载。下载相关驱动及客户端。相关驱动及客户端网址（https://customer.zcygov.cn/CA-driver-download?utm=web-ca-front.3ddc8fbb.0.0.6389de80d15111ee8160d911f316cf0d）</w:t>
      </w:r>
    </w:p>
    <w:p w14:paraId="605A4026">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 xml:space="preserve">.4 获取电子招标文件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投标文件。 </w:t>
      </w:r>
    </w:p>
    <w:p w14:paraId="6A8414DC">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 xml:space="preserve">.5 编制电子投标文件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14:paraId="45386498">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 xml:space="preserve">.6 提交电子投标文件供应商应于投标截止时间前在政府采购电子交易平台提交电子投标文件，上传电子投标文件过程中请保持与互联网的连接畅通。 </w:t>
      </w:r>
    </w:p>
    <w:p w14:paraId="44A37ACD">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.7 电子开标 供应商在开标地点使用账号密码或 CA 数字证书登录云南省省级政府采购电子交易平台进行电子开标</w:t>
      </w:r>
      <w:r>
        <w:rPr>
          <w:rFonts w:hint="eastAsia" w:ascii="宋体" w:hAnsi="宋体" w:eastAsia="宋体" w:cs="宋体"/>
          <w:color w:val="auto"/>
          <w:sz w:val="24"/>
          <w:szCs w:val="24"/>
          <w:lang w:eastAsia="zh-CN"/>
        </w:rPr>
        <w:t>。</w:t>
      </w:r>
    </w:p>
    <w:p w14:paraId="59BBA07D">
      <w:pPr>
        <w:pStyle w:val="3"/>
        <w:keepNext w:val="0"/>
        <w:keepLines w:val="0"/>
        <w:pageBreakBefore w:val="0"/>
        <w:widowControl w:val="0"/>
        <w:kinsoku/>
        <w:autoSpaceDE/>
        <w:autoSpaceDN/>
        <w:bidi w:val="0"/>
        <w:adjustRightInd/>
        <w:snapToGrid/>
        <w:spacing w:before="0" w:after="0" w:line="430" w:lineRule="exact"/>
        <w:ind w:left="0" w:firstLine="482" w:firstLineChars="200"/>
        <w:jc w:val="left"/>
        <w:textAlignment w:val="auto"/>
        <w:rPr>
          <w:rFonts w:hint="eastAsia" w:ascii="宋体" w:hAnsi="宋体" w:eastAsia="宋体" w:cs="宋体"/>
          <w:color w:val="auto"/>
          <w:sz w:val="24"/>
          <w:szCs w:val="24"/>
          <w:lang w:eastAsia="zh-CN"/>
        </w:rPr>
      </w:pPr>
      <w:bookmarkStart w:id="183" w:name="_Toc15342"/>
      <w:bookmarkStart w:id="184" w:name="_Toc8808"/>
      <w:r>
        <w:rPr>
          <w:rFonts w:hint="eastAsia" w:ascii="宋体" w:hAnsi="宋体" w:eastAsia="宋体" w:cs="宋体"/>
          <w:color w:val="auto"/>
          <w:sz w:val="24"/>
          <w:szCs w:val="24"/>
          <w:lang w:val="en-US" w:eastAsia="zh-CN"/>
        </w:rPr>
        <w:t>七</w:t>
      </w:r>
      <w:r>
        <w:rPr>
          <w:rFonts w:hint="eastAsia" w:ascii="宋体" w:hAnsi="宋体" w:eastAsia="宋体" w:cs="宋体"/>
          <w:color w:val="auto"/>
          <w:sz w:val="24"/>
          <w:szCs w:val="24"/>
          <w:lang w:eastAsia="zh-CN"/>
        </w:rPr>
        <w:t>、对本次招标提出询问，请按以下方式联系</w:t>
      </w:r>
      <w:bookmarkEnd w:id="180"/>
      <w:bookmarkEnd w:id="181"/>
      <w:bookmarkEnd w:id="182"/>
      <w:bookmarkEnd w:id="183"/>
      <w:bookmarkEnd w:id="184"/>
    </w:p>
    <w:bookmarkEnd w:id="10"/>
    <w:bookmarkEnd w:id="11"/>
    <w:p w14:paraId="316ADCF0">
      <w:pPr>
        <w:pStyle w:val="28"/>
        <w:keepNext w:val="0"/>
        <w:keepLines w:val="0"/>
        <w:pageBreakBefore w:val="0"/>
        <w:widowControl w:val="0"/>
        <w:kinsoku/>
        <w:wordWrap w:val="0"/>
        <w:overflowPunct w:val="0"/>
        <w:topLinePunct w:val="0"/>
        <w:autoSpaceDE/>
        <w:autoSpaceDN/>
        <w:bidi w:val="0"/>
        <w:adjustRightInd/>
        <w:snapToGrid/>
        <w:spacing w:line="430" w:lineRule="exact"/>
        <w:ind w:left="0" w:right="0" w:firstLine="482" w:firstLineChars="200"/>
        <w:jc w:val="left"/>
        <w:textAlignment w:val="auto"/>
        <w:outlineLvl w:val="2"/>
        <w:rPr>
          <w:rFonts w:hint="eastAsia" w:ascii="宋体" w:hAnsi="宋体" w:eastAsia="宋体" w:cs="宋体"/>
          <w:b/>
          <w:bCs w:val="0"/>
          <w:color w:val="auto"/>
          <w:sz w:val="24"/>
          <w:szCs w:val="24"/>
          <w:lang w:val="en-US" w:eastAsia="zh-CN"/>
        </w:rPr>
      </w:pPr>
      <w:bookmarkStart w:id="185" w:name="_Toc26358"/>
      <w:bookmarkStart w:id="186" w:name="_Toc21117"/>
      <w:bookmarkStart w:id="187" w:name="_Toc27405"/>
      <w:bookmarkStart w:id="188" w:name="_Toc8117"/>
      <w:bookmarkStart w:id="189" w:name="_Toc15037"/>
      <w:bookmarkStart w:id="190" w:name="_Toc29685"/>
      <w:bookmarkStart w:id="191" w:name="_Toc10177"/>
      <w:bookmarkStart w:id="192" w:name="_Toc14432"/>
      <w:bookmarkStart w:id="193" w:name="_Toc1032"/>
      <w:bookmarkStart w:id="194" w:name="_Toc30252"/>
      <w:bookmarkStart w:id="195" w:name="_Toc22215"/>
      <w:bookmarkStart w:id="196" w:name="_Toc20671"/>
      <w:bookmarkStart w:id="197" w:name="_Toc11211"/>
      <w:bookmarkStart w:id="198" w:name="_Toc20322"/>
      <w:bookmarkStart w:id="199" w:name="_Toc30836"/>
      <w:bookmarkStart w:id="200" w:name="_Toc23581"/>
      <w:bookmarkStart w:id="201" w:name="_Toc4751"/>
      <w:bookmarkStart w:id="202" w:name="_Toc3586"/>
      <w:bookmarkStart w:id="203" w:name="_Toc17368"/>
      <w:bookmarkStart w:id="204" w:name="_Toc7985"/>
      <w:bookmarkStart w:id="205" w:name="_Toc18988"/>
      <w:bookmarkStart w:id="206" w:name="_Toc31871"/>
      <w:bookmarkStart w:id="207" w:name="_Toc17354"/>
      <w:bookmarkStart w:id="208" w:name="_Toc32512"/>
      <w:bookmarkStart w:id="209" w:name="_Toc9957"/>
      <w:bookmarkStart w:id="210" w:name="_Toc3653"/>
      <w:bookmarkStart w:id="211" w:name="_Toc17790"/>
      <w:bookmarkStart w:id="212" w:name="_Toc31963"/>
      <w:bookmarkStart w:id="213" w:name="_Toc29602"/>
      <w:bookmarkStart w:id="214" w:name="_Toc24363"/>
      <w:bookmarkStart w:id="215" w:name="_Toc29317"/>
      <w:bookmarkStart w:id="216" w:name="_Toc7929"/>
      <w:bookmarkStart w:id="217" w:name="_Toc26411"/>
      <w:bookmarkStart w:id="218" w:name="_Toc13650"/>
      <w:bookmarkStart w:id="219" w:name="_Toc20492"/>
      <w:bookmarkStart w:id="220" w:name="_Toc15330"/>
      <w:bookmarkStart w:id="221" w:name="_Toc29920"/>
      <w:bookmarkStart w:id="222" w:name="_Toc8969"/>
      <w:bookmarkStart w:id="223" w:name="_Toc14289"/>
      <w:bookmarkStart w:id="224" w:name="_Toc17041"/>
      <w:bookmarkStart w:id="225" w:name="_Toc981"/>
      <w:bookmarkStart w:id="226" w:name="_Toc3120"/>
      <w:bookmarkStart w:id="227" w:name="_Toc2842"/>
      <w:bookmarkStart w:id="228" w:name="_Toc13623"/>
      <w:bookmarkStart w:id="229" w:name="_Toc20672"/>
      <w:r>
        <w:rPr>
          <w:rFonts w:hint="eastAsia" w:ascii="宋体" w:hAnsi="宋体" w:eastAsia="宋体" w:cs="宋体"/>
          <w:b/>
          <w:bCs w:val="0"/>
          <w:color w:val="auto"/>
          <w:sz w:val="24"/>
          <w:szCs w:val="24"/>
          <w:lang w:val="en-US" w:eastAsia="zh-CN"/>
        </w:rPr>
        <w:t>1.采购人信息</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49D520F2">
      <w:pPr>
        <w:pStyle w:val="28"/>
        <w:keepNext w:val="0"/>
        <w:keepLines w:val="0"/>
        <w:pageBreakBefore w:val="0"/>
        <w:widowControl w:val="0"/>
        <w:kinsoku/>
        <w:wordWrap w:val="0"/>
        <w:overflowPunct w:val="0"/>
        <w:topLinePunct w:val="0"/>
        <w:autoSpaceDE/>
        <w:autoSpaceDN/>
        <w:bidi w:val="0"/>
        <w:adjustRightInd/>
        <w:snapToGrid/>
        <w:spacing w:line="430" w:lineRule="exact"/>
        <w:ind w:left="0" w:right="0" w:firstLine="480" w:firstLineChars="200"/>
        <w:jc w:val="left"/>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val="en-US" w:eastAsia="zh-CN"/>
        </w:rPr>
        <w:t>名    称</w:t>
      </w:r>
      <w:r>
        <w:rPr>
          <w:rFonts w:hint="eastAsia" w:ascii="宋体" w:hAnsi="宋体" w:eastAsia="宋体" w:cs="宋体"/>
          <w:b w:val="0"/>
          <w:bCs/>
          <w:color w:val="auto"/>
          <w:sz w:val="24"/>
          <w:szCs w:val="24"/>
          <w:lang w:eastAsia="zh-CN"/>
        </w:rPr>
        <w:t>：</w:t>
      </w:r>
      <w:r>
        <w:rPr>
          <w:rFonts w:hint="eastAsia" w:cs="宋体"/>
          <w:b w:val="0"/>
          <w:bCs/>
          <w:color w:val="auto"/>
          <w:sz w:val="24"/>
          <w:szCs w:val="24"/>
          <w:lang w:eastAsia="zh-CN"/>
        </w:rPr>
        <w:t>南华县人民医院</w:t>
      </w:r>
    </w:p>
    <w:p w14:paraId="7561A38E">
      <w:pPr>
        <w:pStyle w:val="28"/>
        <w:keepNext w:val="0"/>
        <w:keepLines w:val="0"/>
        <w:pageBreakBefore w:val="0"/>
        <w:widowControl w:val="0"/>
        <w:kinsoku/>
        <w:wordWrap w:val="0"/>
        <w:overflowPunct w:val="0"/>
        <w:topLinePunct w:val="0"/>
        <w:autoSpaceDE/>
        <w:autoSpaceDN/>
        <w:bidi w:val="0"/>
        <w:adjustRightInd/>
        <w:snapToGrid/>
        <w:spacing w:line="430" w:lineRule="exact"/>
        <w:ind w:left="0" w:right="0" w:firstLine="480" w:firstLineChars="200"/>
        <w:jc w:val="left"/>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地</w:t>
      </w:r>
      <w:r>
        <w:rPr>
          <w:rFonts w:hint="eastAsia" w:ascii="宋体" w:hAnsi="宋体" w:eastAsia="宋体" w:cs="宋体"/>
          <w:b w:val="0"/>
          <w:bCs/>
          <w:color w:val="auto"/>
          <w:sz w:val="24"/>
          <w:szCs w:val="24"/>
          <w:lang w:val="en-US" w:eastAsia="zh-CN"/>
        </w:rPr>
        <w:t xml:space="preserve">    </w:t>
      </w:r>
      <w:r>
        <w:rPr>
          <w:rFonts w:hint="eastAsia" w:ascii="宋体" w:hAnsi="宋体" w:eastAsia="宋体" w:cs="宋体"/>
          <w:b w:val="0"/>
          <w:bCs/>
          <w:color w:val="auto"/>
          <w:sz w:val="24"/>
          <w:szCs w:val="24"/>
          <w:lang w:eastAsia="zh-CN"/>
        </w:rPr>
        <w:t>址：</w:t>
      </w:r>
      <w:r>
        <w:rPr>
          <w:rFonts w:hint="eastAsia" w:cs="宋体"/>
          <w:b w:val="0"/>
          <w:bCs/>
          <w:color w:val="auto"/>
          <w:sz w:val="24"/>
          <w:szCs w:val="24"/>
          <w:lang w:eastAsia="zh-CN"/>
        </w:rPr>
        <w:t>南华县龙川镇华强路</w:t>
      </w:r>
    </w:p>
    <w:p w14:paraId="0FB50D07">
      <w:pPr>
        <w:pStyle w:val="28"/>
        <w:keepNext w:val="0"/>
        <w:keepLines w:val="0"/>
        <w:pageBreakBefore w:val="0"/>
        <w:widowControl w:val="0"/>
        <w:kinsoku/>
        <w:wordWrap w:val="0"/>
        <w:overflowPunct w:val="0"/>
        <w:topLinePunct w:val="0"/>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联系</w:t>
      </w:r>
      <w:r>
        <w:rPr>
          <w:rFonts w:hint="eastAsia" w:ascii="宋体" w:hAnsi="宋体" w:eastAsia="宋体" w:cs="宋体"/>
          <w:color w:val="auto"/>
          <w:sz w:val="24"/>
          <w:szCs w:val="24"/>
          <w:lang w:val="en-US" w:eastAsia="zh-CN"/>
        </w:rPr>
        <w:t>方式</w:t>
      </w:r>
      <w:r>
        <w:rPr>
          <w:rFonts w:hint="eastAsia" w:ascii="宋体" w:hAnsi="宋体" w:eastAsia="宋体" w:cs="宋体"/>
          <w:color w:val="auto"/>
          <w:sz w:val="24"/>
          <w:szCs w:val="24"/>
          <w:lang w:eastAsia="zh-CN"/>
        </w:rPr>
        <w:t>：0878-7222446</w:t>
      </w:r>
    </w:p>
    <w:p w14:paraId="7B3CF3AE">
      <w:pPr>
        <w:pStyle w:val="28"/>
        <w:keepNext w:val="0"/>
        <w:keepLines w:val="0"/>
        <w:pageBreakBefore w:val="0"/>
        <w:widowControl w:val="0"/>
        <w:kinsoku/>
        <w:wordWrap w:val="0"/>
        <w:overflowPunct w:val="0"/>
        <w:topLinePunct w:val="0"/>
        <w:autoSpaceDE/>
        <w:autoSpaceDN/>
        <w:bidi w:val="0"/>
        <w:adjustRightInd/>
        <w:snapToGrid/>
        <w:spacing w:line="430" w:lineRule="exact"/>
        <w:ind w:left="0" w:right="0" w:firstLine="482" w:firstLineChars="200"/>
        <w:jc w:val="left"/>
        <w:textAlignment w:val="auto"/>
        <w:outlineLvl w:val="2"/>
        <w:rPr>
          <w:rFonts w:hint="eastAsia" w:ascii="宋体" w:hAnsi="宋体" w:eastAsia="宋体" w:cs="宋体"/>
          <w:b/>
          <w:bCs w:val="0"/>
          <w:color w:val="auto"/>
          <w:sz w:val="24"/>
          <w:szCs w:val="24"/>
          <w:lang w:val="en-US" w:eastAsia="zh-CN"/>
        </w:rPr>
      </w:pPr>
      <w:bookmarkStart w:id="230" w:name="_Toc14613"/>
      <w:bookmarkStart w:id="231" w:name="_Toc7669"/>
      <w:bookmarkStart w:id="232" w:name="_Toc16296"/>
      <w:bookmarkStart w:id="233" w:name="_Toc815"/>
      <w:bookmarkStart w:id="234" w:name="_Toc16712"/>
      <w:bookmarkStart w:id="235" w:name="_Toc17270"/>
      <w:bookmarkStart w:id="236" w:name="_Toc32028"/>
      <w:bookmarkStart w:id="237" w:name="_Toc15130"/>
      <w:bookmarkStart w:id="238" w:name="_Toc30797"/>
      <w:bookmarkStart w:id="239" w:name="_Toc19890"/>
      <w:bookmarkStart w:id="240" w:name="_Toc11511"/>
      <w:bookmarkStart w:id="241" w:name="_Toc22224"/>
      <w:bookmarkStart w:id="242" w:name="_Toc15284"/>
      <w:bookmarkStart w:id="243" w:name="_Toc31458"/>
      <w:bookmarkStart w:id="244" w:name="_Toc22272"/>
      <w:bookmarkStart w:id="245" w:name="_Toc1068"/>
      <w:bookmarkStart w:id="246" w:name="_Toc12715"/>
      <w:bookmarkStart w:id="247" w:name="_Toc6941"/>
      <w:bookmarkStart w:id="248" w:name="_Toc30344"/>
      <w:bookmarkStart w:id="249" w:name="_Toc18377"/>
      <w:bookmarkStart w:id="250" w:name="_Toc12646"/>
      <w:bookmarkStart w:id="251" w:name="_Toc11632"/>
      <w:bookmarkStart w:id="252" w:name="_Toc7344"/>
      <w:bookmarkStart w:id="253" w:name="_Toc32538"/>
      <w:bookmarkStart w:id="254" w:name="_Toc27813"/>
      <w:bookmarkStart w:id="255" w:name="_Toc26452"/>
      <w:bookmarkStart w:id="256" w:name="_Toc2801"/>
      <w:bookmarkStart w:id="257" w:name="_Toc22792"/>
      <w:bookmarkStart w:id="258" w:name="_Toc31520"/>
      <w:bookmarkStart w:id="259" w:name="_Toc16278"/>
      <w:bookmarkStart w:id="260" w:name="_Toc6206"/>
      <w:bookmarkStart w:id="261" w:name="_Toc1725"/>
      <w:bookmarkStart w:id="262" w:name="_Toc23275"/>
      <w:bookmarkStart w:id="263" w:name="_Toc23934"/>
      <w:bookmarkStart w:id="264" w:name="_Toc25855"/>
      <w:bookmarkStart w:id="265" w:name="_Toc579"/>
      <w:bookmarkStart w:id="266" w:name="_Toc23063"/>
      <w:bookmarkStart w:id="267" w:name="_Toc15470"/>
      <w:bookmarkStart w:id="268" w:name="_Toc14384"/>
      <w:bookmarkStart w:id="269" w:name="_Toc30653"/>
      <w:bookmarkStart w:id="270" w:name="_Toc19348"/>
      <w:bookmarkStart w:id="271" w:name="_Toc19335"/>
      <w:bookmarkStart w:id="272" w:name="_Toc16580"/>
      <w:bookmarkStart w:id="273" w:name="_Toc16577"/>
      <w:bookmarkStart w:id="274" w:name="_Toc18785"/>
      <w:r>
        <w:rPr>
          <w:rFonts w:hint="eastAsia" w:ascii="宋体" w:hAnsi="宋体" w:eastAsia="宋体" w:cs="宋体"/>
          <w:b/>
          <w:bCs w:val="0"/>
          <w:color w:val="auto"/>
          <w:sz w:val="24"/>
          <w:szCs w:val="24"/>
          <w:lang w:val="en-US" w:eastAsia="zh-CN"/>
        </w:rPr>
        <w:t>2.招标代理机构信息</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3B035A5F">
      <w:pPr>
        <w:keepNext w:val="0"/>
        <w:keepLines w:val="0"/>
        <w:pageBreakBefore w:val="0"/>
        <w:widowControl w:val="0"/>
        <w:kinsoku/>
        <w:wordWrap w:val="0"/>
        <w:overflowPunct w:val="0"/>
        <w:topLinePunct w:val="0"/>
        <w:autoSpaceDE/>
        <w:autoSpaceDN/>
        <w:bidi w:val="0"/>
        <w:adjustRightInd/>
        <w:snapToGrid/>
        <w:spacing w:line="430" w:lineRule="exact"/>
        <w:ind w:left="0" w:leftChars="0" w:right="0" w:firstLine="480" w:firstLineChars="200"/>
        <w:jc w:val="left"/>
        <w:textAlignment w:val="auto"/>
        <w:rPr>
          <w:rFonts w:hint="eastAsia" w:ascii="宋体" w:hAnsi="宋体" w:eastAsia="宋体" w:cs="宋体"/>
          <w:color w:val="auto"/>
          <w:sz w:val="24"/>
          <w:szCs w:val="24"/>
          <w:lang w:val="en-US" w:eastAsia="zh-CN"/>
        </w:rPr>
      </w:pPr>
      <w:bookmarkStart w:id="275" w:name="_Toc9285"/>
      <w:bookmarkStart w:id="276" w:name="_Toc17609"/>
      <w:bookmarkStart w:id="277" w:name="_Toc4004"/>
      <w:bookmarkStart w:id="278" w:name="_Toc7185"/>
      <w:bookmarkStart w:id="279" w:name="_Toc25623"/>
      <w:bookmarkStart w:id="280" w:name="_Toc21036"/>
      <w:bookmarkStart w:id="281" w:name="_Toc894"/>
      <w:bookmarkStart w:id="282" w:name="_Toc28765"/>
      <w:bookmarkStart w:id="283" w:name="_Toc13945"/>
      <w:bookmarkStart w:id="284" w:name="_Toc5487"/>
      <w:bookmarkStart w:id="285" w:name="_Toc19261"/>
      <w:bookmarkStart w:id="286" w:name="_Toc1050"/>
      <w:bookmarkStart w:id="287" w:name="_Toc13241"/>
      <w:bookmarkStart w:id="288" w:name="_Toc22759"/>
      <w:bookmarkStart w:id="289" w:name="_Toc29134"/>
      <w:bookmarkStart w:id="290" w:name="_Toc266"/>
      <w:bookmarkStart w:id="291" w:name="_Toc556"/>
      <w:bookmarkStart w:id="292" w:name="_Toc8379"/>
      <w:bookmarkStart w:id="293" w:name="_Toc11563"/>
      <w:bookmarkStart w:id="294" w:name="_Toc28359010"/>
      <w:bookmarkStart w:id="295" w:name="_Toc28359087"/>
      <w:bookmarkStart w:id="296" w:name="_Toc1735"/>
      <w:bookmarkStart w:id="297" w:name="_Toc10316"/>
      <w:bookmarkStart w:id="298" w:name="_Toc26738"/>
      <w:bookmarkStart w:id="299" w:name="_Toc20534"/>
      <w:bookmarkStart w:id="300" w:name="_Toc7911"/>
      <w:bookmarkStart w:id="301" w:name="_Toc12438"/>
      <w:bookmarkStart w:id="302" w:name="_Toc20485"/>
      <w:bookmarkStart w:id="303" w:name="_Toc7977"/>
      <w:bookmarkStart w:id="304" w:name="_Toc2557"/>
      <w:bookmarkStart w:id="305" w:name="_Toc8748"/>
      <w:bookmarkStart w:id="306" w:name="_Toc27292"/>
      <w:bookmarkStart w:id="307" w:name="_Toc19488"/>
      <w:bookmarkStart w:id="308" w:name="_Toc15169"/>
      <w:bookmarkStart w:id="309" w:name="_Toc17293"/>
      <w:bookmarkStart w:id="310" w:name="_Toc25419"/>
      <w:bookmarkStart w:id="311" w:name="_Toc7450"/>
      <w:bookmarkStart w:id="312" w:name="_Toc21306"/>
      <w:bookmarkStart w:id="313" w:name="_Toc26158"/>
      <w:bookmarkStart w:id="314" w:name="_Toc17426"/>
      <w:bookmarkStart w:id="315" w:name="_Toc10182"/>
      <w:bookmarkStart w:id="316" w:name="_Toc27231"/>
      <w:bookmarkStart w:id="317" w:name="_Toc5067"/>
      <w:bookmarkStart w:id="318" w:name="_Toc12019"/>
      <w:bookmarkStart w:id="319" w:name="_Toc3104"/>
      <w:bookmarkStart w:id="320" w:name="_Toc5611"/>
      <w:r>
        <w:rPr>
          <w:rFonts w:hint="eastAsia" w:ascii="宋体" w:hAnsi="宋体" w:eastAsia="宋体" w:cs="宋体"/>
          <w:color w:val="auto"/>
          <w:sz w:val="24"/>
          <w:szCs w:val="24"/>
          <w:lang w:val="en-US" w:eastAsia="zh-CN"/>
        </w:rPr>
        <w:t>名    称：</w:t>
      </w:r>
      <w:r>
        <w:rPr>
          <w:rFonts w:hint="eastAsia" w:ascii="宋体" w:hAnsi="宋体" w:cs="宋体"/>
          <w:color w:val="auto"/>
          <w:sz w:val="24"/>
          <w:szCs w:val="24"/>
          <w:lang w:val="en-US" w:eastAsia="zh-CN"/>
        </w:rPr>
        <w:t>楚雄腾凯工程项目管理有限公司</w:t>
      </w:r>
    </w:p>
    <w:p w14:paraId="43D9EEB3">
      <w:pPr>
        <w:keepNext w:val="0"/>
        <w:keepLines w:val="0"/>
        <w:pageBreakBefore w:val="0"/>
        <w:widowControl w:val="0"/>
        <w:kinsoku/>
        <w:wordWrap w:val="0"/>
        <w:overflowPunct w:val="0"/>
        <w:topLinePunct w:val="0"/>
        <w:autoSpaceDE/>
        <w:autoSpaceDN/>
        <w:bidi w:val="0"/>
        <w:adjustRightInd/>
        <w:snapToGrid/>
        <w:spacing w:line="430" w:lineRule="exact"/>
        <w:ind w:left="0" w:leftChars="0" w:right="0" w:firstLine="480" w:firstLineChars="2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　  址：</w:t>
      </w:r>
      <w:r>
        <w:rPr>
          <w:rFonts w:hint="eastAsia" w:ascii="宋体" w:hAnsi="宋体" w:cs="宋体"/>
          <w:color w:val="auto"/>
          <w:sz w:val="24"/>
          <w:szCs w:val="24"/>
          <w:lang w:val="en-US" w:eastAsia="zh-CN"/>
        </w:rPr>
        <w:t>南华县龙川镇两旗书苑52号</w:t>
      </w:r>
    </w:p>
    <w:p w14:paraId="2DE19660">
      <w:pPr>
        <w:keepNext w:val="0"/>
        <w:keepLines w:val="0"/>
        <w:pageBreakBefore w:val="0"/>
        <w:widowControl w:val="0"/>
        <w:kinsoku/>
        <w:wordWrap w:val="0"/>
        <w:overflowPunct w:val="0"/>
        <w:topLinePunct w:val="0"/>
        <w:autoSpaceDE/>
        <w:autoSpaceDN/>
        <w:bidi w:val="0"/>
        <w:adjustRightInd/>
        <w:snapToGrid/>
        <w:spacing w:line="430" w:lineRule="exact"/>
        <w:ind w:left="0" w:leftChars="0" w:right="0" w:firstLine="480" w:firstLineChars="2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联系方式：</w:t>
      </w:r>
      <w:r>
        <w:rPr>
          <w:rFonts w:hint="eastAsia" w:ascii="宋体" w:hAnsi="宋体" w:cs="宋体"/>
          <w:color w:val="auto"/>
          <w:sz w:val="24"/>
          <w:szCs w:val="24"/>
          <w:lang w:val="en-US" w:eastAsia="zh-CN"/>
        </w:rPr>
        <w:t>13638701730</w:t>
      </w:r>
    </w:p>
    <w:p w14:paraId="1589F3AF">
      <w:pPr>
        <w:keepNext w:val="0"/>
        <w:keepLines w:val="0"/>
        <w:pageBreakBefore w:val="0"/>
        <w:widowControl w:val="0"/>
        <w:kinsoku/>
        <w:wordWrap w:val="0"/>
        <w:overflowPunct w:val="0"/>
        <w:topLinePunct w:val="0"/>
        <w:autoSpaceDE/>
        <w:autoSpaceDN/>
        <w:bidi w:val="0"/>
        <w:adjustRightInd/>
        <w:snapToGrid/>
        <w:spacing w:line="430" w:lineRule="exact"/>
        <w:ind w:left="0" w:right="0" w:firstLine="482" w:firstLineChars="200"/>
        <w:jc w:val="left"/>
        <w:textAlignment w:val="auto"/>
        <w:outlineLvl w:val="2"/>
        <w:rPr>
          <w:rFonts w:hint="eastAsia" w:ascii="宋体" w:hAnsi="宋体" w:eastAsia="宋体" w:cs="宋体"/>
          <w:b/>
          <w:bCs/>
          <w:color w:val="auto"/>
          <w:sz w:val="24"/>
          <w:szCs w:val="24"/>
          <w:lang w:val="en-US" w:eastAsia="zh-CN"/>
        </w:rPr>
      </w:pPr>
      <w:bookmarkStart w:id="321" w:name="_Toc15563"/>
      <w:r>
        <w:rPr>
          <w:rFonts w:hint="eastAsia" w:ascii="宋体" w:hAnsi="宋体" w:eastAsia="宋体" w:cs="宋体"/>
          <w:b/>
          <w:bCs/>
          <w:color w:val="auto"/>
          <w:sz w:val="24"/>
          <w:szCs w:val="24"/>
          <w:lang w:val="en-US" w:eastAsia="zh-CN"/>
        </w:rPr>
        <w:t>3.项目联系方式</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7CC970DD">
      <w:pPr>
        <w:keepNext w:val="0"/>
        <w:keepLines w:val="0"/>
        <w:pageBreakBefore w:val="0"/>
        <w:widowControl w:val="0"/>
        <w:kinsoku/>
        <w:wordWrap w:val="0"/>
        <w:overflowPunct w:val="0"/>
        <w:topLinePunct w:val="0"/>
        <w:autoSpaceDE/>
        <w:autoSpaceDN/>
        <w:bidi w:val="0"/>
        <w:adjustRightInd/>
        <w:snapToGrid/>
        <w:spacing w:line="430" w:lineRule="exact"/>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项目联系人：</w:t>
      </w:r>
      <w:r>
        <w:rPr>
          <w:rFonts w:hint="eastAsia" w:ascii="宋体" w:hAnsi="宋体" w:cs="宋体"/>
          <w:color w:val="auto"/>
          <w:sz w:val="24"/>
          <w:szCs w:val="24"/>
          <w:lang w:val="en-US" w:eastAsia="zh-CN"/>
        </w:rPr>
        <w:t>袁海</w:t>
      </w:r>
    </w:p>
    <w:p w14:paraId="7C2251A9">
      <w:pPr>
        <w:pStyle w:val="28"/>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    </w:t>
      </w:r>
      <w:r>
        <w:rPr>
          <w:rFonts w:hint="eastAsia" w:cs="宋体"/>
          <w:color w:val="auto"/>
          <w:sz w:val="24"/>
          <w:szCs w:val="24"/>
          <w:lang w:val="en-US" w:eastAsia="zh-CN"/>
        </w:rPr>
        <w:t xml:space="preserve">  </w:t>
      </w:r>
      <w:r>
        <w:rPr>
          <w:rFonts w:hint="eastAsia" w:ascii="宋体" w:hAnsi="宋体" w:eastAsia="宋体" w:cs="宋体"/>
          <w:color w:val="auto"/>
          <w:sz w:val="24"/>
          <w:szCs w:val="24"/>
          <w:lang w:val="en-US" w:eastAsia="zh-CN"/>
        </w:rPr>
        <w:t>话：</w:t>
      </w:r>
      <w:r>
        <w:rPr>
          <w:rFonts w:hint="eastAsia" w:cs="宋体"/>
          <w:color w:val="auto"/>
          <w:sz w:val="24"/>
          <w:szCs w:val="24"/>
          <w:lang w:val="en-US" w:eastAsia="zh-CN"/>
        </w:rPr>
        <w:t>13638701730</w:t>
      </w:r>
    </w:p>
    <w:p w14:paraId="0179EE63">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rPr>
          <w:rFonts w:hint="eastAsia" w:ascii="宋体" w:hAnsi="宋体" w:eastAsia="宋体" w:cs="宋体"/>
          <w:b/>
          <w:color w:val="auto"/>
          <w:kern w:val="2"/>
          <w:sz w:val="24"/>
          <w:szCs w:val="24"/>
          <w:lang w:eastAsia="zh-CN"/>
        </w:rPr>
        <w:sectPr>
          <w:footerReference r:id="rId4" w:type="first"/>
          <w:footerReference r:id="rId3" w:type="default"/>
          <w:pgSz w:w="11906" w:h="16838"/>
          <w:pgMar w:top="1383" w:right="1026" w:bottom="1383" w:left="1026" w:header="709" w:footer="737" w:gutter="0"/>
          <w:pgNumType w:fmt="decimal" w:start="1"/>
          <w:cols w:space="720" w:num="1"/>
          <w:titlePg/>
          <w:rtlGutter w:val="0"/>
          <w:docGrid w:linePitch="299" w:charSpace="0"/>
        </w:sectPr>
      </w:pPr>
    </w:p>
    <w:p w14:paraId="0CCA9AD6">
      <w:pPr>
        <w:pStyle w:val="3"/>
        <w:keepNext w:val="0"/>
        <w:keepLines w:val="0"/>
        <w:pageBreakBefore w:val="0"/>
        <w:widowControl w:val="0"/>
        <w:kinsoku/>
        <w:wordWrap w:val="0"/>
        <w:overflowPunct/>
        <w:topLinePunct/>
        <w:autoSpaceDE/>
        <w:autoSpaceDN/>
        <w:bidi w:val="0"/>
        <w:adjustRightInd/>
        <w:snapToGrid/>
        <w:spacing w:before="0" w:after="0"/>
        <w:ind w:left="0" w:leftChars="0" w:right="0"/>
        <w:textAlignment w:val="auto"/>
        <w:rPr>
          <w:rFonts w:hint="eastAsia" w:ascii="宋体" w:hAnsi="宋体" w:eastAsia="宋体" w:cs="宋体"/>
          <w:bCs/>
          <w:color w:val="auto"/>
          <w:sz w:val="40"/>
          <w:lang w:eastAsia="zh-CN"/>
        </w:rPr>
      </w:pPr>
      <w:bookmarkStart w:id="322" w:name="_Toc497486316"/>
      <w:bookmarkStart w:id="323" w:name="_Toc4837"/>
      <w:r>
        <w:rPr>
          <w:rStyle w:val="89"/>
          <w:rFonts w:hint="eastAsia" w:ascii="宋体" w:hAnsi="宋体" w:eastAsia="宋体" w:cs="宋体"/>
          <w:b/>
          <w:color w:val="auto"/>
          <w:lang w:eastAsia="zh-CN"/>
        </w:rPr>
        <w:t>第二章</w:t>
      </w:r>
      <w:r>
        <w:rPr>
          <w:rStyle w:val="89"/>
          <w:rFonts w:hint="eastAsia" w:ascii="宋体" w:hAnsi="宋体" w:eastAsia="宋体" w:cs="宋体"/>
          <w:b/>
          <w:color w:val="auto"/>
          <w:lang w:val="en-US" w:eastAsia="zh-CN"/>
        </w:rPr>
        <w:t xml:space="preserve"> </w:t>
      </w:r>
      <w:r>
        <w:rPr>
          <w:rStyle w:val="89"/>
          <w:rFonts w:hint="eastAsia" w:ascii="宋体" w:hAnsi="宋体" w:eastAsia="宋体" w:cs="宋体"/>
          <w:b/>
          <w:color w:val="auto"/>
          <w:lang w:eastAsia="zh-CN"/>
        </w:rPr>
        <w:t>供应商须知</w:t>
      </w:r>
      <w:bookmarkEnd w:id="322"/>
      <w:bookmarkEnd w:id="323"/>
    </w:p>
    <w:p w14:paraId="708ABF9A">
      <w:pPr>
        <w:pStyle w:val="3"/>
        <w:keepNext w:val="0"/>
        <w:keepLines w:val="0"/>
        <w:pageBreakBefore w:val="0"/>
        <w:widowControl w:val="0"/>
        <w:kinsoku/>
        <w:wordWrap w:val="0"/>
        <w:overflowPunct/>
        <w:topLinePunct/>
        <w:autoSpaceDE/>
        <w:autoSpaceDN/>
        <w:bidi w:val="0"/>
        <w:adjustRightInd/>
        <w:snapToGrid/>
        <w:spacing w:before="0" w:after="0"/>
        <w:ind w:left="0" w:leftChars="0" w:right="0"/>
        <w:textAlignment w:val="auto"/>
        <w:rPr>
          <w:rFonts w:hint="eastAsia" w:ascii="宋体" w:hAnsi="宋体" w:eastAsia="宋体" w:cs="宋体"/>
          <w:color w:val="auto"/>
          <w:lang w:eastAsia="zh-CN"/>
        </w:rPr>
      </w:pPr>
      <w:bookmarkStart w:id="324" w:name="_Toc88646729"/>
      <w:bookmarkStart w:id="325" w:name="_Toc145067563"/>
      <w:bookmarkStart w:id="326" w:name="_Toc88638755"/>
      <w:bookmarkStart w:id="327" w:name="_Toc6735"/>
      <w:r>
        <w:rPr>
          <w:rFonts w:hint="eastAsia" w:cs="宋体"/>
          <w:color w:val="auto"/>
          <w:lang w:eastAsia="zh-CN"/>
        </w:rPr>
        <w:t>供应商</w:t>
      </w:r>
      <w:r>
        <w:rPr>
          <w:rFonts w:hint="eastAsia" w:ascii="宋体" w:hAnsi="宋体" w:eastAsia="宋体" w:cs="宋体"/>
          <w:color w:val="auto"/>
          <w:lang w:eastAsia="zh-CN"/>
        </w:rPr>
        <w:t>须知前附表</w:t>
      </w:r>
      <w:bookmarkEnd w:id="324"/>
      <w:bookmarkEnd w:id="325"/>
      <w:bookmarkEnd w:id="326"/>
      <w:bookmarkEnd w:id="327"/>
    </w:p>
    <w:p w14:paraId="0BA2B7A7">
      <w:pPr>
        <w:spacing w:line="360" w:lineRule="auto"/>
        <w:ind w:firstLine="480"/>
        <w:rPr>
          <w:color w:val="auto"/>
          <w:sz w:val="24"/>
          <w:highlight w:val="none"/>
        </w:rPr>
      </w:pPr>
      <w:r>
        <w:rPr>
          <w:color w:val="auto"/>
          <w:sz w:val="24"/>
          <w:highlight w:val="none"/>
        </w:rPr>
        <w:t>本表是对投标人须知的具体补充和修改，如有矛盾，均以本资料表为准。标记</w:t>
      </w:r>
      <w:r>
        <w:rPr>
          <w:rFonts w:hint="eastAsia"/>
          <w:color w:val="auto"/>
          <w:sz w:val="24"/>
          <w:highlight w:val="none"/>
          <w:lang w:eastAsia="zh-CN"/>
        </w:rPr>
        <w:t>“■”</w:t>
      </w:r>
      <w:r>
        <w:rPr>
          <w:color w:val="auto"/>
          <w:sz w:val="24"/>
          <w:highlight w:val="none"/>
        </w:rPr>
        <w:t>的选项意为适用于本项目，标记</w:t>
      </w:r>
      <w:r>
        <w:rPr>
          <w:rFonts w:hint="eastAsia"/>
          <w:color w:val="auto"/>
          <w:sz w:val="24"/>
          <w:highlight w:val="none"/>
          <w:lang w:eastAsia="zh-CN"/>
        </w:rPr>
        <w:t>“</w:t>
      </w:r>
      <w:r>
        <w:rPr>
          <w:rFonts w:hint="eastAsia"/>
          <w:color w:val="auto"/>
          <w:sz w:val="24"/>
          <w:highlight w:val="none"/>
          <w:lang w:eastAsia="zh-CN"/>
        </w:rPr>
        <w:t>□</w:t>
      </w:r>
      <w:r>
        <w:rPr>
          <w:rFonts w:hint="eastAsia"/>
          <w:color w:val="auto"/>
          <w:sz w:val="24"/>
          <w:highlight w:val="none"/>
          <w:lang w:eastAsia="zh-CN"/>
        </w:rPr>
        <w:t>”</w:t>
      </w:r>
      <w:r>
        <w:rPr>
          <w:color w:val="auto"/>
          <w:sz w:val="24"/>
          <w:highlight w:val="none"/>
        </w:rPr>
        <w:t>的选项意为不适用于本项目。</w:t>
      </w:r>
    </w:p>
    <w:p w14:paraId="3EF54303">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4"/>
          <w:szCs w:val="6"/>
          <w:lang w:eastAsia="zh-CN"/>
        </w:rPr>
      </w:pPr>
    </w:p>
    <w:tbl>
      <w:tblPr>
        <w:tblStyle w:val="67"/>
        <w:tblW w:w="102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71"/>
        <w:gridCol w:w="7957"/>
      </w:tblGrid>
      <w:tr w14:paraId="711FD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610C1720">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color w:val="auto"/>
                <w:sz w:val="24"/>
                <w:szCs w:val="24"/>
              </w:rPr>
            </w:pPr>
            <w:bookmarkStart w:id="328" w:name="_Toc88638759"/>
            <w:bookmarkStart w:id="329" w:name="_Toc88646733"/>
            <w:bookmarkStart w:id="330" w:name="_Toc144646679"/>
            <w:r>
              <w:rPr>
                <w:rFonts w:hint="eastAsia" w:ascii="宋体" w:hAnsi="宋体" w:eastAsia="宋体" w:cs="宋体"/>
                <w:b/>
                <w:color w:val="auto"/>
                <w:sz w:val="24"/>
                <w:szCs w:val="24"/>
              </w:rPr>
              <w:t>条款名称</w:t>
            </w:r>
          </w:p>
        </w:tc>
        <w:tc>
          <w:tcPr>
            <w:tcW w:w="7957" w:type="dxa"/>
            <w:noWrap w:val="0"/>
            <w:vAlign w:val="center"/>
          </w:tcPr>
          <w:p w14:paraId="27DB1149">
            <w:pPr>
              <w:keepNext w:val="0"/>
              <w:keepLines w:val="0"/>
              <w:pageBreakBefore w:val="0"/>
              <w:widowControl w:val="0"/>
              <w:kinsoku/>
              <w:wordWrap w:val="0"/>
              <w:overflowPunct/>
              <w:topLinePunct/>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eastAsia="zh-CN"/>
              </w:rPr>
              <w:t>编列内容</w:t>
            </w:r>
          </w:p>
        </w:tc>
      </w:tr>
      <w:tr w14:paraId="41134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79F3698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7957" w:type="dxa"/>
            <w:noWrap w:val="0"/>
            <w:vAlign w:val="center"/>
          </w:tcPr>
          <w:p w14:paraId="1F114F6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cs="宋体"/>
                <w:color w:val="auto"/>
                <w:sz w:val="24"/>
                <w:szCs w:val="24"/>
                <w:lang w:eastAsia="zh-CN"/>
              </w:rPr>
            </w:pPr>
            <w:r>
              <w:rPr>
                <w:rFonts w:hint="eastAsia" w:ascii="宋体" w:hAnsi="宋体" w:eastAsia="宋体" w:cs="宋体"/>
                <w:color w:val="auto"/>
                <w:sz w:val="24"/>
                <w:szCs w:val="24"/>
                <w:lang w:eastAsia="zh-CN"/>
              </w:rPr>
              <w:t>采 购 人：</w:t>
            </w:r>
            <w:r>
              <w:rPr>
                <w:rFonts w:hint="eastAsia" w:ascii="宋体" w:hAnsi="宋体" w:cs="宋体"/>
                <w:color w:val="auto"/>
                <w:sz w:val="24"/>
                <w:szCs w:val="24"/>
                <w:lang w:eastAsia="zh-CN"/>
              </w:rPr>
              <w:t>南华县人民医院</w:t>
            </w:r>
          </w:p>
          <w:p w14:paraId="24A8989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地    址：南华县龙川镇华强路</w:t>
            </w:r>
          </w:p>
          <w:p w14:paraId="66EE89C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 系 人：</w:t>
            </w:r>
            <w:r>
              <w:rPr>
                <w:rFonts w:hint="eastAsia" w:ascii="宋体" w:hAnsi="宋体" w:cs="宋体"/>
                <w:color w:val="auto"/>
                <w:sz w:val="24"/>
                <w:szCs w:val="24"/>
                <w:lang w:val="en-US" w:eastAsia="zh-CN"/>
              </w:rPr>
              <w:t>李</w:t>
            </w:r>
            <w:r>
              <w:rPr>
                <w:rFonts w:hint="eastAsia" w:ascii="宋体" w:hAnsi="宋体" w:eastAsia="宋体" w:cs="宋体"/>
                <w:color w:val="auto"/>
                <w:sz w:val="24"/>
                <w:szCs w:val="24"/>
                <w:lang w:eastAsia="zh-CN"/>
              </w:rPr>
              <w:t>老师</w:t>
            </w:r>
          </w:p>
          <w:p w14:paraId="251E7CE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    话：0878-7222446</w:t>
            </w:r>
          </w:p>
        </w:tc>
      </w:tr>
      <w:tr w14:paraId="4FE46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125917A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7957" w:type="dxa"/>
            <w:noWrap w:val="0"/>
            <w:vAlign w:val="center"/>
          </w:tcPr>
          <w:p w14:paraId="30229772">
            <w:pPr>
              <w:keepNext w:val="0"/>
              <w:keepLines w:val="0"/>
              <w:pageBreakBefore w:val="0"/>
              <w:widowControl w:val="0"/>
              <w:kinsoku/>
              <w:wordWrap w:val="0"/>
              <w:overflowPunct w:val="0"/>
              <w:topLinePunct w:val="0"/>
              <w:autoSpaceDE/>
              <w:autoSpaceDN/>
              <w:bidi w:val="0"/>
              <w:adjustRightInd/>
              <w:snapToGrid/>
              <w:spacing w:line="360" w:lineRule="auto"/>
              <w:ind w:right="0" w:firstLine="240" w:firstLineChars="1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名    称：</w:t>
            </w:r>
            <w:r>
              <w:rPr>
                <w:rFonts w:hint="eastAsia" w:ascii="宋体" w:hAnsi="宋体" w:cs="宋体"/>
                <w:color w:val="auto"/>
                <w:sz w:val="24"/>
                <w:szCs w:val="24"/>
                <w:lang w:val="en-US" w:eastAsia="zh-CN"/>
              </w:rPr>
              <w:t xml:space="preserve">楚雄腾凯工程项目管理有限公司 </w:t>
            </w:r>
          </w:p>
          <w:p w14:paraId="7A6AAC9C">
            <w:pPr>
              <w:keepNext w:val="0"/>
              <w:keepLines w:val="0"/>
              <w:pageBreakBefore w:val="0"/>
              <w:widowControl w:val="0"/>
              <w:kinsoku/>
              <w:wordWrap w:val="0"/>
              <w:overflowPunct w:val="0"/>
              <w:topLinePunct w:val="0"/>
              <w:autoSpaceDE/>
              <w:autoSpaceDN/>
              <w:bidi w:val="0"/>
              <w:adjustRightInd/>
              <w:snapToGrid/>
              <w:spacing w:line="360" w:lineRule="auto"/>
              <w:ind w:right="0" w:firstLine="240" w:firstLineChars="100"/>
              <w:jc w:val="left"/>
              <w:textAlignment w:val="auto"/>
              <w:rPr>
                <w:rFonts w:hint="default"/>
                <w:color w:val="auto"/>
                <w:lang w:val="en-US" w:eastAsia="zh-CN"/>
              </w:rPr>
            </w:pPr>
            <w:r>
              <w:rPr>
                <w:rFonts w:hint="eastAsia" w:ascii="宋体" w:hAnsi="宋体" w:eastAsia="宋体" w:cs="宋体"/>
                <w:color w:val="auto"/>
                <w:sz w:val="24"/>
                <w:szCs w:val="24"/>
                <w:lang w:val="en-US" w:eastAsia="zh-CN"/>
              </w:rPr>
              <w:t>地　  址：</w:t>
            </w:r>
            <w:r>
              <w:rPr>
                <w:rFonts w:hint="eastAsia" w:ascii="宋体" w:hAnsi="宋体" w:cs="宋体"/>
                <w:color w:val="auto"/>
                <w:sz w:val="24"/>
                <w:szCs w:val="24"/>
                <w:lang w:val="en-US" w:eastAsia="zh-CN"/>
              </w:rPr>
              <w:t>南华县龙川镇两旗书苑52号</w:t>
            </w:r>
          </w:p>
          <w:p w14:paraId="464965C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联系方式：</w:t>
            </w:r>
            <w:r>
              <w:rPr>
                <w:rFonts w:hint="eastAsia" w:ascii="宋体" w:hAnsi="宋体" w:cs="宋体"/>
                <w:color w:val="auto"/>
                <w:sz w:val="24"/>
                <w:szCs w:val="24"/>
                <w:lang w:val="en-US" w:eastAsia="zh-CN"/>
              </w:rPr>
              <w:t>袁海</w:t>
            </w:r>
          </w:p>
          <w:p w14:paraId="137C054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联系方式：13638701730</w:t>
            </w:r>
          </w:p>
        </w:tc>
      </w:tr>
      <w:tr w14:paraId="13260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jc w:val="center"/>
        </w:trPr>
        <w:tc>
          <w:tcPr>
            <w:tcW w:w="2271" w:type="dxa"/>
            <w:noWrap w:val="0"/>
            <w:vAlign w:val="center"/>
          </w:tcPr>
          <w:p w14:paraId="287129A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项目名称</w:t>
            </w:r>
          </w:p>
        </w:tc>
        <w:tc>
          <w:tcPr>
            <w:tcW w:w="7957" w:type="dxa"/>
            <w:noWrap w:val="0"/>
            <w:vAlign w:val="center"/>
          </w:tcPr>
          <w:p w14:paraId="62433321">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南华县人民医院64排CT、血管造影X射线机维保服务采购项目</w:t>
            </w:r>
          </w:p>
        </w:tc>
      </w:tr>
      <w:tr w14:paraId="52D38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jc w:val="center"/>
        </w:trPr>
        <w:tc>
          <w:tcPr>
            <w:tcW w:w="2271" w:type="dxa"/>
            <w:noWrap w:val="0"/>
            <w:vAlign w:val="center"/>
          </w:tcPr>
          <w:p w14:paraId="20ABBA1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项目编号</w:t>
            </w:r>
          </w:p>
        </w:tc>
        <w:tc>
          <w:tcPr>
            <w:tcW w:w="7957" w:type="dxa"/>
            <w:noWrap w:val="0"/>
            <w:vAlign w:val="center"/>
          </w:tcPr>
          <w:p w14:paraId="5A78502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CXZC2025-G3-00660-TKZB-0007</w:t>
            </w:r>
          </w:p>
        </w:tc>
      </w:tr>
      <w:tr w14:paraId="5B958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2271" w:type="dxa"/>
            <w:noWrap w:val="0"/>
            <w:vAlign w:val="center"/>
          </w:tcPr>
          <w:p w14:paraId="16EB0C1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资金落实情况</w:t>
            </w:r>
          </w:p>
        </w:tc>
        <w:tc>
          <w:tcPr>
            <w:tcW w:w="7957" w:type="dxa"/>
            <w:noWrap w:val="0"/>
            <w:vAlign w:val="center"/>
          </w:tcPr>
          <w:p w14:paraId="027B4A6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已落实</w:t>
            </w:r>
          </w:p>
        </w:tc>
      </w:tr>
      <w:tr w14:paraId="7BA01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0" w:hRule="atLeast"/>
          <w:jc w:val="center"/>
        </w:trPr>
        <w:tc>
          <w:tcPr>
            <w:tcW w:w="2271" w:type="dxa"/>
            <w:noWrap w:val="0"/>
            <w:vAlign w:val="center"/>
          </w:tcPr>
          <w:p w14:paraId="52499207">
            <w:pPr>
              <w:keepNext w:val="0"/>
              <w:keepLines w:val="0"/>
              <w:pageBreakBefore w:val="0"/>
              <w:widowControl w:val="0"/>
              <w:shd w:val="clear" w:color="auto" w:fill="FFFFFF"/>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是否采用电子化招标投标</w:t>
            </w:r>
          </w:p>
        </w:tc>
        <w:tc>
          <w:tcPr>
            <w:tcW w:w="7957" w:type="dxa"/>
            <w:noWrap w:val="0"/>
            <w:vAlign w:val="center"/>
          </w:tcPr>
          <w:p w14:paraId="4BAFCE1A">
            <w:pPr>
              <w:pStyle w:val="654"/>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spacing w:val="-2"/>
                <w:kern w:val="2"/>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2"/>
                <w:kern w:val="2"/>
                <w:sz w:val="24"/>
                <w:szCs w:val="24"/>
                <w:highlight w:val="none"/>
              </w:rPr>
              <w:t>否：本项目非电子化招投标项目，</w:t>
            </w:r>
            <w:r>
              <w:rPr>
                <w:rFonts w:hint="eastAsia" w:ascii="宋体" w:hAnsi="宋体" w:cs="宋体"/>
                <w:color w:val="auto"/>
                <w:spacing w:val="-2"/>
                <w:kern w:val="2"/>
                <w:sz w:val="24"/>
                <w:szCs w:val="24"/>
                <w:highlight w:val="none"/>
                <w:lang w:eastAsia="zh-CN"/>
              </w:rPr>
              <w:t>供应商</w:t>
            </w:r>
            <w:r>
              <w:rPr>
                <w:rFonts w:hint="eastAsia" w:ascii="宋体" w:hAnsi="宋体" w:eastAsia="宋体" w:cs="宋体"/>
                <w:color w:val="auto"/>
                <w:spacing w:val="-2"/>
                <w:kern w:val="2"/>
                <w:sz w:val="24"/>
                <w:szCs w:val="24"/>
                <w:highlight w:val="none"/>
              </w:rPr>
              <w:t>无需遵照招标文件中有关电子化招标投标的内容及规定。</w:t>
            </w:r>
          </w:p>
          <w:p w14:paraId="36B963A5">
            <w:pPr>
              <w:pStyle w:val="654"/>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sz w:val="24"/>
                <w:szCs w:val="24"/>
                <w:highlight w:val="none"/>
                <w:lang w:eastAsia="zh-CN"/>
              </w:rPr>
              <w:t>■</w:t>
            </w:r>
            <w:r>
              <w:rPr>
                <w:rFonts w:hint="eastAsia" w:ascii="宋体" w:hAnsi="宋体" w:eastAsia="宋体" w:cs="宋体"/>
                <w:color w:val="auto"/>
                <w:spacing w:val="-2"/>
                <w:kern w:val="2"/>
                <w:sz w:val="24"/>
                <w:szCs w:val="24"/>
                <w:highlight w:val="none"/>
              </w:rPr>
              <w:t>是：</w:t>
            </w: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第一章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招标公告</w:t>
            </w:r>
            <w:r>
              <w:rPr>
                <w:rFonts w:hint="eastAsia" w:ascii="宋体" w:hAnsi="宋体" w:eastAsia="宋体" w:cs="宋体"/>
                <w:color w:val="auto"/>
                <w:sz w:val="24"/>
                <w:szCs w:val="24"/>
                <w:highlight w:val="none"/>
                <w:lang w:eastAsia="zh-CN"/>
              </w:rPr>
              <w:t>”</w:t>
            </w:r>
          </w:p>
        </w:tc>
      </w:tr>
      <w:tr w14:paraId="7CDB0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1A2D1407">
            <w:pPr>
              <w:pStyle w:val="36"/>
              <w:spacing w:line="300" w:lineRule="exact"/>
              <w:jc w:val="center"/>
              <w:rPr>
                <w:rFonts w:hint="eastAsia" w:ascii="宋体" w:hAnsi="宋体" w:eastAsia="宋体" w:cs="宋体"/>
                <w:color w:val="auto"/>
                <w:kern w:val="2"/>
                <w:sz w:val="24"/>
                <w:szCs w:val="24"/>
                <w:lang w:val="en-US" w:eastAsia="zh-CN" w:bidi="ar-SA"/>
              </w:rPr>
            </w:pPr>
            <w:r>
              <w:rPr>
                <w:rFonts w:hint="eastAsia" w:hAnsi="宋体" w:cs="宋体"/>
                <w:color w:val="auto"/>
                <w:sz w:val="24"/>
                <w:szCs w:val="24"/>
                <w:lang w:eastAsia="zh-CN"/>
              </w:rPr>
              <w:t>评审</w:t>
            </w:r>
            <w:r>
              <w:rPr>
                <w:rFonts w:hint="eastAsia" w:ascii="宋体" w:hAnsi="宋体" w:eastAsia="宋体" w:cs="宋体"/>
                <w:color w:val="auto"/>
                <w:sz w:val="24"/>
                <w:szCs w:val="24"/>
              </w:rPr>
              <w:t>方法</w:t>
            </w:r>
          </w:p>
        </w:tc>
        <w:tc>
          <w:tcPr>
            <w:tcW w:w="7957" w:type="dxa"/>
            <w:noWrap w:val="0"/>
            <w:vAlign w:val="center"/>
          </w:tcPr>
          <w:p w14:paraId="134171CC">
            <w:pPr>
              <w:spacing w:line="300" w:lineRule="exact"/>
              <w:ind w:firstLine="240" w:firstLineChars="10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综合评分法，见“</w:t>
            </w:r>
            <w:r>
              <w:rPr>
                <w:rFonts w:hint="eastAsia" w:ascii="宋体" w:hAnsi="宋体" w:eastAsia="宋体" w:cs="宋体"/>
                <w:color w:val="auto"/>
                <w:sz w:val="24"/>
                <w:szCs w:val="24"/>
                <w:lang w:eastAsia="zh-CN"/>
              </w:rPr>
              <w:t>第三章</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办法（综合评分法）</w:t>
            </w:r>
            <w:r>
              <w:rPr>
                <w:rFonts w:hint="eastAsia" w:ascii="宋体" w:hAnsi="宋体" w:eastAsia="宋体" w:cs="宋体"/>
                <w:color w:val="auto"/>
                <w:sz w:val="24"/>
                <w:szCs w:val="24"/>
              </w:rPr>
              <w:t>”</w:t>
            </w:r>
          </w:p>
        </w:tc>
      </w:tr>
      <w:tr w14:paraId="1CD24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735DAD6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项目属性</w:t>
            </w:r>
          </w:p>
        </w:tc>
        <w:tc>
          <w:tcPr>
            <w:tcW w:w="7957" w:type="dxa"/>
            <w:noWrap w:val="0"/>
            <w:vAlign w:val="center"/>
          </w:tcPr>
          <w:p w14:paraId="00873EE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sym w:font="Wingdings" w:char="00A8"/>
            </w:r>
            <w:r>
              <w:rPr>
                <w:rFonts w:hint="eastAsia" w:ascii="宋体" w:hAnsi="宋体" w:eastAsia="宋体" w:cs="宋体"/>
                <w:color w:val="auto"/>
                <w:sz w:val="24"/>
                <w:szCs w:val="24"/>
                <w:lang w:val="en-US" w:eastAsia="zh-CN"/>
              </w:rPr>
              <w:t>货物：是指各种形态和种类的物品，包括原材料、燃料、设备、产品等。</w:t>
            </w:r>
          </w:p>
          <w:p w14:paraId="43E2811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sym w:font="Wingdings" w:char="00A8"/>
            </w:r>
            <w:r>
              <w:rPr>
                <w:rFonts w:hint="eastAsia" w:ascii="宋体" w:hAnsi="宋体" w:eastAsia="宋体" w:cs="宋体"/>
                <w:color w:val="auto"/>
                <w:sz w:val="24"/>
                <w:szCs w:val="24"/>
                <w:lang w:val="en-US" w:eastAsia="zh-CN"/>
              </w:rPr>
              <w:t>工程：是指建设工程，包括建筑物和构筑物的新建、改建、扩建、装修、拆除、修缮等。</w:t>
            </w:r>
          </w:p>
          <w:p w14:paraId="42E9401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lang w:val="en-US" w:eastAsia="zh-CN"/>
              </w:rPr>
              <w:t>服务：是指除货物和工程以外的其他采购对象。</w:t>
            </w:r>
          </w:p>
        </w:tc>
      </w:tr>
      <w:tr w14:paraId="0FBB2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294813E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color w:val="auto"/>
                <w:sz w:val="24"/>
                <w:szCs w:val="24"/>
              </w:rPr>
              <w:t>核心产品</w:t>
            </w:r>
          </w:p>
        </w:tc>
        <w:tc>
          <w:tcPr>
            <w:tcW w:w="7957" w:type="dxa"/>
            <w:noWrap w:val="0"/>
            <w:vAlign w:val="center"/>
          </w:tcPr>
          <w:p w14:paraId="6000446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lang w:val="en-US" w:eastAsia="zh-CN"/>
              </w:rPr>
              <w:t>关于核心产品本项目不适用。</w:t>
            </w:r>
          </w:p>
          <w:p w14:paraId="1AE9AA4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lang w:val="en-US" w:eastAsia="zh-CN"/>
              </w:rPr>
              <w:t>□</w:t>
            </w:r>
            <w:r>
              <w:rPr>
                <w:rFonts w:hint="eastAsia" w:ascii="宋体" w:hAnsi="宋体" w:eastAsia="宋体" w:cs="宋体"/>
                <w:color w:val="auto"/>
                <w:sz w:val="24"/>
                <w:szCs w:val="24"/>
                <w:highlight w:val="none"/>
                <w:lang w:val="en-US" w:eastAsia="zh-CN"/>
              </w:rPr>
              <w:t>本项目</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为单一产品采购项目。</w:t>
            </w:r>
          </w:p>
          <w:p w14:paraId="30B9BD51">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cs="宋体"/>
                <w:color w:val="auto"/>
                <w:sz w:val="24"/>
                <w:szCs w:val="24"/>
                <w:lang w:val="en-US" w:eastAsia="zh-CN"/>
              </w:rPr>
              <w:t>□</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为非单一产品采购项目，核心产品为：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p>
        </w:tc>
      </w:tr>
      <w:tr w14:paraId="31BCE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353ACAA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同品牌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中标候选资格推选方式</w:t>
            </w:r>
          </w:p>
        </w:tc>
        <w:tc>
          <w:tcPr>
            <w:tcW w:w="7957" w:type="dxa"/>
            <w:noWrap w:val="0"/>
            <w:vAlign w:val="center"/>
          </w:tcPr>
          <w:p w14:paraId="4826BDC2">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详见“第二章 </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val="en-US" w:eastAsia="zh-CN"/>
              </w:rPr>
              <w:t>须知”</w:t>
            </w:r>
          </w:p>
        </w:tc>
      </w:tr>
      <w:tr w14:paraId="430F2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56EBC53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z w:val="24"/>
                <w:szCs w:val="24"/>
                <w:highlight w:val="none"/>
              </w:rPr>
              <w:t>现场考察</w:t>
            </w:r>
          </w:p>
        </w:tc>
        <w:tc>
          <w:tcPr>
            <w:tcW w:w="7957" w:type="dxa"/>
            <w:noWrap w:val="0"/>
            <w:vAlign w:val="center"/>
          </w:tcPr>
          <w:p w14:paraId="4ADDAB69">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不组织</w:t>
            </w:r>
          </w:p>
          <w:p w14:paraId="4720F75A">
            <w:pPr>
              <w:keepNext w:val="0"/>
              <w:keepLines w:val="0"/>
              <w:pageBreakBefore w:val="0"/>
              <w:widowControl w:val="0"/>
              <w:tabs>
                <w:tab w:val="left" w:pos="7665"/>
              </w:tabs>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组织</w:t>
            </w:r>
          </w:p>
          <w:p w14:paraId="6CDADC48">
            <w:pPr>
              <w:keepNext w:val="0"/>
              <w:keepLines w:val="0"/>
              <w:pageBreakBefore w:val="0"/>
              <w:widowControl w:val="0"/>
              <w:tabs>
                <w:tab w:val="left" w:pos="7665"/>
              </w:tabs>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踏勘时间：202</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日，时间</w:t>
            </w:r>
            <w:r>
              <w:rPr>
                <w:rFonts w:hint="eastAsia" w:ascii="宋体" w:hAnsi="宋体" w:eastAsia="宋体" w:cs="宋体"/>
                <w:color w:val="auto"/>
                <w:sz w:val="24"/>
                <w:szCs w:val="24"/>
                <w:lang w:val="en-US" w:eastAsia="zh-CN"/>
              </w:rPr>
              <w:t>下</w:t>
            </w:r>
            <w:r>
              <w:rPr>
                <w:rFonts w:hint="eastAsia" w:ascii="宋体" w:hAnsi="宋体" w:eastAsia="宋体" w:cs="宋体"/>
                <w:color w:val="auto"/>
                <w:sz w:val="24"/>
                <w:szCs w:val="24"/>
              </w:rPr>
              <w:t>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至</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以前在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集合，逾期不</w:t>
            </w:r>
            <w:r>
              <w:rPr>
                <w:rFonts w:hint="eastAsia" w:ascii="宋体" w:hAnsi="宋体" w:eastAsia="宋体" w:cs="宋体"/>
                <w:color w:val="auto"/>
                <w:sz w:val="24"/>
                <w:szCs w:val="24"/>
                <w:lang w:eastAsia="zh-CN"/>
              </w:rPr>
              <w:t>再</w:t>
            </w:r>
            <w:r>
              <w:rPr>
                <w:rFonts w:hint="eastAsia" w:ascii="宋体" w:hAnsi="宋体" w:eastAsia="宋体" w:cs="宋体"/>
                <w:color w:val="auto"/>
                <w:sz w:val="24"/>
                <w:szCs w:val="24"/>
              </w:rPr>
              <w:t>组织踏勘。现场踏勘所发生的一切费用及安全责任由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自行承担。</w:t>
            </w:r>
          </w:p>
          <w:p w14:paraId="6C4AADB8">
            <w:pPr>
              <w:pStyle w:val="36"/>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lang w:val="zh-CN" w:eastAsia="zh-CN"/>
              </w:rPr>
              <w:t>现场</w:t>
            </w:r>
            <w:r>
              <w:rPr>
                <w:rFonts w:hint="eastAsia" w:ascii="宋体" w:hAnsi="宋体" w:eastAsia="宋体" w:cs="宋体"/>
                <w:color w:val="auto"/>
                <w:sz w:val="24"/>
                <w:szCs w:val="24"/>
                <w:highlight w:val="none"/>
                <w:lang w:val="zh-CN"/>
              </w:rPr>
              <w:t>踏勘</w:t>
            </w:r>
            <w:r>
              <w:rPr>
                <w:rFonts w:hint="eastAsia" w:ascii="宋体" w:hAnsi="宋体" w:eastAsia="宋体" w:cs="宋体"/>
                <w:color w:val="auto"/>
                <w:sz w:val="24"/>
                <w:szCs w:val="24"/>
                <w:highlight w:val="none"/>
                <w:lang w:val="zh-CN" w:eastAsia="zh-CN"/>
              </w:rPr>
              <w:t>包括勘查、测量、制平面图、咨询等，</w:t>
            </w:r>
            <w:r>
              <w:rPr>
                <w:rFonts w:hint="eastAsia" w:ascii="宋体" w:hAnsi="宋体" w:eastAsia="宋体" w:cs="宋体"/>
                <w:color w:val="auto"/>
                <w:sz w:val="24"/>
                <w:szCs w:val="24"/>
                <w:highlight w:val="none"/>
                <w:lang w:val="zh-CN"/>
              </w:rPr>
              <w:t>踏勘</w:t>
            </w:r>
            <w:r>
              <w:rPr>
                <w:rFonts w:hint="eastAsia" w:ascii="宋体" w:hAnsi="宋体" w:eastAsia="宋体" w:cs="宋体"/>
                <w:color w:val="auto"/>
                <w:sz w:val="24"/>
                <w:szCs w:val="24"/>
                <w:highlight w:val="none"/>
                <w:lang w:val="zh-CN" w:eastAsia="zh-CN"/>
              </w:rPr>
              <w:t>结果与招标清单相互补充、支撑共同形成工程完整方案。满足使用功能要求和标准，风险共担，不作调整和签证。</w:t>
            </w:r>
          </w:p>
        </w:tc>
      </w:tr>
      <w:tr w14:paraId="6FD43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6B08D22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z w:val="24"/>
                <w:szCs w:val="24"/>
                <w:highlight w:val="none"/>
              </w:rPr>
              <w:t>开标前答疑会</w:t>
            </w:r>
          </w:p>
        </w:tc>
        <w:tc>
          <w:tcPr>
            <w:tcW w:w="7957" w:type="dxa"/>
            <w:noWrap w:val="0"/>
            <w:vAlign w:val="center"/>
          </w:tcPr>
          <w:p w14:paraId="6799B718">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不召开</w:t>
            </w:r>
          </w:p>
          <w:p w14:paraId="2BFB809E">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召开，召开时间：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Cs/>
                <w:color w:val="auto"/>
                <w:sz w:val="24"/>
                <w:szCs w:val="24"/>
                <w:highlight w:val="none"/>
              </w:rPr>
              <w:t>点</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Cs/>
                <w:color w:val="auto"/>
                <w:sz w:val="24"/>
                <w:szCs w:val="24"/>
                <w:highlight w:val="none"/>
              </w:rPr>
              <w:t>分</w:t>
            </w:r>
          </w:p>
          <w:p w14:paraId="292E22C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szCs w:val="24"/>
                <w:highlight w:val="none"/>
              </w:rPr>
              <w:t>召开地点：</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highlight w:val="none"/>
              </w:rPr>
              <w:t>。</w:t>
            </w:r>
          </w:p>
        </w:tc>
      </w:tr>
      <w:tr w14:paraId="26D99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75E82210">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snapToGrid w:val="0"/>
                <w:color w:val="auto"/>
                <w:kern w:val="2"/>
                <w:sz w:val="24"/>
                <w:szCs w:val="24"/>
                <w:lang w:val="en-US" w:eastAsia="zh-CN" w:bidi="ar-SA"/>
              </w:rPr>
            </w:pPr>
            <w:r>
              <w:rPr>
                <w:rFonts w:hint="eastAsia" w:ascii="宋体" w:hAnsi="宋体" w:eastAsia="宋体" w:cs="宋体"/>
                <w:color w:val="auto"/>
                <w:sz w:val="24"/>
                <w:szCs w:val="24"/>
              </w:rPr>
              <w:t>是否政府购买服务项目</w:t>
            </w:r>
          </w:p>
        </w:tc>
        <w:tc>
          <w:tcPr>
            <w:tcW w:w="7957" w:type="dxa"/>
            <w:noWrap w:val="0"/>
            <w:vAlign w:val="center"/>
          </w:tcPr>
          <w:p w14:paraId="64276927">
            <w:pPr>
              <w:pStyle w:val="36"/>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snapToGrid w:val="0"/>
                <w:color w:val="auto"/>
                <w:kern w:val="2"/>
                <w:sz w:val="24"/>
                <w:szCs w:val="24"/>
                <w:lang w:val="en-US" w:eastAsia="zh-CN" w:bidi="ar-SA"/>
              </w:rPr>
            </w:pPr>
            <w:r>
              <w:rPr>
                <w:rFonts w:hint="eastAsia" w:ascii="宋体" w:hAnsi="宋体" w:eastAsia="宋体" w:cs="宋体"/>
                <w:color w:val="auto"/>
                <w:sz w:val="24"/>
                <w:szCs w:val="24"/>
              </w:rPr>
              <w:t xml:space="preserve">□是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rPr>
              <w:t>否</w:t>
            </w:r>
          </w:p>
        </w:tc>
      </w:tr>
      <w:tr w14:paraId="42162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011BBEAC">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是否</w:t>
            </w:r>
            <w:r>
              <w:rPr>
                <w:rFonts w:hint="eastAsia" w:ascii="宋体" w:hAnsi="宋体" w:eastAsia="宋体" w:cs="宋体"/>
                <w:color w:val="auto"/>
                <w:sz w:val="24"/>
                <w:szCs w:val="24"/>
                <w:lang w:val="en-US" w:eastAsia="zh-CN"/>
              </w:rPr>
              <w:t>属于专门面向中小企业采购项目</w:t>
            </w:r>
          </w:p>
        </w:tc>
        <w:tc>
          <w:tcPr>
            <w:tcW w:w="7957" w:type="dxa"/>
            <w:noWrap w:val="0"/>
            <w:vAlign w:val="center"/>
          </w:tcPr>
          <w:p w14:paraId="638B9149">
            <w:pPr>
              <w:pStyle w:val="36"/>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 xml:space="preserve">属于    </w:t>
            </w:r>
          </w:p>
          <w:p w14:paraId="65EA8702">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1" w:firstLineChars="100"/>
              <w:contextualSpacing/>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eastAsia="zh-CN"/>
              </w:rPr>
              <w:t>价格扣除优惠比例：</w:t>
            </w:r>
          </w:p>
          <w:p w14:paraId="219BA5AC">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①中</w:t>
            </w:r>
            <w:r>
              <w:rPr>
                <w:rFonts w:hint="eastAsia" w:ascii="宋体" w:hAnsi="宋体" w:eastAsia="宋体" w:cs="宋体"/>
                <w:b w:val="0"/>
                <w:bCs w:val="0"/>
                <w:color w:val="auto"/>
                <w:sz w:val="24"/>
                <w:szCs w:val="24"/>
                <w:lang w:eastAsia="zh-CN"/>
              </w:rPr>
              <w:t>小企业价格扣除优惠比例：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val="en-US" w:eastAsia="zh-CN"/>
              </w:rPr>
              <w:t>0</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p>
          <w:p w14:paraId="61C21B5A">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②</w:t>
            </w:r>
            <w:r>
              <w:rPr>
                <w:rFonts w:hint="eastAsia" w:ascii="宋体" w:hAnsi="宋体" w:eastAsia="宋体" w:cs="宋体"/>
                <w:b w:val="0"/>
                <w:bCs w:val="0"/>
                <w:color w:val="auto"/>
                <w:sz w:val="24"/>
                <w:szCs w:val="24"/>
                <w:lang w:eastAsia="zh-CN"/>
              </w:rPr>
              <w:t>大中企业与</w:t>
            </w:r>
            <w:r>
              <w:rPr>
                <w:rFonts w:hint="eastAsia" w:ascii="宋体" w:hAnsi="宋体" w:eastAsia="宋体" w:cs="宋体"/>
                <w:b w:val="0"/>
                <w:bCs w:val="0"/>
                <w:color w:val="auto"/>
                <w:sz w:val="24"/>
                <w:szCs w:val="24"/>
                <w:lang w:val="en-US" w:eastAsia="zh-CN"/>
              </w:rPr>
              <w:t>中</w:t>
            </w:r>
            <w:r>
              <w:rPr>
                <w:rFonts w:hint="eastAsia" w:ascii="宋体" w:hAnsi="宋体" w:eastAsia="宋体" w:cs="宋体"/>
                <w:b w:val="0"/>
                <w:bCs w:val="0"/>
                <w:color w:val="auto"/>
                <w:sz w:val="24"/>
                <w:szCs w:val="24"/>
                <w:lang w:eastAsia="zh-CN"/>
              </w:rPr>
              <w:t>小企业组成联合体评审优惠比例：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val="en-US" w:eastAsia="zh-CN"/>
              </w:rPr>
              <w:t>0</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p>
          <w:p w14:paraId="0085E90B">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 w:val="0"/>
                <w:bCs w:val="0"/>
                <w:color w:val="auto"/>
                <w:sz w:val="24"/>
                <w:szCs w:val="24"/>
                <w:lang w:val="en-US" w:eastAsia="zh-CN"/>
              </w:rPr>
              <w:t>③</w:t>
            </w:r>
            <w:r>
              <w:rPr>
                <w:rFonts w:hint="eastAsia" w:ascii="宋体" w:hAnsi="宋体" w:eastAsia="宋体" w:cs="宋体"/>
                <w:b w:val="0"/>
                <w:bCs w:val="0"/>
                <w:color w:val="auto"/>
                <w:sz w:val="24"/>
                <w:szCs w:val="24"/>
                <w:lang w:eastAsia="zh-CN"/>
              </w:rPr>
              <w:t>大中企业向</w:t>
            </w:r>
            <w:r>
              <w:rPr>
                <w:rFonts w:hint="eastAsia" w:ascii="宋体" w:hAnsi="宋体" w:eastAsia="宋体" w:cs="宋体"/>
                <w:b w:val="0"/>
                <w:bCs w:val="0"/>
                <w:color w:val="auto"/>
                <w:sz w:val="24"/>
                <w:szCs w:val="24"/>
                <w:lang w:val="en-US" w:eastAsia="zh-CN"/>
              </w:rPr>
              <w:t>中</w:t>
            </w:r>
            <w:r>
              <w:rPr>
                <w:rFonts w:hint="eastAsia" w:ascii="宋体" w:hAnsi="宋体" w:eastAsia="宋体" w:cs="宋体"/>
                <w:b w:val="0"/>
                <w:bCs w:val="0"/>
                <w:color w:val="auto"/>
                <w:sz w:val="24"/>
                <w:szCs w:val="24"/>
                <w:lang w:eastAsia="zh-CN"/>
              </w:rPr>
              <w:t>小企业合同分包评审优惠比例：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val="en-US" w:eastAsia="zh-CN"/>
              </w:rPr>
              <w:t>0</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r>
              <w:rPr>
                <w:rFonts w:hint="eastAsia" w:ascii="宋体" w:hAnsi="宋体" w:eastAsia="宋体" w:cs="宋体"/>
                <w:snapToGrid w:val="0"/>
                <w:color w:val="auto"/>
                <w:kern w:val="0"/>
                <w:sz w:val="24"/>
                <w:szCs w:val="24"/>
                <w:highlight w:val="none"/>
                <w:lang w:val="en-US" w:eastAsia="zh-CN"/>
              </w:rPr>
              <w:t>。</w:t>
            </w:r>
          </w:p>
          <w:p w14:paraId="58DECD21">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bCs/>
                <w:color w:val="auto"/>
                <w:sz w:val="24"/>
                <w:szCs w:val="24"/>
                <w:highlight w:val="none"/>
                <w:lang w:eastAsia="zh-CN"/>
              </w:rPr>
            </w:pPr>
          </w:p>
          <w:p w14:paraId="4FFE5058">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不</w:t>
            </w:r>
            <w:r>
              <w:rPr>
                <w:rFonts w:hint="eastAsia" w:ascii="宋体" w:hAnsi="宋体" w:eastAsia="宋体" w:cs="宋体"/>
                <w:bCs/>
                <w:color w:val="auto"/>
                <w:sz w:val="24"/>
                <w:szCs w:val="24"/>
                <w:highlight w:val="none"/>
                <w:lang w:val="en-US" w:eastAsia="zh-CN"/>
              </w:rPr>
              <w:t>属于</w:t>
            </w:r>
          </w:p>
          <w:p w14:paraId="268C0732">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1" w:firstLineChars="100"/>
              <w:contextualSpacing/>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eastAsia="zh-CN"/>
              </w:rPr>
              <w:t>价格扣除优惠比例：</w:t>
            </w:r>
          </w:p>
          <w:p w14:paraId="13E4FEDF">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①</w:t>
            </w:r>
            <w:r>
              <w:rPr>
                <w:rFonts w:hint="eastAsia" w:ascii="宋体" w:hAnsi="宋体" w:eastAsia="宋体" w:cs="宋体"/>
                <w:b w:val="0"/>
                <w:bCs w:val="0"/>
                <w:color w:val="auto"/>
                <w:sz w:val="24"/>
                <w:szCs w:val="24"/>
                <w:lang w:eastAsia="zh-CN"/>
              </w:rPr>
              <w:t>小微企业价格扣除优惠比例：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eastAsia="zh-CN"/>
              </w:rPr>
              <w:t>10</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p>
          <w:p w14:paraId="6A89FC7C">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②</w:t>
            </w:r>
            <w:r>
              <w:rPr>
                <w:rFonts w:hint="eastAsia" w:ascii="宋体" w:hAnsi="宋体" w:eastAsia="宋体" w:cs="宋体"/>
                <w:b w:val="0"/>
                <w:bCs w:val="0"/>
                <w:color w:val="auto"/>
                <w:sz w:val="24"/>
                <w:szCs w:val="24"/>
                <w:lang w:eastAsia="zh-CN"/>
              </w:rPr>
              <w:t>大中企业与</w:t>
            </w:r>
            <w:r>
              <w:rPr>
                <w:rFonts w:hint="eastAsia" w:ascii="宋体" w:hAnsi="宋体" w:eastAsia="宋体" w:cs="宋体"/>
                <w:b w:val="0"/>
                <w:bCs w:val="0"/>
                <w:color w:val="auto"/>
                <w:sz w:val="24"/>
                <w:szCs w:val="24"/>
                <w:lang w:val="en-US" w:eastAsia="zh-CN"/>
              </w:rPr>
              <w:t>中</w:t>
            </w:r>
            <w:r>
              <w:rPr>
                <w:rFonts w:hint="eastAsia" w:ascii="宋体" w:hAnsi="宋体" w:eastAsia="宋体" w:cs="宋体"/>
                <w:b w:val="0"/>
                <w:bCs w:val="0"/>
                <w:color w:val="auto"/>
                <w:sz w:val="24"/>
                <w:szCs w:val="24"/>
                <w:lang w:eastAsia="zh-CN"/>
              </w:rPr>
              <w:t>小企业组成联合体评审优惠比例：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eastAsia="zh-CN"/>
              </w:rPr>
              <w:t>4</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p>
          <w:p w14:paraId="125B0FA0">
            <w:pPr>
              <w:pStyle w:val="36"/>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③</w:t>
            </w:r>
            <w:r>
              <w:rPr>
                <w:rFonts w:hint="eastAsia" w:ascii="宋体" w:hAnsi="宋体" w:eastAsia="宋体" w:cs="宋体"/>
                <w:b w:val="0"/>
                <w:bCs w:val="0"/>
                <w:color w:val="auto"/>
                <w:sz w:val="24"/>
                <w:szCs w:val="24"/>
                <w:lang w:eastAsia="zh-CN"/>
              </w:rPr>
              <w:t>大中企业向</w:t>
            </w:r>
            <w:r>
              <w:rPr>
                <w:rFonts w:hint="eastAsia" w:ascii="宋体" w:hAnsi="宋体" w:eastAsia="宋体" w:cs="宋体"/>
                <w:b w:val="0"/>
                <w:bCs w:val="0"/>
                <w:color w:val="auto"/>
                <w:sz w:val="24"/>
                <w:szCs w:val="24"/>
                <w:lang w:val="en-US" w:eastAsia="zh-CN"/>
              </w:rPr>
              <w:t>中</w:t>
            </w:r>
            <w:r>
              <w:rPr>
                <w:rFonts w:hint="eastAsia" w:ascii="宋体" w:hAnsi="宋体" w:eastAsia="宋体" w:cs="宋体"/>
                <w:b w:val="0"/>
                <w:bCs w:val="0"/>
                <w:color w:val="auto"/>
                <w:sz w:val="24"/>
                <w:szCs w:val="24"/>
                <w:lang w:eastAsia="zh-CN"/>
              </w:rPr>
              <w:t>小企业合同分包评审优惠比例：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eastAsia="zh-CN"/>
              </w:rPr>
              <w:t>4</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r>
              <w:rPr>
                <w:rFonts w:hint="eastAsia" w:ascii="宋体" w:hAnsi="宋体" w:eastAsia="宋体" w:cs="宋体"/>
                <w:snapToGrid w:val="0"/>
                <w:color w:val="auto"/>
                <w:kern w:val="0"/>
                <w:sz w:val="24"/>
                <w:szCs w:val="24"/>
                <w:highlight w:val="none"/>
                <w:lang w:val="en-US" w:eastAsia="zh-CN"/>
              </w:rPr>
              <w:t>。</w:t>
            </w:r>
          </w:p>
        </w:tc>
      </w:tr>
      <w:tr w14:paraId="3539B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3149406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rPr>
              <w:t>落实政府采购政策</w:t>
            </w:r>
          </w:p>
        </w:tc>
        <w:tc>
          <w:tcPr>
            <w:tcW w:w="7957" w:type="dxa"/>
            <w:noWrap w:val="0"/>
            <w:vAlign w:val="center"/>
          </w:tcPr>
          <w:p w14:paraId="753FF9E8">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241" w:firstLineChars="100"/>
              <w:contextualSpacing/>
              <w:jc w:val="left"/>
              <w:textAlignment w:val="auto"/>
              <w:rPr>
                <w:rFonts w:hint="eastAsia" w:ascii="宋体" w:hAnsi="宋体" w:eastAsia="宋体" w:cs="宋体"/>
                <w:b/>
                <w:bCs/>
                <w:snapToGrid w:val="0"/>
                <w:color w:val="auto"/>
                <w:kern w:val="0"/>
                <w:sz w:val="24"/>
                <w:szCs w:val="24"/>
                <w:highlight w:val="none"/>
                <w:lang w:val="en-US" w:eastAsia="zh-CN"/>
              </w:rPr>
            </w:pPr>
            <w:r>
              <w:rPr>
                <w:rFonts w:hint="eastAsia" w:ascii="宋体" w:hAnsi="宋体" w:eastAsia="宋体" w:cs="宋体"/>
                <w:b/>
                <w:bCs w:val="0"/>
                <w:color w:val="auto"/>
                <w:sz w:val="24"/>
                <w:szCs w:val="24"/>
                <w:highlight w:val="none"/>
                <w:lang w:val="en-US" w:eastAsia="zh-CN"/>
              </w:rPr>
              <w:t>一、</w:t>
            </w:r>
            <w:r>
              <w:rPr>
                <w:rFonts w:hint="eastAsia" w:ascii="宋体" w:hAnsi="宋体" w:eastAsia="宋体" w:cs="宋体"/>
                <w:b/>
                <w:bCs/>
                <w:snapToGrid w:val="0"/>
                <w:color w:val="auto"/>
                <w:kern w:val="0"/>
                <w:sz w:val="24"/>
                <w:szCs w:val="24"/>
                <w:highlight w:val="none"/>
                <w:lang w:val="en-US" w:eastAsia="zh-CN"/>
              </w:rPr>
              <w:t>中小企业价格扣除评分优惠政策</w:t>
            </w:r>
          </w:p>
          <w:p w14:paraId="44512A46">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是否适用于本项目：</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适用</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不适用</w:t>
            </w:r>
            <w:r>
              <w:rPr>
                <w:rFonts w:hint="eastAsia" w:ascii="宋体" w:hAnsi="宋体" w:eastAsia="宋体" w:cs="宋体"/>
                <w:snapToGrid w:val="0"/>
                <w:color w:val="auto"/>
                <w:kern w:val="0"/>
                <w:sz w:val="24"/>
                <w:szCs w:val="24"/>
                <w:highlight w:val="none"/>
                <w:lang w:val="en-US" w:eastAsia="zh-CN"/>
              </w:rPr>
              <w:t>。</w:t>
            </w:r>
          </w:p>
          <w:p w14:paraId="51772FC7">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按照工信部联企业〔2011〕300 号文《关于印发中小企业划型标准规定的通知》及财政部、工信部《政府采购促进中小企业发展管理办法》（财库〔2020〕46 号）的规定提供《中小企业声明函》，否则评审时不予承认。</w:t>
            </w:r>
          </w:p>
          <w:p w14:paraId="3231B47C">
            <w:pPr>
              <w:keepNext w:val="0"/>
              <w:keepLines w:val="0"/>
              <w:pageBreakBefore w:val="0"/>
              <w:widowControl w:val="0"/>
              <w:kinsoku/>
              <w:wordWrap w:val="0"/>
              <w:overflowPunct/>
              <w:topLinePunct/>
              <w:autoSpaceDE/>
              <w:autoSpaceDN/>
              <w:bidi w:val="0"/>
              <w:adjustRightInd/>
              <w:snapToGrid/>
              <w:spacing w:line="0" w:lineRule="atLeast"/>
              <w:ind w:left="0" w:leftChars="0" w:right="0" w:firstLine="241" w:firstLineChars="1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注：</w:t>
            </w:r>
          </w:p>
          <w:p w14:paraId="5F24FAB8">
            <w:pPr>
              <w:keepNext w:val="0"/>
              <w:keepLines w:val="0"/>
              <w:pageBreakBefore w:val="0"/>
              <w:widowControl w:val="0"/>
              <w:kinsoku/>
              <w:wordWrap w:val="0"/>
              <w:overflowPunct/>
              <w:topLinePunct/>
              <w:autoSpaceDE/>
              <w:autoSpaceDN/>
              <w:bidi w:val="0"/>
              <w:adjustRightInd/>
              <w:snapToGrid/>
              <w:spacing w:line="0" w:lineRule="atLeast"/>
              <w:ind w:left="0" w:leftChars="0" w:right="0" w:firstLine="241" w:firstLineChars="1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①.中小企业提供《中小企业声明函》时，标的名称须根据本次采购标的名称逐项填写。</w:t>
            </w:r>
          </w:p>
          <w:p w14:paraId="3CF1A3CB">
            <w:pPr>
              <w:keepNext w:val="0"/>
              <w:keepLines w:val="0"/>
              <w:pageBreakBefore w:val="0"/>
              <w:widowControl w:val="0"/>
              <w:kinsoku/>
              <w:wordWrap w:val="0"/>
              <w:overflowPunct/>
              <w:topLinePunct/>
              <w:autoSpaceDE/>
              <w:autoSpaceDN/>
              <w:bidi w:val="0"/>
              <w:adjustRightInd/>
              <w:snapToGrid/>
              <w:spacing w:line="0" w:lineRule="atLeast"/>
              <w:ind w:left="0" w:leftChars="0" w:right="0" w:firstLine="241" w:firstLineChars="1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②.</w:t>
            </w:r>
            <w:r>
              <w:rPr>
                <w:rFonts w:hint="eastAsia" w:ascii="宋体" w:hAnsi="宋体" w:cs="宋体"/>
                <w:b/>
                <w:bCs/>
                <w:color w:val="auto"/>
                <w:sz w:val="24"/>
                <w:szCs w:val="24"/>
                <w:lang w:val="en-US" w:eastAsia="zh-CN"/>
              </w:rPr>
              <w:t>供应商</w:t>
            </w:r>
            <w:r>
              <w:rPr>
                <w:rFonts w:hint="eastAsia" w:ascii="宋体" w:hAnsi="宋体" w:eastAsia="宋体" w:cs="宋体"/>
                <w:b/>
                <w:bCs/>
                <w:color w:val="auto"/>
                <w:sz w:val="24"/>
                <w:szCs w:val="24"/>
                <w:lang w:val="en-US" w:eastAsia="zh-CN"/>
              </w:rPr>
              <w:t>提供声明函内容不实的，属于提供虚假材料谋取中标、成交，依照《中华人民共和国政府采购法》等国家有关规定追究相应责任。</w:t>
            </w:r>
          </w:p>
          <w:p w14:paraId="433D0C81">
            <w:pPr>
              <w:keepNext w:val="0"/>
              <w:keepLines w:val="0"/>
              <w:pageBreakBefore w:val="0"/>
              <w:widowControl w:val="0"/>
              <w:kinsoku/>
              <w:wordWrap w:val="0"/>
              <w:overflowPunct/>
              <w:topLinePunct/>
              <w:autoSpaceDE/>
              <w:autoSpaceDN/>
              <w:bidi w:val="0"/>
              <w:adjustRightInd/>
              <w:snapToGrid/>
              <w:spacing w:line="0" w:lineRule="atLeast"/>
              <w:ind w:left="0" w:leftChars="0" w:right="0" w:firstLine="241" w:firstLineChars="1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③.中标人享受本办法（财库〔2020〕46号）规定的中小企业扶持政策的，采购代理机构随中标结果公开中标人的《中小企业声明函》，接受社会监督。</w:t>
            </w:r>
          </w:p>
          <w:p w14:paraId="07708C90">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宋体" w:hAnsi="宋体" w:eastAsia="宋体" w:cs="宋体"/>
                <w:b/>
                <w:bCs/>
                <w:color w:val="auto"/>
                <w:sz w:val="24"/>
                <w:szCs w:val="24"/>
                <w:lang w:val="en-US" w:eastAsia="zh-CN"/>
              </w:rPr>
            </w:pPr>
          </w:p>
          <w:p w14:paraId="506DE4D9">
            <w:pPr>
              <w:keepNext w:val="0"/>
              <w:keepLines w:val="0"/>
              <w:pageBreakBefore w:val="0"/>
              <w:widowControl w:val="0"/>
              <w:kinsoku/>
              <w:wordWrap w:val="0"/>
              <w:overflowPunct/>
              <w:topLinePunct/>
              <w:autoSpaceDE/>
              <w:autoSpaceDN/>
              <w:bidi w:val="0"/>
              <w:adjustRightInd/>
              <w:snapToGrid/>
              <w:spacing w:line="360" w:lineRule="auto"/>
              <w:ind w:left="0" w:leftChars="0" w:right="0" w:firstLine="241" w:firstLineChars="1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rPr>
              <w:t>、监狱企业价格扣除评分优惠政策</w:t>
            </w:r>
          </w:p>
          <w:p w14:paraId="5D5A2F8B">
            <w:pPr>
              <w:keepNext w:val="0"/>
              <w:keepLines w:val="0"/>
              <w:pageBreakBefore w:val="0"/>
              <w:widowControl w:val="0"/>
              <w:kinsoku/>
              <w:wordWrap w:val="0"/>
              <w:overflowPunct/>
              <w:topLinePunct/>
              <w:autoSpaceDE/>
              <w:autoSpaceDN/>
              <w:bidi w:val="0"/>
              <w:adjustRightInd/>
              <w:snapToGrid/>
              <w:spacing w:line="360" w:lineRule="auto"/>
              <w:ind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是否适用于本项目：</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适用</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不适用</w:t>
            </w:r>
            <w:r>
              <w:rPr>
                <w:rFonts w:hint="eastAsia" w:ascii="宋体" w:hAnsi="宋体" w:eastAsia="宋体" w:cs="宋体"/>
                <w:color w:val="auto"/>
                <w:sz w:val="24"/>
                <w:szCs w:val="24"/>
                <w:lang w:eastAsia="zh-CN"/>
              </w:rPr>
              <w:t>。</w:t>
            </w:r>
          </w:p>
          <w:p w14:paraId="1F3FA8B9">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480" w:firstLineChars="2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 xml:space="preserve">供应商如属残疾人福利性单位，产品价格需扣除的，须按照关于促进残疾人就业政府采购政策的通知（财库〔2017〕141 号）的规定提供《残疾人福利性单位声明函》复印件，否则评审时不予承认。在政府采购活动中，残疾人福利性单位视同小型、微型企业，享受评审中价格扣除等促进中小企业发展的政府采购政策。 </w:t>
            </w:r>
          </w:p>
          <w:p w14:paraId="09376604">
            <w:pPr>
              <w:pStyle w:val="683"/>
              <w:keepNext w:val="0"/>
              <w:keepLines w:val="0"/>
              <w:pageBreakBefore w:val="0"/>
              <w:widowControl w:val="0"/>
              <w:kinsoku/>
              <w:wordWrap w:val="0"/>
              <w:overflowPunct/>
              <w:topLinePunct/>
              <w:autoSpaceDE/>
              <w:autoSpaceDN/>
              <w:bidi w:val="0"/>
              <w:adjustRightInd/>
              <w:snapToGrid/>
              <w:spacing w:after="0" w:line="0" w:lineRule="atLeast"/>
              <w:ind w:left="0" w:leftChars="0" w:right="0" w:rightChars="0" w:firstLine="482" w:firstLineChars="2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b/>
                <w:bCs/>
                <w:color w:val="auto"/>
                <w:sz w:val="24"/>
                <w:szCs w:val="24"/>
                <w:lang w:val="en-US" w:eastAsia="zh-CN"/>
              </w:rPr>
              <w:t>注：监狱企业参加政府采购活动时，应当提供由省级以上监狱管理局、戒毒管理局（含新疆生产建设兵团）出具的属于监狱企业的证明文件。</w:t>
            </w:r>
          </w:p>
          <w:p w14:paraId="1B0FC32D">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snapToGrid w:val="0"/>
                <w:color w:val="auto"/>
                <w:kern w:val="0"/>
                <w:sz w:val="24"/>
                <w:szCs w:val="24"/>
                <w:lang w:val="en-US" w:eastAsia="zh-CN" w:bidi="ar-SA"/>
              </w:rPr>
            </w:pPr>
          </w:p>
          <w:p w14:paraId="0EA56907">
            <w:pPr>
              <w:keepNext w:val="0"/>
              <w:keepLines w:val="0"/>
              <w:pageBreakBefore w:val="0"/>
              <w:widowControl w:val="0"/>
              <w:kinsoku/>
              <w:wordWrap w:val="0"/>
              <w:overflowPunct/>
              <w:topLinePunct/>
              <w:autoSpaceDE/>
              <w:autoSpaceDN/>
              <w:bidi w:val="0"/>
              <w:adjustRightInd/>
              <w:snapToGrid/>
              <w:spacing w:line="360" w:lineRule="auto"/>
              <w:ind w:left="0" w:leftChars="0" w:right="0" w:firstLine="241" w:firstLineChars="10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、残疾人福利性单位价格扣除优惠政策</w:t>
            </w:r>
          </w:p>
          <w:p w14:paraId="5F962C43">
            <w:pPr>
              <w:keepNext w:val="0"/>
              <w:keepLines w:val="0"/>
              <w:pageBreakBefore w:val="0"/>
              <w:widowControl w:val="0"/>
              <w:kinsoku/>
              <w:wordWrap w:val="0"/>
              <w:overflowPunct/>
              <w:topLinePunct/>
              <w:autoSpaceDE/>
              <w:autoSpaceDN/>
              <w:bidi w:val="0"/>
              <w:adjustRightInd/>
              <w:snapToGrid/>
              <w:spacing w:line="360" w:lineRule="auto"/>
              <w:ind w:right="0" w:firstLine="480" w:firstLineChars="2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是否适用于本项目：</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适用</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不适用</w:t>
            </w:r>
            <w:r>
              <w:rPr>
                <w:rFonts w:hint="eastAsia" w:ascii="宋体" w:hAnsi="宋体" w:eastAsia="宋体" w:cs="宋体"/>
                <w:color w:val="auto"/>
                <w:sz w:val="24"/>
                <w:szCs w:val="24"/>
                <w:lang w:eastAsia="zh-CN"/>
              </w:rPr>
              <w:t>。</w:t>
            </w:r>
          </w:p>
          <w:p w14:paraId="0531AC49">
            <w:pPr>
              <w:pStyle w:val="683"/>
              <w:keepNext w:val="0"/>
              <w:keepLines w:val="0"/>
              <w:pageBreakBefore w:val="0"/>
              <w:widowControl w:val="0"/>
              <w:numPr>
                <w:ilvl w:val="0"/>
                <w:numId w:val="0"/>
              </w:numPr>
              <w:kinsoku/>
              <w:wordWrap w:val="0"/>
              <w:overflowPunct/>
              <w:topLinePunct/>
              <w:autoSpaceDE/>
              <w:autoSpaceDN/>
              <w:bidi w:val="0"/>
              <w:adjustRightInd/>
              <w:snapToGrid/>
              <w:spacing w:after="0" w:line="360" w:lineRule="auto"/>
              <w:ind w:right="0" w:rightChars="0" w:firstLine="480" w:firstLineChars="2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 xml:space="preserve">若供应商为监狱企业，按照财政部、司法部发布的《关于政府采购支持监狱企业发展有关问题的通知》的规定，在政府采购活动中，监狱企业视同小型、微型企业，享受评审中价格扣除的政府采购政策。监狱企业在投标价格评审中给予10%的价格扣除优惠，须提供省级以上监狱管理局、戒毒管理局（含新疆生产建设兵团）出具的属于监狱企业的证明文件复印件，否则评审时不予承认。 </w:t>
            </w:r>
          </w:p>
          <w:p w14:paraId="21A19D9C">
            <w:pPr>
              <w:pStyle w:val="683"/>
              <w:keepNext w:val="0"/>
              <w:keepLines w:val="0"/>
              <w:pageBreakBefore w:val="0"/>
              <w:widowControl w:val="0"/>
              <w:numPr>
                <w:ilvl w:val="0"/>
                <w:numId w:val="0"/>
              </w:numPr>
              <w:kinsoku/>
              <w:wordWrap w:val="0"/>
              <w:overflowPunct/>
              <w:topLinePunct/>
              <w:autoSpaceDE/>
              <w:autoSpaceDN/>
              <w:bidi w:val="0"/>
              <w:adjustRightInd/>
              <w:snapToGrid/>
              <w:spacing w:after="0" w:line="0" w:lineRule="atLeast"/>
              <w:ind w:right="0" w:rightChars="0" w:firstLine="482" w:firstLineChars="200"/>
              <w:contextualSpacing/>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b/>
                <w:bCs/>
                <w:snapToGrid w:val="0"/>
                <w:color w:val="auto"/>
                <w:kern w:val="0"/>
                <w:sz w:val="24"/>
                <w:szCs w:val="24"/>
                <w:lang w:val="en-US" w:eastAsia="zh-CN" w:bidi="ar-SA"/>
              </w:rPr>
              <w:t>注：残疾人福利性单位在参加政府采购活动时，应当提供《残疾人福利性单位声明函》，并对声明的真实性负责。中标、中标人为残疾人福利性单位的，采购人或者其委托的采购代理机构应当随中标、中标结果同时公告其《残疾人福利性单位声明函》，接受社会监督</w:t>
            </w:r>
            <w:r>
              <w:rPr>
                <w:rFonts w:hint="eastAsia" w:ascii="宋体" w:hAnsi="宋体" w:eastAsia="宋体" w:cs="宋体"/>
                <w:snapToGrid w:val="0"/>
                <w:color w:val="auto"/>
                <w:kern w:val="0"/>
                <w:sz w:val="24"/>
                <w:szCs w:val="24"/>
                <w:lang w:val="en-US" w:eastAsia="zh-CN" w:bidi="ar-SA"/>
              </w:rPr>
              <w:t>。</w:t>
            </w:r>
          </w:p>
          <w:p w14:paraId="7179B925">
            <w:pPr>
              <w:pStyle w:val="683"/>
              <w:keepNext w:val="0"/>
              <w:keepLines w:val="0"/>
              <w:pageBreakBefore w:val="0"/>
              <w:widowControl w:val="0"/>
              <w:numPr>
                <w:ilvl w:val="0"/>
                <w:numId w:val="0"/>
              </w:numPr>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snapToGrid w:val="0"/>
                <w:color w:val="auto"/>
                <w:kern w:val="0"/>
                <w:sz w:val="24"/>
                <w:szCs w:val="24"/>
                <w:lang w:val="en-US" w:eastAsia="zh-CN" w:bidi="ar-SA"/>
              </w:rPr>
            </w:pPr>
          </w:p>
          <w:p w14:paraId="580A06CB">
            <w:pPr>
              <w:keepNext w:val="0"/>
              <w:keepLines w:val="0"/>
              <w:pageBreakBefore w:val="0"/>
              <w:widowControl w:val="0"/>
              <w:kinsoku/>
              <w:wordWrap w:val="0"/>
              <w:overflowPunct/>
              <w:topLinePunct/>
              <w:autoSpaceDE/>
              <w:autoSpaceDN/>
              <w:bidi w:val="0"/>
              <w:adjustRightInd/>
              <w:snapToGrid/>
              <w:spacing w:line="360" w:lineRule="auto"/>
              <w:ind w:left="0" w:leftChars="0" w:right="0" w:firstLine="241" w:firstLineChars="1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、节能产品、环境标志产品</w:t>
            </w:r>
          </w:p>
          <w:p w14:paraId="0BE0E05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是否适用于本项目：</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适用</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不适用。</w:t>
            </w:r>
          </w:p>
          <w:p w14:paraId="03878E4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若投标产品为节能产品、环境标志产品且能提供有效的认证证书及相关证明材料的（相关证明材料指：最新版的政府采购节能产品、环境标志产品认证机构名录、节能产品政府采购品目清单、环境标志产品政府采购品目清单等），在</w:t>
            </w:r>
            <w:r>
              <w:rPr>
                <w:rFonts w:hint="eastAsia" w:ascii="宋体" w:hAnsi="宋体" w:eastAsia="宋体" w:cs="宋体"/>
                <w:bCs/>
                <w:color w:val="auto"/>
                <w:sz w:val="24"/>
                <w:szCs w:val="24"/>
                <w:highlight w:val="none"/>
                <w:lang w:val="en-US" w:eastAsia="zh-CN"/>
              </w:rPr>
              <w:t>商务</w:t>
            </w:r>
            <w:r>
              <w:rPr>
                <w:rFonts w:hint="eastAsia" w:ascii="宋体" w:hAnsi="宋体" w:eastAsia="宋体" w:cs="宋体"/>
                <w:bCs/>
                <w:color w:val="auto"/>
                <w:sz w:val="24"/>
                <w:szCs w:val="24"/>
                <w:highlight w:val="none"/>
              </w:rPr>
              <w:t>评分时给予对应的</w:t>
            </w:r>
            <w:r>
              <w:rPr>
                <w:rFonts w:hint="eastAsia" w:ascii="宋体" w:hAnsi="宋体" w:eastAsia="宋体" w:cs="宋体"/>
                <w:bCs/>
                <w:color w:val="auto"/>
                <w:sz w:val="24"/>
                <w:szCs w:val="24"/>
                <w:highlight w:val="none"/>
                <w:lang w:val="en-US" w:eastAsia="zh-CN"/>
              </w:rPr>
              <w:t>加分</w:t>
            </w:r>
            <w:r>
              <w:rPr>
                <w:rFonts w:hint="eastAsia" w:ascii="宋体" w:hAnsi="宋体" w:eastAsia="宋体" w:cs="宋体"/>
                <w:bCs/>
                <w:color w:val="auto"/>
                <w:sz w:val="24"/>
                <w:szCs w:val="24"/>
                <w:highlight w:val="none"/>
              </w:rPr>
              <w:t>（若项目需求及技术要求为政府强制采购产品，则不再对节能进行评审价格的扣除）。</w:t>
            </w:r>
          </w:p>
          <w:p w14:paraId="6D47647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节能产品、环境标志产品清单可通过中国政府采购网（http://www.ccgp.gov.cn/）、国家发展改革委网站（http://hzs.ndrc.gov.cn/）查阅、下载；国家</w:t>
            </w:r>
            <w:r>
              <w:rPr>
                <w:rFonts w:hint="eastAsia" w:ascii="宋体" w:hAnsi="宋体" w:cs="宋体"/>
                <w:bCs/>
                <w:color w:val="auto"/>
                <w:sz w:val="24"/>
                <w:szCs w:val="24"/>
                <w:highlight w:val="none"/>
                <w:lang w:eastAsia="zh-CN"/>
              </w:rPr>
              <w:t>生态环境部</w:t>
            </w:r>
            <w:r>
              <w:rPr>
                <w:rFonts w:hint="eastAsia" w:ascii="宋体" w:hAnsi="宋体" w:eastAsia="宋体" w:cs="宋体"/>
                <w:bCs/>
                <w:color w:val="auto"/>
                <w:sz w:val="24"/>
                <w:szCs w:val="24"/>
                <w:highlight w:val="none"/>
              </w:rPr>
              <w:t>网（http://www.sepa.gov.cn/）查阅、下载。</w:t>
            </w:r>
          </w:p>
          <w:p w14:paraId="2FF9337B">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rPr>
                <w:rFonts w:hint="eastAsia" w:ascii="宋体" w:hAnsi="宋体" w:eastAsia="宋体" w:cs="宋体"/>
                <w:b/>
                <w:bCs/>
                <w:snapToGrid w:val="0"/>
                <w:color w:val="auto"/>
                <w:kern w:val="0"/>
                <w:sz w:val="24"/>
                <w:szCs w:val="24"/>
                <w:lang w:val="en-US" w:eastAsia="zh-CN" w:bidi="ar-SA"/>
              </w:rPr>
            </w:pPr>
          </w:p>
          <w:p w14:paraId="6AD74ACD">
            <w:pPr>
              <w:keepNext w:val="0"/>
              <w:keepLines w:val="0"/>
              <w:pageBreakBefore w:val="0"/>
              <w:widowControl w:val="0"/>
              <w:kinsoku/>
              <w:wordWrap w:val="0"/>
              <w:overflowPunct/>
              <w:topLinePunct/>
              <w:autoSpaceDE/>
              <w:autoSpaceDN/>
              <w:bidi w:val="0"/>
              <w:adjustRightInd/>
              <w:snapToGrid/>
              <w:spacing w:line="360" w:lineRule="auto"/>
              <w:ind w:left="0" w:leftChars="0" w:right="0"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支持脱贫攻坚政策</w:t>
            </w:r>
          </w:p>
          <w:p w14:paraId="29CF291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是否适用于本项目：</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适用</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不适用。</w:t>
            </w:r>
          </w:p>
          <w:p w14:paraId="2E816DB2">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根据《关于运用政府采购政策支持脱贫攻坚的通知》财库〔2019〕27号及《云南省财政厅 云南省人民政府扶贫开发办公室关于贯彻落实运用政府采购政策支持脱贫攻坚有关事宜的通知》（云财采〔2020〕9号）相关规定：各级预算单位采购农副产品的，同等条件下应优先采购贫困地区农副产品。各级预算单位使用财政性资金采购物业服务的，有条件的应当优先采购注册地在832个国家级贫困县域内，且聘用建档立卡贫困人员物业公司提供的物业服务。物业公司须提供其注册地所在县扶贫部门出具的聘用建档立卡贫困人员具体数量的证明。如中标后，其相关证明随中标结果一同公告。</w:t>
            </w:r>
          </w:p>
          <w:p w14:paraId="4D635103">
            <w:pPr>
              <w:keepNext w:val="0"/>
              <w:keepLines w:val="0"/>
              <w:pageBreakBefore w:val="0"/>
              <w:widowControl w:val="0"/>
              <w:kinsoku/>
              <w:wordWrap w:val="0"/>
              <w:overflowPunct/>
              <w:topLinePunct/>
              <w:autoSpaceDE/>
              <w:autoSpaceDN/>
              <w:bidi w:val="0"/>
              <w:adjustRightInd/>
              <w:snapToGrid/>
              <w:spacing w:line="0" w:lineRule="atLeast"/>
              <w:ind w:left="0" w:leftChars="0" w:right="0"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注：上述政策不重复享受，如</w:t>
            </w:r>
            <w:r>
              <w:rPr>
                <w:rFonts w:hint="eastAsia" w:ascii="宋体" w:hAnsi="宋体" w:cs="宋体"/>
                <w:b/>
                <w:bCs/>
                <w:color w:val="auto"/>
                <w:sz w:val="24"/>
                <w:szCs w:val="24"/>
                <w:lang w:eastAsia="zh-CN"/>
              </w:rPr>
              <w:t>供应商</w:t>
            </w:r>
            <w:r>
              <w:rPr>
                <w:rFonts w:hint="eastAsia" w:ascii="宋体" w:hAnsi="宋体" w:eastAsia="宋体" w:cs="宋体"/>
                <w:b/>
                <w:bCs/>
                <w:color w:val="auto"/>
                <w:sz w:val="24"/>
                <w:szCs w:val="24"/>
              </w:rPr>
              <w:t>同时具备两个及以上政策优惠，仅享受最高的优惠对价格进行扣除。</w:t>
            </w:r>
          </w:p>
          <w:p w14:paraId="62887D51">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contextualSpacing/>
              <w:jc w:val="left"/>
              <w:textAlignment w:val="auto"/>
              <w:rPr>
                <w:rFonts w:hint="eastAsia" w:ascii="宋体" w:hAnsi="宋体" w:eastAsia="宋体" w:cs="宋体"/>
                <w:b/>
                <w:bCs/>
                <w:color w:val="auto"/>
                <w:sz w:val="22"/>
                <w:szCs w:val="22"/>
                <w:highlight w:val="none"/>
              </w:rPr>
            </w:pPr>
          </w:p>
          <w:p w14:paraId="47C8247C">
            <w:pPr>
              <w:keepNext w:val="0"/>
              <w:keepLines w:val="0"/>
              <w:pageBreakBefore w:val="0"/>
              <w:widowControl w:val="0"/>
              <w:kinsoku/>
              <w:wordWrap w:val="0"/>
              <w:overflowPunct/>
              <w:topLinePunct/>
              <w:autoSpaceDE/>
              <w:autoSpaceDN/>
              <w:bidi w:val="0"/>
              <w:adjustRightInd/>
              <w:snapToGrid/>
              <w:spacing w:line="360" w:lineRule="auto"/>
              <w:ind w:left="0" w:leftChars="0" w:right="0" w:firstLine="241" w:firstLineChars="1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六</w:t>
            </w:r>
            <w:r>
              <w:rPr>
                <w:rFonts w:hint="eastAsia" w:ascii="宋体" w:hAnsi="宋体" w:eastAsia="宋体" w:cs="宋体"/>
                <w:b/>
                <w:bCs/>
                <w:color w:val="auto"/>
                <w:sz w:val="24"/>
                <w:szCs w:val="24"/>
              </w:rPr>
              <w:t>、强制采购节能产品</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 </w:t>
            </w:r>
          </w:p>
          <w:p w14:paraId="79B76ABD">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b/>
                <w:color w:val="auto"/>
                <w:kern w:val="2"/>
                <w:sz w:val="24"/>
                <w:szCs w:val="24"/>
                <w:highlight w:val="none"/>
                <w:lang w:val="en-US" w:eastAsia="zh-CN"/>
              </w:rPr>
            </w:pPr>
            <w:r>
              <w:rPr>
                <w:rFonts w:hint="eastAsia" w:ascii="宋体" w:hAnsi="宋体" w:eastAsia="宋体" w:cs="宋体"/>
                <w:b w:val="0"/>
                <w:bCs w:val="0"/>
                <w:color w:val="auto"/>
                <w:sz w:val="24"/>
                <w:szCs w:val="24"/>
                <w:u w:val="none"/>
                <w:lang w:val="en-US" w:eastAsia="zh-CN"/>
              </w:rPr>
              <w:t>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p>
          <w:p w14:paraId="72111353">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contextualSpacing/>
              <w:jc w:val="left"/>
              <w:textAlignment w:val="auto"/>
              <w:rPr>
                <w:rFonts w:hint="eastAsia" w:ascii="宋体" w:hAnsi="宋体" w:eastAsia="宋体" w:cs="宋体"/>
                <w:b/>
                <w:color w:val="auto"/>
                <w:kern w:val="2"/>
                <w:sz w:val="24"/>
                <w:szCs w:val="24"/>
                <w:highlight w:val="none"/>
                <w:lang w:val="en-US" w:eastAsia="zh-CN"/>
              </w:rPr>
            </w:pPr>
          </w:p>
          <w:p w14:paraId="19A39BEA">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contextualSpacing/>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u w:val="none"/>
              </w:rPr>
              <w:t>监狱企业</w:t>
            </w:r>
            <w:r>
              <w:rPr>
                <w:rFonts w:hint="eastAsia" w:ascii="宋体" w:hAnsi="宋体" w:eastAsia="宋体" w:cs="宋体"/>
                <w:b/>
                <w:bCs/>
                <w:color w:val="auto"/>
                <w:sz w:val="24"/>
                <w:szCs w:val="24"/>
                <w:u w:val="none"/>
                <w:lang w:eastAsia="zh-CN"/>
              </w:rPr>
              <w:t>、</w:t>
            </w:r>
            <w:r>
              <w:rPr>
                <w:rFonts w:hint="eastAsia" w:ascii="宋体" w:hAnsi="宋体" w:eastAsia="宋体" w:cs="宋体"/>
                <w:b/>
                <w:bCs/>
                <w:snapToGrid w:val="0"/>
                <w:color w:val="auto"/>
                <w:kern w:val="0"/>
                <w:sz w:val="24"/>
                <w:szCs w:val="24"/>
                <w:highlight w:val="none"/>
                <w:u w:val="none"/>
                <w:lang w:val="en-US" w:eastAsia="zh-CN"/>
              </w:rPr>
              <w:t>残疾人福利性单位属于小型、微型企业的，不重复享受政策。</w:t>
            </w:r>
          </w:p>
        </w:tc>
      </w:tr>
      <w:tr w14:paraId="137AD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72" w:hRule="atLeast"/>
          <w:jc w:val="center"/>
        </w:trPr>
        <w:tc>
          <w:tcPr>
            <w:tcW w:w="2271" w:type="dxa"/>
            <w:noWrap w:val="0"/>
            <w:vAlign w:val="center"/>
          </w:tcPr>
          <w:p w14:paraId="48F91B3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标的所属行业</w:t>
            </w:r>
          </w:p>
        </w:tc>
        <w:tc>
          <w:tcPr>
            <w:tcW w:w="7957" w:type="dxa"/>
            <w:noWrap w:val="0"/>
            <w:vAlign w:val="center"/>
          </w:tcPr>
          <w:p w14:paraId="4CF86A11">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本项目采购标的对应的中小企业划分标准所属行业。</w:t>
            </w:r>
            <w:r>
              <w:rPr>
                <w:rFonts w:hint="eastAsia" w:ascii="宋体" w:hAnsi="宋体" w:eastAsia="宋体" w:cs="宋体"/>
                <w:b w:val="0"/>
                <w:bCs/>
                <w:color w:val="auto"/>
                <w:sz w:val="24"/>
                <w:szCs w:val="24"/>
                <w:highlight w:val="none"/>
                <w:lang w:val="en-US" w:eastAsia="zh-CN"/>
              </w:rPr>
              <w:t>符合条件的</w:t>
            </w:r>
            <w:r>
              <w:rPr>
                <w:rFonts w:hint="eastAsia" w:ascii="宋体" w:hAnsi="宋体" w:cs="宋体"/>
                <w:b w:val="0"/>
                <w:bCs/>
                <w:color w:val="auto"/>
                <w:sz w:val="24"/>
                <w:szCs w:val="24"/>
                <w:highlight w:val="none"/>
                <w:lang w:val="en-US" w:eastAsia="zh-CN"/>
              </w:rPr>
              <w:t>供应商</w:t>
            </w:r>
            <w:r>
              <w:rPr>
                <w:rFonts w:hint="eastAsia" w:ascii="宋体" w:hAnsi="宋体" w:eastAsia="宋体" w:cs="宋体"/>
                <w:b w:val="0"/>
                <w:bCs/>
                <w:color w:val="auto"/>
                <w:sz w:val="24"/>
                <w:szCs w:val="24"/>
                <w:highlight w:val="none"/>
                <w:lang w:val="en-US" w:eastAsia="zh-CN"/>
              </w:rPr>
              <w:t>根据下表内容填写《中小企业声明函》</w:t>
            </w:r>
            <w:r>
              <w:rPr>
                <w:rFonts w:hint="eastAsia" w:ascii="宋体" w:hAnsi="宋体" w:eastAsia="宋体" w:cs="宋体"/>
                <w:color w:val="auto"/>
                <w:sz w:val="24"/>
                <w:szCs w:val="24"/>
                <w:lang w:val="en-US" w:eastAsia="zh-CN"/>
              </w:rPr>
              <w:t>：</w:t>
            </w:r>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2"/>
              <w:gridCol w:w="3127"/>
            </w:tblGrid>
            <w:tr w14:paraId="02D38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4312" w:type="dxa"/>
                  <w:tcBorders>
                    <w:top w:val="single" w:color="auto" w:sz="4" w:space="0"/>
                    <w:left w:val="single" w:color="auto" w:sz="4" w:space="0"/>
                    <w:bottom w:val="single" w:color="auto" w:sz="4" w:space="0"/>
                    <w:right w:val="single" w:color="auto" w:sz="4" w:space="0"/>
                  </w:tcBorders>
                  <w:noWrap w:val="0"/>
                  <w:vAlign w:val="center"/>
                </w:tcPr>
                <w:p w14:paraId="0AE4171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标    项</w:t>
                  </w:r>
                </w:p>
              </w:tc>
              <w:tc>
                <w:tcPr>
                  <w:tcW w:w="3127" w:type="dxa"/>
                  <w:tcBorders>
                    <w:top w:val="single" w:color="auto" w:sz="4" w:space="0"/>
                    <w:left w:val="single" w:color="auto" w:sz="4" w:space="0"/>
                    <w:bottom w:val="single" w:color="auto" w:sz="4" w:space="0"/>
                    <w:right w:val="single" w:color="auto" w:sz="4" w:space="0"/>
                  </w:tcBorders>
                  <w:noWrap w:val="0"/>
                  <w:vAlign w:val="center"/>
                </w:tcPr>
                <w:p w14:paraId="3CBF5ED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中小企业划分标准所属行业</w:t>
                  </w:r>
                </w:p>
              </w:tc>
            </w:tr>
            <w:tr w14:paraId="56236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4312" w:type="dxa"/>
                  <w:tcBorders>
                    <w:top w:val="single" w:color="auto" w:sz="4" w:space="0"/>
                    <w:left w:val="single" w:color="auto" w:sz="4" w:space="0"/>
                    <w:bottom w:val="single" w:color="auto" w:sz="4" w:space="0"/>
                    <w:right w:val="single" w:color="auto" w:sz="4" w:space="0"/>
                  </w:tcBorders>
                  <w:noWrap w:val="0"/>
                  <w:vAlign w:val="center"/>
                </w:tcPr>
                <w:p w14:paraId="593FF43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default" w:ascii="宋体" w:hAnsi="宋体" w:eastAsia="宋体" w:cs="宋体"/>
                      <w:b/>
                      <w:bCs/>
                      <w:color w:val="auto"/>
                      <w:sz w:val="24"/>
                      <w:szCs w:val="24"/>
                      <w:lang w:val="en-US" w:eastAsia="zh-CN"/>
                    </w:rPr>
                  </w:pPr>
                  <w:r>
                    <w:rPr>
                      <w:rFonts w:hint="default" w:ascii="宋体" w:hAnsi="宋体" w:eastAsia="宋体" w:cs="宋体"/>
                      <w:b/>
                      <w:bCs/>
                      <w:color w:val="auto"/>
                      <w:sz w:val="24"/>
                      <w:szCs w:val="24"/>
                      <w:lang w:val="en-US" w:eastAsia="zh-CN"/>
                    </w:rPr>
                    <w:t>标项1：</w:t>
                  </w:r>
                  <w:r>
                    <w:rPr>
                      <w:rFonts w:hint="eastAsia" w:ascii="宋体" w:hAnsi="宋体" w:cs="宋体"/>
                      <w:b/>
                      <w:bCs/>
                      <w:color w:val="auto"/>
                      <w:sz w:val="24"/>
                      <w:szCs w:val="24"/>
                      <w:lang w:val="en-US" w:eastAsia="zh-CN"/>
                    </w:rPr>
                    <w:t>南华县人民医院64排CT、血管造影X射线机维保服务采购项目</w:t>
                  </w:r>
                </w:p>
              </w:tc>
              <w:tc>
                <w:tcPr>
                  <w:tcW w:w="3127" w:type="dxa"/>
                  <w:tcBorders>
                    <w:top w:val="single" w:color="auto" w:sz="4" w:space="0"/>
                    <w:left w:val="single" w:color="auto" w:sz="4" w:space="0"/>
                    <w:bottom w:val="single" w:color="auto" w:sz="4" w:space="0"/>
                    <w:right w:val="single" w:color="auto" w:sz="4" w:space="0"/>
                  </w:tcBorders>
                  <w:noWrap w:val="0"/>
                  <w:vAlign w:val="center"/>
                </w:tcPr>
                <w:p w14:paraId="649586B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工业</w:t>
                  </w:r>
                </w:p>
              </w:tc>
            </w:tr>
          </w:tbl>
          <w:p w14:paraId="419551E0">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lang w:val="en-US" w:eastAsia="zh-CN"/>
              </w:rPr>
            </w:pPr>
          </w:p>
        </w:tc>
      </w:tr>
      <w:tr w14:paraId="5DEE0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7421CADA">
            <w:pPr>
              <w:pStyle w:val="270"/>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b/>
                <w:bCs/>
                <w:color w:val="auto"/>
                <w:sz w:val="24"/>
                <w:szCs w:val="24"/>
                <w:highlight w:val="none"/>
                <w:lang w:val="en-US"/>
              </w:rPr>
              <w:t>政府采购活动中中小企业的判定</w:t>
            </w:r>
          </w:p>
        </w:tc>
        <w:tc>
          <w:tcPr>
            <w:tcW w:w="7957" w:type="dxa"/>
            <w:noWrap w:val="0"/>
            <w:vAlign w:val="center"/>
          </w:tcPr>
          <w:p w14:paraId="6DC963CE">
            <w:pPr>
              <w:keepNext w:val="0"/>
              <w:keepLines w:val="0"/>
              <w:pageBreakBefore w:val="0"/>
              <w:widowControl w:val="0"/>
              <w:kinsoku/>
              <w:wordWrap w:val="0"/>
              <w:overflowPunct/>
              <w:topLinePunct/>
              <w:autoSpaceDE/>
              <w:autoSpaceDN/>
              <w:bidi w:val="0"/>
              <w:adjustRightInd/>
              <w:snapToGrid/>
              <w:spacing w:line="360" w:lineRule="auto"/>
              <w:ind w:right="0" w:firstLine="241" w:firstLineChars="100"/>
              <w:textAlignment w:val="auto"/>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val="en-US"/>
              </w:rPr>
              <w:t>可以判别为中小企业的情形</w:t>
            </w:r>
          </w:p>
          <w:p w14:paraId="1D9860AD">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fldChar w:fldCharType="begin"/>
            </w:r>
            <w:r>
              <w:rPr>
                <w:rFonts w:hint="eastAsia" w:ascii="宋体" w:hAnsi="宋体" w:eastAsia="宋体" w:cs="宋体"/>
                <w:color w:val="auto"/>
                <w:sz w:val="24"/>
                <w:szCs w:val="24"/>
                <w:highlight w:val="none"/>
                <w:lang w:val="en-US"/>
              </w:rPr>
              <w:instrText xml:space="preserve"> = 1 \* GB3 \* MERGEFORMAT </w:instrText>
            </w:r>
            <w:r>
              <w:rPr>
                <w:rFonts w:hint="eastAsia" w:ascii="宋体" w:hAnsi="宋体" w:eastAsia="宋体" w:cs="宋体"/>
                <w:color w:val="auto"/>
                <w:sz w:val="24"/>
                <w:szCs w:val="24"/>
                <w:highlight w:val="none"/>
                <w:lang w:val="en-US"/>
              </w:rPr>
              <w:fldChar w:fldCharType="separate"/>
            </w:r>
            <w:r>
              <w:rPr>
                <w:rFonts w:hint="eastAsia" w:ascii="宋体" w:hAnsi="宋体" w:eastAsia="宋体" w:cs="宋体"/>
                <w:color w:val="auto"/>
                <w:sz w:val="24"/>
                <w:szCs w:val="24"/>
                <w:highlight w:val="none"/>
                <w:lang w:val="en-US"/>
              </w:rPr>
              <w:t>①</w:t>
            </w:r>
            <w:r>
              <w:rPr>
                <w:rFonts w:hint="eastAsia" w:ascii="宋体" w:hAnsi="宋体" w:eastAsia="宋体" w:cs="宋体"/>
                <w:color w:val="auto"/>
                <w:sz w:val="24"/>
                <w:szCs w:val="24"/>
                <w:highlight w:val="none"/>
                <w:lang w:val="en-US"/>
              </w:rPr>
              <w:fldChar w:fldCharType="end"/>
            </w:r>
            <w:r>
              <w:rPr>
                <w:rFonts w:hint="eastAsia" w:ascii="宋体" w:hAnsi="宋体" w:eastAsia="宋体" w:cs="宋体"/>
                <w:color w:val="auto"/>
                <w:sz w:val="24"/>
                <w:szCs w:val="24"/>
                <w:highlight w:val="none"/>
                <w:lang w:val="en-US"/>
              </w:rPr>
              <w:t>在货物采购项目中，</w:t>
            </w:r>
            <w:r>
              <w:rPr>
                <w:rFonts w:hint="eastAsia" w:ascii="宋体" w:hAnsi="宋体" w:eastAsia="宋体" w:cs="宋体"/>
                <w:b w:val="0"/>
                <w:bCs w:val="0"/>
                <w:color w:val="auto"/>
                <w:sz w:val="24"/>
                <w:szCs w:val="24"/>
                <w:highlight w:val="none"/>
                <w:u w:val="none"/>
                <w:lang w:val="en-US"/>
              </w:rPr>
              <w:t>货物</w:t>
            </w:r>
            <w:r>
              <w:rPr>
                <w:rFonts w:hint="eastAsia" w:ascii="宋体" w:hAnsi="宋体" w:eastAsia="宋体" w:cs="宋体"/>
                <w:b w:val="0"/>
                <w:bCs w:val="0"/>
                <w:color w:val="auto"/>
                <w:sz w:val="24"/>
                <w:szCs w:val="24"/>
                <w:highlight w:val="none"/>
                <w:u w:val="none"/>
                <w:lang w:val="en-US" w:eastAsia="zh-CN"/>
              </w:rPr>
              <w:t>由</w:t>
            </w:r>
            <w:r>
              <w:rPr>
                <w:rFonts w:hint="eastAsia" w:ascii="宋体" w:hAnsi="宋体" w:eastAsia="宋体" w:cs="宋体"/>
                <w:color w:val="auto"/>
                <w:sz w:val="24"/>
                <w:szCs w:val="24"/>
                <w:highlight w:val="none"/>
                <w:lang w:val="en-US"/>
              </w:rPr>
              <w:t>中小企业制造，</w:t>
            </w:r>
            <w:r>
              <w:rPr>
                <w:rFonts w:hint="eastAsia" w:ascii="宋体" w:hAnsi="宋体" w:eastAsia="宋体" w:cs="宋体"/>
                <w:b w:val="0"/>
                <w:bCs w:val="0"/>
                <w:color w:val="auto"/>
                <w:sz w:val="24"/>
                <w:szCs w:val="24"/>
                <w:highlight w:val="none"/>
                <w:u w:val="none"/>
                <w:lang w:val="en-US"/>
              </w:rPr>
              <w:t>即货物</w:t>
            </w:r>
            <w:r>
              <w:rPr>
                <w:rFonts w:hint="eastAsia" w:ascii="宋体" w:hAnsi="宋体" w:eastAsia="宋体" w:cs="宋体"/>
                <w:b w:val="0"/>
                <w:bCs w:val="0"/>
                <w:color w:val="auto"/>
                <w:sz w:val="24"/>
                <w:szCs w:val="24"/>
                <w:highlight w:val="none"/>
                <w:u w:val="none"/>
                <w:lang w:val="en-US" w:eastAsia="zh-CN"/>
              </w:rPr>
              <w:t>由</w:t>
            </w:r>
            <w:r>
              <w:rPr>
                <w:rFonts w:hint="eastAsia" w:ascii="宋体" w:hAnsi="宋体" w:eastAsia="宋体" w:cs="宋体"/>
                <w:color w:val="auto"/>
                <w:sz w:val="24"/>
                <w:szCs w:val="24"/>
                <w:highlight w:val="none"/>
                <w:lang w:val="en-US"/>
              </w:rPr>
              <w:t>中小企业生产且使用该中小企业商号或注册商标</w:t>
            </w: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lang w:val="en-US" w:eastAsia="zh-CN"/>
              </w:rPr>
              <w:t>（若一个合同项内涉及多个采购标的物的，采购人或采购代理机构应当在采购文件中逐一明确所有采购标的对应的中小企业划分标准所属行业。</w:t>
            </w:r>
            <w:r>
              <w:rPr>
                <w:rFonts w:hint="eastAsia" w:ascii="宋体" w:hAnsi="宋体" w:cs="宋体"/>
                <w:b/>
                <w:bCs/>
                <w:color w:val="auto"/>
                <w:sz w:val="24"/>
                <w:szCs w:val="24"/>
                <w:lang w:val="en-US" w:eastAsia="zh-CN"/>
              </w:rPr>
              <w:t>供应商</w:t>
            </w:r>
            <w:r>
              <w:rPr>
                <w:rFonts w:hint="eastAsia" w:ascii="宋体" w:hAnsi="宋体" w:eastAsia="宋体" w:cs="宋体"/>
                <w:b/>
                <w:bCs/>
                <w:color w:val="auto"/>
                <w:sz w:val="24"/>
                <w:szCs w:val="24"/>
                <w:lang w:val="en-US" w:eastAsia="zh-CN"/>
              </w:rPr>
              <w:t>根据采购文件中明确的行业所对应的划分标准，逐一判断所投标的物是否属于中小企业产品，并进行声明。一般只将采购项目中的主要货物作为标的物，开关等配件一般不作为标的物，也不对其生产厂商做相应要求）</w:t>
            </w:r>
          </w:p>
          <w:p w14:paraId="45FD6360">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fldChar w:fldCharType="begin"/>
            </w:r>
            <w:r>
              <w:rPr>
                <w:rFonts w:hint="eastAsia" w:ascii="宋体" w:hAnsi="宋体" w:eastAsia="宋体" w:cs="宋体"/>
                <w:color w:val="auto"/>
                <w:sz w:val="24"/>
                <w:szCs w:val="24"/>
                <w:highlight w:val="none"/>
                <w:lang w:val="en-US"/>
              </w:rPr>
              <w:instrText xml:space="preserve"> = 2 \* GB3 \* MERGEFORMAT </w:instrText>
            </w:r>
            <w:r>
              <w:rPr>
                <w:rFonts w:hint="eastAsia" w:ascii="宋体" w:hAnsi="宋体" w:eastAsia="宋体" w:cs="宋体"/>
                <w:color w:val="auto"/>
                <w:sz w:val="24"/>
                <w:szCs w:val="24"/>
                <w:highlight w:val="none"/>
                <w:lang w:val="en-US"/>
              </w:rPr>
              <w:fldChar w:fldCharType="separate"/>
            </w:r>
            <w:r>
              <w:rPr>
                <w:rFonts w:hint="eastAsia" w:ascii="宋体" w:hAnsi="宋体" w:eastAsia="宋体" w:cs="宋体"/>
                <w:color w:val="auto"/>
                <w:sz w:val="24"/>
                <w:szCs w:val="24"/>
                <w:highlight w:val="none"/>
                <w:lang w:val="en-US"/>
              </w:rPr>
              <w:t>②</w:t>
            </w:r>
            <w:r>
              <w:rPr>
                <w:rFonts w:hint="eastAsia" w:ascii="宋体" w:hAnsi="宋体" w:eastAsia="宋体" w:cs="宋体"/>
                <w:color w:val="auto"/>
                <w:sz w:val="24"/>
                <w:szCs w:val="24"/>
                <w:highlight w:val="none"/>
                <w:lang w:val="en-US"/>
              </w:rPr>
              <w:fldChar w:fldCharType="end"/>
            </w:r>
            <w:r>
              <w:rPr>
                <w:rFonts w:hint="eastAsia" w:ascii="宋体" w:hAnsi="宋体" w:eastAsia="宋体" w:cs="宋体"/>
                <w:color w:val="auto"/>
                <w:sz w:val="24"/>
                <w:szCs w:val="24"/>
                <w:highlight w:val="none"/>
                <w:lang w:val="en-US"/>
              </w:rPr>
              <w:t>在工程采购项目中，工程由中小企业承建，即工程施工单位为中小企业</w:t>
            </w:r>
            <w:r>
              <w:rPr>
                <w:rFonts w:hint="eastAsia" w:ascii="宋体" w:hAnsi="宋体" w:eastAsia="宋体" w:cs="宋体"/>
                <w:color w:val="auto"/>
                <w:sz w:val="24"/>
                <w:szCs w:val="24"/>
                <w:highlight w:val="none"/>
                <w:lang w:val="en-US" w:eastAsia="zh-CN"/>
              </w:rPr>
              <w:t>；</w:t>
            </w:r>
          </w:p>
          <w:p w14:paraId="6F27A932">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fldChar w:fldCharType="begin"/>
            </w:r>
            <w:r>
              <w:rPr>
                <w:rFonts w:hint="eastAsia" w:ascii="宋体" w:hAnsi="宋体" w:eastAsia="宋体" w:cs="宋体"/>
                <w:color w:val="auto"/>
                <w:sz w:val="24"/>
                <w:szCs w:val="24"/>
                <w:highlight w:val="none"/>
                <w:lang w:val="en-US"/>
              </w:rPr>
              <w:instrText xml:space="preserve"> = 3 \* GB3 \* MERGEFORMAT </w:instrText>
            </w:r>
            <w:r>
              <w:rPr>
                <w:rFonts w:hint="eastAsia" w:ascii="宋体" w:hAnsi="宋体" w:eastAsia="宋体" w:cs="宋体"/>
                <w:color w:val="auto"/>
                <w:sz w:val="24"/>
                <w:szCs w:val="24"/>
                <w:highlight w:val="none"/>
                <w:lang w:val="en-US"/>
              </w:rPr>
              <w:fldChar w:fldCharType="separate"/>
            </w:r>
            <w:r>
              <w:rPr>
                <w:rFonts w:hint="eastAsia" w:ascii="宋体" w:hAnsi="宋体" w:eastAsia="宋体" w:cs="宋体"/>
                <w:color w:val="auto"/>
                <w:sz w:val="24"/>
                <w:szCs w:val="24"/>
                <w:highlight w:val="none"/>
                <w:lang w:val="en-US"/>
              </w:rPr>
              <w:t>③</w:t>
            </w:r>
            <w:r>
              <w:rPr>
                <w:rFonts w:hint="eastAsia" w:ascii="宋体" w:hAnsi="宋体" w:eastAsia="宋体" w:cs="宋体"/>
                <w:color w:val="auto"/>
                <w:sz w:val="24"/>
                <w:szCs w:val="24"/>
                <w:highlight w:val="none"/>
                <w:lang w:val="en-US"/>
              </w:rPr>
              <w:fldChar w:fldCharType="end"/>
            </w:r>
            <w:r>
              <w:rPr>
                <w:rFonts w:hint="eastAsia" w:ascii="宋体" w:hAnsi="宋体" w:eastAsia="宋体" w:cs="宋体"/>
                <w:color w:val="auto"/>
                <w:sz w:val="24"/>
                <w:szCs w:val="24"/>
                <w:highlight w:val="none"/>
                <w:lang w:val="en-US"/>
              </w:rPr>
              <w:t>在服务采购项目中，服务由中小企业承接，即提供服务的人员为中小企业依照《中华人民共和国劳动合同法》订立劳动合同的从业人员。</w:t>
            </w:r>
          </w:p>
          <w:p w14:paraId="20BA4001">
            <w:pPr>
              <w:keepNext w:val="0"/>
              <w:keepLines w:val="0"/>
              <w:pageBreakBefore w:val="0"/>
              <w:widowControl w:val="0"/>
              <w:kinsoku/>
              <w:wordWrap w:val="0"/>
              <w:overflowPunct/>
              <w:topLinePunct/>
              <w:autoSpaceDE/>
              <w:autoSpaceDN/>
              <w:bidi w:val="0"/>
              <w:adjustRightInd/>
              <w:snapToGrid/>
              <w:spacing w:line="360" w:lineRule="auto"/>
              <w:ind w:right="0" w:firstLine="241" w:firstLineChars="100"/>
              <w:textAlignment w:val="auto"/>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rPr>
              <w:t>不应判别为中小</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rPr>
              <w:t>微</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rPr>
              <w:t>企业的情形</w:t>
            </w:r>
          </w:p>
          <w:p w14:paraId="5D04065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fldChar w:fldCharType="begin"/>
            </w:r>
            <w:r>
              <w:rPr>
                <w:rFonts w:hint="eastAsia" w:ascii="宋体" w:hAnsi="宋体" w:eastAsia="宋体" w:cs="宋体"/>
                <w:color w:val="auto"/>
                <w:sz w:val="24"/>
                <w:szCs w:val="24"/>
                <w:highlight w:val="none"/>
                <w:lang w:val="en-US"/>
              </w:rPr>
              <w:instrText xml:space="preserve"> = 1 \* GB3 \* MERGEFORMAT </w:instrText>
            </w:r>
            <w:r>
              <w:rPr>
                <w:rFonts w:hint="eastAsia" w:ascii="宋体" w:hAnsi="宋体" w:eastAsia="宋体" w:cs="宋体"/>
                <w:color w:val="auto"/>
                <w:sz w:val="24"/>
                <w:szCs w:val="24"/>
                <w:highlight w:val="none"/>
                <w:lang w:val="en-US"/>
              </w:rPr>
              <w:fldChar w:fldCharType="separate"/>
            </w:r>
            <w:r>
              <w:rPr>
                <w:rFonts w:hint="eastAsia" w:ascii="宋体" w:hAnsi="宋体" w:eastAsia="宋体" w:cs="宋体"/>
                <w:color w:val="auto"/>
                <w:sz w:val="24"/>
                <w:szCs w:val="24"/>
                <w:highlight w:val="none"/>
                <w:lang w:val="en-US"/>
              </w:rPr>
              <w:t>①</w:t>
            </w:r>
            <w:r>
              <w:rPr>
                <w:rFonts w:hint="eastAsia" w:ascii="宋体" w:hAnsi="宋体" w:eastAsia="宋体" w:cs="宋体"/>
                <w:color w:val="auto"/>
                <w:sz w:val="24"/>
                <w:szCs w:val="24"/>
                <w:highlight w:val="none"/>
                <w:lang w:val="en-US"/>
              </w:rPr>
              <w:fldChar w:fldCharType="end"/>
            </w:r>
            <w:r>
              <w:rPr>
                <w:rFonts w:hint="eastAsia" w:ascii="宋体" w:hAnsi="宋体" w:eastAsia="宋体" w:cs="宋体"/>
                <w:color w:val="auto"/>
                <w:sz w:val="24"/>
                <w:szCs w:val="24"/>
                <w:highlight w:val="none"/>
                <w:lang w:val="en-US"/>
              </w:rPr>
              <w:t>在货物采购项目中，</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rPr>
              <w:t>为中小企业，但所提供的货物为大型企业制造的，即货物由大型企业生产且使用大型企业</w:t>
            </w:r>
            <w:r>
              <w:rPr>
                <w:rFonts w:hint="eastAsia" w:ascii="宋体" w:hAnsi="宋体" w:eastAsia="宋体" w:cs="宋体"/>
                <w:color w:val="auto"/>
                <w:sz w:val="24"/>
                <w:szCs w:val="24"/>
                <w:highlight w:val="none"/>
                <w:lang w:val="en-US" w:eastAsia="zh-CN"/>
              </w:rPr>
              <w:t>商标</w:t>
            </w:r>
            <w:r>
              <w:rPr>
                <w:rFonts w:hint="eastAsia" w:ascii="宋体" w:hAnsi="宋体" w:eastAsia="宋体" w:cs="宋体"/>
                <w:color w:val="auto"/>
                <w:sz w:val="24"/>
                <w:szCs w:val="24"/>
                <w:highlight w:val="none"/>
                <w:lang w:val="en-US"/>
              </w:rPr>
              <w:t>或者注册商标的。不享受</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rPr>
              <w:t>《办法》规定的中小企业扶持政策。</w:t>
            </w:r>
          </w:p>
          <w:p w14:paraId="41A500ED">
            <w:pPr>
              <w:keepNext w:val="0"/>
              <w:keepLines w:val="0"/>
              <w:pageBreakBefore w:val="0"/>
              <w:widowControl w:val="0"/>
              <w:kinsoku/>
              <w:wordWrap w:val="0"/>
              <w:overflowPunct/>
              <w:topLinePunct/>
              <w:autoSpaceDE/>
              <w:autoSpaceDN/>
              <w:bidi w:val="0"/>
              <w:adjustRightInd/>
              <w:snapToGrid/>
              <w:spacing w:line="360" w:lineRule="auto"/>
              <w:ind w:left="240" w:leftChars="109" w:right="0" w:rightChars="0" w:firstLine="0" w:firstLineChars="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highlight w:val="none"/>
                <w:lang w:val="en-US"/>
              </w:rPr>
              <w:fldChar w:fldCharType="begin"/>
            </w:r>
            <w:r>
              <w:rPr>
                <w:rFonts w:hint="eastAsia" w:ascii="宋体" w:hAnsi="宋体" w:eastAsia="宋体" w:cs="宋体"/>
                <w:color w:val="auto"/>
                <w:sz w:val="24"/>
                <w:szCs w:val="24"/>
                <w:highlight w:val="none"/>
                <w:lang w:val="en-US"/>
              </w:rPr>
              <w:instrText xml:space="preserve"> = 2 \* GB3 \* MERGEFORMAT </w:instrText>
            </w:r>
            <w:r>
              <w:rPr>
                <w:rFonts w:hint="eastAsia" w:ascii="宋体" w:hAnsi="宋体" w:eastAsia="宋体" w:cs="宋体"/>
                <w:color w:val="auto"/>
                <w:sz w:val="24"/>
                <w:szCs w:val="24"/>
                <w:highlight w:val="none"/>
                <w:lang w:val="en-US"/>
              </w:rPr>
              <w:fldChar w:fldCharType="separate"/>
            </w:r>
            <w:r>
              <w:rPr>
                <w:rFonts w:hint="eastAsia" w:ascii="宋体" w:hAnsi="宋体" w:eastAsia="宋体" w:cs="宋体"/>
                <w:color w:val="auto"/>
                <w:sz w:val="24"/>
                <w:szCs w:val="24"/>
                <w:highlight w:val="none"/>
                <w:lang w:val="en-US"/>
              </w:rPr>
              <w:t>②</w:t>
            </w:r>
            <w:r>
              <w:rPr>
                <w:rFonts w:hint="eastAsia" w:ascii="宋体" w:hAnsi="宋体" w:eastAsia="宋体" w:cs="宋体"/>
                <w:color w:val="auto"/>
                <w:sz w:val="24"/>
                <w:szCs w:val="24"/>
                <w:highlight w:val="none"/>
                <w:lang w:val="en-US"/>
              </w:rPr>
              <w:fldChar w:fldCharType="end"/>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rPr>
              <w:t>提供的货物既有中型企业制造，也有小微企业制造的，不享受《办法》规定的小微企业扶持政策。</w:t>
            </w:r>
          </w:p>
        </w:tc>
      </w:tr>
      <w:tr w14:paraId="15B6C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jc w:val="center"/>
        </w:trPr>
        <w:tc>
          <w:tcPr>
            <w:tcW w:w="2271" w:type="dxa"/>
            <w:noWrap w:val="0"/>
            <w:vAlign w:val="center"/>
          </w:tcPr>
          <w:p w14:paraId="4C59879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采购内容</w:t>
            </w:r>
          </w:p>
        </w:tc>
        <w:tc>
          <w:tcPr>
            <w:tcW w:w="7957" w:type="dxa"/>
            <w:noWrap w:val="0"/>
            <w:vAlign w:val="center"/>
          </w:tcPr>
          <w:p w14:paraId="404EFEF6">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技术规格详见招标文件“第</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lang w:eastAsia="zh-CN"/>
              </w:rPr>
              <w:t>章</w:t>
            </w:r>
            <w:r>
              <w:rPr>
                <w:rFonts w:hint="eastAsia" w:ascii="宋体" w:hAnsi="宋体" w:eastAsia="宋体" w:cs="宋体"/>
                <w:color w:val="auto"/>
                <w:sz w:val="24"/>
                <w:szCs w:val="24"/>
                <w:lang w:val="en-US" w:eastAsia="zh-CN"/>
              </w:rPr>
              <w:t xml:space="preserve"> 采购需求及要求</w:t>
            </w:r>
            <w:r>
              <w:rPr>
                <w:rFonts w:hint="eastAsia" w:ascii="宋体" w:hAnsi="宋体" w:eastAsia="宋体" w:cs="宋体"/>
                <w:color w:val="auto"/>
                <w:sz w:val="24"/>
                <w:szCs w:val="24"/>
                <w:lang w:eastAsia="zh-CN"/>
              </w:rPr>
              <w:t>”</w:t>
            </w:r>
          </w:p>
        </w:tc>
      </w:tr>
      <w:tr w14:paraId="276BA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4B4AB18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rPr>
              <w:t>合同履约期</w:t>
            </w:r>
          </w:p>
        </w:tc>
        <w:tc>
          <w:tcPr>
            <w:tcW w:w="7957" w:type="dxa"/>
            <w:noWrap w:val="0"/>
            <w:vAlign w:val="center"/>
          </w:tcPr>
          <w:p w14:paraId="6BBF9F2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bCs/>
                <w:color w:val="auto"/>
                <w:kern w:val="0"/>
                <w:sz w:val="24"/>
                <w:szCs w:val="24"/>
                <w:lang w:val="en-US" w:eastAsia="zh-CN"/>
              </w:rPr>
              <w:t>一年</w:t>
            </w:r>
          </w:p>
        </w:tc>
      </w:tr>
      <w:tr w14:paraId="5E44E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 w:hRule="atLeast"/>
          <w:jc w:val="center"/>
        </w:trPr>
        <w:tc>
          <w:tcPr>
            <w:tcW w:w="2271" w:type="dxa"/>
            <w:noWrap w:val="0"/>
            <w:vAlign w:val="center"/>
          </w:tcPr>
          <w:p w14:paraId="6DCD1E2F">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交货（交付）期</w:t>
            </w:r>
          </w:p>
        </w:tc>
        <w:tc>
          <w:tcPr>
            <w:tcW w:w="7957" w:type="dxa"/>
            <w:noWrap w:val="0"/>
            <w:vAlign w:val="center"/>
          </w:tcPr>
          <w:p w14:paraId="489C74B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适用</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不适用</w:t>
            </w:r>
          </w:p>
          <w:p w14:paraId="55284AD1">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合同签订之日起</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个日历</w:t>
            </w:r>
            <w:r>
              <w:rPr>
                <w:rFonts w:hint="eastAsia" w:ascii="宋体" w:hAnsi="宋体" w:eastAsia="宋体" w:cs="宋体"/>
                <w:color w:val="auto"/>
                <w:sz w:val="24"/>
                <w:szCs w:val="24"/>
                <w:lang w:val="en-US" w:eastAsia="zh-CN"/>
              </w:rPr>
              <w:t>天</w:t>
            </w:r>
            <w:r>
              <w:rPr>
                <w:rFonts w:hint="eastAsia" w:ascii="宋体" w:hAnsi="宋体" w:eastAsia="宋体" w:cs="宋体"/>
                <w:color w:val="auto"/>
                <w:sz w:val="24"/>
                <w:szCs w:val="24"/>
                <w:lang w:eastAsia="zh-CN"/>
              </w:rPr>
              <w:t>内交货、安装并一次性通过验收。</w:t>
            </w:r>
          </w:p>
          <w:p w14:paraId="3B1CBED9">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适用</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不适用</w:t>
            </w:r>
          </w:p>
          <w:p w14:paraId="7760BD20">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进口产品可以延长至90个日历天内交货（交付）。</w:t>
            </w:r>
          </w:p>
          <w:p w14:paraId="14B7574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val="en-US" w:eastAsia="zh-CN"/>
              </w:rPr>
              <w:t>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可提供更优的交货（交付）期。</w:t>
            </w:r>
          </w:p>
        </w:tc>
      </w:tr>
      <w:tr w14:paraId="71833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jc w:val="center"/>
        </w:trPr>
        <w:tc>
          <w:tcPr>
            <w:tcW w:w="2271" w:type="dxa"/>
            <w:noWrap w:val="0"/>
            <w:vAlign w:val="center"/>
          </w:tcPr>
          <w:p w14:paraId="08E268A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服务地点</w:t>
            </w:r>
          </w:p>
        </w:tc>
        <w:tc>
          <w:tcPr>
            <w:tcW w:w="7957" w:type="dxa"/>
            <w:noWrap w:val="0"/>
            <w:vAlign w:val="center"/>
          </w:tcPr>
          <w:p w14:paraId="713E4CE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南华县人民医院</w:t>
            </w:r>
            <w:r>
              <w:rPr>
                <w:rFonts w:hint="eastAsia" w:ascii="宋体" w:hAnsi="宋体" w:eastAsia="宋体" w:cs="宋体"/>
                <w:color w:val="auto"/>
                <w:sz w:val="24"/>
                <w:szCs w:val="24"/>
                <w:lang w:val="en-US" w:eastAsia="zh-CN"/>
              </w:rPr>
              <w:t>（用户指定地点）</w:t>
            </w:r>
          </w:p>
        </w:tc>
      </w:tr>
      <w:tr w14:paraId="30D2B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2CC4F84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的资格要求</w:t>
            </w:r>
          </w:p>
        </w:tc>
        <w:tc>
          <w:tcPr>
            <w:tcW w:w="7957" w:type="dxa"/>
            <w:noWrap w:val="0"/>
            <w:vAlign w:val="center"/>
          </w:tcPr>
          <w:p w14:paraId="0C14A03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b/>
                <w:bCs/>
                <w:color w:val="auto"/>
                <w:sz w:val="24"/>
                <w:szCs w:val="24"/>
                <w:lang w:eastAsia="zh-CN"/>
              </w:rPr>
            </w:pPr>
            <w:bookmarkStart w:id="331" w:name="_Toc145164039"/>
            <w:bookmarkStart w:id="332" w:name="_Toc145163961"/>
            <w:r>
              <w:rPr>
                <w:rFonts w:hint="eastAsia" w:ascii="宋体" w:hAnsi="宋体" w:eastAsia="宋体" w:cs="宋体"/>
                <w:color w:val="auto"/>
                <w:sz w:val="24"/>
                <w:szCs w:val="24"/>
                <w:lang w:eastAsia="zh-CN"/>
              </w:rPr>
              <w:t>详见第一章 招标公告“二、</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eastAsia="zh-CN"/>
              </w:rPr>
              <w:t>的资格要求”</w:t>
            </w:r>
            <w:bookmarkEnd w:id="331"/>
            <w:bookmarkEnd w:id="332"/>
          </w:p>
        </w:tc>
      </w:tr>
      <w:tr w14:paraId="0E83E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6" w:hRule="atLeast"/>
          <w:jc w:val="center"/>
        </w:trPr>
        <w:tc>
          <w:tcPr>
            <w:tcW w:w="2271" w:type="dxa"/>
            <w:noWrap w:val="0"/>
            <w:vAlign w:val="center"/>
          </w:tcPr>
          <w:p w14:paraId="3915937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是否接受联合体投标</w:t>
            </w:r>
          </w:p>
        </w:tc>
        <w:tc>
          <w:tcPr>
            <w:tcW w:w="7957" w:type="dxa"/>
            <w:noWrap w:val="0"/>
            <w:vAlign w:val="center"/>
          </w:tcPr>
          <w:p w14:paraId="4E9597B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lang w:eastAsia="zh-CN"/>
              </w:rPr>
              <w:t>不接受</w:t>
            </w:r>
          </w:p>
          <w:p w14:paraId="7F01E4B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□接受，应满足下列要求：</w:t>
            </w:r>
          </w:p>
        </w:tc>
      </w:tr>
      <w:tr w14:paraId="2E41F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2BE4E9F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分包</w:t>
            </w:r>
          </w:p>
        </w:tc>
        <w:tc>
          <w:tcPr>
            <w:tcW w:w="7957" w:type="dxa"/>
            <w:noWrap w:val="0"/>
            <w:vAlign w:val="center"/>
          </w:tcPr>
          <w:p w14:paraId="5161221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lang w:eastAsia="zh-CN"/>
              </w:rPr>
              <w:t>不允许</w:t>
            </w:r>
          </w:p>
          <w:p w14:paraId="43376967">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□允许，分包内容要求：</w:t>
            </w:r>
            <w:r>
              <w:rPr>
                <w:rFonts w:hint="eastAsia" w:ascii="宋体" w:hAnsi="宋体" w:eastAsia="宋体" w:cs="宋体"/>
                <w:color w:val="auto"/>
                <w:sz w:val="24"/>
                <w:szCs w:val="24"/>
                <w:u w:val="single"/>
                <w:lang w:eastAsia="zh-CN"/>
              </w:rPr>
              <w:t>/</w:t>
            </w:r>
          </w:p>
          <w:p w14:paraId="42EF804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分包金额要求：</w:t>
            </w:r>
            <w:r>
              <w:rPr>
                <w:rFonts w:hint="eastAsia" w:ascii="宋体" w:hAnsi="宋体" w:eastAsia="宋体" w:cs="宋体"/>
                <w:color w:val="auto"/>
                <w:sz w:val="24"/>
                <w:szCs w:val="24"/>
                <w:u w:val="single"/>
                <w:lang w:eastAsia="zh-CN"/>
              </w:rPr>
              <w:t>/</w:t>
            </w:r>
          </w:p>
          <w:p w14:paraId="5AA7BD1F">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对分包人的资质要求：</w:t>
            </w:r>
            <w:r>
              <w:rPr>
                <w:rFonts w:hint="eastAsia" w:ascii="宋体" w:hAnsi="宋体" w:eastAsia="宋体" w:cs="宋体"/>
                <w:color w:val="auto"/>
                <w:sz w:val="24"/>
                <w:szCs w:val="24"/>
                <w:u w:val="single"/>
                <w:lang w:eastAsia="zh-CN"/>
              </w:rPr>
              <w:t>/</w:t>
            </w:r>
          </w:p>
        </w:tc>
      </w:tr>
      <w:tr w14:paraId="08373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 w:hRule="atLeast"/>
          <w:jc w:val="center"/>
        </w:trPr>
        <w:tc>
          <w:tcPr>
            <w:tcW w:w="2271" w:type="dxa"/>
            <w:noWrap w:val="0"/>
            <w:vAlign w:val="center"/>
          </w:tcPr>
          <w:p w14:paraId="4F63618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构成招标文件的其他资料</w:t>
            </w:r>
          </w:p>
        </w:tc>
        <w:tc>
          <w:tcPr>
            <w:tcW w:w="7957" w:type="dxa"/>
            <w:noWrap w:val="0"/>
            <w:vAlign w:val="center"/>
          </w:tcPr>
          <w:p w14:paraId="175923F7">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更正公告及补遗文件（若有）</w:t>
            </w:r>
          </w:p>
        </w:tc>
      </w:tr>
      <w:tr w14:paraId="3D497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66E216E7">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招标</w:t>
            </w:r>
            <w:r>
              <w:rPr>
                <w:rFonts w:hint="eastAsia" w:ascii="宋体" w:hAnsi="宋体" w:eastAsia="宋体" w:cs="宋体"/>
                <w:color w:val="auto"/>
                <w:sz w:val="24"/>
                <w:szCs w:val="24"/>
                <w:lang w:eastAsia="zh-CN"/>
              </w:rPr>
              <w:t>文件澄清截止时间</w:t>
            </w:r>
          </w:p>
        </w:tc>
        <w:tc>
          <w:tcPr>
            <w:tcW w:w="7957" w:type="dxa"/>
            <w:noWrap w:val="0"/>
            <w:vAlign w:val="center"/>
          </w:tcPr>
          <w:p w14:paraId="4C54DF0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招标文件澄清截止时间：采购人或者采购代理机构应当在投标截止时间至少</w:t>
            </w:r>
            <w:r>
              <w:rPr>
                <w:rFonts w:hint="eastAsia" w:ascii="宋体" w:hAnsi="宋体" w:cs="宋体"/>
                <w:color w:val="auto"/>
                <w:sz w:val="24"/>
                <w:szCs w:val="24"/>
                <w:lang w:val="en-US" w:eastAsia="zh-CN"/>
              </w:rPr>
              <w:t>15</w:t>
            </w:r>
            <w:r>
              <w:rPr>
                <w:rFonts w:hint="eastAsia" w:ascii="宋体" w:hAnsi="宋体" w:eastAsia="宋体" w:cs="宋体"/>
                <w:color w:val="auto"/>
                <w:sz w:val="24"/>
                <w:szCs w:val="24"/>
                <w:lang w:eastAsia="zh-CN"/>
              </w:rPr>
              <w:t>日前，以书面形式通知所有获取招标文件的潜在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w:t>
            </w:r>
            <w:r>
              <w:rPr>
                <w:rFonts w:hint="eastAsia" w:ascii="宋体" w:hAnsi="宋体" w:cs="宋体"/>
                <w:color w:val="auto"/>
                <w:sz w:val="24"/>
                <w:szCs w:val="24"/>
                <w:lang w:val="en-US" w:eastAsia="zh-CN"/>
              </w:rPr>
              <w:t>15</w:t>
            </w:r>
            <w:r>
              <w:rPr>
                <w:rFonts w:hint="eastAsia" w:ascii="宋体" w:hAnsi="宋体" w:eastAsia="宋体" w:cs="宋体"/>
                <w:color w:val="auto"/>
                <w:sz w:val="24"/>
                <w:szCs w:val="24"/>
                <w:lang w:eastAsia="zh-CN"/>
              </w:rPr>
              <w:t>日的，采购人或者采购代理机构应当顺延提交投标文件的截止时间</w:t>
            </w:r>
          </w:p>
        </w:tc>
      </w:tr>
      <w:tr w14:paraId="545FF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30734B3B">
            <w:pPr>
              <w:keepNext w:val="0"/>
              <w:keepLines w:val="0"/>
              <w:pageBreakBefore w:val="0"/>
              <w:widowControl w:val="0"/>
              <w:shd w:val="clear" w:color="auto" w:fill="FFFFFF"/>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招标文件修改发出的形式</w:t>
            </w:r>
          </w:p>
        </w:tc>
        <w:tc>
          <w:tcPr>
            <w:tcW w:w="7957" w:type="dxa"/>
            <w:noWrap w:val="0"/>
            <w:vAlign w:val="center"/>
          </w:tcPr>
          <w:p w14:paraId="6117D156">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在原招标公告发布媒体上发布澄清公告</w:t>
            </w:r>
          </w:p>
        </w:tc>
      </w:tr>
      <w:tr w14:paraId="0A10D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4C7376F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rPr>
              <w:t>开标时间和地点</w:t>
            </w:r>
          </w:p>
        </w:tc>
        <w:tc>
          <w:tcPr>
            <w:tcW w:w="7957" w:type="dxa"/>
            <w:noWrap w:val="0"/>
            <w:vAlign w:val="center"/>
          </w:tcPr>
          <w:p w14:paraId="23E172CC">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开标时间：同投标文件提交截止时间；</w:t>
            </w:r>
          </w:p>
          <w:p w14:paraId="79C52191">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开标地点：政采云平台（http：//www.zcygov.cn）</w:t>
            </w:r>
          </w:p>
          <w:p w14:paraId="748DDDD0">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注：</w:t>
            </w:r>
            <w:r>
              <w:rPr>
                <w:rFonts w:hint="eastAsia" w:ascii="宋体" w:hAnsi="宋体" w:cs="宋体"/>
                <w:snapToGrid w:val="0"/>
                <w:color w:val="auto"/>
                <w:kern w:val="0"/>
                <w:sz w:val="24"/>
                <w:szCs w:val="24"/>
                <w:lang w:val="en-US" w:eastAsia="zh-CN" w:bidi="ar-SA"/>
              </w:rPr>
              <w:t>供应商</w:t>
            </w:r>
            <w:r>
              <w:rPr>
                <w:rFonts w:hint="eastAsia" w:ascii="宋体" w:hAnsi="宋体" w:eastAsia="宋体" w:cs="宋体"/>
                <w:snapToGrid w:val="0"/>
                <w:color w:val="auto"/>
                <w:kern w:val="0"/>
                <w:sz w:val="24"/>
                <w:szCs w:val="24"/>
                <w:lang w:val="en-US" w:eastAsia="zh-CN" w:bidi="ar-SA"/>
              </w:rPr>
              <w:t>无需到现场开标。</w:t>
            </w:r>
          </w:p>
          <w:p w14:paraId="59FF71E2">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snapToGrid w:val="0"/>
                <w:color w:val="auto"/>
                <w:kern w:val="0"/>
                <w:sz w:val="24"/>
                <w:szCs w:val="24"/>
                <w:lang w:val="en-US" w:eastAsia="zh-CN" w:bidi="ar-SA"/>
              </w:rPr>
            </w:pPr>
            <w:r>
              <w:rPr>
                <w:rFonts w:hint="eastAsia" w:ascii="宋体" w:hAnsi="宋体" w:cs="宋体"/>
                <w:snapToGrid w:val="0"/>
                <w:color w:val="auto"/>
                <w:kern w:val="0"/>
                <w:sz w:val="24"/>
                <w:szCs w:val="24"/>
                <w:lang w:val="en-US" w:eastAsia="zh-CN" w:bidi="ar-SA"/>
              </w:rPr>
              <w:t>供应商</w:t>
            </w:r>
            <w:r>
              <w:rPr>
                <w:rFonts w:hint="eastAsia" w:ascii="宋体" w:hAnsi="宋体" w:eastAsia="宋体" w:cs="宋体"/>
                <w:snapToGrid w:val="0"/>
                <w:color w:val="auto"/>
                <w:kern w:val="0"/>
                <w:sz w:val="24"/>
                <w:szCs w:val="24"/>
                <w:lang w:val="en-US" w:eastAsia="zh-CN" w:bidi="ar-SA"/>
              </w:rPr>
              <w:t>应按照本项目采购文件和“政采云”平台的要求编制、加密后在投标文件提交截止时间前上传至“政采云”平台，按《</w:t>
            </w:r>
            <w:r>
              <w:rPr>
                <w:rFonts w:hint="eastAsia" w:ascii="宋体" w:hAnsi="宋体" w:cs="宋体"/>
                <w:snapToGrid w:val="0"/>
                <w:color w:val="auto"/>
                <w:kern w:val="0"/>
                <w:sz w:val="24"/>
                <w:szCs w:val="24"/>
                <w:lang w:val="en-US" w:eastAsia="zh-CN" w:bidi="ar-SA"/>
              </w:rPr>
              <w:t>供应商</w:t>
            </w:r>
            <w:r>
              <w:rPr>
                <w:rFonts w:hint="eastAsia" w:ascii="宋体" w:hAnsi="宋体" w:eastAsia="宋体" w:cs="宋体"/>
                <w:snapToGrid w:val="0"/>
                <w:color w:val="auto"/>
                <w:kern w:val="0"/>
                <w:sz w:val="24"/>
                <w:szCs w:val="24"/>
                <w:lang w:val="en-US" w:eastAsia="zh-CN" w:bidi="ar-SA"/>
              </w:rPr>
              <w:t>操作指南》（https://edu.zcygov.cn/luban/yunnan-dzjy-gys?utm=a0017.b3687.48.18.4b09ec80cbc911edb8a97356c5970511）完成远程投标文件解密等相关操作。投标文件提交截止时间前未完成投标文件上传的，视为撤回投标文件。若</w:t>
            </w:r>
            <w:r>
              <w:rPr>
                <w:rFonts w:hint="eastAsia" w:ascii="宋体" w:hAnsi="宋体" w:cs="宋体"/>
                <w:snapToGrid w:val="0"/>
                <w:color w:val="auto"/>
                <w:kern w:val="0"/>
                <w:sz w:val="24"/>
                <w:szCs w:val="24"/>
                <w:lang w:val="en-US" w:eastAsia="zh-CN" w:bidi="ar-SA"/>
              </w:rPr>
              <w:t>供应商</w:t>
            </w:r>
            <w:r>
              <w:rPr>
                <w:rFonts w:hint="eastAsia" w:ascii="宋体" w:hAnsi="宋体" w:eastAsia="宋体" w:cs="宋体"/>
                <w:snapToGrid w:val="0"/>
                <w:color w:val="auto"/>
                <w:kern w:val="0"/>
                <w:sz w:val="24"/>
                <w:szCs w:val="24"/>
                <w:lang w:val="en-US" w:eastAsia="zh-CN" w:bidi="ar-SA"/>
              </w:rPr>
              <w:t>未在规定时间完成投标文件解密，则视为无效投标，不再进入</w:t>
            </w:r>
            <w:r>
              <w:rPr>
                <w:rFonts w:hint="eastAsia" w:ascii="宋体" w:hAnsi="宋体" w:cs="宋体"/>
                <w:snapToGrid w:val="0"/>
                <w:color w:val="auto"/>
                <w:kern w:val="0"/>
                <w:sz w:val="24"/>
                <w:szCs w:val="24"/>
                <w:lang w:val="en-US" w:eastAsia="zh-CN" w:bidi="ar-SA"/>
              </w:rPr>
              <w:t>评审</w:t>
            </w:r>
            <w:r>
              <w:rPr>
                <w:rFonts w:hint="eastAsia" w:ascii="宋体" w:hAnsi="宋体" w:eastAsia="宋体" w:cs="宋体"/>
                <w:snapToGrid w:val="0"/>
                <w:color w:val="auto"/>
                <w:kern w:val="0"/>
                <w:sz w:val="24"/>
                <w:szCs w:val="24"/>
                <w:lang w:val="en-US" w:eastAsia="zh-CN" w:bidi="ar-SA"/>
              </w:rPr>
              <w:t>阶段。</w:t>
            </w:r>
            <w:r>
              <w:rPr>
                <w:rFonts w:hint="eastAsia" w:ascii="宋体" w:hAnsi="宋体" w:cs="宋体"/>
                <w:snapToGrid w:val="0"/>
                <w:color w:val="auto"/>
                <w:kern w:val="0"/>
                <w:sz w:val="24"/>
                <w:szCs w:val="24"/>
                <w:lang w:val="en-US" w:eastAsia="zh-CN" w:bidi="ar-SA"/>
              </w:rPr>
              <w:t>供应商</w:t>
            </w:r>
            <w:r>
              <w:rPr>
                <w:rFonts w:hint="eastAsia" w:ascii="宋体" w:hAnsi="宋体" w:eastAsia="宋体" w:cs="宋体"/>
                <w:snapToGrid w:val="0"/>
                <w:color w:val="auto"/>
                <w:kern w:val="0"/>
                <w:sz w:val="24"/>
                <w:szCs w:val="24"/>
                <w:lang w:val="en-US" w:eastAsia="zh-CN" w:bidi="ar-SA"/>
              </w:rPr>
              <w:t>在“政采云”平台提交电子版投标文件时，请填写参加远程采购活动经办人联系方式。</w:t>
            </w:r>
          </w:p>
        </w:tc>
      </w:tr>
      <w:tr w14:paraId="0D03A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6C83684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构成投标文件的其他资料</w:t>
            </w:r>
          </w:p>
        </w:tc>
        <w:tc>
          <w:tcPr>
            <w:tcW w:w="7957" w:type="dxa"/>
            <w:noWrap w:val="0"/>
            <w:vAlign w:val="center"/>
          </w:tcPr>
          <w:p w14:paraId="594026E8">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1、“第</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lang w:eastAsia="zh-CN"/>
              </w:rPr>
              <w:t>章</w:t>
            </w:r>
            <w:r>
              <w:rPr>
                <w:rFonts w:hint="eastAsia" w:ascii="宋体" w:hAnsi="宋体" w:eastAsia="宋体" w:cs="宋体"/>
                <w:color w:val="auto"/>
                <w:sz w:val="24"/>
                <w:szCs w:val="24"/>
                <w:lang w:val="en-US" w:eastAsia="zh-CN"/>
              </w:rPr>
              <w:t xml:space="preserve"> 采购需求及要求</w:t>
            </w:r>
            <w:r>
              <w:rPr>
                <w:rFonts w:hint="eastAsia" w:ascii="宋体" w:hAnsi="宋体" w:eastAsia="宋体" w:cs="宋体"/>
                <w:color w:val="auto"/>
                <w:sz w:val="24"/>
                <w:szCs w:val="24"/>
                <w:lang w:eastAsia="zh-CN"/>
              </w:rPr>
              <w:t>”“第</w:t>
            </w:r>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lang w:eastAsia="zh-CN"/>
              </w:rPr>
              <w:t>章</w:t>
            </w:r>
            <w:r>
              <w:rPr>
                <w:rFonts w:hint="eastAsia" w:ascii="宋体" w:hAnsi="宋体" w:eastAsia="宋体" w:cs="宋体"/>
                <w:color w:val="auto"/>
                <w:sz w:val="24"/>
                <w:szCs w:val="24"/>
                <w:lang w:val="en-US" w:eastAsia="zh-CN"/>
              </w:rPr>
              <w:t xml:space="preserve"> 投标文件格式</w:t>
            </w:r>
            <w:r>
              <w:rPr>
                <w:rFonts w:hint="eastAsia" w:ascii="宋体" w:hAnsi="宋体" w:eastAsia="宋体" w:cs="宋体"/>
                <w:color w:val="auto"/>
                <w:sz w:val="24"/>
                <w:szCs w:val="24"/>
                <w:lang w:eastAsia="zh-CN"/>
              </w:rPr>
              <w:t>”中要求提供的其他资料；</w:t>
            </w:r>
          </w:p>
          <w:p w14:paraId="483359D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2、招标文件中所涉及的相关资料及证明文件或</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认为必须提供的其他相关资料。</w:t>
            </w:r>
          </w:p>
        </w:tc>
      </w:tr>
      <w:tr w14:paraId="4E515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7A0B6D3F">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eastAsia="zh-CN"/>
              </w:rPr>
              <w:t>投标文件的签署</w:t>
            </w:r>
          </w:p>
        </w:tc>
        <w:tc>
          <w:tcPr>
            <w:tcW w:w="7957" w:type="dxa"/>
            <w:noWrap w:val="0"/>
            <w:vAlign w:val="center"/>
          </w:tcPr>
          <w:p w14:paraId="0D7908F8">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按照投标文件格式，在规定的电子签名处逐一电子签名（电子签名或电子签章），要求盖章处应盖单位章（电子</w:t>
            </w:r>
            <w:r>
              <w:rPr>
                <w:rFonts w:hint="eastAsia" w:ascii="宋体" w:hAnsi="宋体" w:cs="宋体"/>
                <w:snapToGrid w:val="0"/>
                <w:color w:val="auto"/>
                <w:kern w:val="0"/>
                <w:sz w:val="24"/>
                <w:szCs w:val="24"/>
                <w:lang w:val="en-US" w:eastAsia="zh-CN" w:bidi="ar-SA"/>
              </w:rPr>
              <w:t>公</w:t>
            </w:r>
            <w:r>
              <w:rPr>
                <w:rFonts w:hint="eastAsia" w:ascii="宋体" w:hAnsi="宋体" w:eastAsia="宋体" w:cs="宋体"/>
                <w:snapToGrid w:val="0"/>
                <w:color w:val="auto"/>
                <w:kern w:val="0"/>
                <w:sz w:val="24"/>
                <w:szCs w:val="24"/>
                <w:lang w:val="en-US" w:eastAsia="zh-CN" w:bidi="ar-SA"/>
              </w:rPr>
              <w:t>章）。</w:t>
            </w:r>
          </w:p>
        </w:tc>
      </w:tr>
      <w:tr w14:paraId="72DAF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00AE882C">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上传投标文件</w:t>
            </w:r>
          </w:p>
        </w:tc>
        <w:tc>
          <w:tcPr>
            <w:tcW w:w="7957" w:type="dxa"/>
            <w:noWrap w:val="0"/>
            <w:vAlign w:val="center"/>
          </w:tcPr>
          <w:p w14:paraId="7057C8E7">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在上传投标文件时，将“报价一览表”上传至“报价文件”部分，将整份标响应文件（含封面及目录）上传至“商务及技术文件”部分。</w:t>
            </w:r>
          </w:p>
        </w:tc>
      </w:tr>
      <w:tr w14:paraId="2828A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071112C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snapToGrid w:val="0"/>
                <w:color w:val="auto"/>
                <w:kern w:val="0"/>
                <w:sz w:val="24"/>
                <w:szCs w:val="24"/>
                <w:lang w:val="en-US" w:eastAsia="zh-CN" w:bidi="ar-SA"/>
              </w:rPr>
            </w:pPr>
            <w:r>
              <w:rPr>
                <w:rFonts w:hint="eastAsia" w:ascii="宋体" w:hAnsi="宋体" w:cs="宋体"/>
                <w:color w:val="auto"/>
                <w:sz w:val="24"/>
                <w:szCs w:val="24"/>
                <w:lang w:eastAsia="zh-CN"/>
              </w:rPr>
              <w:t>评审</w:t>
            </w:r>
            <w:r>
              <w:rPr>
                <w:rFonts w:hint="eastAsia" w:ascii="宋体" w:hAnsi="宋体" w:eastAsia="宋体" w:cs="宋体"/>
                <w:color w:val="auto"/>
                <w:sz w:val="24"/>
                <w:szCs w:val="24"/>
              </w:rPr>
              <w:t>委员会的组建</w:t>
            </w:r>
          </w:p>
        </w:tc>
        <w:tc>
          <w:tcPr>
            <w:tcW w:w="7957" w:type="dxa"/>
            <w:noWrap w:val="0"/>
            <w:vAlign w:val="center"/>
          </w:tcPr>
          <w:p w14:paraId="30EB436B">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委员会由</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代表和有关技术、经济等方面的专家组成，成员人数应当为5人或以上单数。技术、经济等方面的专家不得少于成员总数的三分之二。</w:t>
            </w:r>
          </w:p>
          <w:p w14:paraId="79AAAA71">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专家确定方式：从</w:t>
            </w:r>
            <w:r>
              <w:rPr>
                <w:rFonts w:hint="eastAsia" w:ascii="宋体" w:hAnsi="宋体" w:eastAsia="宋体" w:cs="宋体"/>
                <w:color w:val="auto"/>
                <w:sz w:val="24"/>
                <w:szCs w:val="24"/>
                <w:lang w:eastAsia="zh-CN"/>
              </w:rPr>
              <w:t>“云南省政府采购</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专家</w:t>
            </w:r>
            <w:r>
              <w:rPr>
                <w:rFonts w:hint="eastAsia" w:ascii="宋体" w:hAnsi="宋体" w:cs="宋体"/>
                <w:color w:val="auto"/>
                <w:sz w:val="24"/>
                <w:szCs w:val="24"/>
                <w:lang w:eastAsia="zh-CN"/>
              </w:rPr>
              <w:t>库</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w:t>
            </w:r>
            <w:r>
              <w:rPr>
                <w:rFonts w:hint="eastAsia" w:ascii="宋体" w:hAnsi="宋体" w:eastAsia="宋体" w:cs="宋体"/>
                <w:color w:val="auto"/>
                <w:sz w:val="24"/>
                <w:szCs w:val="24"/>
                <w:lang w:val="en-US" w:eastAsia="zh-CN"/>
              </w:rPr>
              <w:t>随机</w:t>
            </w:r>
            <w:r>
              <w:rPr>
                <w:rFonts w:hint="eastAsia" w:ascii="宋体" w:hAnsi="宋体" w:cs="宋体"/>
                <w:color w:val="auto"/>
                <w:sz w:val="24"/>
                <w:szCs w:val="24"/>
                <w:lang w:val="en-US" w:eastAsia="zh-CN"/>
              </w:rPr>
              <w:t>抽取</w:t>
            </w:r>
            <w:r>
              <w:rPr>
                <w:rFonts w:hint="eastAsia" w:ascii="宋体" w:hAnsi="宋体" w:eastAsia="宋体" w:cs="宋体"/>
                <w:color w:val="auto"/>
                <w:sz w:val="24"/>
                <w:szCs w:val="24"/>
              </w:rPr>
              <w:t>。</w:t>
            </w:r>
          </w:p>
          <w:p w14:paraId="7CE56E36">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委员会应当推选组长，但</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人代表不得担任组长。</w:t>
            </w:r>
          </w:p>
        </w:tc>
      </w:tr>
      <w:tr w14:paraId="19F54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2FAE677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采购预算</w:t>
            </w:r>
          </w:p>
          <w:p w14:paraId="56C23A0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（最高限价）</w:t>
            </w:r>
          </w:p>
        </w:tc>
        <w:tc>
          <w:tcPr>
            <w:tcW w:w="7957" w:type="dxa"/>
            <w:noWrap w:val="0"/>
            <w:vAlign w:val="center"/>
          </w:tcPr>
          <w:p w14:paraId="6D94796F">
            <w:pPr>
              <w:keepNext w:val="0"/>
              <w:keepLines w:val="0"/>
              <w:pageBreakBefore w:val="0"/>
              <w:widowControl w:val="0"/>
              <w:kinsoku/>
              <w:wordWrap w:val="0"/>
              <w:overflowPunct/>
              <w:topLinePunct/>
              <w:autoSpaceDE/>
              <w:autoSpaceDN/>
              <w:bidi w:val="0"/>
              <w:adjustRightInd/>
              <w:snapToGrid/>
              <w:spacing w:line="360" w:lineRule="auto"/>
              <w:ind w:right="0" w:firstLine="241" w:firstLineChars="1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最高限价：</w:t>
            </w:r>
            <w:r>
              <w:rPr>
                <w:rFonts w:hint="eastAsia" w:ascii="宋体" w:hAnsi="宋体" w:cs="宋体"/>
                <w:b/>
                <w:bCs/>
                <w:color w:val="auto"/>
                <w:sz w:val="24"/>
                <w:szCs w:val="24"/>
                <w:lang w:val="en-US" w:eastAsia="zh-CN"/>
              </w:rPr>
              <w:t>118.00</w:t>
            </w:r>
            <w:r>
              <w:rPr>
                <w:rFonts w:hint="eastAsia" w:ascii="宋体" w:hAnsi="宋体" w:eastAsia="宋体" w:cs="宋体"/>
                <w:b/>
                <w:bCs/>
                <w:color w:val="auto"/>
                <w:sz w:val="24"/>
                <w:szCs w:val="24"/>
                <w:lang w:val="en-US" w:eastAsia="zh-CN"/>
              </w:rPr>
              <w:t>万元。</w:t>
            </w:r>
          </w:p>
          <w:p w14:paraId="569E7B35">
            <w:pPr>
              <w:keepNext w:val="0"/>
              <w:keepLines w:val="0"/>
              <w:pageBreakBefore w:val="0"/>
              <w:widowControl w:val="0"/>
              <w:kinsoku/>
              <w:wordWrap w:val="0"/>
              <w:overflowPunct/>
              <w:topLinePunct/>
              <w:autoSpaceDE/>
              <w:autoSpaceDN/>
              <w:bidi w:val="0"/>
              <w:adjustRightInd/>
              <w:snapToGrid/>
              <w:spacing w:line="360" w:lineRule="auto"/>
              <w:ind w:right="0" w:firstLine="241" w:firstLineChars="100"/>
              <w:textAlignment w:val="auto"/>
              <w:rPr>
                <w:rFonts w:hint="eastAsia" w:ascii="宋体" w:hAnsi="宋体" w:eastAsia="宋体" w:cs="宋体"/>
                <w:b/>
                <w:color w:val="auto"/>
                <w:sz w:val="24"/>
                <w:szCs w:val="24"/>
                <w:lang w:val="en-US" w:eastAsia="zh-CN" w:bidi="ar-SA"/>
              </w:rPr>
            </w:pPr>
            <w:r>
              <w:rPr>
                <w:rFonts w:hint="eastAsia" w:ascii="宋体" w:hAnsi="宋体" w:eastAsia="宋体" w:cs="宋体"/>
                <w:b/>
                <w:bCs/>
                <w:color w:val="auto"/>
                <w:sz w:val="24"/>
                <w:szCs w:val="24"/>
                <w:lang w:val="en-US" w:eastAsia="zh-CN"/>
              </w:rPr>
              <w:t>投标报价超过最高限价的将按无效投标处理。</w:t>
            </w:r>
          </w:p>
        </w:tc>
      </w:tr>
      <w:tr w14:paraId="3A903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1B8F8A75">
            <w:pPr>
              <w:keepNext w:val="0"/>
              <w:keepLines w:val="0"/>
              <w:pageBreakBefore w:val="0"/>
              <w:widowControl w:val="0"/>
              <w:shd w:val="clear" w:color="auto" w:fill="FFFFFF"/>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追加合同金额</w:t>
            </w:r>
          </w:p>
        </w:tc>
        <w:tc>
          <w:tcPr>
            <w:tcW w:w="7957" w:type="dxa"/>
            <w:noWrap w:val="0"/>
            <w:vAlign w:val="center"/>
          </w:tcPr>
          <w:p w14:paraId="68294408">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color w:val="auto"/>
                <w:sz w:val="24"/>
                <w:szCs w:val="24"/>
                <w:highlight w:val="none"/>
                <w:shd w:val="clear" w:color="auto" w:fill="FFFFFF"/>
              </w:rPr>
              <w:t>政府采购合同履行中，采购人需追加与合同标的相同的货物、工程或者服务的，在不改变合同其他条款的前提下，可以与中标人协商签订补充合同，但所有补充合同的采购金额不得超过原合同采购金额的</w:t>
            </w:r>
            <w:r>
              <w:rPr>
                <w:rFonts w:hint="eastAsia" w:ascii="宋体" w:hAnsi="宋体" w:eastAsia="宋体" w:cs="宋体"/>
                <w:color w:val="auto"/>
                <w:sz w:val="24"/>
                <w:szCs w:val="24"/>
                <w:highlight w:val="none"/>
                <w:shd w:val="clear" w:color="auto" w:fill="FFFFFF"/>
                <w:lang w:eastAsia="zh-CN"/>
              </w:rPr>
              <w:t>10%</w:t>
            </w:r>
            <w:r>
              <w:rPr>
                <w:rFonts w:hint="eastAsia" w:ascii="宋体" w:hAnsi="宋体" w:eastAsia="宋体" w:cs="宋体"/>
                <w:color w:val="auto"/>
                <w:sz w:val="24"/>
                <w:szCs w:val="24"/>
                <w:highlight w:val="none"/>
                <w:shd w:val="clear" w:color="auto" w:fill="FFFFFF"/>
              </w:rPr>
              <w:t>。</w:t>
            </w:r>
          </w:p>
        </w:tc>
      </w:tr>
      <w:tr w14:paraId="6B63A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12ED120C">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rPr>
              <w:t>投标报价</w:t>
            </w:r>
          </w:p>
        </w:tc>
        <w:tc>
          <w:tcPr>
            <w:tcW w:w="7957" w:type="dxa"/>
            <w:noWrap w:val="0"/>
            <w:vAlign w:val="center"/>
          </w:tcPr>
          <w:p w14:paraId="722AE71F">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投标报价的特殊规定：</w:t>
            </w:r>
          </w:p>
          <w:p w14:paraId="22ADFFA8">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w:t>
            </w:r>
          </w:p>
          <w:p w14:paraId="59B3ACC0">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有</w:t>
            </w:r>
          </w:p>
          <w:p w14:paraId="263A7D3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具体情形：</w:t>
            </w:r>
            <w:r>
              <w:rPr>
                <w:rFonts w:hint="eastAsia" w:ascii="宋体" w:hAnsi="宋体" w:eastAsia="宋体" w:cs="宋体"/>
                <w:color w:val="auto"/>
                <w:sz w:val="24"/>
                <w:szCs w:val="24"/>
                <w:highlight w:val="none"/>
                <w:lang w:val="zh-CN"/>
              </w:rPr>
              <w:t xml:space="preserve">项目为交钥匙项目。人民币完税报价。 </w:t>
            </w:r>
          </w:p>
          <w:p w14:paraId="3254C562">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包括但不仅限于货物的出厂价、随机备品备件、运杂费、</w:t>
            </w:r>
            <w:r>
              <w:rPr>
                <w:rFonts w:hint="eastAsia" w:ascii="宋体" w:hAnsi="宋体" w:eastAsia="宋体" w:cs="宋体"/>
                <w:color w:val="auto"/>
                <w:sz w:val="24"/>
                <w:szCs w:val="24"/>
                <w:highlight w:val="none"/>
                <w:lang w:val="zh-CN" w:eastAsia="zh-CN"/>
              </w:rPr>
              <w:t>采购代理服务费用</w:t>
            </w:r>
            <w:r>
              <w:rPr>
                <w:rFonts w:hint="eastAsia" w:ascii="宋体" w:hAnsi="宋体" w:cs="宋体"/>
                <w:color w:val="auto"/>
                <w:sz w:val="24"/>
                <w:szCs w:val="24"/>
                <w:highlight w:val="none"/>
                <w:lang w:val="zh-CN" w:eastAsia="zh-CN"/>
              </w:rPr>
              <w:t>、</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技术服务费、保证期内缺陷的修复补救费用、市场价格变化的风险费用、利润、税金等响应招标文件所有技术、商务要求的价格总和，该报价应考虑市场风险、政策性风险、汇率风险等因素，并能保证</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完成履行合同所需的全部工作，此价格在合同签订后不得调整。</w:t>
            </w:r>
          </w:p>
          <w:p w14:paraId="16A343D8">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color w:val="auto"/>
                <w:sz w:val="24"/>
                <w:szCs w:val="24"/>
                <w:highlight w:val="none"/>
                <w:lang w:val="zh-CN"/>
              </w:rPr>
              <w:t>凡</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在报价中未列的项目或遗漏项目，采购人将一律视为已包括在其报价中，在合同执行中将不予考虑。</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应根据现场实际情况进行复核，如需调整视为</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风险自担，采购人将不在采购报价外追加费用。</w:t>
            </w:r>
          </w:p>
        </w:tc>
      </w:tr>
      <w:tr w14:paraId="7DA4F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4" w:hRule="atLeast"/>
          <w:jc w:val="center"/>
        </w:trPr>
        <w:tc>
          <w:tcPr>
            <w:tcW w:w="2271" w:type="dxa"/>
            <w:noWrap w:val="0"/>
            <w:vAlign w:val="center"/>
          </w:tcPr>
          <w:p w14:paraId="26426E7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保证金</w:t>
            </w:r>
          </w:p>
        </w:tc>
        <w:tc>
          <w:tcPr>
            <w:tcW w:w="7957" w:type="dxa"/>
            <w:noWrap w:val="0"/>
            <w:vAlign w:val="center"/>
          </w:tcPr>
          <w:p w14:paraId="32AC750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□不要求递交投标保证金</w:t>
            </w:r>
          </w:p>
          <w:p w14:paraId="7133F86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highlight w:val="none"/>
              </w:rPr>
              <w:t>■</w:t>
            </w:r>
            <w:r>
              <w:rPr>
                <w:rFonts w:hint="eastAsia" w:ascii="宋体" w:hAnsi="宋体" w:eastAsia="宋体" w:cs="宋体"/>
                <w:color w:val="auto"/>
                <w:sz w:val="24"/>
                <w:szCs w:val="24"/>
                <w:lang w:eastAsia="zh-CN"/>
              </w:rPr>
              <w:t>要求递交投标保证金</w:t>
            </w:r>
          </w:p>
          <w:p w14:paraId="22AFA930">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投标保证金的缴纳时间以实际到账的时间为准，未按时到账的投标保证金无效。投标保证金的交付人和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的名称必须一致，否则其投标文件将被否决。</w:t>
            </w:r>
          </w:p>
          <w:p w14:paraId="7EBB0F4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投标保证金的缴纳方式：支票、汇票、本票、保函、网银、转账、电汇等非现金形式，</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可根据实际情况，选择保证金的缴纳方式。</w:t>
            </w:r>
          </w:p>
          <w:p w14:paraId="225CB3D2">
            <w:pPr>
              <w:keepNext w:val="0"/>
              <w:keepLines w:val="0"/>
              <w:pageBreakBefore w:val="0"/>
              <w:widowControl w:val="0"/>
              <w:kinsoku/>
              <w:wordWrap w:val="0"/>
              <w:overflowPunct/>
              <w:topLinePunct/>
              <w:autoSpaceDE/>
              <w:autoSpaceDN/>
              <w:bidi w:val="0"/>
              <w:adjustRightInd/>
              <w:snapToGrid/>
              <w:spacing w:line="360" w:lineRule="auto"/>
              <w:ind w:right="0" w:rightChars="0" w:firstLine="241" w:firstLineChars="100"/>
              <w:jc w:val="left"/>
              <w:textAlignment w:val="auto"/>
              <w:rPr>
                <w:rFonts w:hint="eastAsia" w:ascii="宋体" w:hAnsi="宋体" w:eastAsia="宋体" w:cs="宋体"/>
                <w:b w:val="0"/>
                <w:color w:val="auto"/>
                <w:sz w:val="24"/>
                <w:szCs w:val="24"/>
                <w:lang w:val="en-US" w:eastAsia="zh-CN"/>
              </w:rPr>
            </w:pPr>
            <w:r>
              <w:rPr>
                <w:rFonts w:hint="eastAsia" w:ascii="宋体" w:hAnsi="宋体" w:eastAsia="宋体" w:cs="宋体"/>
                <w:b/>
                <w:bCs/>
                <w:color w:val="auto"/>
                <w:sz w:val="24"/>
                <w:szCs w:val="24"/>
                <w:lang w:val="en-US" w:eastAsia="zh-CN"/>
              </w:rPr>
              <w:t>投标保证金金额：</w:t>
            </w:r>
            <w:r>
              <w:rPr>
                <w:rFonts w:hint="eastAsia" w:ascii="宋体" w:hAnsi="宋体" w:eastAsia="宋体" w:cs="宋体"/>
                <w:b w:val="0"/>
                <w:color w:val="auto"/>
                <w:sz w:val="24"/>
                <w:szCs w:val="24"/>
                <w:lang w:val="en-US" w:eastAsia="zh-CN"/>
              </w:rPr>
              <w:t>根据《云南省发展和改革委员会等部门关于鼓励减免政府投资项目投标保证金的通知》（云发改交易管理〔2023〕397号）文件精神，自2023年5月1日起，政府投资项目进行招标投标活动时，减免投标保证金，降幅不得低于现收取数额的50%，采购人、招标代理机构应当在招标文件中明确减免投标保证金的情况。本项目所有标段投标保证金均按标准下浮50%收取。</w:t>
            </w:r>
          </w:p>
          <w:p w14:paraId="3442ABBB">
            <w:pPr>
              <w:keepNext w:val="0"/>
              <w:keepLines w:val="0"/>
              <w:pageBreakBefore w:val="0"/>
              <w:widowControl w:val="0"/>
              <w:kinsoku/>
              <w:wordWrap w:val="0"/>
              <w:overflowPunct/>
              <w:topLinePunct/>
              <w:autoSpaceDE/>
              <w:autoSpaceDN/>
              <w:bidi w:val="0"/>
              <w:adjustRightInd/>
              <w:snapToGrid/>
              <w:spacing w:line="360" w:lineRule="auto"/>
              <w:ind w:firstLine="964" w:firstLineChars="4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投标保证金金额：</w:t>
            </w:r>
            <w:r>
              <w:rPr>
                <w:rFonts w:hint="eastAsia" w:ascii="宋体" w:hAnsi="宋体" w:cs="宋体"/>
                <w:b/>
                <w:bCs/>
                <w:color w:val="auto"/>
                <w:sz w:val="24"/>
                <w:szCs w:val="24"/>
                <w:lang w:val="en-US" w:eastAsia="zh-CN"/>
              </w:rPr>
              <w:t>11800.00元</w:t>
            </w:r>
            <w:r>
              <w:rPr>
                <w:rFonts w:hint="eastAsia" w:ascii="宋体" w:hAnsi="宋体" w:eastAsia="宋体" w:cs="宋体"/>
                <w:b/>
                <w:bCs/>
                <w:color w:val="auto"/>
                <w:sz w:val="24"/>
                <w:szCs w:val="24"/>
                <w:lang w:val="en-US" w:eastAsia="zh-CN"/>
              </w:rPr>
              <w:t>。</w:t>
            </w:r>
          </w:p>
          <w:p w14:paraId="7D36E341">
            <w:pPr>
              <w:keepNext w:val="0"/>
              <w:keepLines w:val="0"/>
              <w:pageBreakBefore w:val="0"/>
              <w:widowControl w:val="0"/>
              <w:kinsoku/>
              <w:wordWrap w:val="0"/>
              <w:overflowPunct/>
              <w:topLinePunct/>
              <w:autoSpaceDE/>
              <w:autoSpaceDN/>
              <w:bidi w:val="0"/>
              <w:adjustRightInd/>
              <w:snapToGrid/>
              <w:spacing w:line="360" w:lineRule="auto"/>
              <w:ind w:right="0" w:rightChars="0" w:firstLine="241"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（一）投标保证金采用银行转账方式的：</w:t>
            </w:r>
            <w:r>
              <w:rPr>
                <w:rFonts w:hint="eastAsia" w:ascii="宋体" w:hAnsi="宋体" w:eastAsia="宋体" w:cs="宋体"/>
                <w:color w:val="auto"/>
                <w:kern w:val="0"/>
                <w:sz w:val="24"/>
                <w:szCs w:val="24"/>
                <w:lang w:val="en-US" w:eastAsia="zh-CN" w:bidi="ar"/>
              </w:rPr>
              <w:t>应以</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名义提交且必须从</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基本账户转出，不得以分支机构及其他名义提交。</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应在投标截止时间前递交保证金并注明项目名称或项目编号等信息，到账时间以实际到达已公布的项目银行账号时间为准，未在投标截止时间前到账的保证金视为未提交。</w:t>
            </w:r>
          </w:p>
          <w:p w14:paraId="7916AEDC">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收款单位：楚雄腾凯工程项目管理有限公司</w:t>
            </w:r>
          </w:p>
          <w:p w14:paraId="4BA3833E">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 xml:space="preserve">开户银行：云南南华农村商业银行股份有限公司       </w:t>
            </w:r>
          </w:p>
          <w:p w14:paraId="21AD49AF">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账    号：3100017678054012</w:t>
            </w:r>
          </w:p>
          <w:p w14:paraId="57CCA6A7">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开户行号：402738400016</w:t>
            </w:r>
          </w:p>
          <w:p w14:paraId="76C1F321">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联 系 人：袁海</w:t>
            </w:r>
          </w:p>
          <w:p w14:paraId="67C07D48">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联系电话：13638701730</w:t>
            </w:r>
          </w:p>
          <w:p w14:paraId="35BF9F29">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1"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（二）投标保证金采用银行保函方式的：</w:t>
            </w:r>
            <w:r>
              <w:rPr>
                <w:rFonts w:hint="eastAsia" w:ascii="宋体" w:hAnsi="宋体" w:eastAsia="宋体" w:cs="宋体"/>
                <w:color w:val="auto"/>
                <w:kern w:val="0"/>
                <w:sz w:val="24"/>
                <w:szCs w:val="24"/>
                <w:lang w:val="en-US" w:eastAsia="zh-CN" w:bidi="ar"/>
              </w:rPr>
              <w:t>保函</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应是</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，受益人应是采购人，保证人应是</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基本账号的开户银行。银行保函应正确填写受益人和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的全称，并与招标文件规定的项目名称相一致，以免造成投标无效。当</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违反政府采购法律法规规章等规定且符合保证金不予退回情形的，由银行按照银行保函合同对采购人代偿投标保证金额。</w:t>
            </w:r>
          </w:p>
          <w:p w14:paraId="066248F4">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1"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b/>
                <w:bCs/>
                <w:color w:val="auto"/>
                <w:kern w:val="0"/>
                <w:sz w:val="24"/>
                <w:szCs w:val="24"/>
                <w:lang w:val="en-US" w:eastAsia="zh-CN" w:bidi="ar"/>
              </w:rPr>
              <w:t>（三）投标保证金采用电子保险保函方式的：</w:t>
            </w:r>
            <w:r>
              <w:rPr>
                <w:rFonts w:hint="eastAsia" w:ascii="宋体" w:hAnsi="宋体" w:eastAsia="宋体" w:cs="宋体"/>
                <w:color w:val="auto"/>
                <w:kern w:val="0"/>
                <w:sz w:val="24"/>
                <w:szCs w:val="24"/>
                <w:lang w:val="en-US" w:eastAsia="zh-CN" w:bidi="ar"/>
              </w:rPr>
              <w:t>在投标保证保险中，</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为投保人，采购人为被保险人。当</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违反法律法规且符合投标保证金不予退回情形的，由保险公司按照保险合同对采购人代偿投标保证金金额</w:t>
            </w:r>
            <w:r>
              <w:rPr>
                <w:rFonts w:hint="eastAsia" w:ascii="宋体" w:hAnsi="宋体" w:eastAsia="宋体" w:cs="宋体"/>
                <w:color w:val="auto"/>
                <w:sz w:val="24"/>
                <w:szCs w:val="24"/>
                <w:lang w:eastAsia="zh-CN"/>
              </w:rPr>
              <w:t>。</w:t>
            </w:r>
          </w:p>
        </w:tc>
      </w:tr>
      <w:tr w14:paraId="14F85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32E05BB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投标保证退还方式</w:t>
            </w:r>
          </w:p>
        </w:tc>
        <w:tc>
          <w:tcPr>
            <w:tcW w:w="7957" w:type="dxa"/>
            <w:noWrap w:val="0"/>
            <w:vAlign w:val="center"/>
          </w:tcPr>
          <w:p w14:paraId="23904279">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投标保证退还方式：</w:t>
            </w:r>
          </w:p>
          <w:p w14:paraId="4F36728A">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以电汇、网银、转账方式缴纳的保证金，以网银对公转账的方式退还到</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打款账户；</w:t>
            </w:r>
          </w:p>
          <w:p w14:paraId="41C22EED">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以支票、汇票及本票等票据方式缴纳的保证金，经财务查账确认后以网银对公转账的方式退还到</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开户账户；</w:t>
            </w:r>
          </w:p>
          <w:p w14:paraId="24128E16">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以银行保函或者保证保险方式缴纳的保证金由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自行联系出函机构进行退还。</w:t>
            </w:r>
          </w:p>
          <w:p w14:paraId="768D9A9D">
            <w:pPr>
              <w:keepNext w:val="0"/>
              <w:keepLines w:val="0"/>
              <w:pageBreakBefore w:val="0"/>
              <w:widowControl w:val="0"/>
              <w:kinsoku/>
              <w:wordWrap w:val="0"/>
              <w:overflowPunct/>
              <w:topLinePunct/>
              <w:autoSpaceDE/>
              <w:autoSpaceDN/>
              <w:bidi w:val="0"/>
              <w:adjustRightInd/>
              <w:snapToGrid/>
              <w:spacing w:line="360" w:lineRule="auto"/>
              <w:ind w:right="0" w:rightChars="0" w:firstLine="241" w:firstLineChars="1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其他可以不予退还投标保证金的情形：</w:t>
            </w:r>
          </w:p>
          <w:p w14:paraId="151DF32B">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1、如中标人不按照招标文件规定交纳代理服务费，其投标保证金将不予退还；</w:t>
            </w:r>
          </w:p>
          <w:p w14:paraId="2C551D9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eastAsia="zh-CN"/>
              </w:rPr>
              <w:t>围标串标和弄虚作假的。</w:t>
            </w:r>
          </w:p>
          <w:p w14:paraId="5F5FA5E5">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val="en-US" w:eastAsia="zh-CN"/>
              </w:rPr>
              <w:t>存在违法违规行为的；</w:t>
            </w:r>
          </w:p>
          <w:p w14:paraId="46D9066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val="en-US" w:eastAsia="zh-CN"/>
              </w:rPr>
              <w:t>在投标文件中提供虚假材料的；</w:t>
            </w:r>
          </w:p>
          <w:p w14:paraId="63BECF8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5、中标人将中标项目转让给他人，或者在投标文件中未说明，且未经采购人同意，将中标项目分包给他人的；</w:t>
            </w:r>
          </w:p>
          <w:p w14:paraId="3A12BD3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6、中标人中标后除因不可抗力拒绝与</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签订合同的；</w:t>
            </w:r>
          </w:p>
          <w:p w14:paraId="52163530">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7、招标文件规定的其他情形的。</w:t>
            </w:r>
          </w:p>
        </w:tc>
      </w:tr>
      <w:tr w14:paraId="1E18C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04B63570">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rPr>
              <w:t>投标有效期</w:t>
            </w:r>
          </w:p>
        </w:tc>
        <w:tc>
          <w:tcPr>
            <w:tcW w:w="7957" w:type="dxa"/>
            <w:noWrap w:val="0"/>
            <w:vAlign w:val="center"/>
          </w:tcPr>
          <w:p w14:paraId="3DDFCB5F">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rPr>
              <w:t>自提交投标文件的截止之日起算</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日历天。投标文件未明确投标有效期或者少于前述规定天数的，其投标文件按无效处理。</w:t>
            </w:r>
          </w:p>
        </w:tc>
      </w:tr>
      <w:tr w14:paraId="7173F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303BF9D4">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提交投标文件截止时间</w:t>
            </w:r>
          </w:p>
        </w:tc>
        <w:tc>
          <w:tcPr>
            <w:tcW w:w="7957" w:type="dxa"/>
            <w:noWrap w:val="0"/>
            <w:vAlign w:val="center"/>
          </w:tcPr>
          <w:p w14:paraId="6AD733C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详见招标公告</w:t>
            </w:r>
          </w:p>
        </w:tc>
      </w:tr>
      <w:tr w14:paraId="1A762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72C3EAD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递交投标文件地点</w:t>
            </w:r>
          </w:p>
        </w:tc>
        <w:tc>
          <w:tcPr>
            <w:tcW w:w="7957" w:type="dxa"/>
            <w:noWrap w:val="0"/>
            <w:vAlign w:val="center"/>
          </w:tcPr>
          <w:p w14:paraId="2BF7D102">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详见招标公告</w:t>
            </w:r>
          </w:p>
        </w:tc>
      </w:tr>
      <w:tr w14:paraId="76F05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1128942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投标文件是否退还</w:t>
            </w:r>
          </w:p>
        </w:tc>
        <w:tc>
          <w:tcPr>
            <w:tcW w:w="7957" w:type="dxa"/>
            <w:noWrap w:val="0"/>
            <w:vAlign w:val="center"/>
          </w:tcPr>
          <w:p w14:paraId="3976EAD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highlight w:val="none"/>
              </w:rPr>
              <w:t>■</w:t>
            </w:r>
            <w:r>
              <w:rPr>
                <w:rFonts w:hint="eastAsia" w:ascii="宋体" w:hAnsi="宋体" w:eastAsia="宋体" w:cs="宋体"/>
                <w:color w:val="auto"/>
                <w:sz w:val="24"/>
                <w:szCs w:val="24"/>
                <w:lang w:eastAsia="zh-CN"/>
              </w:rPr>
              <w:t>否</w:t>
            </w:r>
          </w:p>
          <w:p w14:paraId="2039509F">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□是，退还时间：</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val="en-US" w:eastAsia="zh-CN"/>
              </w:rPr>
              <w:t xml:space="preserve"> </w:t>
            </w:r>
          </w:p>
        </w:tc>
      </w:tr>
      <w:tr w14:paraId="2C007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6D2D325A">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rPr>
              <w:t>确定中标人</w:t>
            </w:r>
          </w:p>
        </w:tc>
        <w:tc>
          <w:tcPr>
            <w:tcW w:w="7957" w:type="dxa"/>
            <w:noWrap w:val="0"/>
            <w:vAlign w:val="center"/>
          </w:tcPr>
          <w:p w14:paraId="1C837FA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中标候选人并列的，按照以下方式确定中标人： </w:t>
            </w:r>
          </w:p>
          <w:p w14:paraId="3CD1FA2F">
            <w:pPr>
              <w:keepNext w:val="0"/>
              <w:keepLines w:val="0"/>
              <w:pageBreakBefore w:val="0"/>
              <w:widowControl w:val="0"/>
              <w:kinsoku/>
              <w:wordWrap w:val="0"/>
              <w:overflowPunct/>
              <w:topLinePunct/>
              <w:autoSpaceDE/>
              <w:autoSpaceDN/>
              <w:bidi w:val="0"/>
              <w:adjustRightInd/>
              <w:snapToGrid/>
              <w:spacing w:line="360" w:lineRule="auto"/>
              <w:ind w:right="0" w:rightChars="0"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采用最低</w:t>
            </w:r>
            <w:r>
              <w:rPr>
                <w:rFonts w:hint="eastAsia" w:ascii="宋体" w:hAnsi="宋体" w:cs="宋体"/>
                <w:b/>
                <w:bCs/>
                <w:color w:val="auto"/>
                <w:sz w:val="24"/>
                <w:szCs w:val="24"/>
                <w:highlight w:val="none"/>
                <w:lang w:eastAsia="zh-CN"/>
              </w:rPr>
              <w:t>评审</w:t>
            </w:r>
            <w:r>
              <w:rPr>
                <w:rFonts w:hint="eastAsia" w:ascii="宋体" w:hAnsi="宋体" w:eastAsia="宋体" w:cs="宋体"/>
                <w:b/>
                <w:bCs/>
                <w:color w:val="auto"/>
                <w:sz w:val="24"/>
                <w:szCs w:val="24"/>
                <w:highlight w:val="none"/>
              </w:rPr>
              <w:t>价法的</w:t>
            </w:r>
            <w:r>
              <w:rPr>
                <w:rFonts w:hint="eastAsia" w:ascii="宋体" w:hAnsi="宋体" w:cs="宋体"/>
                <w:b/>
                <w:bCs/>
                <w:color w:val="auto"/>
                <w:sz w:val="24"/>
                <w:szCs w:val="24"/>
                <w:highlight w:val="none"/>
                <w:lang w:eastAsia="zh-CN"/>
              </w:rPr>
              <w:t>：</w:t>
            </w:r>
            <w:r>
              <w:rPr>
                <w:rFonts w:hint="eastAsia" w:ascii="宋体" w:hAnsi="宋体" w:cs="宋体"/>
                <w:color w:val="auto"/>
                <w:sz w:val="24"/>
                <w:szCs w:val="24"/>
                <w:highlight w:val="none"/>
                <w:lang w:eastAsia="zh-CN"/>
              </w:rPr>
              <w:t>评审</w:t>
            </w:r>
            <w:r>
              <w:rPr>
                <w:rFonts w:hint="eastAsia" w:ascii="宋体" w:hAnsi="宋体" w:eastAsia="宋体" w:cs="宋体"/>
                <w:color w:val="auto"/>
                <w:sz w:val="24"/>
                <w:szCs w:val="24"/>
                <w:highlight w:val="none"/>
              </w:rPr>
              <w:t>结果按投标报价由低到高顺序排列。投标报价相同的并列，投标文件满足招标文件全部实质性要求且投标报价最低的投标人为排名第一的中标候选人。</w:t>
            </w:r>
          </w:p>
          <w:p w14:paraId="6BDCAA23">
            <w:pPr>
              <w:keepNext w:val="0"/>
              <w:keepLines w:val="0"/>
              <w:pageBreakBefore w:val="0"/>
              <w:widowControl w:val="0"/>
              <w:kinsoku/>
              <w:wordWrap w:val="0"/>
              <w:overflowPunct/>
              <w:topLinePunct/>
              <w:autoSpaceDE/>
              <w:autoSpaceDN/>
              <w:bidi w:val="0"/>
              <w:adjustRightInd/>
              <w:snapToGrid/>
              <w:spacing w:line="360" w:lineRule="auto"/>
              <w:ind w:right="0" w:rightChars="0" w:firstLine="482" w:firstLineChars="200"/>
              <w:jc w:val="left"/>
              <w:textAlignment w:val="auto"/>
              <w:rPr>
                <w:rFonts w:hint="eastAsia" w:ascii="宋体" w:hAnsi="宋体" w:eastAsia="宋体" w:cs="宋体"/>
                <w:snapToGrid w:val="0"/>
                <w:color w:val="auto"/>
                <w:kern w:val="2"/>
                <w:sz w:val="24"/>
                <w:szCs w:val="24"/>
                <w:highlight w:val="none"/>
                <w:u w:val="single"/>
                <w:lang w:val="en-US" w:eastAsia="zh-CN" w:bidi="ar-SA"/>
              </w:rPr>
            </w:pPr>
            <w:r>
              <w:rPr>
                <w:rFonts w:hint="eastAsia" w:ascii="宋体" w:hAnsi="宋体" w:eastAsia="宋体" w:cs="宋体"/>
                <w:b/>
                <w:bCs/>
                <w:color w:val="auto"/>
                <w:sz w:val="24"/>
                <w:szCs w:val="24"/>
                <w:highlight w:val="none"/>
              </w:rPr>
              <w:t>采用综合评分法的</w:t>
            </w:r>
            <w:r>
              <w:rPr>
                <w:rFonts w:hint="eastAsia" w:ascii="宋体" w:hAnsi="宋体" w:cs="宋体"/>
                <w:b/>
                <w:bCs/>
                <w:color w:val="auto"/>
                <w:sz w:val="24"/>
                <w:szCs w:val="24"/>
                <w:highlight w:val="none"/>
                <w:lang w:eastAsia="zh-CN"/>
              </w:rPr>
              <w:t>：</w:t>
            </w:r>
            <w:r>
              <w:rPr>
                <w:rFonts w:hint="eastAsia" w:ascii="宋体" w:hAnsi="宋体" w:cs="宋体"/>
                <w:color w:val="auto"/>
                <w:sz w:val="24"/>
                <w:szCs w:val="24"/>
                <w:highlight w:val="none"/>
                <w:lang w:eastAsia="zh-CN"/>
              </w:rPr>
              <w:t>评审</w:t>
            </w:r>
            <w:r>
              <w:rPr>
                <w:rFonts w:hint="eastAsia" w:ascii="宋体" w:hAnsi="宋体" w:eastAsia="宋体" w:cs="宋体"/>
                <w:color w:val="auto"/>
                <w:sz w:val="24"/>
                <w:szCs w:val="24"/>
                <w:highlight w:val="none"/>
              </w:rPr>
              <w:t>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tc>
      </w:tr>
      <w:tr w14:paraId="63EA0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6239C74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color w:val="auto"/>
                <w:sz w:val="24"/>
                <w:szCs w:val="24"/>
              </w:rPr>
              <w:t>结果确认</w:t>
            </w:r>
          </w:p>
        </w:tc>
        <w:tc>
          <w:tcPr>
            <w:tcW w:w="7957" w:type="dxa"/>
            <w:noWrap w:val="0"/>
            <w:vAlign w:val="center"/>
          </w:tcPr>
          <w:p w14:paraId="43176033">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rPr>
              <w:t>招标代理机构在评审结束后2个工作日内将</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报告送达</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应当自收到</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报告之日起5个工作日内，在</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报告确定的中标候选人名单中按顺序确定中标人。如</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5个工作日内未按</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报告推荐的中标候选人顺序确定中标人，又不能说明合法理由的，视同按</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报告推荐的顺序确定排名第一的中标候选人为中标人。</w:t>
            </w:r>
          </w:p>
        </w:tc>
      </w:tr>
      <w:tr w14:paraId="3EB19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29CA8B2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履约担保</w:t>
            </w:r>
          </w:p>
        </w:tc>
        <w:tc>
          <w:tcPr>
            <w:tcW w:w="7957" w:type="dxa"/>
            <w:noWrap w:val="0"/>
            <w:vAlign w:val="center"/>
          </w:tcPr>
          <w:p w14:paraId="37F10F2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是否要求中标人提交履约保证金：</w:t>
            </w:r>
          </w:p>
          <w:p w14:paraId="3DF44782">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□要求</w:t>
            </w:r>
          </w:p>
          <w:p w14:paraId="14FABD3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（1）履约保证金总金额：合同金额的</w:t>
            </w:r>
            <w:r>
              <w:rPr>
                <w:rFonts w:hint="eastAsia" w:ascii="宋体" w:hAnsi="宋体" w:eastAsia="宋体" w:cs="宋体"/>
                <w:color w:val="auto"/>
                <w:sz w:val="24"/>
                <w:szCs w:val="24"/>
                <w:u w:val="single"/>
                <w:lang w:eastAsia="zh-CN"/>
              </w:rPr>
              <w:t>10</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p>
          <w:p w14:paraId="71932506">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（2）向采购人指定的银行账户通过转账、支票、汇票、本票或者金融机构、担保机构出具的</w:t>
            </w:r>
            <w:r>
              <w:rPr>
                <w:rFonts w:hint="eastAsia" w:ascii="宋体" w:hAnsi="宋体" w:eastAsia="宋体" w:cs="宋体"/>
                <w:color w:val="auto"/>
                <w:sz w:val="24"/>
                <w:szCs w:val="24"/>
                <w:lang w:val="en-US" w:eastAsia="zh-CN"/>
              </w:rPr>
              <w:t>保险</w:t>
            </w:r>
            <w:r>
              <w:rPr>
                <w:rFonts w:hint="eastAsia" w:ascii="宋体" w:hAnsi="宋体" w:eastAsia="宋体" w:cs="宋体"/>
                <w:color w:val="auto"/>
                <w:sz w:val="24"/>
                <w:szCs w:val="24"/>
                <w:lang w:eastAsia="zh-CN"/>
              </w:rPr>
              <w:t>保函（</w:t>
            </w:r>
            <w:r>
              <w:rPr>
                <w:rFonts w:hint="eastAsia" w:ascii="宋体" w:hAnsi="宋体" w:eastAsia="宋体" w:cs="宋体"/>
                <w:color w:val="auto"/>
                <w:sz w:val="24"/>
                <w:szCs w:val="24"/>
                <w:lang w:val="en-US" w:eastAsia="zh-CN"/>
              </w:rPr>
              <w:t>受益人为采购人</w:t>
            </w:r>
            <w:r>
              <w:rPr>
                <w:rFonts w:hint="eastAsia" w:ascii="宋体" w:hAnsi="宋体" w:eastAsia="宋体" w:cs="宋体"/>
                <w:color w:val="auto"/>
                <w:sz w:val="24"/>
                <w:szCs w:val="24"/>
                <w:lang w:eastAsia="zh-CN"/>
              </w:rPr>
              <w:t>）等</w:t>
            </w:r>
            <w:r>
              <w:rPr>
                <w:rFonts w:hint="eastAsia" w:ascii="宋体" w:hAnsi="宋体" w:eastAsia="宋体" w:cs="宋体"/>
                <w:color w:val="auto"/>
                <w:sz w:val="24"/>
                <w:szCs w:val="24"/>
                <w:lang w:val="en-US" w:eastAsia="zh-CN"/>
              </w:rPr>
              <w:t>非现金</w:t>
            </w:r>
            <w:r>
              <w:rPr>
                <w:rFonts w:hint="eastAsia" w:ascii="宋体" w:hAnsi="宋体" w:eastAsia="宋体" w:cs="宋体"/>
                <w:color w:val="auto"/>
                <w:sz w:val="24"/>
                <w:szCs w:val="24"/>
                <w:lang w:eastAsia="zh-CN"/>
              </w:rPr>
              <w:t>形式缴纳履约保证金。</w:t>
            </w:r>
          </w:p>
          <w:p w14:paraId="0F78B4D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highlight w:val="none"/>
              </w:rPr>
              <w:t>■</w:t>
            </w:r>
            <w:r>
              <w:rPr>
                <w:rFonts w:hint="eastAsia" w:ascii="宋体" w:hAnsi="宋体" w:eastAsia="宋体" w:cs="宋体"/>
                <w:color w:val="auto"/>
                <w:sz w:val="24"/>
                <w:szCs w:val="24"/>
                <w:lang w:eastAsia="zh-CN"/>
              </w:rPr>
              <w:t>不要求</w:t>
            </w:r>
          </w:p>
        </w:tc>
      </w:tr>
      <w:tr w14:paraId="4B8BC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478934DB">
            <w:pPr>
              <w:keepNext w:val="0"/>
              <w:keepLines w:val="0"/>
              <w:pageBreakBefore w:val="0"/>
              <w:widowControl w:val="0"/>
              <w:shd w:val="clear" w:color="auto" w:fill="FFFFFF"/>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政府采购中标人须知</w:t>
            </w:r>
          </w:p>
        </w:tc>
        <w:tc>
          <w:tcPr>
            <w:tcW w:w="7957" w:type="dxa"/>
            <w:noWrap w:val="0"/>
            <w:vAlign w:val="center"/>
          </w:tcPr>
          <w:p w14:paraId="0B914D17">
            <w:pPr>
              <w:pStyle w:val="654"/>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中标人在《云南省政府采购网》查询到中标公示后，需办理以下事宜：</w:t>
            </w:r>
          </w:p>
          <w:p w14:paraId="78574A3C">
            <w:pPr>
              <w:pStyle w:val="654"/>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1、在《云南省政府采购网》（http://www.yngp.com）《政府采购云平台》（https://www.zcygov.cn）完成供应商信息录入成为正式供应商。</w:t>
            </w:r>
          </w:p>
          <w:p w14:paraId="5CD9A601">
            <w:pPr>
              <w:pStyle w:val="654"/>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2、缴纳招标代理服务费。</w:t>
            </w:r>
          </w:p>
          <w:p w14:paraId="4D2E06D2">
            <w:pPr>
              <w:pStyle w:val="654"/>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3、领取中标通知书，并与采购人联系、洽谈采购合同。</w:t>
            </w:r>
          </w:p>
        </w:tc>
      </w:tr>
      <w:tr w14:paraId="26278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75BAF7AC">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rPr>
              <w:t>采购代理服务费</w:t>
            </w:r>
          </w:p>
        </w:tc>
        <w:tc>
          <w:tcPr>
            <w:tcW w:w="7957" w:type="dxa"/>
            <w:noWrap w:val="0"/>
            <w:vAlign w:val="center"/>
          </w:tcPr>
          <w:p w14:paraId="0A1FE054">
            <w:pPr>
              <w:pStyle w:val="28"/>
              <w:keepNext w:val="0"/>
              <w:keepLines w:val="0"/>
              <w:pageBreakBefore w:val="0"/>
              <w:widowControl w:val="0"/>
              <w:kinsoku/>
              <w:wordWrap w:val="0"/>
              <w:overflowPunct/>
              <w:topLinePunct/>
              <w:autoSpaceDE/>
              <w:autoSpaceDN/>
              <w:bidi w:val="0"/>
              <w:adjustRightInd/>
              <w:snapToGrid/>
              <w:spacing w:line="360" w:lineRule="auto"/>
              <w:ind w:left="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收费对象：</w:t>
            </w:r>
          </w:p>
          <w:p w14:paraId="01270931">
            <w:pPr>
              <w:pStyle w:val="28"/>
              <w:keepNext w:val="0"/>
              <w:keepLines w:val="0"/>
              <w:pageBreakBefore w:val="0"/>
              <w:widowControl w:val="0"/>
              <w:kinsoku/>
              <w:wordWrap w:val="0"/>
              <w:overflowPunct/>
              <w:topLinePunct/>
              <w:autoSpaceDE/>
              <w:autoSpaceDN/>
              <w:bidi w:val="0"/>
              <w:adjustRightInd/>
              <w:snapToGrid/>
              <w:spacing w:line="360" w:lineRule="auto"/>
              <w:ind w:left="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■中标人</w:t>
            </w:r>
          </w:p>
          <w:p w14:paraId="05D49EF0">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2.收费标准：</w:t>
            </w:r>
            <w:r>
              <w:rPr>
                <w:rFonts w:hint="eastAsia" w:ascii="宋体" w:hAnsi="宋体" w:eastAsia="宋体" w:cs="宋体"/>
                <w:color w:val="auto"/>
                <w:sz w:val="24"/>
                <w:szCs w:val="24"/>
                <w:highlight w:val="none"/>
                <w:u w:val="single"/>
                <w:lang w:val="en-US" w:eastAsia="zh-CN"/>
              </w:rPr>
              <w:t>本项目采用差额定率累进的计算方式，具体收费标准</w:t>
            </w:r>
            <w:r>
              <w:rPr>
                <w:rFonts w:hint="eastAsia" w:ascii="宋体" w:hAnsi="宋体" w:eastAsia="宋体" w:cs="宋体"/>
                <w:color w:val="auto"/>
                <w:sz w:val="24"/>
                <w:szCs w:val="24"/>
                <w:highlight w:val="none"/>
                <w:u w:val="single"/>
                <w:lang w:eastAsia="zh-CN"/>
              </w:rPr>
              <w:t>按</w:t>
            </w:r>
            <w:r>
              <w:rPr>
                <w:rFonts w:hint="eastAsia" w:ascii="宋体" w:hAnsi="宋体" w:eastAsia="宋体" w:cs="宋体"/>
                <w:color w:val="auto"/>
                <w:sz w:val="24"/>
                <w:szCs w:val="24"/>
                <w:highlight w:val="none"/>
                <w:u w:val="single"/>
                <w:lang w:val="en-US" w:eastAsia="zh-CN"/>
              </w:rPr>
              <w:t>下表“</w:t>
            </w:r>
            <w:r>
              <w:rPr>
                <w:rFonts w:hint="eastAsia" w:ascii="宋体" w:hAnsi="宋体" w:eastAsia="宋体" w:cs="宋体"/>
                <w:i w:val="0"/>
                <w:iCs w:val="0"/>
                <w:color w:val="auto"/>
                <w:sz w:val="24"/>
                <w:szCs w:val="24"/>
                <w:highlight w:val="none"/>
                <w:u w:val="single"/>
                <w:lang w:eastAsia="zh-CN"/>
              </w:rPr>
              <w:t>收费标准</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i w:val="0"/>
                <w:iCs w:val="0"/>
                <w:color w:val="auto"/>
                <w:sz w:val="24"/>
                <w:szCs w:val="24"/>
                <w:highlight w:val="none"/>
                <w:u w:val="single"/>
                <w:lang w:val="en-US" w:eastAsia="zh-CN"/>
              </w:rPr>
              <w:t>进行计算</w:t>
            </w:r>
            <w:r>
              <w:rPr>
                <w:rFonts w:hint="eastAsia" w:ascii="宋体" w:hAnsi="宋体" w:eastAsia="宋体" w:cs="宋体"/>
                <w:color w:val="auto"/>
                <w:sz w:val="24"/>
                <w:szCs w:val="24"/>
                <w:highlight w:val="none"/>
                <w:lang w:eastAsia="zh-CN"/>
              </w:rPr>
              <w:t>：</w:t>
            </w:r>
          </w:p>
          <w:tbl>
            <w:tblPr>
              <w:tblStyle w:val="67"/>
              <w:tblW w:w="7499" w:type="dxa"/>
              <w:jc w:val="center"/>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1971"/>
              <w:gridCol w:w="1633"/>
              <w:gridCol w:w="1633"/>
              <w:gridCol w:w="2262"/>
            </w:tblGrid>
            <w:tr w14:paraId="3972B5F4">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971" w:type="dxa"/>
                  <w:vMerge w:val="restart"/>
                  <w:noWrap w:val="0"/>
                  <w:vAlign w:val="center"/>
                </w:tcPr>
                <w:p w14:paraId="0E2153D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中标金额</w:t>
                  </w:r>
                </w:p>
                <w:p w14:paraId="66D7AD83">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（万元）</w:t>
                  </w:r>
                </w:p>
              </w:tc>
              <w:tc>
                <w:tcPr>
                  <w:tcW w:w="5528" w:type="dxa"/>
                  <w:gridSpan w:val="3"/>
                  <w:noWrap w:val="0"/>
                  <w:vAlign w:val="center"/>
                </w:tcPr>
                <w:p w14:paraId="6D231B12">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收费标准</w:t>
                  </w:r>
                </w:p>
              </w:tc>
            </w:tr>
            <w:tr w14:paraId="57B0C72B">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971" w:type="dxa"/>
                  <w:vMerge w:val="continue"/>
                  <w:shd w:val="clear" w:color="auto" w:fill="auto"/>
                  <w:noWrap w:val="0"/>
                  <w:vAlign w:val="center"/>
                </w:tcPr>
                <w:p w14:paraId="54F14C3E">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p>
              </w:tc>
              <w:tc>
                <w:tcPr>
                  <w:tcW w:w="1633" w:type="dxa"/>
                  <w:shd w:val="clear" w:color="auto" w:fill="auto"/>
                  <w:noWrap w:val="0"/>
                  <w:vAlign w:val="center"/>
                </w:tcPr>
                <w:p w14:paraId="694861A0">
                  <w:pPr>
                    <w:keepNext w:val="0"/>
                    <w:keepLines w:val="0"/>
                    <w:pageBreakBefore w:val="0"/>
                    <w:widowControl w:val="0"/>
                    <w:kinsoku/>
                    <w:overflowPunct/>
                    <w:autoSpaceDE/>
                    <w:autoSpaceDN/>
                    <w:bidi w:val="0"/>
                    <w:adjustRightInd/>
                    <w:snapToGrid/>
                    <w:spacing w:line="40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货物招标</w:t>
                  </w:r>
                </w:p>
              </w:tc>
              <w:tc>
                <w:tcPr>
                  <w:tcW w:w="1633" w:type="dxa"/>
                  <w:noWrap w:val="0"/>
                  <w:vAlign w:val="center"/>
                </w:tcPr>
                <w:p w14:paraId="3ACC4E36">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服务招标</w:t>
                  </w:r>
                </w:p>
              </w:tc>
              <w:tc>
                <w:tcPr>
                  <w:tcW w:w="2262" w:type="dxa"/>
                  <w:noWrap w:val="0"/>
                  <w:vAlign w:val="center"/>
                </w:tcPr>
                <w:p w14:paraId="7D5B51E4">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工程招标</w:t>
                  </w:r>
                </w:p>
              </w:tc>
            </w:tr>
            <w:tr w14:paraId="2508EE66">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5204403E">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100以下</w:t>
                  </w:r>
                </w:p>
              </w:tc>
              <w:tc>
                <w:tcPr>
                  <w:tcW w:w="1633" w:type="dxa"/>
                  <w:shd w:val="clear" w:color="auto" w:fill="auto"/>
                  <w:noWrap w:val="0"/>
                  <w:vAlign w:val="center"/>
                </w:tcPr>
                <w:p w14:paraId="080DD7EB">
                  <w:pPr>
                    <w:keepNext w:val="0"/>
                    <w:keepLines w:val="0"/>
                    <w:pageBreakBefore w:val="0"/>
                    <w:widowControl w:val="0"/>
                    <w:kinsoku/>
                    <w:overflowPunct/>
                    <w:autoSpaceDE/>
                    <w:autoSpaceDN/>
                    <w:bidi w:val="0"/>
                    <w:adjustRightInd/>
                    <w:snapToGrid/>
                    <w:spacing w:line="40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1.5%</w:t>
                  </w:r>
                </w:p>
              </w:tc>
              <w:tc>
                <w:tcPr>
                  <w:tcW w:w="1633" w:type="dxa"/>
                  <w:noWrap w:val="0"/>
                  <w:vAlign w:val="center"/>
                </w:tcPr>
                <w:p w14:paraId="1436B226">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w:t>
                  </w:r>
                </w:p>
              </w:tc>
              <w:tc>
                <w:tcPr>
                  <w:tcW w:w="2262" w:type="dxa"/>
                  <w:noWrap w:val="0"/>
                  <w:vAlign w:val="center"/>
                </w:tcPr>
                <w:p w14:paraId="7202505A">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r>
            <w:tr w14:paraId="75D5BCA1">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73A446DA">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100—500</w:t>
                  </w:r>
                </w:p>
              </w:tc>
              <w:tc>
                <w:tcPr>
                  <w:tcW w:w="1633" w:type="dxa"/>
                  <w:shd w:val="clear" w:color="auto" w:fill="auto"/>
                  <w:noWrap w:val="0"/>
                  <w:vAlign w:val="center"/>
                </w:tcPr>
                <w:p w14:paraId="03E11A76">
                  <w:pPr>
                    <w:keepNext w:val="0"/>
                    <w:keepLines w:val="0"/>
                    <w:pageBreakBefore w:val="0"/>
                    <w:widowControl w:val="0"/>
                    <w:kinsoku/>
                    <w:overflowPunct/>
                    <w:autoSpaceDE/>
                    <w:autoSpaceDN/>
                    <w:bidi w:val="0"/>
                    <w:adjustRightInd/>
                    <w:snapToGrid/>
                    <w:spacing w:line="40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w:t>
                  </w:r>
                </w:p>
              </w:tc>
              <w:tc>
                <w:tcPr>
                  <w:tcW w:w="1633" w:type="dxa"/>
                  <w:noWrap w:val="0"/>
                  <w:vAlign w:val="center"/>
                </w:tcPr>
                <w:p w14:paraId="6D63CD9F">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0.8%</w:t>
                  </w:r>
                </w:p>
              </w:tc>
              <w:tc>
                <w:tcPr>
                  <w:tcW w:w="2262" w:type="dxa"/>
                  <w:noWrap w:val="0"/>
                  <w:vAlign w:val="center"/>
                </w:tcPr>
                <w:p w14:paraId="07C4C5EF">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0.7%</w:t>
                  </w:r>
                </w:p>
              </w:tc>
            </w:tr>
            <w:tr w14:paraId="47890D15">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7323C32C">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500—1000</w:t>
                  </w:r>
                </w:p>
              </w:tc>
              <w:tc>
                <w:tcPr>
                  <w:tcW w:w="1633" w:type="dxa"/>
                  <w:shd w:val="clear" w:color="auto" w:fill="auto"/>
                  <w:noWrap w:val="0"/>
                  <w:vAlign w:val="center"/>
                </w:tcPr>
                <w:p w14:paraId="26A7797A">
                  <w:pPr>
                    <w:keepNext w:val="0"/>
                    <w:keepLines w:val="0"/>
                    <w:pageBreakBefore w:val="0"/>
                    <w:widowControl w:val="0"/>
                    <w:kinsoku/>
                    <w:overflowPunct/>
                    <w:autoSpaceDE/>
                    <w:autoSpaceDN/>
                    <w:bidi w:val="0"/>
                    <w:adjustRightInd/>
                    <w:snapToGrid/>
                    <w:spacing w:line="40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0.8%</w:t>
                  </w:r>
                </w:p>
              </w:tc>
              <w:tc>
                <w:tcPr>
                  <w:tcW w:w="1633" w:type="dxa"/>
                  <w:noWrap w:val="0"/>
                  <w:vAlign w:val="center"/>
                </w:tcPr>
                <w:p w14:paraId="50CC83BF">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0.45%</w:t>
                  </w:r>
                </w:p>
              </w:tc>
              <w:tc>
                <w:tcPr>
                  <w:tcW w:w="2262" w:type="dxa"/>
                  <w:noWrap w:val="0"/>
                  <w:vAlign w:val="center"/>
                </w:tcPr>
                <w:p w14:paraId="5F46C3F8">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0.55%</w:t>
                  </w:r>
                </w:p>
              </w:tc>
            </w:tr>
            <w:tr w14:paraId="4706D69C">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4207157C">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1000—5000</w:t>
                  </w:r>
                </w:p>
              </w:tc>
              <w:tc>
                <w:tcPr>
                  <w:tcW w:w="1633" w:type="dxa"/>
                  <w:shd w:val="clear" w:color="auto" w:fill="auto"/>
                  <w:noWrap w:val="0"/>
                  <w:vAlign w:val="center"/>
                </w:tcPr>
                <w:p w14:paraId="535DCCFF">
                  <w:pPr>
                    <w:keepNext w:val="0"/>
                    <w:keepLines w:val="0"/>
                    <w:pageBreakBefore w:val="0"/>
                    <w:widowControl w:val="0"/>
                    <w:kinsoku/>
                    <w:overflowPunct/>
                    <w:autoSpaceDE/>
                    <w:autoSpaceDN/>
                    <w:bidi w:val="0"/>
                    <w:adjustRightInd/>
                    <w:snapToGrid/>
                    <w:spacing w:line="40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0.5%</w:t>
                  </w:r>
                </w:p>
              </w:tc>
              <w:tc>
                <w:tcPr>
                  <w:tcW w:w="1633" w:type="dxa"/>
                  <w:noWrap w:val="0"/>
                  <w:vAlign w:val="center"/>
                </w:tcPr>
                <w:p w14:paraId="13ABADF4">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0.25%</w:t>
                  </w:r>
                </w:p>
              </w:tc>
              <w:tc>
                <w:tcPr>
                  <w:tcW w:w="2262" w:type="dxa"/>
                  <w:noWrap w:val="0"/>
                  <w:vAlign w:val="center"/>
                </w:tcPr>
                <w:p w14:paraId="6ACE6B32">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0.35%</w:t>
                  </w:r>
                </w:p>
              </w:tc>
            </w:tr>
            <w:tr w14:paraId="48B8014B">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6C0C6AD3">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5000—10000</w:t>
                  </w:r>
                </w:p>
              </w:tc>
              <w:tc>
                <w:tcPr>
                  <w:tcW w:w="1633" w:type="dxa"/>
                  <w:shd w:val="clear" w:color="auto" w:fill="auto"/>
                  <w:noWrap w:val="0"/>
                  <w:vAlign w:val="center"/>
                </w:tcPr>
                <w:p w14:paraId="598F0B2C">
                  <w:pPr>
                    <w:keepNext w:val="0"/>
                    <w:keepLines w:val="0"/>
                    <w:pageBreakBefore w:val="0"/>
                    <w:widowControl w:val="0"/>
                    <w:kinsoku/>
                    <w:overflowPunct/>
                    <w:autoSpaceDE/>
                    <w:autoSpaceDN/>
                    <w:bidi w:val="0"/>
                    <w:adjustRightInd/>
                    <w:snapToGrid/>
                    <w:spacing w:line="40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0.25%</w:t>
                  </w:r>
                </w:p>
              </w:tc>
              <w:tc>
                <w:tcPr>
                  <w:tcW w:w="1633" w:type="dxa"/>
                  <w:noWrap w:val="0"/>
                  <w:vAlign w:val="center"/>
                </w:tcPr>
                <w:p w14:paraId="6FFB9870">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0.1%</w:t>
                  </w:r>
                </w:p>
              </w:tc>
              <w:tc>
                <w:tcPr>
                  <w:tcW w:w="2262" w:type="dxa"/>
                  <w:noWrap w:val="0"/>
                  <w:vAlign w:val="center"/>
                </w:tcPr>
                <w:p w14:paraId="4D7C59DA">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0.2%</w:t>
                  </w:r>
                </w:p>
              </w:tc>
            </w:tr>
          </w:tbl>
          <w:p w14:paraId="77502E0D">
            <w:pPr>
              <w:keepNext w:val="0"/>
              <w:keepLines w:val="0"/>
              <w:pageBreakBefore w:val="0"/>
              <w:widowControl w:val="0"/>
              <w:kinsoku/>
              <w:wordWrap w:val="0"/>
              <w:overflowPunct/>
              <w:topLinePunct/>
              <w:autoSpaceDE/>
              <w:autoSpaceDN/>
              <w:bidi w:val="0"/>
              <w:adjustRightInd/>
              <w:snapToGrid/>
              <w:spacing w:line="400" w:lineRule="exact"/>
              <w:ind w:left="0" w:leftChars="0" w:right="0" w:firstLine="480"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注：中标服务费按差额定率累进法计算。</w:t>
            </w:r>
            <w:r>
              <w:rPr>
                <w:rFonts w:hint="eastAsia" w:ascii="宋体" w:hAnsi="宋体" w:eastAsia="宋体" w:cs="宋体"/>
                <w:b w:val="0"/>
                <w:bCs w:val="0"/>
                <w:color w:val="auto"/>
                <w:kern w:val="0"/>
                <w:sz w:val="24"/>
                <w:szCs w:val="24"/>
                <w:highlight w:val="none"/>
              </w:rPr>
              <w:t>例如：</w:t>
            </w:r>
            <w:r>
              <w:rPr>
                <w:rFonts w:hint="eastAsia" w:ascii="宋体" w:hAnsi="宋体" w:eastAsia="宋体" w:cs="宋体"/>
                <w:color w:val="auto"/>
                <w:kern w:val="0"/>
                <w:sz w:val="24"/>
                <w:szCs w:val="24"/>
                <w:highlight w:val="none"/>
              </w:rPr>
              <w:t>某</w:t>
            </w:r>
            <w:r>
              <w:rPr>
                <w:rFonts w:hint="eastAsia" w:ascii="宋体" w:hAnsi="宋体" w:eastAsia="宋体" w:cs="宋体"/>
                <w:b/>
                <w:bCs/>
                <w:color w:val="auto"/>
                <w:kern w:val="0"/>
                <w:sz w:val="24"/>
                <w:szCs w:val="24"/>
                <w:highlight w:val="none"/>
                <w:u w:val="single"/>
                <w:lang w:val="en-US" w:eastAsia="zh-CN"/>
              </w:rPr>
              <w:t>服务</w:t>
            </w:r>
            <w:r>
              <w:rPr>
                <w:rFonts w:hint="eastAsia" w:ascii="宋体" w:hAnsi="宋体" w:eastAsia="宋体" w:cs="宋体"/>
                <w:color w:val="auto"/>
                <w:kern w:val="0"/>
                <w:sz w:val="24"/>
                <w:szCs w:val="24"/>
                <w:highlight w:val="none"/>
              </w:rPr>
              <w:t>采购代理业务中标金额为</w:t>
            </w:r>
            <w:r>
              <w:rPr>
                <w:rFonts w:hint="eastAsia" w:ascii="宋体" w:hAnsi="宋体" w:eastAsia="宋体" w:cs="宋体"/>
                <w:color w:val="auto"/>
                <w:kern w:val="0"/>
                <w:sz w:val="24"/>
                <w:szCs w:val="24"/>
                <w:highlight w:val="none"/>
                <w:lang w:val="en-US" w:eastAsia="zh-CN"/>
              </w:rPr>
              <w:t>150</w:t>
            </w:r>
            <w:r>
              <w:rPr>
                <w:rFonts w:hint="eastAsia" w:ascii="宋体" w:hAnsi="宋体" w:eastAsia="宋体" w:cs="宋体"/>
                <w:color w:val="auto"/>
                <w:kern w:val="0"/>
                <w:sz w:val="24"/>
                <w:szCs w:val="24"/>
                <w:highlight w:val="none"/>
              </w:rPr>
              <w:t>万元，</w:t>
            </w:r>
            <w:r>
              <w:rPr>
                <w:rFonts w:hint="eastAsia" w:ascii="宋体" w:hAnsi="宋体" w:eastAsia="宋体" w:cs="宋体"/>
                <w:color w:val="auto"/>
                <w:sz w:val="24"/>
                <w:szCs w:val="24"/>
                <w:highlight w:val="none"/>
                <w:lang w:val="en-US" w:eastAsia="zh-CN"/>
              </w:rPr>
              <w:t>按照</w:t>
            </w:r>
            <w:r>
              <w:rPr>
                <w:rFonts w:hint="eastAsia" w:ascii="宋体" w:hAnsi="宋体" w:eastAsia="宋体" w:cs="宋体"/>
                <w:b/>
                <w:bCs/>
                <w:color w:val="auto"/>
                <w:sz w:val="24"/>
                <w:szCs w:val="24"/>
                <w:highlight w:val="none"/>
                <w:u w:val="single"/>
                <w:lang w:val="en-US" w:eastAsia="zh-CN"/>
              </w:rPr>
              <w:t>服务</w:t>
            </w:r>
            <w:r>
              <w:rPr>
                <w:rFonts w:hint="eastAsia" w:ascii="宋体" w:hAnsi="宋体" w:eastAsia="宋体" w:cs="宋体"/>
                <w:color w:val="auto"/>
                <w:sz w:val="24"/>
                <w:szCs w:val="24"/>
                <w:highlight w:val="none"/>
                <w:lang w:val="en-US" w:eastAsia="zh-CN"/>
              </w:rPr>
              <w:t>收费标准收取委托代理服务费。</w:t>
            </w:r>
            <w:r>
              <w:rPr>
                <w:rFonts w:hint="eastAsia" w:ascii="宋体" w:hAnsi="宋体" w:eastAsia="宋体" w:cs="宋体"/>
                <w:color w:val="auto"/>
                <w:kern w:val="0"/>
                <w:sz w:val="24"/>
                <w:szCs w:val="24"/>
                <w:highlight w:val="none"/>
              </w:rPr>
              <w:t>计算采购代理服务收费额如下：</w:t>
            </w:r>
          </w:p>
          <w:p w14:paraId="6D5B20FC">
            <w:pPr>
              <w:keepNext w:val="0"/>
              <w:keepLines w:val="0"/>
              <w:pageBreakBefore w:val="0"/>
              <w:widowControl w:val="0"/>
              <w:kinsoku/>
              <w:wordWrap w:val="0"/>
              <w:overflowPunct/>
              <w:topLinePunct/>
              <w:autoSpaceDE/>
              <w:autoSpaceDN/>
              <w:bidi w:val="0"/>
              <w:adjustRightInd/>
              <w:snapToGrid/>
              <w:spacing w:line="400" w:lineRule="exact"/>
              <w:ind w:right="0" w:firstLine="240" w:firstLineChars="1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100万元×l.</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万元</w:t>
            </w:r>
          </w:p>
          <w:p w14:paraId="0DA3231E">
            <w:pPr>
              <w:keepNext w:val="0"/>
              <w:keepLines w:val="0"/>
              <w:pageBreakBefore w:val="0"/>
              <w:widowControl w:val="0"/>
              <w:kinsoku/>
              <w:wordWrap w:val="0"/>
              <w:overflowPunct/>
              <w:topLinePunct/>
              <w:autoSpaceDE/>
              <w:autoSpaceDN/>
              <w:bidi w:val="0"/>
              <w:adjustRightInd/>
              <w:snapToGrid/>
              <w:spacing w:line="400" w:lineRule="exact"/>
              <w:ind w:left="0" w:leftChars="0" w:right="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（150</w:t>
            </w:r>
            <w:r>
              <w:rPr>
                <w:rFonts w:hint="eastAsia" w:ascii="宋体" w:hAnsi="宋体" w:eastAsia="宋体" w:cs="宋体"/>
                <w:color w:val="auto"/>
                <w:kern w:val="0"/>
                <w:sz w:val="24"/>
                <w:szCs w:val="24"/>
                <w:highlight w:val="none"/>
              </w:rPr>
              <w:t>－100</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万元×</w:t>
            </w:r>
            <w:r>
              <w:rPr>
                <w:rFonts w:hint="eastAsia" w:ascii="宋体" w:hAnsi="宋体" w:eastAsia="宋体" w:cs="宋体"/>
                <w:color w:val="auto"/>
                <w:kern w:val="0"/>
                <w:sz w:val="24"/>
                <w:szCs w:val="24"/>
                <w:highlight w:val="none"/>
                <w:lang w:val="en-US" w:eastAsia="zh-CN"/>
              </w:rPr>
              <w:t>0.8</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0.4</w:t>
            </w:r>
            <w:r>
              <w:rPr>
                <w:rFonts w:hint="eastAsia" w:ascii="宋体" w:hAnsi="宋体" w:eastAsia="宋体" w:cs="宋体"/>
                <w:color w:val="auto"/>
                <w:kern w:val="0"/>
                <w:sz w:val="24"/>
                <w:szCs w:val="24"/>
                <w:highlight w:val="none"/>
              </w:rPr>
              <w:t>万元</w:t>
            </w:r>
          </w:p>
          <w:p w14:paraId="28D3B134">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费用合计：1.5+0.4=1.9万元</w:t>
            </w:r>
          </w:p>
          <w:p w14:paraId="2918B9E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缴纳代理费账户：</w:t>
            </w:r>
          </w:p>
          <w:p w14:paraId="0B162DB8">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收款单位：楚雄腾凯工程项目管理有限公司</w:t>
            </w:r>
          </w:p>
          <w:p w14:paraId="2D0DC6A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开户银行：云南南华农村商业银行股份有限公司       </w:t>
            </w:r>
          </w:p>
          <w:p w14:paraId="2020721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账    号：3100017678054012</w:t>
            </w:r>
          </w:p>
          <w:p w14:paraId="6D686FB9">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开户行号：402738400016</w:t>
            </w:r>
          </w:p>
          <w:p w14:paraId="55A65E2F">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缴纳时间：中标人应在接受“中标通知书”</w:t>
            </w:r>
            <w:r>
              <w:rPr>
                <w:rFonts w:hint="eastAsia" w:ascii="宋体" w:hAnsi="宋体" w:eastAsia="宋体" w:cs="宋体"/>
                <w:color w:val="auto"/>
                <w:sz w:val="24"/>
                <w:szCs w:val="24"/>
                <w:highlight w:val="none"/>
                <w:lang w:val="en-US" w:eastAsia="zh-CN"/>
              </w:rPr>
              <w:t>后5个工作日内向采购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一次付清代理服务费。</w:t>
            </w:r>
          </w:p>
        </w:tc>
      </w:tr>
      <w:tr w14:paraId="67559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7078F3D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举报</w:t>
            </w:r>
          </w:p>
        </w:tc>
        <w:tc>
          <w:tcPr>
            <w:tcW w:w="7957" w:type="dxa"/>
            <w:noWrap w:val="0"/>
            <w:vAlign w:val="center"/>
          </w:tcPr>
          <w:p w14:paraId="5381501F">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在政府采购活动中，若</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发现存在要求</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支付专家评审费用、向</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转嫁公证费用等违反《云南省财政厅关于进一步规范政府采购相关收费行为的通知（云财规〔2023〕13号）》的行为，请向财政主管部门举报。</w:t>
            </w:r>
          </w:p>
        </w:tc>
      </w:tr>
      <w:tr w14:paraId="0B417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1F763D15">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contextualSpacing/>
              <w:jc w:val="center"/>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rPr>
              <w:t>相关证明材料</w:t>
            </w:r>
            <w:r>
              <w:rPr>
                <w:rFonts w:hint="eastAsia" w:ascii="宋体" w:hAnsi="宋体" w:eastAsia="宋体" w:cs="宋体"/>
                <w:snapToGrid w:val="0"/>
                <w:color w:val="auto"/>
                <w:kern w:val="0"/>
                <w:sz w:val="24"/>
                <w:szCs w:val="24"/>
                <w:highlight w:val="none"/>
                <w:lang w:val="en-US" w:eastAsia="zh-CN"/>
              </w:rPr>
              <w:t>官方查询网站</w:t>
            </w:r>
          </w:p>
          <w:p w14:paraId="1730529D">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contextualSpacing/>
              <w:jc w:val="center"/>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rPr>
              <w:t>（若招标文件有要求的）</w:t>
            </w:r>
          </w:p>
        </w:tc>
        <w:tc>
          <w:tcPr>
            <w:tcW w:w="7957" w:type="dxa"/>
            <w:noWrap w:val="0"/>
            <w:vAlign w:val="center"/>
          </w:tcPr>
          <w:p w14:paraId="37CAB8BB">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snapToGrid w:val="0"/>
                <w:color w:val="auto"/>
                <w:kern w:val="0"/>
                <w:sz w:val="24"/>
                <w:szCs w:val="24"/>
                <w:highlight w:val="none"/>
              </w:rPr>
            </w:pPr>
            <w:r>
              <w:rPr>
                <w:rFonts w:hint="eastAsia" w:ascii="宋体" w:hAnsi="宋体" w:eastAsia="宋体" w:cs="宋体"/>
                <w:b w:val="0"/>
                <w:bCs w:val="0"/>
                <w:color w:val="auto"/>
                <w:sz w:val="24"/>
                <w:szCs w:val="24"/>
                <w:lang w:val="en-US" w:eastAsia="zh-CN"/>
              </w:rPr>
              <w:t>①</w:t>
            </w:r>
            <w:r>
              <w:rPr>
                <w:rFonts w:hint="eastAsia" w:ascii="宋体" w:hAnsi="宋体" w:eastAsia="宋体" w:cs="宋体"/>
                <w:snapToGrid w:val="0"/>
                <w:color w:val="auto"/>
                <w:kern w:val="0"/>
                <w:sz w:val="24"/>
                <w:szCs w:val="24"/>
                <w:highlight w:val="none"/>
                <w:lang w:val="en-US" w:eastAsia="zh-CN"/>
              </w:rPr>
              <w:t>节能环保产品</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rPr>
              <w:t>中国政府采购网（http://www.ccgp.gov.cn/）、国家发展改革委网站（http://hzs.ndrc.gov.cn/）、国家</w:t>
            </w:r>
            <w:r>
              <w:rPr>
                <w:rFonts w:hint="eastAsia" w:ascii="宋体" w:hAnsi="宋体" w:eastAsia="宋体" w:cs="宋体"/>
                <w:snapToGrid w:val="0"/>
                <w:color w:val="auto"/>
                <w:kern w:val="0"/>
                <w:sz w:val="24"/>
                <w:szCs w:val="24"/>
                <w:highlight w:val="none"/>
                <w:lang w:eastAsia="zh-CN"/>
              </w:rPr>
              <w:t>生态环境部</w:t>
            </w:r>
            <w:r>
              <w:rPr>
                <w:rFonts w:hint="eastAsia" w:ascii="宋体" w:hAnsi="宋体" w:eastAsia="宋体" w:cs="宋体"/>
                <w:snapToGrid w:val="0"/>
                <w:color w:val="auto"/>
                <w:kern w:val="0"/>
                <w:sz w:val="24"/>
                <w:szCs w:val="24"/>
                <w:highlight w:val="none"/>
              </w:rPr>
              <w:t>网（http://www.sepa.gov.cn/）查阅、下载。</w:t>
            </w:r>
          </w:p>
          <w:p w14:paraId="2C26C4B2">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b w:val="0"/>
                <w:bCs w:val="0"/>
                <w:color w:val="auto"/>
                <w:sz w:val="24"/>
                <w:szCs w:val="24"/>
                <w:lang w:val="en-US" w:eastAsia="zh-CN"/>
              </w:rPr>
              <w:t>②认证认可检验检测相关证书</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val="en-US" w:eastAsia="zh-CN"/>
              </w:rPr>
              <w:t>国家市场监督管理总局政务服务平台“</w:t>
            </w:r>
            <w:r>
              <w:rPr>
                <w:rFonts w:hint="eastAsia" w:ascii="宋体" w:hAnsi="宋体" w:eastAsia="宋体" w:cs="宋体"/>
                <w:b w:val="0"/>
                <w:bCs w:val="0"/>
                <w:color w:val="auto"/>
                <w:sz w:val="24"/>
                <w:szCs w:val="24"/>
                <w:lang w:val="en-US" w:eastAsia="zh-CN"/>
              </w:rPr>
              <w:t>认证认可检验检测</w:t>
            </w:r>
            <w:r>
              <w:rPr>
                <w:rFonts w:hint="eastAsia" w:ascii="宋体" w:hAnsi="宋体" w:eastAsia="宋体" w:cs="宋体"/>
                <w:snapToGrid w:val="0"/>
                <w:color w:val="auto"/>
                <w:kern w:val="0"/>
                <w:sz w:val="24"/>
                <w:szCs w:val="24"/>
                <w:highlight w:val="none"/>
                <w:lang w:val="en-US" w:eastAsia="zh-CN"/>
              </w:rPr>
              <w:t>”专栏（https://zwfw.samr.gov.cn/needSearch）</w:t>
            </w:r>
            <w:r>
              <w:rPr>
                <w:rFonts w:hint="eastAsia" w:ascii="宋体" w:hAnsi="宋体" w:eastAsia="宋体" w:cs="宋体"/>
                <w:snapToGrid w:val="0"/>
                <w:color w:val="auto"/>
                <w:kern w:val="0"/>
                <w:sz w:val="24"/>
                <w:szCs w:val="24"/>
                <w:highlight w:val="none"/>
              </w:rPr>
              <w:t>查阅、下载</w:t>
            </w:r>
            <w:r>
              <w:rPr>
                <w:rFonts w:hint="eastAsia" w:ascii="宋体" w:hAnsi="宋体" w:eastAsia="宋体" w:cs="宋体"/>
                <w:snapToGrid w:val="0"/>
                <w:color w:val="auto"/>
                <w:kern w:val="0"/>
                <w:sz w:val="24"/>
                <w:szCs w:val="24"/>
                <w:highlight w:val="none"/>
                <w:lang w:val="en-US" w:eastAsia="zh-CN"/>
              </w:rPr>
              <w:t>。</w:t>
            </w:r>
          </w:p>
          <w:p w14:paraId="369E3759">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③技能人才评价证书全国联网查询系统。</w:t>
            </w:r>
          </w:p>
          <w:p w14:paraId="6F25844F">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④中国高等教育学生信息网。</w:t>
            </w:r>
          </w:p>
          <w:p w14:paraId="59B82F39">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rPr>
              <w:t>⑤云南省建设监管公共服务平台等官方平台。</w:t>
            </w:r>
          </w:p>
        </w:tc>
      </w:tr>
      <w:tr w14:paraId="510DC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4E80C1E8">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文件的解释</w:t>
            </w:r>
          </w:p>
        </w:tc>
        <w:tc>
          <w:tcPr>
            <w:tcW w:w="7957" w:type="dxa"/>
            <w:noWrap w:val="0"/>
            <w:vAlign w:val="center"/>
          </w:tcPr>
          <w:p w14:paraId="3BEDDA1F">
            <w:pPr>
              <w:keepNext w:val="0"/>
              <w:keepLines w:val="0"/>
              <w:pageBreakBefore w:val="0"/>
              <w:widowControl w:val="0"/>
              <w:kinsoku/>
              <w:wordWrap w:val="0"/>
              <w:overflowPunct/>
              <w:topLinePunct/>
              <w:autoSpaceDE/>
              <w:autoSpaceDN/>
              <w:bidi w:val="0"/>
              <w:adjustRightInd/>
              <w:snapToGrid/>
              <w:spacing w:line="360" w:lineRule="auto"/>
              <w:ind w:right="0" w:rightChars="0" w:firstLine="480" w:firstLineChars="200"/>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rPr>
              <w:t>构成本</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文件中有特别规定外，仅适用于招标投标阶段的规定，按招标公告、</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须知、</w:t>
            </w:r>
            <w:r>
              <w:rPr>
                <w:rFonts w:hint="eastAsia" w:ascii="宋体" w:hAnsi="宋体" w:cs="宋体"/>
                <w:color w:val="auto"/>
                <w:sz w:val="24"/>
                <w:szCs w:val="24"/>
                <w:highlight w:val="none"/>
                <w:lang w:eastAsia="zh-CN"/>
              </w:rPr>
              <w:t>评审</w:t>
            </w:r>
            <w:r>
              <w:rPr>
                <w:rFonts w:hint="eastAsia" w:ascii="宋体" w:hAnsi="宋体" w:eastAsia="宋体" w:cs="宋体"/>
                <w:color w:val="auto"/>
                <w:sz w:val="24"/>
                <w:szCs w:val="24"/>
                <w:highlight w:val="none"/>
              </w:rPr>
              <w:t>办法、</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lang w:val="en-US" w:eastAsia="zh-CN"/>
              </w:rPr>
              <w:t>或采购代理机构</w:t>
            </w:r>
            <w:r>
              <w:rPr>
                <w:rFonts w:hint="eastAsia" w:ascii="宋体" w:hAnsi="宋体" w:eastAsia="宋体" w:cs="宋体"/>
                <w:color w:val="auto"/>
                <w:sz w:val="24"/>
                <w:szCs w:val="24"/>
                <w:highlight w:val="none"/>
              </w:rPr>
              <w:t>负责解释。</w:t>
            </w:r>
          </w:p>
        </w:tc>
      </w:tr>
      <w:tr w14:paraId="535C8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2F2614A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szCs w:val="24"/>
              </w:rPr>
              <w:t>信用状况</w:t>
            </w:r>
          </w:p>
        </w:tc>
        <w:tc>
          <w:tcPr>
            <w:tcW w:w="7957" w:type="dxa"/>
            <w:noWrap w:val="0"/>
            <w:vAlign w:val="center"/>
          </w:tcPr>
          <w:p w14:paraId="566D986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在投标截止时间前</w:t>
            </w:r>
            <w:r>
              <w:rPr>
                <w:rFonts w:hint="eastAsia" w:ascii="宋体" w:hAnsi="宋体" w:eastAsia="宋体" w:cs="宋体"/>
                <w:b w:val="0"/>
                <w:bCs w:val="0"/>
                <w:color w:val="auto"/>
                <w:sz w:val="24"/>
                <w:szCs w:val="24"/>
                <w:lang w:val="en-US" w:eastAsia="zh-CN"/>
              </w:rPr>
              <w:t>未被列入“信用中国”网站（www.creditchina.gov.cn）失信被执行人、重大税收违法失信主体及中国政府采购网（www.ccgp.gov.cn）“政府采购严重违法失信行为信息记录”</w:t>
            </w:r>
            <w:r>
              <w:rPr>
                <w:rFonts w:hint="eastAsia" w:ascii="宋体" w:hAnsi="宋体" w:eastAsia="宋体" w:cs="宋体"/>
                <w:color w:val="auto"/>
                <w:sz w:val="24"/>
                <w:szCs w:val="24"/>
                <w:lang w:eastAsia="zh-CN"/>
              </w:rPr>
              <w:t xml:space="preserve"> （由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自行承诺，招标代理机构查询核实，上述网站信用信息查询结果的网页截图或网页打印稿作为证据留存）；</w:t>
            </w:r>
          </w:p>
          <w:p w14:paraId="631B0DF1">
            <w:pPr>
              <w:keepNext w:val="0"/>
              <w:keepLines w:val="0"/>
              <w:pageBreakBefore w:val="0"/>
              <w:widowControl w:val="0"/>
              <w:kinsoku/>
              <w:wordWrap w:val="0"/>
              <w:overflowPunct/>
              <w:topLinePunct/>
              <w:autoSpaceDE/>
              <w:autoSpaceDN/>
              <w:bidi w:val="0"/>
              <w:adjustRightInd/>
              <w:snapToGrid/>
              <w:spacing w:line="360" w:lineRule="auto"/>
              <w:ind w:right="0" w:firstLine="241" w:firstLineChars="100"/>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b/>
                <w:bCs/>
                <w:color w:val="auto"/>
                <w:sz w:val="24"/>
                <w:szCs w:val="24"/>
                <w:lang w:eastAsia="zh-CN"/>
              </w:rPr>
              <w:t>失信信息材料，由</w:t>
            </w:r>
            <w:r>
              <w:rPr>
                <w:rFonts w:hint="eastAsia" w:ascii="宋体" w:hAnsi="宋体" w:eastAsia="宋体" w:cs="宋体"/>
                <w:b/>
                <w:bCs/>
                <w:color w:val="auto"/>
                <w:sz w:val="24"/>
                <w:szCs w:val="24"/>
                <w:lang w:val="en-US" w:eastAsia="zh-CN"/>
              </w:rPr>
              <w:t>采购人或</w:t>
            </w:r>
            <w:r>
              <w:rPr>
                <w:rFonts w:hint="eastAsia" w:ascii="宋体" w:hAnsi="宋体" w:eastAsia="宋体" w:cs="宋体"/>
                <w:b/>
                <w:bCs/>
                <w:color w:val="auto"/>
                <w:sz w:val="24"/>
                <w:szCs w:val="24"/>
                <w:lang w:eastAsia="zh-CN"/>
              </w:rPr>
              <w:t>招标（采购）代理机构负责查询</w:t>
            </w:r>
            <w:r>
              <w:rPr>
                <w:rFonts w:hint="eastAsia" w:ascii="宋体" w:hAnsi="宋体" w:eastAsia="宋体" w:cs="宋体"/>
                <w:b/>
                <w:bCs/>
                <w:color w:val="auto"/>
                <w:sz w:val="24"/>
                <w:szCs w:val="24"/>
                <w:lang w:val="en-US" w:eastAsia="zh-CN"/>
              </w:rPr>
              <w:t>并</w:t>
            </w:r>
            <w:r>
              <w:rPr>
                <w:rFonts w:hint="eastAsia" w:ascii="宋体" w:hAnsi="宋体" w:eastAsia="宋体" w:cs="宋体"/>
                <w:b/>
                <w:bCs/>
                <w:color w:val="auto"/>
                <w:sz w:val="24"/>
                <w:szCs w:val="24"/>
                <w:lang w:eastAsia="zh-CN"/>
              </w:rPr>
              <w:t>存档。</w:t>
            </w:r>
            <w:r>
              <w:rPr>
                <w:rFonts w:hint="eastAsia" w:ascii="宋体" w:hAnsi="宋体" w:eastAsia="宋体" w:cs="宋体"/>
                <w:b/>
                <w:bCs/>
                <w:color w:val="auto"/>
                <w:sz w:val="24"/>
                <w:szCs w:val="24"/>
                <w:lang w:val="en-US" w:eastAsia="zh-CN"/>
              </w:rPr>
              <w:t>对列入失信被执行人、重大税收违法失信主体、政府采购严重违法失信行为记录名单及其他不符合《中华人民共和国政府采购法》第二十二条规定条件的</w:t>
            </w:r>
            <w:r>
              <w:rPr>
                <w:rFonts w:hint="eastAsia" w:ascii="宋体" w:hAnsi="宋体" w:cs="宋体"/>
                <w:b/>
                <w:bCs/>
                <w:color w:val="auto"/>
                <w:sz w:val="24"/>
                <w:szCs w:val="24"/>
                <w:lang w:val="en-US" w:eastAsia="zh-CN"/>
              </w:rPr>
              <w:t>供应商</w:t>
            </w:r>
            <w:r>
              <w:rPr>
                <w:rFonts w:hint="eastAsia" w:ascii="宋体" w:hAnsi="宋体" w:eastAsia="宋体" w:cs="宋体"/>
                <w:b/>
                <w:bCs/>
                <w:color w:val="auto"/>
                <w:sz w:val="24"/>
                <w:szCs w:val="24"/>
                <w:lang w:val="en-US" w:eastAsia="zh-CN"/>
              </w:rPr>
              <w:t>，其投标将被拒绝</w:t>
            </w:r>
            <w:r>
              <w:rPr>
                <w:rFonts w:hint="eastAsia" w:ascii="宋体" w:hAnsi="宋体" w:eastAsia="宋体" w:cs="宋体"/>
                <w:b/>
                <w:bCs/>
                <w:color w:val="auto"/>
                <w:sz w:val="24"/>
                <w:szCs w:val="24"/>
                <w:lang w:eastAsia="zh-CN"/>
              </w:rPr>
              <w:t>。</w:t>
            </w:r>
          </w:p>
        </w:tc>
      </w:tr>
      <w:tr w14:paraId="7116F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116867B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2"/>
                <w:sz w:val="24"/>
                <w:szCs w:val="24"/>
                <w:highlight w:val="none"/>
                <w:lang w:val="en-US" w:eastAsia="en-US" w:bidi="ar-SA"/>
              </w:rPr>
            </w:pPr>
            <w:r>
              <w:rPr>
                <w:rFonts w:hint="eastAsia" w:ascii="宋体" w:hAnsi="宋体" w:eastAsia="宋体" w:cs="宋体"/>
                <w:color w:val="auto"/>
                <w:sz w:val="24"/>
                <w:szCs w:val="24"/>
                <w:highlight w:val="none"/>
                <w:lang w:val="zh-CN"/>
              </w:rPr>
              <w:t>承诺提醒</w:t>
            </w:r>
          </w:p>
        </w:tc>
        <w:tc>
          <w:tcPr>
            <w:tcW w:w="7957" w:type="dxa"/>
            <w:noWrap w:val="0"/>
            <w:vAlign w:val="center"/>
          </w:tcPr>
          <w:p w14:paraId="762115B0">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bidi="ar-SA"/>
              </w:rPr>
              <w:t>关于</w:t>
            </w:r>
            <w:r>
              <w:rPr>
                <w:rFonts w:hint="eastAsia"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zh-CN" w:eastAsia="zh-CN" w:bidi="ar-SA"/>
              </w:rPr>
              <w:t>针对本项目提出的相关资格或实质性要求的承诺（包括但不限于依法缴纳税收和社会保障资金），项目采购活动结束后，采购人或</w:t>
            </w:r>
            <w:r>
              <w:rPr>
                <w:rFonts w:hint="eastAsia" w:ascii="宋体" w:hAnsi="宋体" w:eastAsia="宋体" w:cs="宋体"/>
                <w:color w:val="auto"/>
                <w:kern w:val="2"/>
                <w:sz w:val="24"/>
                <w:szCs w:val="24"/>
                <w:highlight w:val="none"/>
                <w:lang w:val="en-US" w:eastAsia="zh-CN" w:bidi="ar-SA"/>
              </w:rPr>
              <w:t>采购</w:t>
            </w:r>
            <w:r>
              <w:rPr>
                <w:rFonts w:hint="eastAsia" w:ascii="宋体" w:hAnsi="宋体" w:eastAsia="宋体" w:cs="宋体"/>
                <w:color w:val="auto"/>
                <w:kern w:val="2"/>
                <w:sz w:val="24"/>
                <w:szCs w:val="24"/>
                <w:highlight w:val="none"/>
                <w:lang w:val="zh-CN" w:eastAsia="zh-CN" w:bidi="ar-SA"/>
              </w:rPr>
              <w:t>代理机构如有必要将核实</w:t>
            </w:r>
            <w:r>
              <w:rPr>
                <w:rFonts w:hint="eastAsia"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zh-CN" w:eastAsia="zh-CN" w:bidi="ar-SA"/>
              </w:rPr>
              <w:t>所作承诺真实性，如提供虚假承诺将报告监管部门严肃追究法律责任。</w:t>
            </w:r>
          </w:p>
        </w:tc>
      </w:tr>
      <w:tr w14:paraId="77AD9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3DAB662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color w:val="auto"/>
                <w:sz w:val="24"/>
                <w:szCs w:val="24"/>
                <w:highlight w:val="none"/>
                <w:lang w:val="en-US" w:eastAsia="zh-CN"/>
              </w:rPr>
              <w:t>定义</w:t>
            </w:r>
          </w:p>
        </w:tc>
        <w:tc>
          <w:tcPr>
            <w:tcW w:w="7957" w:type="dxa"/>
            <w:noWrap w:val="0"/>
            <w:vAlign w:val="center"/>
          </w:tcPr>
          <w:p w14:paraId="0F9BA4D8">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color w:val="auto"/>
                <w:kern w:val="0"/>
                <w:sz w:val="24"/>
                <w:szCs w:val="24"/>
                <w:lang w:bidi="ar"/>
              </w:rPr>
            </w:pPr>
            <w:r>
              <w:rPr>
                <w:rFonts w:hint="eastAsia" w:ascii="宋体" w:hAnsi="宋体" w:eastAsia="宋体" w:cs="宋体"/>
                <w:b/>
                <w:bCs/>
                <w:color w:val="auto"/>
                <w:kern w:val="0"/>
                <w:sz w:val="24"/>
                <w:szCs w:val="24"/>
                <w:lang w:val="en-US" w:eastAsia="zh-CN" w:bidi="ar"/>
              </w:rPr>
              <w:t>1、</w:t>
            </w:r>
            <w:r>
              <w:rPr>
                <w:rFonts w:hint="eastAsia" w:ascii="宋体" w:hAnsi="宋体" w:eastAsia="宋体" w:cs="宋体"/>
                <w:b/>
                <w:bCs/>
                <w:color w:val="auto"/>
                <w:kern w:val="0"/>
                <w:sz w:val="24"/>
                <w:szCs w:val="24"/>
                <w:lang w:bidi="ar"/>
              </w:rPr>
              <w:t>原件：</w:t>
            </w:r>
            <w:r>
              <w:rPr>
                <w:rFonts w:hint="eastAsia" w:ascii="宋体" w:hAnsi="宋体" w:eastAsia="宋体" w:cs="宋体"/>
                <w:color w:val="auto"/>
                <w:kern w:val="0"/>
                <w:sz w:val="24"/>
                <w:szCs w:val="24"/>
                <w:lang w:bidi="ar"/>
              </w:rPr>
              <w:t>最初产生的区别于复制件（或复印件）的原始文件或文件的原本。</w:t>
            </w:r>
          </w:p>
          <w:p w14:paraId="3712652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color w:val="auto"/>
                <w:kern w:val="0"/>
                <w:sz w:val="24"/>
                <w:szCs w:val="24"/>
                <w:lang w:val="zh-CN" w:bidi="ar"/>
              </w:rPr>
            </w:pPr>
            <w:r>
              <w:rPr>
                <w:rFonts w:hint="eastAsia" w:ascii="宋体" w:hAnsi="宋体" w:eastAsia="宋体" w:cs="宋体"/>
                <w:b/>
                <w:bCs/>
                <w:color w:val="auto"/>
                <w:kern w:val="0"/>
                <w:sz w:val="24"/>
                <w:szCs w:val="24"/>
                <w:lang w:val="zh-CN" w:eastAsia="zh-CN" w:bidi="ar"/>
              </w:rPr>
              <w:t>2、</w:t>
            </w:r>
            <w:r>
              <w:rPr>
                <w:rFonts w:hint="eastAsia" w:ascii="宋体" w:hAnsi="宋体" w:eastAsia="宋体" w:cs="宋体"/>
                <w:b/>
                <w:bCs/>
                <w:color w:val="auto"/>
                <w:kern w:val="0"/>
                <w:sz w:val="24"/>
                <w:szCs w:val="24"/>
                <w:lang w:bidi="ar"/>
              </w:rPr>
              <w:t>书面形式：</w:t>
            </w:r>
            <w:r>
              <w:rPr>
                <w:rFonts w:hint="eastAsia" w:ascii="宋体" w:hAnsi="宋体" w:eastAsia="宋体" w:cs="宋体"/>
                <w:color w:val="auto"/>
                <w:kern w:val="0"/>
                <w:sz w:val="24"/>
                <w:szCs w:val="24"/>
                <w:lang w:bidi="ar"/>
              </w:rPr>
              <w:t>包括文字的打印或复印件、传真、信函、电传、电报、电子邮件、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lang w:val="en-US" w:eastAsia="zh-CN"/>
              </w:rPr>
              <w:t>云南省政府采购网</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lang w:val="en-US" w:eastAsia="zh-CN"/>
              </w:rPr>
              <w:t>政府采购云平台</w:t>
            </w:r>
            <w:r>
              <w:rPr>
                <w:rFonts w:hint="eastAsia" w:ascii="宋体" w:hAnsi="宋体" w:eastAsia="宋体" w:cs="宋体"/>
                <w:color w:val="auto"/>
                <w:sz w:val="24"/>
                <w:szCs w:val="24"/>
                <w:lang w:eastAsia="zh-CN"/>
              </w:rPr>
              <w:t>》</w:t>
            </w:r>
            <w:r>
              <w:rPr>
                <w:rFonts w:hint="eastAsia" w:ascii="宋体" w:hAnsi="宋体" w:eastAsia="宋体" w:cs="宋体"/>
                <w:color w:val="auto"/>
                <w:kern w:val="0"/>
                <w:sz w:val="24"/>
                <w:szCs w:val="24"/>
                <w:lang w:bidi="ar"/>
              </w:rPr>
              <w:t>发布的公告等可以有形地表现所载内容的形式。</w:t>
            </w:r>
          </w:p>
          <w:p w14:paraId="145B06C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color w:val="auto"/>
                <w:kern w:val="0"/>
                <w:sz w:val="24"/>
                <w:szCs w:val="24"/>
                <w:lang w:val="zh-CN" w:bidi="ar"/>
              </w:rPr>
            </w:pPr>
            <w:r>
              <w:rPr>
                <w:rFonts w:hint="eastAsia" w:ascii="宋体" w:hAnsi="宋体" w:eastAsia="宋体" w:cs="宋体"/>
                <w:b/>
                <w:bCs/>
                <w:color w:val="auto"/>
                <w:kern w:val="0"/>
                <w:sz w:val="24"/>
                <w:szCs w:val="24"/>
                <w:lang w:val="zh-CN" w:eastAsia="zh-CN" w:bidi="ar"/>
              </w:rPr>
              <w:t>3、</w:t>
            </w:r>
            <w:r>
              <w:rPr>
                <w:rFonts w:hint="eastAsia" w:ascii="宋体" w:hAnsi="宋体" w:eastAsia="宋体" w:cs="宋体"/>
                <w:b/>
                <w:bCs/>
                <w:color w:val="auto"/>
                <w:kern w:val="0"/>
                <w:sz w:val="24"/>
                <w:szCs w:val="24"/>
                <w:lang w:bidi="ar"/>
              </w:rPr>
              <w:t>证明文件的清晰度和可读性</w:t>
            </w:r>
            <w:r>
              <w:rPr>
                <w:rFonts w:hint="eastAsia" w:ascii="宋体" w:hAnsi="宋体" w:eastAsia="宋体" w:cs="宋体"/>
                <w:color w:val="auto"/>
                <w:kern w:val="0"/>
                <w:sz w:val="24"/>
                <w:szCs w:val="24"/>
                <w:lang w:bidi="ar"/>
              </w:rPr>
              <w:t>：</w:t>
            </w:r>
            <w:r>
              <w:rPr>
                <w:rFonts w:hint="eastAsia" w:ascii="宋体" w:hAnsi="宋体" w:cs="宋体"/>
                <w:color w:val="auto"/>
                <w:kern w:val="0"/>
                <w:sz w:val="24"/>
                <w:szCs w:val="24"/>
                <w:lang w:eastAsia="zh-CN" w:bidi="ar"/>
              </w:rPr>
              <w:t>供应商</w:t>
            </w:r>
            <w:r>
              <w:rPr>
                <w:rFonts w:hint="eastAsia" w:ascii="宋体" w:hAnsi="宋体" w:eastAsia="宋体" w:cs="宋体"/>
                <w:color w:val="auto"/>
                <w:kern w:val="0"/>
                <w:sz w:val="24"/>
                <w:szCs w:val="24"/>
                <w:lang w:bidi="ar"/>
              </w:rPr>
              <w:t>所提供的证明文件应清晰、完整地表达信息，并保证文本和图表的清晰度和可读性。如果证明文件因未提供或因无法辨识确认无法正确表达信息、阅读困难等情况的发生，</w:t>
            </w:r>
            <w:r>
              <w:rPr>
                <w:rFonts w:hint="eastAsia" w:ascii="宋体" w:hAnsi="宋体" w:eastAsia="宋体" w:cs="宋体"/>
                <w:color w:val="auto"/>
                <w:sz w:val="24"/>
                <w:szCs w:val="24"/>
              </w:rPr>
              <w:t>则</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委员会有权视具体情形评分时予以处理，乃至作出不利于</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的认定</w:t>
            </w:r>
            <w:r>
              <w:rPr>
                <w:rFonts w:hint="eastAsia" w:ascii="宋体" w:hAnsi="宋体" w:eastAsia="宋体" w:cs="宋体"/>
                <w:color w:val="auto"/>
                <w:kern w:val="0"/>
                <w:sz w:val="24"/>
                <w:szCs w:val="24"/>
                <w:lang w:bidi="ar"/>
              </w:rPr>
              <w:t>。（涉及商业秘密的可以做模糊处理）</w:t>
            </w:r>
          </w:p>
          <w:p w14:paraId="5D133B59">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color w:val="auto"/>
                <w:kern w:val="0"/>
                <w:sz w:val="24"/>
                <w:szCs w:val="24"/>
                <w:lang w:bidi="ar"/>
              </w:rPr>
            </w:pPr>
            <w:r>
              <w:rPr>
                <w:rFonts w:hint="eastAsia" w:ascii="宋体" w:hAnsi="宋体" w:eastAsia="宋体" w:cs="宋体"/>
                <w:b/>
                <w:bCs/>
                <w:color w:val="auto"/>
                <w:kern w:val="0"/>
                <w:sz w:val="24"/>
                <w:szCs w:val="24"/>
                <w:lang w:val="zh-CN" w:eastAsia="zh-CN" w:bidi="ar"/>
              </w:rPr>
              <w:t>4、</w:t>
            </w:r>
            <w:r>
              <w:rPr>
                <w:rFonts w:hint="eastAsia" w:ascii="宋体" w:hAnsi="宋体" w:eastAsia="宋体" w:cs="宋体"/>
                <w:b/>
                <w:bCs/>
                <w:color w:val="auto"/>
                <w:kern w:val="0"/>
                <w:sz w:val="24"/>
                <w:szCs w:val="24"/>
                <w:lang w:bidi="ar"/>
              </w:rPr>
              <w:t>证明文件的完整性：</w:t>
            </w:r>
            <w:r>
              <w:rPr>
                <w:rFonts w:hint="eastAsia" w:ascii="宋体" w:hAnsi="宋体" w:cs="宋体"/>
                <w:color w:val="auto"/>
                <w:kern w:val="0"/>
                <w:sz w:val="24"/>
                <w:szCs w:val="24"/>
                <w:lang w:eastAsia="zh-CN" w:bidi="ar"/>
              </w:rPr>
              <w:t>供应商</w:t>
            </w:r>
            <w:r>
              <w:rPr>
                <w:rFonts w:hint="eastAsia" w:ascii="宋体" w:hAnsi="宋体" w:eastAsia="宋体" w:cs="宋体"/>
                <w:color w:val="auto"/>
                <w:kern w:val="0"/>
                <w:sz w:val="24"/>
                <w:szCs w:val="24"/>
                <w:lang w:bidi="ar"/>
              </w:rPr>
              <w:t>所提供的证明文件应保证文件完整，包括所有必要的页码和附件。如有多份复印件，应确保每份复制品均为完整的副本。</w:t>
            </w:r>
          </w:p>
          <w:p w14:paraId="5F9545A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snapToGrid w:val="0"/>
                <w:color w:val="auto"/>
                <w:kern w:val="0"/>
                <w:sz w:val="24"/>
                <w:szCs w:val="24"/>
                <w:highlight w:val="none"/>
                <w:lang w:val="en-US" w:eastAsia="zh-CN" w:bidi="ar"/>
              </w:rPr>
            </w:pPr>
            <w:r>
              <w:rPr>
                <w:rFonts w:hint="eastAsia" w:ascii="宋体" w:hAnsi="宋体" w:eastAsia="宋体" w:cs="宋体"/>
                <w:b/>
                <w:bCs/>
                <w:color w:val="auto"/>
                <w:kern w:val="0"/>
                <w:sz w:val="24"/>
                <w:szCs w:val="24"/>
                <w:lang w:val="zh-CN" w:eastAsia="zh-CN" w:bidi="ar"/>
              </w:rPr>
              <w:t>5、</w:t>
            </w:r>
            <w:r>
              <w:rPr>
                <w:rFonts w:hint="eastAsia" w:ascii="宋体" w:hAnsi="宋体" w:eastAsia="宋体" w:cs="宋体"/>
                <w:b/>
                <w:bCs/>
                <w:color w:val="auto"/>
                <w:kern w:val="0"/>
                <w:sz w:val="24"/>
                <w:szCs w:val="24"/>
                <w:lang w:val="en-US" w:eastAsia="zh-CN" w:bidi="ar"/>
              </w:rPr>
              <w:t>时限（年份、月份等）计算：</w:t>
            </w:r>
            <w:r>
              <w:rPr>
                <w:rFonts w:hint="eastAsia" w:ascii="宋体" w:hAnsi="宋体" w:eastAsia="宋体" w:cs="宋体"/>
                <w:color w:val="auto"/>
                <w:kern w:val="0"/>
                <w:sz w:val="24"/>
                <w:szCs w:val="24"/>
                <w:lang w:val="en-US" w:eastAsia="zh-CN" w:bidi="ar"/>
              </w:rPr>
              <w:t>系指从开标之日向前追溯X年/月（“X”为“一”及以后整数）起算。</w:t>
            </w:r>
          </w:p>
        </w:tc>
      </w:tr>
      <w:tr w14:paraId="4B532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2B5D35A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b w:val="0"/>
                <w:bCs w:val="0"/>
                <w:color w:val="auto"/>
                <w:kern w:val="0"/>
                <w:sz w:val="24"/>
                <w:szCs w:val="24"/>
                <w:highlight w:val="none"/>
                <w:lang w:val="zh-CN"/>
              </w:rPr>
              <w:t>业绩要求</w:t>
            </w:r>
            <w:r>
              <w:rPr>
                <w:rFonts w:hint="eastAsia" w:ascii="宋体" w:hAnsi="宋体" w:eastAsia="宋体" w:cs="宋体"/>
                <w:b w:val="0"/>
                <w:bCs w:val="0"/>
                <w:color w:val="auto"/>
                <w:kern w:val="0"/>
                <w:sz w:val="24"/>
                <w:szCs w:val="24"/>
                <w:highlight w:val="none"/>
                <w:lang w:val="en-US" w:eastAsia="zh-CN"/>
              </w:rPr>
              <w:t>说明</w:t>
            </w:r>
          </w:p>
        </w:tc>
        <w:tc>
          <w:tcPr>
            <w:tcW w:w="7957" w:type="dxa"/>
            <w:noWrap w:val="0"/>
            <w:vAlign w:val="center"/>
          </w:tcPr>
          <w:p w14:paraId="1EA897B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1" w:firstLineChars="100"/>
              <w:jc w:val="left"/>
              <w:textAlignment w:val="auto"/>
              <w:rPr>
                <w:rFonts w:hint="eastAsia" w:ascii="宋体" w:hAnsi="宋体" w:eastAsia="宋体" w:cs="宋体"/>
                <w:b w:val="0"/>
                <w:bCs/>
                <w:color w:val="auto"/>
                <w:kern w:val="2"/>
                <w:sz w:val="24"/>
                <w:szCs w:val="24"/>
                <w:highlight w:val="none"/>
              </w:rPr>
            </w:pPr>
            <w:r>
              <w:rPr>
                <w:rFonts w:hint="eastAsia" w:ascii="宋体" w:hAnsi="宋体" w:eastAsia="宋体" w:cs="宋体"/>
                <w:b/>
                <w:bCs w:val="0"/>
                <w:color w:val="auto"/>
                <w:kern w:val="2"/>
                <w:sz w:val="24"/>
                <w:szCs w:val="24"/>
                <w:highlight w:val="none"/>
                <w:lang w:val="en-US" w:eastAsia="zh-CN"/>
              </w:rPr>
              <w:t>1、类似业绩：</w:t>
            </w:r>
          </w:p>
          <w:p w14:paraId="1398BB8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val="0"/>
                <w:bCs/>
                <w:color w:val="auto"/>
                <w:kern w:val="2"/>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rPr>
              <w:t>1）工程：结构形式、使用功能、建设规模相同或相近的项目</w:t>
            </w:r>
            <w:r>
              <w:rPr>
                <w:rFonts w:hint="eastAsia" w:ascii="宋体" w:hAnsi="宋体" w:cs="宋体"/>
                <w:b w:val="0"/>
                <w:bCs/>
                <w:color w:val="auto"/>
                <w:kern w:val="2"/>
                <w:sz w:val="24"/>
                <w:szCs w:val="24"/>
                <w:highlight w:val="none"/>
                <w:lang w:val="en-US" w:eastAsia="zh-CN"/>
              </w:rPr>
              <w:t>；</w:t>
            </w:r>
          </w:p>
          <w:p w14:paraId="737C02E9">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val="0"/>
                <w:bCs/>
                <w:color w:val="auto"/>
                <w:kern w:val="2"/>
                <w:sz w:val="24"/>
                <w:szCs w:val="24"/>
                <w:highlight w:val="none"/>
              </w:rPr>
            </w:pPr>
            <w:r>
              <w:rPr>
                <w:rFonts w:hint="eastAsia" w:ascii="宋体" w:hAnsi="宋体" w:eastAsia="宋体" w:cs="宋体"/>
                <w:b w:val="0"/>
                <w:bCs/>
                <w:color w:val="auto"/>
                <w:kern w:val="2"/>
                <w:sz w:val="24"/>
                <w:szCs w:val="24"/>
                <w:highlight w:val="none"/>
                <w:lang w:val="en-US" w:eastAsia="zh-CN"/>
              </w:rPr>
              <w:t>2）货物或设备类：与本项目采购标的物使用功能、应用范围、应用场景相同或相近的项目；</w:t>
            </w:r>
          </w:p>
          <w:p w14:paraId="13B87AA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val="0"/>
                <w:bCs/>
                <w:color w:val="auto"/>
                <w:kern w:val="2"/>
                <w:sz w:val="24"/>
                <w:szCs w:val="24"/>
                <w:highlight w:val="none"/>
              </w:rPr>
            </w:pPr>
            <w:r>
              <w:rPr>
                <w:rFonts w:hint="eastAsia" w:ascii="宋体" w:hAnsi="宋体" w:eastAsia="宋体" w:cs="宋体"/>
                <w:b w:val="0"/>
                <w:bCs/>
                <w:color w:val="auto"/>
                <w:kern w:val="2"/>
                <w:sz w:val="24"/>
                <w:szCs w:val="24"/>
                <w:highlight w:val="none"/>
                <w:lang w:val="en-US" w:eastAsia="zh-CN"/>
              </w:rPr>
              <w:t>3）服务类：内容、质量、标准相同或相近的项目</w:t>
            </w:r>
            <w:r>
              <w:rPr>
                <w:rFonts w:hint="eastAsia" w:ascii="宋体" w:hAnsi="宋体" w:eastAsia="宋体" w:cs="宋体"/>
                <w:b w:val="0"/>
                <w:bCs/>
                <w:color w:val="auto"/>
                <w:kern w:val="2"/>
                <w:sz w:val="24"/>
                <w:szCs w:val="24"/>
                <w:highlight w:val="none"/>
              </w:rPr>
              <w:t>。</w:t>
            </w:r>
          </w:p>
          <w:p w14:paraId="61B5155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1" w:firstLineChars="100"/>
              <w:jc w:val="left"/>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rPr>
              <w:t>2、业绩证明文件的签署人</w:t>
            </w:r>
          </w:p>
          <w:p w14:paraId="31FD1CE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lang w:eastAsia="zh-CN"/>
              </w:rPr>
              <w:t>中标（成交）通知书：</w:t>
            </w:r>
            <w:r>
              <w:rPr>
                <w:rFonts w:hint="eastAsia" w:ascii="宋体" w:hAnsi="宋体" w:eastAsia="宋体" w:cs="宋体"/>
                <w:color w:val="auto"/>
                <w:sz w:val="24"/>
                <w:szCs w:val="24"/>
                <w:highlight w:val="none"/>
                <w:lang w:val="en-US" w:eastAsia="zh-CN"/>
              </w:rPr>
              <w:t>中标（成交）人必须</w:t>
            </w:r>
            <w:r>
              <w:rPr>
                <w:rFonts w:hint="eastAsia" w:ascii="宋体" w:hAnsi="宋体" w:eastAsia="宋体" w:cs="宋体"/>
                <w:color w:val="auto"/>
                <w:sz w:val="24"/>
                <w:szCs w:val="24"/>
                <w:highlight w:val="none"/>
                <w:lang w:eastAsia="zh-CN"/>
              </w:rPr>
              <w:t>为</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自身；</w:t>
            </w:r>
          </w:p>
          <w:p w14:paraId="41F0E0D9">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lang w:val="en-US" w:eastAsia="zh-CN" w:bidi="ar-SA"/>
              </w:rPr>
              <w:t>2）</w:t>
            </w:r>
            <w:r>
              <w:rPr>
                <w:rFonts w:hint="eastAsia" w:ascii="宋体" w:hAnsi="宋体" w:eastAsia="宋体" w:cs="宋体"/>
                <w:color w:val="auto"/>
                <w:sz w:val="24"/>
                <w:szCs w:val="24"/>
                <w:highlight w:val="none"/>
              </w:rPr>
              <w:t>合同协议书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签署人一方</w:t>
            </w:r>
            <w:r>
              <w:rPr>
                <w:rFonts w:hint="eastAsia" w:ascii="宋体" w:hAnsi="宋体" w:eastAsia="宋体" w:cs="宋体"/>
                <w:color w:val="auto"/>
                <w:sz w:val="24"/>
                <w:szCs w:val="24"/>
                <w:highlight w:val="none"/>
                <w:lang w:eastAsia="zh-CN"/>
              </w:rPr>
              <w:t>必须为</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自身；</w:t>
            </w:r>
          </w:p>
          <w:p w14:paraId="61526A9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bCs/>
                <w:snapToGrid w:val="0"/>
                <w:color w:val="auto"/>
                <w:kern w:val="0"/>
                <w:sz w:val="24"/>
                <w:szCs w:val="24"/>
                <w:highlight w:val="none"/>
                <w:lang w:val="zh-CN" w:eastAsia="zh-CN" w:bidi="ar"/>
              </w:rPr>
            </w:pPr>
            <w:r>
              <w:rPr>
                <w:rFonts w:hint="eastAsia" w:ascii="宋体" w:hAnsi="宋体" w:eastAsia="宋体" w:cs="宋体"/>
                <w:color w:val="auto"/>
                <w:kern w:val="0"/>
                <w:sz w:val="24"/>
                <w:szCs w:val="24"/>
                <w:lang w:val="en-US" w:eastAsia="zh-CN" w:bidi="ar-SA"/>
              </w:rPr>
              <w:t>3）</w:t>
            </w:r>
            <w:r>
              <w:rPr>
                <w:rFonts w:hint="eastAsia" w:ascii="宋体" w:hAnsi="宋体" w:eastAsia="宋体" w:cs="宋体"/>
                <w:color w:val="auto"/>
                <w:sz w:val="24"/>
                <w:szCs w:val="24"/>
                <w:highlight w:val="none"/>
              </w:rPr>
              <w:t>验收证明文件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必须能体现出验收项目的实施主体（项目实施方</w:t>
            </w:r>
            <w:r>
              <w:rPr>
                <w:rFonts w:hint="eastAsia" w:ascii="宋体" w:hAnsi="宋体" w:eastAsia="宋体" w:cs="宋体"/>
                <w:color w:val="auto"/>
                <w:sz w:val="24"/>
                <w:szCs w:val="24"/>
                <w:highlight w:val="none"/>
                <w:lang w:eastAsia="zh-CN"/>
              </w:rPr>
              <w:t>必须为</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自身</w:t>
            </w:r>
            <w:r>
              <w:rPr>
                <w:rFonts w:hint="eastAsia" w:ascii="宋体" w:hAnsi="宋体" w:eastAsia="宋体" w:cs="宋体"/>
                <w:color w:val="auto"/>
                <w:sz w:val="24"/>
                <w:szCs w:val="24"/>
                <w:highlight w:val="none"/>
                <w:lang w:val="en-US" w:eastAsia="zh-CN"/>
              </w:rPr>
              <w:t>）及双方信息及产品信息</w:t>
            </w:r>
            <w:r>
              <w:rPr>
                <w:rFonts w:hint="eastAsia" w:ascii="宋体" w:hAnsi="宋体" w:eastAsia="宋体" w:cs="宋体"/>
                <w:color w:val="auto"/>
                <w:sz w:val="24"/>
                <w:szCs w:val="24"/>
                <w:highlight w:val="none"/>
              </w:rPr>
              <w:t>等</w:t>
            </w:r>
            <w:r>
              <w:rPr>
                <w:rFonts w:hint="eastAsia" w:ascii="宋体" w:hAnsi="宋体" w:eastAsia="宋体" w:cs="宋体"/>
                <w:color w:val="auto"/>
                <w:sz w:val="24"/>
                <w:szCs w:val="24"/>
                <w:highlight w:val="none"/>
                <w:lang w:val="en-US" w:eastAsia="zh-CN"/>
              </w:rPr>
              <w:t>有效证明文件</w:t>
            </w:r>
            <w:r>
              <w:rPr>
                <w:rFonts w:hint="eastAsia" w:ascii="宋体" w:hAnsi="宋体" w:eastAsia="宋体" w:cs="宋体"/>
                <w:bCs/>
                <w:color w:val="auto"/>
                <w:kern w:val="2"/>
                <w:sz w:val="24"/>
                <w:szCs w:val="24"/>
                <w:highlight w:val="none"/>
              </w:rPr>
              <w:t>。</w:t>
            </w:r>
          </w:p>
        </w:tc>
      </w:tr>
      <w:tr w14:paraId="20D19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177C6F6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val="0"/>
                <w:snapToGrid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进口产品的说明</w:t>
            </w:r>
          </w:p>
        </w:tc>
        <w:tc>
          <w:tcPr>
            <w:tcW w:w="7957" w:type="dxa"/>
            <w:noWrap w:val="0"/>
            <w:vAlign w:val="center"/>
          </w:tcPr>
          <w:p w14:paraId="39F12CFC">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lang w:val="en-US" w:eastAsia="zh-CN" w:bidi="ar-SA"/>
              </w:rPr>
              <w:t>1、进口产品是指通过中国海关报关验放进入中国境内且产自关境外的产品</w:t>
            </w:r>
            <w:r>
              <w:rPr>
                <w:rFonts w:hint="eastAsia" w:ascii="宋体" w:hAnsi="宋体" w:eastAsia="宋体" w:cs="宋体"/>
                <w:bCs/>
                <w:color w:val="auto"/>
                <w:kern w:val="2"/>
                <w:sz w:val="24"/>
                <w:szCs w:val="24"/>
                <w:highlight w:val="none"/>
                <w:lang w:val="en-US" w:eastAsia="zh-CN"/>
              </w:rPr>
              <w:t>。</w:t>
            </w:r>
          </w:p>
          <w:p w14:paraId="0BD9399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lang w:val="en-US" w:eastAsia="zh-CN" w:bidi="ar-SA"/>
              </w:rPr>
              <w:t>2、</w:t>
            </w:r>
            <w:r>
              <w:rPr>
                <w:rFonts w:hint="eastAsia" w:ascii="宋体" w:hAnsi="宋体" w:eastAsia="宋体" w:cs="宋体"/>
                <w:bCs/>
                <w:color w:val="auto"/>
                <w:kern w:val="2"/>
                <w:sz w:val="24"/>
                <w:szCs w:val="24"/>
                <w:highlight w:val="none"/>
                <w:lang w:val="en-US" w:eastAsia="zh-CN"/>
              </w:rPr>
              <w:t>零配件全部进口或者部分进口，在国内组装成成品的产品不属于进口产品。国内组装后一般会贴上国内的品牌，属于国产产品。</w:t>
            </w:r>
          </w:p>
          <w:p w14:paraId="74EF40FE">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Cs/>
                <w:snapToGrid w:val="0"/>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rPr>
              <w:t>注：不涉及采购进口产品时，</w:t>
            </w:r>
            <w:r>
              <w:rPr>
                <w:rFonts w:hint="eastAsia" w:ascii="宋体" w:hAnsi="宋体" w:cs="宋体"/>
                <w:bCs/>
                <w:color w:val="auto"/>
                <w:kern w:val="2"/>
                <w:sz w:val="24"/>
                <w:szCs w:val="24"/>
                <w:highlight w:val="none"/>
                <w:lang w:val="en-US" w:eastAsia="zh-CN"/>
              </w:rPr>
              <w:t>供应商</w:t>
            </w:r>
            <w:r>
              <w:rPr>
                <w:rFonts w:hint="eastAsia" w:ascii="宋体" w:hAnsi="宋体" w:eastAsia="宋体" w:cs="宋体"/>
                <w:bCs/>
                <w:color w:val="auto"/>
                <w:kern w:val="2"/>
                <w:sz w:val="24"/>
                <w:szCs w:val="24"/>
                <w:highlight w:val="none"/>
                <w:lang w:val="en-US" w:eastAsia="zh-CN"/>
              </w:rPr>
              <w:t>不得提供进口产品进行响应；涉及采购进口产品时，如国产产品满足采购需求，也可提供国产产品进行响应。</w:t>
            </w:r>
          </w:p>
        </w:tc>
      </w:tr>
      <w:tr w14:paraId="2408F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33CFA22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0"/>
                <w:sz w:val="24"/>
                <w:szCs w:val="24"/>
                <w:lang w:val="zh-CN" w:eastAsia="en-US" w:bidi="ar-SA"/>
              </w:rPr>
            </w:pPr>
            <w:r>
              <w:rPr>
                <w:rFonts w:hint="eastAsia" w:ascii="宋体" w:hAnsi="宋体" w:eastAsia="宋体" w:cs="宋体"/>
                <w:color w:val="auto"/>
                <w:sz w:val="24"/>
                <w:szCs w:val="24"/>
                <w:lang w:val="en-US" w:eastAsia="zh-CN"/>
              </w:rPr>
              <w:t>其他</w:t>
            </w:r>
          </w:p>
        </w:tc>
        <w:tc>
          <w:tcPr>
            <w:tcW w:w="7957" w:type="dxa"/>
            <w:noWrap w:val="0"/>
            <w:vAlign w:val="center"/>
          </w:tcPr>
          <w:p w14:paraId="45D04760">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、中标人所签订的合同不得对招标文件确定的事项和中标人的投标文件做实质性修改。</w:t>
            </w:r>
          </w:p>
          <w:p w14:paraId="3CB8C7E5">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、合同终止条件：</w:t>
            </w:r>
          </w:p>
          <w:p w14:paraId="65723246">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（1）违反相关法律法规、医疗行业准则规定、疫情防控管理规定以及违反采购人单位相关管理规定；</w:t>
            </w:r>
          </w:p>
          <w:p w14:paraId="1EED6CF4">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（2）未按中标人投标文件中相关承诺履行约定；</w:t>
            </w:r>
          </w:p>
          <w:p w14:paraId="3EDBF304">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eastAsia="zh-CN"/>
              </w:rPr>
              <w:t>（3）采购人将在采购合同签订前对中标人投标文件中提供的所有认证资料进行真实性核验，发现存在弄虚作假的情况。因上述合同终止条件导致合同终止的，采购人将追究中标人给采购人造成的一切经济损失和法律责任。</w:t>
            </w:r>
          </w:p>
        </w:tc>
      </w:tr>
      <w:tr w14:paraId="018A7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2C9808F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val="en-US" w:eastAsia="zh-CN"/>
              </w:rPr>
              <w:t>采购活动中串通投标行为认定</w:t>
            </w:r>
          </w:p>
        </w:tc>
        <w:tc>
          <w:tcPr>
            <w:tcW w:w="7957" w:type="dxa"/>
            <w:noWrap w:val="0"/>
            <w:vAlign w:val="center"/>
          </w:tcPr>
          <w:p w14:paraId="17DDB944">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根据《政府采购货物和服务招标投标管理办法》（财政部令第87号）第三十七条规定有下列情形之一的，视为</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串通投标，其投标无效： </w:t>
            </w:r>
          </w:p>
          <w:p w14:paraId="4A280783">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（一）不同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的投标文件由同一单位或者个人编制； </w:t>
            </w:r>
          </w:p>
          <w:p w14:paraId="302DC7E9">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（二）不同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委托同一单位或者个人办理投标事宜； </w:t>
            </w:r>
          </w:p>
          <w:p w14:paraId="6DEC7F1C">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（三）不同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的投标文件载明的项目管理成员或者联系人员为同一人； </w:t>
            </w:r>
          </w:p>
          <w:p w14:paraId="3F6CDF99">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（四）不同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的投标文件异常一致或者投标报价呈规律性差异； </w:t>
            </w:r>
          </w:p>
          <w:p w14:paraId="076B8251">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（五）不同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的投标文件相互混装； </w:t>
            </w:r>
          </w:p>
          <w:p w14:paraId="2B31D14E">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（六）不同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的投标保证金从同一单位或者个人的账户转出；</w:t>
            </w:r>
          </w:p>
          <w:p w14:paraId="5029FEC8">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kern w:val="0"/>
                <w:sz w:val="24"/>
                <w:szCs w:val="24"/>
                <w:lang w:val="en-US" w:eastAsia="zh-CN" w:bidi="ar"/>
              </w:rPr>
              <w:t>（七）不同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的电子投标文件在同一台电脑上编制（芯片序列号、硬盘序列号、网卡序列号一致，视为由同一台电脑编制）、加密或者上传。</w:t>
            </w:r>
          </w:p>
        </w:tc>
      </w:tr>
      <w:bookmarkEnd w:id="328"/>
      <w:bookmarkEnd w:id="329"/>
      <w:bookmarkEnd w:id="330"/>
    </w:tbl>
    <w:p w14:paraId="1CA9D2F1">
      <w:pPr>
        <w:rPr>
          <w:rStyle w:val="90"/>
          <w:rFonts w:hint="eastAsia" w:ascii="宋体" w:hAnsi="宋体" w:eastAsia="宋体" w:cs="宋体"/>
          <w:b/>
          <w:color w:val="auto"/>
          <w:sz w:val="24"/>
          <w:szCs w:val="24"/>
          <w:lang w:eastAsia="zh-CN"/>
        </w:rPr>
      </w:pPr>
      <w:bookmarkStart w:id="333" w:name="_Toc17164"/>
      <w:bookmarkStart w:id="334" w:name="_Toc6126"/>
      <w:bookmarkStart w:id="335" w:name="_Toc23491"/>
      <w:bookmarkStart w:id="336" w:name="_Toc10319"/>
      <w:r>
        <w:rPr>
          <w:rStyle w:val="90"/>
          <w:rFonts w:hint="eastAsia" w:ascii="宋体" w:hAnsi="宋体" w:eastAsia="宋体" w:cs="宋体"/>
          <w:b/>
          <w:color w:val="auto"/>
          <w:sz w:val="24"/>
          <w:szCs w:val="24"/>
          <w:lang w:eastAsia="zh-CN"/>
        </w:rPr>
        <w:br w:type="page"/>
      </w:r>
    </w:p>
    <w:p w14:paraId="08975AC6">
      <w:pPr>
        <w:pStyle w:val="4"/>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outlineLvl w:val="1"/>
        <w:rPr>
          <w:rFonts w:hint="eastAsia" w:ascii="宋体" w:hAnsi="宋体" w:eastAsia="宋体" w:cs="宋体"/>
          <w:b w:val="0"/>
          <w:color w:val="auto"/>
          <w:sz w:val="24"/>
          <w:szCs w:val="24"/>
          <w:lang w:eastAsia="zh-CN"/>
        </w:rPr>
      </w:pPr>
      <w:r>
        <w:rPr>
          <w:rStyle w:val="90"/>
          <w:rFonts w:hint="eastAsia" w:ascii="宋体" w:hAnsi="宋体" w:eastAsia="宋体" w:cs="宋体"/>
          <w:b/>
          <w:color w:val="auto"/>
          <w:sz w:val="24"/>
          <w:szCs w:val="24"/>
          <w:lang w:eastAsia="zh-CN"/>
        </w:rPr>
        <w:t>1.总则</w:t>
      </w:r>
      <w:bookmarkEnd w:id="333"/>
      <w:bookmarkEnd w:id="334"/>
      <w:bookmarkEnd w:id="335"/>
      <w:bookmarkEnd w:id="336"/>
    </w:p>
    <w:p w14:paraId="45898B66">
      <w:pPr>
        <w:pStyle w:val="5"/>
        <w:keepNext w:val="0"/>
        <w:keepLines w:val="0"/>
        <w:pageBreakBefore w:val="0"/>
        <w:widowControl w:val="0"/>
        <w:kinsoku/>
        <w:wordWrap w:val="0"/>
        <w:overflowPunct/>
        <w:topLinePunct/>
        <w:autoSpaceDE/>
        <w:autoSpaceDN/>
        <w:bidi w:val="0"/>
        <w:adjustRightInd/>
        <w:snapToGrid/>
        <w:spacing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337" w:name="_Toc25047"/>
      <w:bookmarkStart w:id="338" w:name="_Toc5151"/>
      <w:bookmarkStart w:id="339" w:name="_Toc2994"/>
      <w:bookmarkStart w:id="340" w:name="_Toc25216"/>
      <w:bookmarkStart w:id="341" w:name="_Toc5937"/>
      <w:bookmarkStart w:id="342" w:name="_Toc31784"/>
      <w:bookmarkStart w:id="343" w:name="_Toc19352"/>
      <w:bookmarkStart w:id="344" w:name="_Toc28388"/>
      <w:bookmarkStart w:id="345" w:name="_Toc10540"/>
      <w:bookmarkStart w:id="346" w:name="_Toc24748"/>
      <w:bookmarkStart w:id="347" w:name="_Toc12259"/>
      <w:bookmarkStart w:id="348" w:name="_Toc8677"/>
      <w:bookmarkStart w:id="349" w:name="_Toc7505"/>
      <w:bookmarkStart w:id="350" w:name="_Toc26624"/>
      <w:bookmarkStart w:id="351" w:name="_Toc4997"/>
      <w:bookmarkStart w:id="352" w:name="_Toc30363"/>
      <w:bookmarkStart w:id="353" w:name="_Toc4972"/>
      <w:bookmarkStart w:id="354" w:name="_Toc28724"/>
      <w:bookmarkStart w:id="355" w:name="_Toc11829"/>
      <w:bookmarkStart w:id="356" w:name="_Toc11393"/>
      <w:bookmarkStart w:id="357" w:name="_Toc20450"/>
      <w:r>
        <w:rPr>
          <w:rFonts w:hint="eastAsia" w:ascii="宋体" w:hAnsi="宋体" w:eastAsia="宋体" w:cs="宋体"/>
          <w:b/>
          <w:color w:val="auto"/>
          <w:sz w:val="24"/>
          <w:szCs w:val="24"/>
          <w:lang w:eastAsia="zh-CN"/>
        </w:rPr>
        <w:t>1.1招标项目概况</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4B649A9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1.1.1本项目招标文件的编制依据《中华人民共和国政府采购法》《中华人民共和国政府采购法实施条例》《政府采购货物和服务招标投标管理办法》（财政部令第87号）</w:t>
      </w:r>
      <w:r>
        <w:rPr>
          <w:rFonts w:hint="default" w:ascii="Arial" w:hAnsi="Arial" w:eastAsia="宋体" w:cs="Arial"/>
          <w:color w:val="auto"/>
          <w:sz w:val="24"/>
          <w:szCs w:val="24"/>
        </w:rPr>
        <w:t>和其他有关法律法规规定</w:t>
      </w:r>
      <w:r>
        <w:rPr>
          <w:rFonts w:hint="eastAsia" w:ascii="Arial" w:hAnsi="Arial" w:eastAsia="宋体" w:cs="Arial"/>
          <w:color w:val="auto"/>
          <w:sz w:val="24"/>
          <w:szCs w:val="24"/>
          <w:lang w:eastAsia="zh-CN"/>
        </w:rPr>
        <w:t>。</w:t>
      </w:r>
      <w:r>
        <w:rPr>
          <w:rFonts w:hint="eastAsia" w:ascii="宋体" w:hAnsi="宋体" w:cs="宋体"/>
          <w:color w:val="auto"/>
          <w:sz w:val="24"/>
          <w:szCs w:val="24"/>
          <w:lang w:val="en-US" w:eastAsia="zh-CN"/>
        </w:rPr>
        <w:t>本项目已具备招标条件，现对本项目进行公开招标。</w:t>
      </w:r>
    </w:p>
    <w:p w14:paraId="56F43CD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eastAsia="zh-CN"/>
        </w:rPr>
        <w:t>采购人：见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48BB484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eastAsia="zh-CN"/>
        </w:rPr>
        <w:t>采购代理机构：见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7C214A4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招标项目名称：见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5EA5A1D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eastAsia="zh-CN"/>
        </w:rPr>
        <w:t>项目编号：见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3E590EBD">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358" w:name="_Toc14895"/>
      <w:bookmarkStart w:id="359" w:name="_Toc24585"/>
      <w:bookmarkStart w:id="360" w:name="_Toc15621"/>
      <w:bookmarkStart w:id="361" w:name="_Toc10795"/>
      <w:bookmarkStart w:id="362" w:name="_Toc1579"/>
      <w:bookmarkStart w:id="363" w:name="_Toc1907"/>
      <w:bookmarkStart w:id="364" w:name="_Toc25905"/>
      <w:bookmarkStart w:id="365" w:name="_Toc2667"/>
      <w:bookmarkStart w:id="366" w:name="_Toc27860"/>
      <w:bookmarkStart w:id="367" w:name="_Toc5838"/>
      <w:bookmarkStart w:id="368" w:name="_Toc22798"/>
      <w:bookmarkStart w:id="369" w:name="_Toc26046"/>
      <w:bookmarkStart w:id="370" w:name="_Toc19870"/>
      <w:bookmarkStart w:id="371" w:name="_Toc13912"/>
      <w:bookmarkStart w:id="372" w:name="_Toc21449"/>
      <w:bookmarkStart w:id="373" w:name="_Toc14906"/>
      <w:bookmarkStart w:id="374" w:name="_Toc7591"/>
      <w:bookmarkStart w:id="375" w:name="_Toc29148"/>
      <w:bookmarkStart w:id="376" w:name="_Toc18791"/>
      <w:bookmarkStart w:id="377" w:name="_Toc27350"/>
      <w:bookmarkStart w:id="378" w:name="_Toc26037"/>
      <w:r>
        <w:rPr>
          <w:rFonts w:hint="eastAsia" w:ascii="宋体" w:hAnsi="宋体" w:eastAsia="宋体" w:cs="宋体"/>
          <w:b/>
          <w:color w:val="auto"/>
          <w:sz w:val="24"/>
          <w:szCs w:val="24"/>
          <w:lang w:eastAsia="zh-CN"/>
        </w:rPr>
        <w:t>1.2 招标项目的资金落实情况</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0488271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1.2.1资金落实情况：见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1962D07F">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379" w:name="_Toc25328"/>
      <w:bookmarkStart w:id="380" w:name="_Toc454"/>
      <w:bookmarkStart w:id="381" w:name="_Toc32663"/>
      <w:bookmarkStart w:id="382" w:name="_Toc10032"/>
      <w:bookmarkStart w:id="383" w:name="_Toc24610"/>
      <w:bookmarkStart w:id="384" w:name="_Toc16529"/>
      <w:bookmarkStart w:id="385" w:name="_Toc22370"/>
      <w:bookmarkStart w:id="386" w:name="_Toc2692"/>
      <w:bookmarkStart w:id="387" w:name="_Toc31621"/>
      <w:bookmarkStart w:id="388" w:name="_Toc9708"/>
      <w:bookmarkStart w:id="389" w:name="_Toc2850"/>
      <w:bookmarkStart w:id="390" w:name="_Toc2407"/>
      <w:bookmarkStart w:id="391" w:name="_Toc13143"/>
      <w:bookmarkStart w:id="392" w:name="_Toc25994"/>
      <w:bookmarkStart w:id="393" w:name="_Toc21441"/>
      <w:bookmarkStart w:id="394" w:name="_Toc4879"/>
      <w:bookmarkStart w:id="395" w:name="_Toc21032"/>
      <w:bookmarkStart w:id="396" w:name="_Toc16965"/>
      <w:bookmarkStart w:id="397" w:name="_Toc17172"/>
      <w:bookmarkStart w:id="398" w:name="_Toc7228"/>
      <w:bookmarkStart w:id="399" w:name="_Toc4088"/>
      <w:r>
        <w:rPr>
          <w:rFonts w:hint="eastAsia" w:ascii="宋体" w:hAnsi="宋体" w:eastAsia="宋体" w:cs="宋体"/>
          <w:b/>
          <w:color w:val="auto"/>
          <w:sz w:val="24"/>
          <w:szCs w:val="24"/>
          <w:lang w:eastAsia="zh-CN"/>
        </w:rPr>
        <w:t>1.3采购内容、交货（交付）期、</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rFonts w:hint="eastAsia" w:cs="宋体"/>
          <w:b/>
          <w:color w:val="auto"/>
          <w:sz w:val="24"/>
          <w:szCs w:val="24"/>
          <w:lang w:eastAsia="zh-CN"/>
        </w:rPr>
        <w:t>服务地点</w:t>
      </w:r>
    </w:p>
    <w:p w14:paraId="37925B8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1.3.1采购内容：见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358E64E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1.3.2交货（交付）期：见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77AAA90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1.3.3</w:t>
      </w:r>
      <w:r>
        <w:rPr>
          <w:rFonts w:hint="eastAsia" w:ascii="宋体" w:hAnsi="宋体" w:cs="宋体"/>
          <w:color w:val="auto"/>
          <w:sz w:val="24"/>
          <w:szCs w:val="24"/>
          <w:lang w:eastAsia="zh-CN"/>
        </w:rPr>
        <w:t>服务地点</w:t>
      </w:r>
      <w:r>
        <w:rPr>
          <w:rFonts w:hint="eastAsia" w:ascii="宋体" w:hAnsi="宋体" w:eastAsia="宋体" w:cs="宋体"/>
          <w:color w:val="auto"/>
          <w:sz w:val="24"/>
          <w:szCs w:val="24"/>
          <w:lang w:eastAsia="zh-CN"/>
        </w:rPr>
        <w:t>：见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1A39EB0A">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400" w:name="_Toc2570"/>
      <w:bookmarkStart w:id="401" w:name="_Toc6135"/>
      <w:bookmarkStart w:id="402" w:name="_Toc15995"/>
      <w:bookmarkStart w:id="403" w:name="_Toc23809"/>
      <w:bookmarkStart w:id="404" w:name="_Toc26537"/>
      <w:bookmarkStart w:id="405" w:name="_Toc31477"/>
      <w:bookmarkStart w:id="406" w:name="_Toc20228"/>
      <w:bookmarkStart w:id="407" w:name="_Toc11304"/>
      <w:bookmarkStart w:id="408" w:name="_Toc11505"/>
      <w:bookmarkStart w:id="409" w:name="_Toc1922"/>
      <w:bookmarkStart w:id="410" w:name="_Toc32705"/>
      <w:bookmarkStart w:id="411" w:name="_Toc29374"/>
      <w:bookmarkStart w:id="412" w:name="_Toc27499"/>
      <w:bookmarkStart w:id="413" w:name="_Toc16869"/>
      <w:bookmarkStart w:id="414" w:name="_Toc839"/>
      <w:bookmarkStart w:id="415" w:name="_Toc28834"/>
      <w:bookmarkStart w:id="416" w:name="_Toc10286"/>
      <w:bookmarkStart w:id="417" w:name="_Toc13389"/>
      <w:bookmarkStart w:id="418" w:name="_Toc16728"/>
      <w:bookmarkStart w:id="419" w:name="_Toc6787"/>
      <w:bookmarkStart w:id="420" w:name="_Toc6203"/>
      <w:r>
        <w:rPr>
          <w:rFonts w:hint="eastAsia" w:ascii="宋体" w:hAnsi="宋体" w:eastAsia="宋体" w:cs="宋体"/>
          <w:b/>
          <w:color w:val="auto"/>
          <w:sz w:val="24"/>
          <w:szCs w:val="24"/>
          <w:lang w:eastAsia="zh-CN"/>
        </w:rPr>
        <w:t>1.4</w:t>
      </w:r>
      <w:r>
        <w:rPr>
          <w:rFonts w:hint="eastAsia" w:cs="宋体"/>
          <w:b/>
          <w:color w:val="auto"/>
          <w:sz w:val="24"/>
          <w:szCs w:val="24"/>
          <w:lang w:eastAsia="zh-CN"/>
        </w:rPr>
        <w:t>供应商</w:t>
      </w:r>
      <w:r>
        <w:rPr>
          <w:rFonts w:hint="eastAsia" w:ascii="宋体" w:hAnsi="宋体" w:eastAsia="宋体" w:cs="宋体"/>
          <w:b/>
          <w:color w:val="auto"/>
          <w:sz w:val="24"/>
          <w:szCs w:val="24"/>
          <w:lang w:eastAsia="zh-CN"/>
        </w:rPr>
        <w:t>的资格要求</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1C27D0E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应具备承担本项目的资质条件、能力和信誉，详见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7D6A056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1.4.2单位负责人为同一人或者存在直接控股、管理关系的不同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，不得参加同一合同项下的政府采购活动。</w:t>
      </w:r>
    </w:p>
    <w:p w14:paraId="29698CE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1.4.3</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须知前附表规定接受联合体投标的，联合体除应符合本章第 1.4.1项和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须知前附表的要求外，还应遵守以下规定：</w:t>
      </w:r>
    </w:p>
    <w:p w14:paraId="13A0EE8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 联合体中有同类资质的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按照联合体分工承担相同工作的，应当按照资质等级较低的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确定资质等级；</w:t>
      </w:r>
    </w:p>
    <w:p w14:paraId="5ED5D47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（2）联合体各方之间应当签订共同投标协议，明确约定联合体各方承担的工作和相应的责任；</w:t>
      </w:r>
    </w:p>
    <w:p w14:paraId="79239EA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（3）以联合体形式参加政府采购活动的，联合体各方不得再单独参加或者与其他</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另外组成联合体参加同一项目包下的政府采购活动。</w:t>
      </w:r>
    </w:p>
    <w:p w14:paraId="742014A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1.4.4 符合上述条件的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应承担投标及履约中应承担的全部责任与义务。</w:t>
      </w:r>
    </w:p>
    <w:p w14:paraId="17E2C51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4.</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须知前附表”中说明本项目属于政府购买服务的，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不得为公益一类事业单位或使用事业编制且由财政拨款保障的群团组织。</w:t>
      </w:r>
    </w:p>
    <w:p w14:paraId="49E6F79D">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421" w:name="_Toc3595"/>
      <w:bookmarkStart w:id="422" w:name="_Toc13961"/>
      <w:bookmarkStart w:id="423" w:name="_Toc6086"/>
      <w:bookmarkStart w:id="424" w:name="_Toc10256"/>
      <w:bookmarkStart w:id="425" w:name="_Toc5116"/>
      <w:bookmarkStart w:id="426" w:name="_Toc30868"/>
      <w:bookmarkStart w:id="427" w:name="_Toc28370"/>
      <w:bookmarkStart w:id="428" w:name="_Toc18306"/>
      <w:bookmarkStart w:id="429" w:name="_Toc11452"/>
      <w:bookmarkStart w:id="430" w:name="_Toc30847"/>
      <w:bookmarkStart w:id="431" w:name="_Toc26079"/>
      <w:bookmarkStart w:id="432" w:name="_Toc3338"/>
      <w:bookmarkStart w:id="433" w:name="_Toc6352"/>
      <w:bookmarkStart w:id="434" w:name="_Toc2358"/>
      <w:bookmarkStart w:id="435" w:name="_Toc32664"/>
      <w:bookmarkStart w:id="436" w:name="_Toc25861"/>
      <w:bookmarkStart w:id="437" w:name="_Toc14229"/>
      <w:bookmarkStart w:id="438" w:name="_Toc21908"/>
      <w:bookmarkStart w:id="439" w:name="_Toc28440"/>
      <w:bookmarkStart w:id="440" w:name="_Toc31561"/>
      <w:bookmarkStart w:id="441" w:name="_Toc32133"/>
      <w:r>
        <w:rPr>
          <w:rFonts w:hint="eastAsia" w:ascii="宋体" w:hAnsi="宋体" w:eastAsia="宋体" w:cs="宋体"/>
          <w:b/>
          <w:color w:val="auto"/>
          <w:sz w:val="24"/>
          <w:szCs w:val="24"/>
          <w:lang w:eastAsia="zh-CN"/>
        </w:rPr>
        <w:t>1.5 费用承担</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2997DD1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准备和参加投标活动发生的费用自理。</w:t>
      </w:r>
    </w:p>
    <w:p w14:paraId="13A78721">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442" w:name="_Toc23055"/>
      <w:bookmarkStart w:id="443" w:name="_Toc7556"/>
      <w:bookmarkStart w:id="444" w:name="_Toc25767"/>
      <w:bookmarkStart w:id="445" w:name="_Toc1944"/>
      <w:bookmarkStart w:id="446" w:name="_Toc5813"/>
      <w:bookmarkStart w:id="447" w:name="_Toc11828"/>
      <w:bookmarkStart w:id="448" w:name="_Toc18097"/>
      <w:bookmarkStart w:id="449" w:name="_Toc30343"/>
      <w:bookmarkStart w:id="450" w:name="_Toc9507"/>
      <w:bookmarkStart w:id="451" w:name="_Toc857"/>
      <w:bookmarkStart w:id="452" w:name="_Toc25967"/>
      <w:bookmarkStart w:id="453" w:name="_Toc7272"/>
      <w:bookmarkStart w:id="454" w:name="_Toc24178"/>
      <w:bookmarkStart w:id="455" w:name="_Toc8583"/>
      <w:bookmarkStart w:id="456" w:name="_Toc20627"/>
      <w:bookmarkStart w:id="457" w:name="_Toc27057"/>
      <w:bookmarkStart w:id="458" w:name="_Toc2313"/>
      <w:bookmarkStart w:id="459" w:name="_Toc928"/>
      <w:bookmarkStart w:id="460" w:name="_Toc8483"/>
      <w:bookmarkStart w:id="461" w:name="_Toc29575"/>
      <w:r>
        <w:rPr>
          <w:rFonts w:hint="eastAsia" w:ascii="宋体" w:hAnsi="宋体" w:eastAsia="宋体" w:cs="宋体"/>
          <w:b/>
          <w:color w:val="auto"/>
          <w:sz w:val="24"/>
          <w:szCs w:val="24"/>
          <w:lang w:eastAsia="zh-CN"/>
        </w:rPr>
        <w:t>1.6 保密</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53D0819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参与招标投标活动的各方应对招标文件和投标文件中的商业和技术等秘密保密，否则应承担相应的法律责任。</w:t>
      </w:r>
    </w:p>
    <w:p w14:paraId="352F444D">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462" w:name="_Toc22591"/>
      <w:bookmarkStart w:id="463" w:name="_Toc29830"/>
      <w:bookmarkStart w:id="464" w:name="_Toc20998"/>
      <w:bookmarkStart w:id="465" w:name="_Toc811"/>
      <w:bookmarkStart w:id="466" w:name="_Toc9442"/>
      <w:bookmarkStart w:id="467" w:name="_Toc10480"/>
      <w:bookmarkStart w:id="468" w:name="_Toc5725"/>
      <w:bookmarkStart w:id="469" w:name="_Toc16975"/>
      <w:bookmarkStart w:id="470" w:name="_Toc3928"/>
      <w:bookmarkStart w:id="471" w:name="_Toc8871"/>
      <w:bookmarkStart w:id="472" w:name="_Toc32490"/>
      <w:bookmarkStart w:id="473" w:name="_Toc256"/>
      <w:bookmarkStart w:id="474" w:name="_Toc9524"/>
      <w:bookmarkStart w:id="475" w:name="_Toc31613"/>
      <w:bookmarkStart w:id="476" w:name="_Toc3687"/>
      <w:bookmarkStart w:id="477" w:name="_Toc17610"/>
      <w:bookmarkStart w:id="478" w:name="_Toc6466"/>
      <w:bookmarkStart w:id="479" w:name="_Toc5854"/>
      <w:bookmarkStart w:id="480" w:name="_Toc2621"/>
      <w:bookmarkStart w:id="481" w:name="_Toc27110"/>
      <w:bookmarkStart w:id="482" w:name="_Toc21486"/>
      <w:r>
        <w:rPr>
          <w:rFonts w:hint="eastAsia" w:ascii="宋体" w:hAnsi="宋体" w:eastAsia="宋体" w:cs="宋体"/>
          <w:b/>
          <w:color w:val="auto"/>
          <w:sz w:val="24"/>
          <w:szCs w:val="24"/>
          <w:lang w:eastAsia="zh-CN"/>
        </w:rPr>
        <w:t>1.7 语言文字</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p>
    <w:p w14:paraId="391EEC4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招标投标文件使用的语言文字为中文。专用术语使用外文的，应附有中文注释。</w:t>
      </w:r>
    </w:p>
    <w:p w14:paraId="5C20AF73">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483" w:name="_Toc1223"/>
      <w:bookmarkStart w:id="484" w:name="_Toc16553"/>
      <w:bookmarkStart w:id="485" w:name="_Toc15102"/>
      <w:bookmarkStart w:id="486" w:name="_Toc20190"/>
      <w:bookmarkStart w:id="487" w:name="_Toc20725"/>
      <w:bookmarkStart w:id="488" w:name="_Toc20253"/>
      <w:bookmarkStart w:id="489" w:name="_Toc14680"/>
      <w:bookmarkStart w:id="490" w:name="_Toc21141"/>
      <w:bookmarkStart w:id="491" w:name="_Toc29552"/>
      <w:bookmarkStart w:id="492" w:name="_Toc31209"/>
      <w:bookmarkStart w:id="493" w:name="_Toc31122"/>
      <w:bookmarkStart w:id="494" w:name="_Toc17561"/>
      <w:bookmarkStart w:id="495" w:name="_Toc31199"/>
      <w:bookmarkStart w:id="496" w:name="_Toc13338"/>
      <w:bookmarkStart w:id="497" w:name="_Toc25549"/>
      <w:bookmarkStart w:id="498" w:name="_Toc22395"/>
      <w:bookmarkStart w:id="499" w:name="_Toc22415"/>
      <w:bookmarkStart w:id="500" w:name="_Toc10576"/>
      <w:bookmarkStart w:id="501" w:name="_Toc12926"/>
      <w:bookmarkStart w:id="502" w:name="_Toc11399"/>
      <w:bookmarkStart w:id="503" w:name="_Toc25862"/>
      <w:r>
        <w:rPr>
          <w:rFonts w:hint="eastAsia" w:ascii="宋体" w:hAnsi="宋体" w:eastAsia="宋体" w:cs="宋体"/>
          <w:b/>
          <w:color w:val="auto"/>
          <w:sz w:val="24"/>
          <w:szCs w:val="24"/>
          <w:lang w:eastAsia="zh-CN"/>
        </w:rPr>
        <w:t>1.8计量单位</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14:paraId="2ADCF75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所有计量均采用中华人民共和国法定计量单位。</w:t>
      </w:r>
    </w:p>
    <w:p w14:paraId="6BA360B4">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504" w:name="_Toc1620"/>
      <w:bookmarkStart w:id="505" w:name="_Toc6122"/>
      <w:bookmarkStart w:id="506" w:name="_Toc22241"/>
      <w:bookmarkStart w:id="507" w:name="_Toc28456"/>
      <w:bookmarkStart w:id="508" w:name="_Toc29970"/>
      <w:bookmarkStart w:id="509" w:name="_Toc22185"/>
      <w:bookmarkStart w:id="510" w:name="_Toc5985"/>
      <w:bookmarkStart w:id="511" w:name="_Toc1905"/>
      <w:bookmarkStart w:id="512" w:name="_Toc4273"/>
      <w:bookmarkStart w:id="513" w:name="_Toc22543"/>
      <w:bookmarkStart w:id="514" w:name="_Toc2646"/>
      <w:bookmarkStart w:id="515" w:name="_Toc16241"/>
      <w:bookmarkStart w:id="516" w:name="_Toc15315"/>
      <w:bookmarkStart w:id="517" w:name="_Toc6804"/>
      <w:bookmarkStart w:id="518" w:name="_Toc11784"/>
      <w:bookmarkStart w:id="519" w:name="_Toc15215"/>
      <w:bookmarkStart w:id="520" w:name="_Toc29177"/>
      <w:bookmarkStart w:id="521" w:name="_Toc27195"/>
      <w:bookmarkStart w:id="522" w:name="_Toc6908"/>
      <w:bookmarkStart w:id="523" w:name="_Toc24638"/>
      <w:bookmarkStart w:id="524" w:name="_Toc21697"/>
      <w:r>
        <w:rPr>
          <w:rFonts w:hint="eastAsia" w:ascii="宋体" w:hAnsi="宋体" w:eastAsia="宋体" w:cs="宋体"/>
          <w:b/>
          <w:color w:val="auto"/>
          <w:sz w:val="24"/>
          <w:szCs w:val="24"/>
          <w:lang w:eastAsia="zh-CN"/>
        </w:rPr>
        <w:t>1.9分包</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14:paraId="161BE70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拟在中标后将中标项目的非主体设备进行分包的，应符合</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须知前附表规定的分包内容、分包金额和资质要求等限制性条件，除</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须知前附表规定的非主体设备外，其他工作不得分包。</w:t>
      </w:r>
    </w:p>
    <w:p w14:paraId="0B1FA42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1.9.2中标人不得向他人转让中标项目，接受分包的人不得再次分包。中标人应当就分包 项目向采购人负责，接受分包的人就分包项目承担连带责任。</w:t>
      </w:r>
    </w:p>
    <w:p w14:paraId="71121A24">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525" w:name="_Toc9064"/>
      <w:bookmarkStart w:id="526" w:name="_Toc22191"/>
      <w:bookmarkStart w:id="527" w:name="_Toc5137"/>
      <w:bookmarkStart w:id="528" w:name="_Toc19077"/>
      <w:bookmarkStart w:id="529" w:name="_Toc31669"/>
      <w:bookmarkStart w:id="530" w:name="_Toc9244"/>
      <w:bookmarkStart w:id="531" w:name="_Toc23429"/>
      <w:bookmarkStart w:id="532" w:name="_Toc28180"/>
      <w:bookmarkStart w:id="533" w:name="_Toc28861"/>
      <w:bookmarkStart w:id="534" w:name="_Toc23186"/>
      <w:bookmarkStart w:id="535" w:name="_Toc2015"/>
      <w:bookmarkStart w:id="536" w:name="_Toc15212"/>
      <w:bookmarkStart w:id="537" w:name="_Toc49"/>
      <w:bookmarkStart w:id="538" w:name="_Toc10272"/>
      <w:bookmarkStart w:id="539" w:name="_Toc27148"/>
      <w:bookmarkStart w:id="540" w:name="_Toc25705"/>
      <w:bookmarkStart w:id="541" w:name="_Toc9154"/>
      <w:bookmarkStart w:id="542" w:name="_Toc4895"/>
      <w:bookmarkStart w:id="543" w:name="_Toc28908"/>
      <w:bookmarkStart w:id="544" w:name="_Toc15890"/>
      <w:bookmarkStart w:id="545" w:name="_Toc25782"/>
      <w:r>
        <w:rPr>
          <w:rFonts w:hint="eastAsia" w:ascii="宋体" w:hAnsi="宋体" w:eastAsia="宋体" w:cs="宋体"/>
          <w:b/>
          <w:color w:val="auto"/>
          <w:sz w:val="24"/>
          <w:szCs w:val="24"/>
          <w:lang w:eastAsia="zh-CN"/>
        </w:rPr>
        <w:t>1.10 质疑和投诉</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14:paraId="04799DE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bookmarkStart w:id="546" w:name="_Toc88646734"/>
      <w:bookmarkStart w:id="547" w:name="_Toc88638760"/>
      <w:r>
        <w:rPr>
          <w:rFonts w:hint="eastAsia" w:ascii="宋体" w:hAnsi="宋体" w:eastAsia="宋体" w:cs="宋体"/>
          <w:color w:val="auto"/>
          <w:kern w:val="2"/>
          <w:sz w:val="24"/>
          <w:szCs w:val="24"/>
          <w:lang w:eastAsia="zh-CN"/>
        </w:rPr>
        <w:t>1.10.1</w:t>
      </w: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认为采购文件、采购过程、中标或者成交结果使自己的合法权益受到损害的，在知道或者应知其权益受到损害之日起7个工作日内，可以向采购人、采购代理机构提出质疑。</w:t>
      </w:r>
    </w:p>
    <w:p w14:paraId="4B815CBA">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rPr>
          <w:rFonts w:hint="eastAsia" w:ascii="宋体" w:hAnsi="宋体" w:eastAsia="宋体" w:cs="宋体"/>
          <w:b/>
          <w:bCs/>
          <w:color w:val="auto"/>
          <w:kern w:val="2"/>
          <w:sz w:val="24"/>
          <w:szCs w:val="24"/>
          <w:lang w:eastAsia="zh-CN"/>
        </w:rPr>
      </w:pPr>
      <w:r>
        <w:rPr>
          <w:rFonts w:hint="eastAsia" w:ascii="宋体" w:hAnsi="宋体" w:eastAsia="宋体" w:cs="宋体"/>
          <w:b/>
          <w:bCs/>
          <w:color w:val="auto"/>
          <w:kern w:val="2"/>
          <w:sz w:val="24"/>
          <w:szCs w:val="24"/>
          <w:lang w:eastAsia="zh-CN"/>
        </w:rPr>
        <w:t>“知道或者应知其权益受到损害之日”是指：</w:t>
      </w:r>
      <w:r>
        <w:rPr>
          <w:rFonts w:hint="eastAsia" w:ascii="宋体" w:hAnsi="宋体" w:eastAsia="宋体" w:cs="宋体"/>
          <w:b/>
          <w:bCs/>
          <w:color w:val="auto"/>
          <w:kern w:val="2"/>
          <w:sz w:val="24"/>
          <w:szCs w:val="24"/>
          <w:lang w:eastAsia="zh-CN"/>
        </w:rPr>
        <w:tab/>
      </w:r>
    </w:p>
    <w:p w14:paraId="2B14DAC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（一）对可以质疑的采购文件提出质疑的，为收到采购文件之日或者采购文件公告期限届满之日；</w:t>
      </w:r>
    </w:p>
    <w:p w14:paraId="379EF43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（二）对采购过程提出质疑的，为各采购程序环节结束之日；</w:t>
      </w:r>
    </w:p>
    <w:p w14:paraId="6FABCB0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（三）对中标或者成交结果提出质疑的，为中标或者成交结果公告期限届满之日。</w:t>
      </w:r>
    </w:p>
    <w:p w14:paraId="5350CF1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针对同一采购程序环节的质疑应当在法定质疑期内一次性提出，提出质疑时应当有明确的请求和必要的证明材料。</w:t>
      </w:r>
    </w:p>
    <w:p w14:paraId="46AB9A8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对采购人、采购代理机构的答复不满意或者采购人、采购代理机构未在规定的时间内作出答复的，可以在答复期满后15个工作日内向行政监督部门提出投诉，但</w:t>
      </w:r>
      <w:r>
        <w:rPr>
          <w:rFonts w:hint="eastAsia" w:ascii="宋体" w:hAnsi="宋体" w:eastAsia="宋体" w:cs="宋体"/>
          <w:color w:val="auto"/>
          <w:sz w:val="24"/>
          <w:szCs w:val="24"/>
          <w:lang w:eastAsia="zh-CN"/>
        </w:rPr>
        <w:t>投诉人必须首先经过质疑程序。</w:t>
      </w:r>
    </w:p>
    <w:p w14:paraId="42A6EB2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val="en-US" w:eastAsia="zh-CN"/>
        </w:rPr>
      </w:pPr>
      <w:bookmarkStart w:id="548" w:name="_Toc144646680"/>
      <w:bookmarkStart w:id="549" w:name="_Toc145067578"/>
      <w:r>
        <w:rPr>
          <w:rFonts w:hint="eastAsia" w:ascii="宋体" w:hAnsi="宋体" w:eastAsia="宋体" w:cs="宋体"/>
          <w:color w:val="auto"/>
          <w:kern w:val="2"/>
          <w:sz w:val="24"/>
          <w:szCs w:val="24"/>
          <w:lang w:eastAsia="zh-CN"/>
        </w:rPr>
        <w:t>1.10.2</w:t>
      </w:r>
      <w:bookmarkEnd w:id="548"/>
      <w:bookmarkEnd w:id="549"/>
      <w:bookmarkStart w:id="550" w:name="_Toc145067584"/>
      <w:bookmarkStart w:id="551" w:name="_Toc144646686"/>
      <w:r>
        <w:rPr>
          <w:rFonts w:hint="eastAsia" w:ascii="宋体" w:hAnsi="宋体" w:eastAsia="宋体" w:cs="宋体"/>
          <w:color w:val="auto"/>
          <w:kern w:val="2"/>
          <w:sz w:val="24"/>
          <w:szCs w:val="24"/>
          <w:lang w:val="en-US" w:eastAsia="zh-CN"/>
        </w:rPr>
        <w:t>本项目实行全流程电子化交易和在线监督，</w:t>
      </w:r>
      <w:r>
        <w:rPr>
          <w:rFonts w:hint="eastAsia" w:ascii="宋体" w:hAnsi="宋体" w:cs="宋体"/>
          <w:color w:val="auto"/>
          <w:kern w:val="2"/>
          <w:sz w:val="24"/>
          <w:szCs w:val="24"/>
          <w:lang w:val="en-US" w:eastAsia="zh-CN"/>
        </w:rPr>
        <w:t>供应商</w:t>
      </w:r>
      <w:r>
        <w:rPr>
          <w:rFonts w:hint="eastAsia" w:ascii="宋体" w:hAnsi="宋体" w:eastAsia="宋体" w:cs="宋体"/>
          <w:color w:val="auto"/>
          <w:kern w:val="2"/>
          <w:sz w:val="24"/>
          <w:szCs w:val="24"/>
          <w:lang w:val="en-US" w:eastAsia="zh-CN"/>
        </w:rPr>
        <w:t>询问、质疑可通过线上方式进行，也可采用线下纸质书面方式进行。</w:t>
      </w:r>
    </w:p>
    <w:p w14:paraId="42A3F53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1.10.3根据系统功能和要求，直接参与具体项目交易的</w:t>
      </w:r>
      <w:r>
        <w:rPr>
          <w:rFonts w:hint="eastAsia" w:ascii="宋体" w:hAnsi="宋体" w:cs="宋体"/>
          <w:color w:val="auto"/>
          <w:kern w:val="2"/>
          <w:sz w:val="24"/>
          <w:szCs w:val="24"/>
          <w:lang w:val="en-US" w:eastAsia="zh-CN"/>
        </w:rPr>
        <w:t>供应商</w:t>
      </w:r>
      <w:r>
        <w:rPr>
          <w:rFonts w:hint="eastAsia" w:ascii="宋体" w:hAnsi="宋体" w:eastAsia="宋体" w:cs="宋体"/>
          <w:color w:val="auto"/>
          <w:kern w:val="2"/>
          <w:sz w:val="24"/>
          <w:szCs w:val="24"/>
          <w:lang w:val="en-US" w:eastAsia="zh-CN"/>
        </w:rPr>
        <w:t>可线上询问、质疑，使用CA数字证书通过“政采云”平台（https://www.zcygov.cn/）“</w:t>
      </w:r>
      <w:r>
        <w:rPr>
          <w:rFonts w:hint="eastAsia" w:ascii="宋体" w:hAnsi="宋体" w:cs="宋体"/>
          <w:color w:val="auto"/>
          <w:kern w:val="2"/>
          <w:sz w:val="24"/>
          <w:szCs w:val="24"/>
          <w:lang w:val="en-US" w:eastAsia="zh-CN"/>
        </w:rPr>
        <w:t>供应商</w:t>
      </w:r>
      <w:r>
        <w:rPr>
          <w:rFonts w:hint="eastAsia" w:ascii="宋体" w:hAnsi="宋体" w:eastAsia="宋体" w:cs="宋体"/>
          <w:color w:val="auto"/>
          <w:kern w:val="2"/>
          <w:sz w:val="24"/>
          <w:szCs w:val="24"/>
          <w:lang w:val="en-US" w:eastAsia="zh-CN"/>
        </w:rPr>
        <w:t>”模块进行提交。</w:t>
      </w:r>
    </w:p>
    <w:p w14:paraId="742580B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1.10.4采购人及采购代理机构对线上询问、质疑的，采用线上方式进行受理答复，对采用线下询问、质疑的，采用线下方式进行受理答复。</w:t>
      </w:r>
    </w:p>
    <w:p w14:paraId="5275FD1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val="en-US" w:eastAsia="zh-CN"/>
        </w:rPr>
        <w:t>1.10.5就同一内容同时进行线上询问、质疑和提交纸质询问、质疑的，以线上答复为主，通过在线答复后不再进行书面答复。</w:t>
      </w:r>
    </w:p>
    <w:bookmarkEnd w:id="550"/>
    <w:bookmarkEnd w:id="551"/>
    <w:p w14:paraId="0AAA49B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1.10.</w:t>
      </w:r>
      <w:r>
        <w:rPr>
          <w:rFonts w:hint="eastAsia" w:ascii="宋体" w:hAnsi="宋体" w:eastAsia="宋体" w:cs="宋体"/>
          <w:color w:val="auto"/>
          <w:kern w:val="2"/>
          <w:sz w:val="24"/>
          <w:szCs w:val="24"/>
          <w:lang w:val="en-US" w:eastAsia="zh-CN"/>
        </w:rPr>
        <w:t>6</w:t>
      </w:r>
      <w:r>
        <w:rPr>
          <w:rFonts w:hint="eastAsia" w:ascii="宋体" w:hAnsi="宋体" w:eastAsia="宋体" w:cs="宋体"/>
          <w:color w:val="auto"/>
          <w:kern w:val="2"/>
          <w:sz w:val="24"/>
          <w:szCs w:val="24"/>
          <w:lang w:eastAsia="zh-CN"/>
        </w:rPr>
        <w:t>质疑内容不得含有虚假、恶意成分。当事人对自己提出的主张，有责任提供证据，提出质疑时应同时提交相关证据材料和注明事实的确切来源。</w:t>
      </w:r>
    </w:p>
    <w:p w14:paraId="0674AAE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1.10.</w:t>
      </w:r>
      <w:r>
        <w:rPr>
          <w:rFonts w:hint="eastAsia" w:ascii="宋体" w:hAnsi="宋体" w:eastAsia="宋体" w:cs="宋体"/>
          <w:color w:val="auto"/>
          <w:kern w:val="2"/>
          <w:sz w:val="24"/>
          <w:szCs w:val="24"/>
          <w:lang w:val="en-US" w:eastAsia="zh-CN"/>
        </w:rPr>
        <w:t>7</w:t>
      </w: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提供的质疑函应符合中华人民共和国财政部第94号令《政府采购质疑和投诉办法》的规定。</w:t>
      </w: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提供的质疑函（质疑函应当使用中文。相关当事人提供外文书证或者外国语视听资料的，应当附有中文译本，由翻译机构盖章或者翻译人员签名）应当包括以下主要内容：</w:t>
      </w:r>
    </w:p>
    <w:p w14:paraId="358680C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（1）</w:t>
      </w: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的姓名或者名称、地址、邮编、联系人及联系电话；</w:t>
      </w:r>
    </w:p>
    <w:p w14:paraId="167C3C7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（2）质疑项目的名称、编号；</w:t>
      </w:r>
    </w:p>
    <w:p w14:paraId="5ECD689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（3）具体、明确的质疑事项和与质疑事项相关的请求；</w:t>
      </w:r>
    </w:p>
    <w:p w14:paraId="029A3F5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（4）事实依据；</w:t>
      </w:r>
    </w:p>
    <w:p w14:paraId="14EE719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（5）必要的法律依据；</w:t>
      </w:r>
    </w:p>
    <w:p w14:paraId="34CE0EA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eastAsia="zh-CN"/>
        </w:rPr>
        <w:t>（6）提出质疑的日期。</w:t>
      </w:r>
    </w:p>
    <w:p w14:paraId="50C4B78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1.10.7</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为自然人的，应当由本人签字；</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为法人或者其他组织的，应当由法定代表人、主要负责人，或者其授权代表签字或者盖章，并加盖公章。</w:t>
      </w:r>
    </w:p>
    <w:p w14:paraId="4AB412A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质疑书实行实名制，并提交由法定代表人或其授权代理人签字并加盖单位章的原件。</w:t>
      </w:r>
    </w:p>
    <w:p w14:paraId="56EE09E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接收质疑函的方式：</w:t>
      </w:r>
      <w:r>
        <w:rPr>
          <w:rFonts w:hint="eastAsia" w:ascii="宋体" w:hAnsi="宋体" w:eastAsia="宋体" w:cs="宋体"/>
          <w:b w:val="0"/>
          <w:bCs w:val="0"/>
          <w:color w:val="auto"/>
          <w:sz w:val="24"/>
          <w:szCs w:val="24"/>
          <w:u w:val="none"/>
          <w:lang w:eastAsia="zh-CN"/>
        </w:rPr>
        <w:t>书面方式</w:t>
      </w:r>
      <w:r>
        <w:rPr>
          <w:rFonts w:hint="eastAsia" w:ascii="宋体" w:hAnsi="宋体" w:eastAsia="宋体" w:cs="宋体"/>
          <w:b w:val="0"/>
          <w:bCs w:val="0"/>
          <w:color w:val="auto"/>
          <w:sz w:val="24"/>
          <w:szCs w:val="24"/>
          <w:lang w:eastAsia="zh-CN"/>
        </w:rPr>
        <w:t>；</w:t>
      </w:r>
    </w:p>
    <w:p w14:paraId="7626078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接收质疑函的部门：</w:t>
      </w:r>
      <w:r>
        <w:rPr>
          <w:rFonts w:hint="eastAsia" w:ascii="宋体" w:hAnsi="宋体" w:cs="宋体"/>
          <w:b w:val="0"/>
          <w:bCs w:val="0"/>
          <w:color w:val="auto"/>
          <w:sz w:val="24"/>
          <w:szCs w:val="24"/>
          <w:lang w:eastAsia="zh-CN"/>
        </w:rPr>
        <w:t>楚雄腾凯工程项目管理有限公司</w:t>
      </w:r>
    </w:p>
    <w:p w14:paraId="49C28F6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联系人：</w:t>
      </w:r>
      <w:r>
        <w:rPr>
          <w:rFonts w:hint="eastAsia" w:ascii="宋体" w:hAnsi="宋体" w:cs="宋体"/>
          <w:b w:val="0"/>
          <w:bCs w:val="0"/>
          <w:color w:val="auto"/>
          <w:sz w:val="24"/>
          <w:szCs w:val="24"/>
          <w:lang w:eastAsia="zh-CN"/>
        </w:rPr>
        <w:t>袁海</w:t>
      </w:r>
    </w:p>
    <w:p w14:paraId="74D3095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eastAsia="zh-CN"/>
        </w:rPr>
        <w:t>联系电话：</w:t>
      </w:r>
      <w:r>
        <w:rPr>
          <w:rFonts w:hint="eastAsia" w:ascii="宋体" w:hAnsi="宋体" w:cs="宋体"/>
          <w:b w:val="0"/>
          <w:bCs w:val="0"/>
          <w:color w:val="auto"/>
          <w:sz w:val="24"/>
          <w:szCs w:val="24"/>
          <w:lang w:val="en-US" w:eastAsia="zh-CN"/>
        </w:rPr>
        <w:t>13638701730</w:t>
      </w:r>
    </w:p>
    <w:p w14:paraId="2B9C9A3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通讯地址：南华县龙川镇两旗书苑52号</w:t>
      </w:r>
    </w:p>
    <w:p w14:paraId="3FFD728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1.10.8采购人、采购代理机构将在收到</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的书面质疑后七个工作日内作出答复，并以书面形式通知质疑</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和其他有关</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，质疑答复的内容不涉及商业秘密。</w:t>
      </w:r>
    </w:p>
    <w:p w14:paraId="29355D6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1.10.9参与政府采购活动的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对评审过程、中标或者成交结果提出质疑的，采购人或采购代理机构可以组织原</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委员会协助答复质疑事项，并依据</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委员会出具的意见进行答复。质疑答复导致中标结果改变的，采购人或采购代理机构应当将相关情况书面报财政部门备案。</w:t>
      </w:r>
    </w:p>
    <w:p w14:paraId="678AF93A">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color w:val="auto"/>
          <w:sz w:val="24"/>
          <w:szCs w:val="24"/>
          <w:lang w:eastAsia="zh-CN"/>
        </w:rPr>
      </w:pPr>
      <w:bookmarkStart w:id="552" w:name="_Toc12223"/>
      <w:bookmarkStart w:id="553" w:name="_Toc27601"/>
      <w:bookmarkStart w:id="554" w:name="_Toc2002"/>
      <w:r>
        <w:rPr>
          <w:rFonts w:hint="eastAsia" w:ascii="宋体" w:hAnsi="宋体" w:eastAsia="宋体" w:cs="宋体"/>
          <w:color w:val="auto"/>
          <w:sz w:val="24"/>
          <w:szCs w:val="24"/>
          <w:lang w:eastAsia="zh-CN"/>
        </w:rPr>
        <w:t>2.招标文件</w:t>
      </w:r>
      <w:bookmarkEnd w:id="546"/>
      <w:bookmarkEnd w:id="547"/>
      <w:bookmarkEnd w:id="552"/>
      <w:bookmarkEnd w:id="553"/>
      <w:bookmarkEnd w:id="554"/>
    </w:p>
    <w:p w14:paraId="70B9CB92">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555" w:name="_Toc9505"/>
      <w:bookmarkStart w:id="556" w:name="_Toc27618"/>
      <w:bookmarkStart w:id="557" w:name="_Toc28133"/>
      <w:bookmarkStart w:id="558" w:name="_Toc31399"/>
      <w:bookmarkStart w:id="559" w:name="_Toc28399"/>
      <w:bookmarkStart w:id="560" w:name="_Toc28238"/>
      <w:bookmarkStart w:id="561" w:name="_Toc21640"/>
      <w:bookmarkStart w:id="562" w:name="_Toc22220"/>
      <w:bookmarkStart w:id="563" w:name="_Toc21745"/>
      <w:bookmarkStart w:id="564" w:name="_Toc9382"/>
      <w:bookmarkStart w:id="565" w:name="_Toc15978"/>
      <w:bookmarkStart w:id="566" w:name="_Toc26425"/>
      <w:bookmarkStart w:id="567" w:name="_Toc27846"/>
      <w:bookmarkStart w:id="568" w:name="_Toc17407"/>
      <w:bookmarkStart w:id="569" w:name="_Toc11244"/>
      <w:bookmarkStart w:id="570" w:name="_Toc24733"/>
      <w:bookmarkStart w:id="571" w:name="_Toc10780"/>
      <w:bookmarkStart w:id="572" w:name="_Toc23607"/>
      <w:bookmarkStart w:id="573" w:name="_Toc23648"/>
      <w:r>
        <w:rPr>
          <w:rFonts w:hint="eastAsia" w:ascii="宋体" w:hAnsi="宋体" w:eastAsia="宋体" w:cs="宋体"/>
          <w:b/>
          <w:color w:val="auto"/>
          <w:sz w:val="24"/>
          <w:szCs w:val="24"/>
          <w:lang w:eastAsia="zh-CN"/>
        </w:rPr>
        <w:t>2.1  招标文件的组成</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673D312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本招标文件包括：</w:t>
      </w:r>
    </w:p>
    <w:p w14:paraId="256F420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（1）招标公告；</w:t>
      </w:r>
    </w:p>
    <w:p w14:paraId="64C4D9F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w:t>
      </w:r>
    </w:p>
    <w:p w14:paraId="1850C39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评审办法（综合评分法）</w:t>
      </w:r>
      <w:r>
        <w:rPr>
          <w:rFonts w:hint="eastAsia" w:ascii="宋体" w:hAnsi="宋体" w:eastAsia="宋体" w:cs="宋体"/>
          <w:color w:val="auto"/>
          <w:sz w:val="24"/>
          <w:szCs w:val="24"/>
          <w:lang w:eastAsia="zh-CN"/>
        </w:rPr>
        <w:t>；</w:t>
      </w:r>
    </w:p>
    <w:p w14:paraId="2058FBA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w:t>
      </w:r>
      <w:r>
        <w:rPr>
          <w:rFonts w:hint="eastAsia" w:ascii="宋体" w:hAnsi="宋体" w:eastAsia="宋体" w:cs="宋体"/>
          <w:color w:val="auto"/>
          <w:sz w:val="24"/>
          <w:szCs w:val="24"/>
          <w:lang w:val="en-US" w:eastAsia="zh-CN"/>
        </w:rPr>
        <w:t>采购需求及要求</w:t>
      </w:r>
      <w:r>
        <w:rPr>
          <w:rFonts w:hint="eastAsia" w:ascii="宋体" w:hAnsi="宋体" w:eastAsia="宋体" w:cs="宋体"/>
          <w:color w:val="auto"/>
          <w:sz w:val="24"/>
          <w:szCs w:val="24"/>
          <w:lang w:eastAsia="zh-CN"/>
        </w:rPr>
        <w:t>；</w:t>
      </w:r>
    </w:p>
    <w:p w14:paraId="633831B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（5）合同条款及格式；</w:t>
      </w:r>
    </w:p>
    <w:p w14:paraId="208C7D4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（6）投标文件格式。</w:t>
      </w:r>
    </w:p>
    <w:p w14:paraId="4387A39B">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p>
    <w:p w14:paraId="6E644E1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根据本章第2.2款和第2.3款对招标文件所做的澄清、修改，构成招标文件的组成部分。</w:t>
      </w:r>
    </w:p>
    <w:p w14:paraId="0D85CB54">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574" w:name="_Toc16956"/>
      <w:bookmarkStart w:id="575" w:name="_Toc31231"/>
      <w:bookmarkStart w:id="576" w:name="_Toc31280"/>
      <w:bookmarkStart w:id="577" w:name="_Toc32350"/>
      <w:bookmarkStart w:id="578" w:name="_Toc24400"/>
      <w:bookmarkStart w:id="579" w:name="_Toc26410"/>
      <w:bookmarkStart w:id="580" w:name="_Toc29275"/>
      <w:bookmarkStart w:id="581" w:name="_Toc3087"/>
      <w:bookmarkStart w:id="582" w:name="_Toc24194"/>
      <w:bookmarkStart w:id="583" w:name="_Toc29981"/>
      <w:bookmarkStart w:id="584" w:name="_Toc11680"/>
      <w:bookmarkStart w:id="585" w:name="_Toc542"/>
      <w:bookmarkStart w:id="586" w:name="_Toc26568"/>
      <w:bookmarkStart w:id="587" w:name="_Toc11705"/>
      <w:bookmarkStart w:id="588" w:name="_Toc19056"/>
      <w:bookmarkStart w:id="589" w:name="_Toc25886"/>
      <w:bookmarkStart w:id="590" w:name="_Toc10577"/>
      <w:bookmarkStart w:id="591" w:name="_Toc19223"/>
      <w:bookmarkStart w:id="592" w:name="_Toc20487"/>
      <w:bookmarkStart w:id="593" w:name="_Toc3457"/>
      <w:r>
        <w:rPr>
          <w:rFonts w:hint="eastAsia" w:ascii="宋体" w:hAnsi="宋体" w:eastAsia="宋体" w:cs="宋体"/>
          <w:b/>
          <w:color w:val="auto"/>
          <w:sz w:val="24"/>
          <w:szCs w:val="24"/>
          <w:lang w:eastAsia="zh-CN"/>
        </w:rPr>
        <w:t>2.2  招标文件的澄清</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198F1F4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2.2.1任何要求对招标文件进行澄清的潜在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，均以书面形式通知采购代理机构。采购代理机构收到的对招标文件的澄清要求均以书面形式予以答复，同时将书面答复通知每个</w:t>
      </w:r>
      <w:r>
        <w:rPr>
          <w:rFonts w:hint="eastAsia" w:ascii="宋体" w:hAnsi="宋体" w:cs="宋体"/>
          <w:color w:val="auto"/>
          <w:sz w:val="24"/>
          <w:szCs w:val="24"/>
          <w:lang w:val="en-US" w:eastAsia="zh-CN"/>
        </w:rPr>
        <w:t>获取</w:t>
      </w:r>
      <w:r>
        <w:rPr>
          <w:rFonts w:hint="eastAsia" w:ascii="宋体" w:hAnsi="宋体" w:eastAsia="宋体" w:cs="宋体"/>
          <w:color w:val="auto"/>
          <w:sz w:val="24"/>
          <w:szCs w:val="24"/>
          <w:lang w:eastAsia="zh-CN"/>
        </w:rPr>
        <w:t>招标文件的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，答复中包括所问问题，但不包括问题的来源；逾期提交的疑问问题将不予回答。</w:t>
      </w:r>
    </w:p>
    <w:p w14:paraId="621F653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2.2.2　澄清或者修改的内容可能影响投标文件编制的，采购人或者采购代理机构应当在投标截止时间至少15日前，以书面形式通知所有获取招标文件的潜在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；不足15日的，采购人或者采购代理机构应当顺延提交投标文件的截止时间。</w:t>
      </w:r>
    </w:p>
    <w:p w14:paraId="4D53E74D">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594" w:name="_Toc9425"/>
      <w:bookmarkStart w:id="595" w:name="_Toc20863"/>
      <w:bookmarkStart w:id="596" w:name="_Toc5771"/>
      <w:bookmarkStart w:id="597" w:name="_Toc23694"/>
      <w:bookmarkStart w:id="598" w:name="_Toc11385"/>
      <w:bookmarkStart w:id="599" w:name="_Toc26174"/>
      <w:bookmarkStart w:id="600" w:name="_Toc1527"/>
      <w:bookmarkStart w:id="601" w:name="_Toc9232"/>
      <w:bookmarkStart w:id="602" w:name="_Toc13086"/>
      <w:bookmarkStart w:id="603" w:name="_Toc30128"/>
      <w:bookmarkStart w:id="604" w:name="_Toc22243"/>
      <w:bookmarkStart w:id="605" w:name="_Toc9604"/>
      <w:bookmarkStart w:id="606" w:name="_Toc16871"/>
      <w:bookmarkStart w:id="607" w:name="_Toc17326"/>
      <w:bookmarkStart w:id="608" w:name="_Toc2702"/>
      <w:bookmarkStart w:id="609" w:name="_Toc9663"/>
      <w:bookmarkStart w:id="610" w:name="_Toc13493"/>
      <w:bookmarkStart w:id="611" w:name="_Toc15601"/>
      <w:bookmarkStart w:id="612" w:name="_Toc17277"/>
      <w:bookmarkStart w:id="613" w:name="_Toc13676"/>
      <w:r>
        <w:rPr>
          <w:rFonts w:hint="eastAsia" w:ascii="宋体" w:hAnsi="宋体" w:eastAsia="宋体" w:cs="宋体"/>
          <w:b/>
          <w:color w:val="auto"/>
          <w:sz w:val="24"/>
          <w:szCs w:val="24"/>
          <w:lang w:eastAsia="zh-CN"/>
        </w:rPr>
        <w:t>2.3  招标文件的修改</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46A8AB0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2.3.1</w:t>
      </w:r>
      <w:r>
        <w:rPr>
          <w:rFonts w:hint="eastAsia" w:ascii="宋体" w:hAnsi="宋体" w:eastAsia="宋体" w:cs="宋体"/>
          <w:color w:val="auto"/>
          <w:sz w:val="24"/>
          <w:szCs w:val="24"/>
          <w:lang w:eastAsia="zh-CN"/>
        </w:rPr>
        <w:t>采购代理机构对已发出的招标文件进行必要澄清或者修改的，在财政部门指定的政府采购信息发布媒体上发布更正公告，并以书面形式通知所有获取招标文件的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。该澄清或者修改的内容为招标文件的组成部分。</w:t>
      </w:r>
    </w:p>
    <w:p w14:paraId="02F8C68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lang w:eastAsia="zh-CN"/>
        </w:rPr>
        <w:t>.2澄清或者修改的内容可能影响投标文件编制的，采购代理机构在投标截止时间至少15日前，以书面形式通知所有获取招标文件的潜在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；不足15日的，采购代理机构将顺延提交投标文件的截止时间。</w:t>
      </w:r>
    </w:p>
    <w:p w14:paraId="1E09659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lang w:eastAsia="zh-CN"/>
        </w:rPr>
        <w:t>.3采购代理机构和采购单位可以视项目具体情况，延长投标截止时间和推迟开标时间，但至少在招标文件要求提交投标文件的截止时间前将变更时间书面通知所有获取招标文件的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，并在财政部门指定的政府采购信息发布媒体上发布变更公告。</w:t>
      </w:r>
    </w:p>
    <w:p w14:paraId="0F9BCBFE">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b/>
          <w:color w:val="auto"/>
          <w:sz w:val="24"/>
          <w:szCs w:val="24"/>
          <w:lang w:val="en-US" w:eastAsia="zh-CN"/>
        </w:rPr>
      </w:pPr>
      <w:bookmarkStart w:id="614" w:name="_Toc88646735"/>
      <w:bookmarkStart w:id="615" w:name="_Toc6927"/>
      <w:bookmarkStart w:id="616" w:name="_Toc351"/>
      <w:bookmarkStart w:id="617" w:name="_Toc88638761"/>
      <w:bookmarkStart w:id="618" w:name="_Toc3212"/>
      <w:r>
        <w:rPr>
          <w:rFonts w:hint="eastAsia" w:ascii="宋体" w:hAnsi="宋体" w:eastAsia="宋体" w:cs="宋体"/>
          <w:color w:val="auto"/>
          <w:sz w:val="24"/>
          <w:szCs w:val="24"/>
          <w:lang w:eastAsia="zh-CN"/>
        </w:rPr>
        <w:t>3.投标文件</w:t>
      </w:r>
      <w:bookmarkEnd w:id="614"/>
      <w:bookmarkEnd w:id="615"/>
      <w:bookmarkEnd w:id="616"/>
      <w:bookmarkEnd w:id="617"/>
      <w:bookmarkEnd w:id="618"/>
    </w:p>
    <w:p w14:paraId="329ADB3B">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3.1 </w:t>
      </w:r>
      <w:r>
        <w:rPr>
          <w:rFonts w:hint="eastAsia" w:ascii="宋体" w:hAnsi="宋体" w:eastAsia="宋体" w:cs="宋体"/>
          <w:b/>
          <w:color w:val="auto"/>
          <w:sz w:val="24"/>
          <w:szCs w:val="24"/>
        </w:rPr>
        <w:t>投标文件编写注意事项</w:t>
      </w:r>
    </w:p>
    <w:p w14:paraId="7D5AF17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3.1</w:t>
      </w:r>
      <w:r>
        <w:rPr>
          <w:rFonts w:hint="eastAsia" w:ascii="宋体" w:hAnsi="宋体" w:eastAsia="宋体" w:cs="宋体"/>
          <w:color w:val="auto"/>
          <w:sz w:val="24"/>
          <w:szCs w:val="24"/>
        </w:rPr>
        <w:t>.1</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应仔细阅读招标文件，在完全了解采购的内容、技术性能要求和商务条件后，编写投标文件。招标文件中标注★号的条款为实质性要求和条件，投标文件必须作出实质性响应，不满足任何一项标注★号的条款，将导致投标无效。</w:t>
      </w:r>
    </w:p>
    <w:p w14:paraId="0E607F0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val="en-US" w:eastAsia="zh-CN"/>
        </w:rPr>
        <w:t>3.1</w:t>
      </w:r>
      <w:r>
        <w:rPr>
          <w:rFonts w:hint="eastAsia" w:ascii="宋体" w:hAnsi="宋体" w:eastAsia="宋体" w:cs="宋体"/>
          <w:color w:val="auto"/>
          <w:sz w:val="24"/>
          <w:szCs w:val="24"/>
        </w:rPr>
        <w:t>.2对招标文件提出的实质性要求和条件作出响应是指：</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必须对招标文件中的实质性要求和条件的内容作出满足或者优于招标文件要求和条件的承诺，并按招标文件要求提供相应的证明材料。</w:t>
      </w:r>
    </w:p>
    <w:p w14:paraId="3D00A763">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619" w:name="_Toc3892"/>
      <w:bookmarkStart w:id="620" w:name="_Toc4336"/>
      <w:bookmarkStart w:id="621" w:name="_Toc5445"/>
      <w:bookmarkStart w:id="622" w:name="_Toc5378"/>
      <w:bookmarkStart w:id="623" w:name="_Toc1612"/>
      <w:bookmarkStart w:id="624" w:name="_Toc24941"/>
      <w:bookmarkStart w:id="625" w:name="_Toc12728"/>
      <w:bookmarkStart w:id="626" w:name="_Toc22636"/>
      <w:bookmarkStart w:id="627" w:name="_Toc14941"/>
      <w:bookmarkStart w:id="628" w:name="_Toc22014"/>
      <w:bookmarkStart w:id="629" w:name="_Toc14013"/>
      <w:bookmarkStart w:id="630" w:name="_Toc1578"/>
      <w:bookmarkStart w:id="631" w:name="_Toc20342"/>
      <w:bookmarkStart w:id="632" w:name="_Toc9145"/>
      <w:bookmarkStart w:id="633" w:name="_Toc13881"/>
      <w:bookmarkStart w:id="634" w:name="_Toc23089"/>
      <w:bookmarkStart w:id="635" w:name="_Toc17397"/>
      <w:bookmarkStart w:id="636" w:name="_Toc6621"/>
      <w:bookmarkStart w:id="637" w:name="_Toc4960"/>
      <w:bookmarkStart w:id="638" w:name="_Toc12712"/>
      <w:r>
        <w:rPr>
          <w:rFonts w:hint="eastAsia" w:ascii="宋体" w:hAnsi="宋体" w:eastAsia="宋体" w:cs="宋体"/>
          <w:b/>
          <w:color w:val="auto"/>
          <w:sz w:val="24"/>
          <w:szCs w:val="24"/>
          <w:lang w:eastAsia="zh-CN"/>
        </w:rPr>
        <w:t>3.</w:t>
      </w:r>
      <w:r>
        <w:rPr>
          <w:rFonts w:hint="eastAsia" w:ascii="宋体" w:hAnsi="宋体" w:eastAsia="宋体" w:cs="宋体"/>
          <w:b/>
          <w:color w:val="auto"/>
          <w:sz w:val="24"/>
          <w:szCs w:val="24"/>
          <w:lang w:val="en-US" w:eastAsia="zh-CN"/>
        </w:rPr>
        <w:t>2</w:t>
      </w:r>
      <w:r>
        <w:rPr>
          <w:rFonts w:hint="eastAsia" w:ascii="宋体" w:hAnsi="宋体" w:eastAsia="宋体" w:cs="宋体"/>
          <w:b/>
          <w:color w:val="auto"/>
          <w:sz w:val="24"/>
          <w:szCs w:val="24"/>
          <w:lang w:eastAsia="zh-CN"/>
        </w:rPr>
        <w:t xml:space="preserve"> 投标文件的组成</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14:paraId="61AFA03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编写的投标文件应由下列部分构成，并按“第六章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投标文件格式”要求填写。</w:t>
      </w:r>
    </w:p>
    <w:p w14:paraId="33F78A6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lang w:val="en-US" w:eastAsia="zh-CN"/>
        </w:rPr>
        <w:t>资格审查部分</w:t>
      </w:r>
      <w:r>
        <w:rPr>
          <w:rFonts w:hint="eastAsia" w:ascii="宋体" w:hAnsi="宋体" w:eastAsia="宋体" w:cs="宋体"/>
          <w:color w:val="auto"/>
          <w:sz w:val="24"/>
          <w:szCs w:val="24"/>
          <w:lang w:eastAsia="zh-CN"/>
        </w:rPr>
        <w:t>；</w:t>
      </w:r>
    </w:p>
    <w:p w14:paraId="438EE7B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2报价部分</w:t>
      </w:r>
      <w:r>
        <w:rPr>
          <w:rFonts w:hint="eastAsia" w:ascii="宋体" w:hAnsi="宋体" w:cs="宋体"/>
          <w:color w:val="auto"/>
          <w:sz w:val="24"/>
          <w:szCs w:val="24"/>
          <w:lang w:val="en-US" w:eastAsia="zh-CN"/>
        </w:rPr>
        <w:t>；</w:t>
      </w:r>
    </w:p>
    <w:p w14:paraId="1870FDA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3技术、商务</w:t>
      </w:r>
      <w:r>
        <w:rPr>
          <w:rFonts w:hint="eastAsia" w:ascii="宋体" w:hAnsi="宋体" w:eastAsia="宋体" w:cs="宋体"/>
          <w:color w:val="auto"/>
          <w:sz w:val="24"/>
          <w:szCs w:val="24"/>
          <w:lang w:eastAsia="zh-CN"/>
        </w:rPr>
        <w:t>部分</w:t>
      </w:r>
      <w:r>
        <w:rPr>
          <w:rFonts w:hint="eastAsia" w:ascii="宋体" w:hAnsi="宋体" w:cs="宋体"/>
          <w:color w:val="auto"/>
          <w:sz w:val="24"/>
          <w:szCs w:val="24"/>
          <w:lang w:eastAsia="zh-CN"/>
        </w:rPr>
        <w:t>；</w:t>
      </w:r>
    </w:p>
    <w:p w14:paraId="7697BFE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3.4</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同时投多个包的，投标文件应按包分别编制，单独成册。</w:t>
      </w:r>
    </w:p>
    <w:p w14:paraId="0D4B8401">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639" w:name="_Toc6894"/>
      <w:bookmarkStart w:id="640" w:name="_Toc21886"/>
      <w:bookmarkStart w:id="641" w:name="_Toc9788"/>
      <w:bookmarkStart w:id="642" w:name="_Toc5971"/>
      <w:bookmarkStart w:id="643" w:name="_Toc13605"/>
      <w:bookmarkStart w:id="644" w:name="_Toc14196"/>
      <w:bookmarkStart w:id="645" w:name="_Toc10943"/>
      <w:bookmarkStart w:id="646" w:name="_Toc29292"/>
      <w:bookmarkStart w:id="647" w:name="_Toc27586"/>
      <w:bookmarkStart w:id="648" w:name="_Toc21801"/>
      <w:bookmarkStart w:id="649" w:name="_Toc29118"/>
      <w:bookmarkStart w:id="650" w:name="_Toc11133"/>
      <w:bookmarkStart w:id="651" w:name="_Toc28693"/>
      <w:bookmarkStart w:id="652" w:name="_Toc8207"/>
      <w:bookmarkStart w:id="653" w:name="_Toc1848"/>
      <w:bookmarkStart w:id="654" w:name="_Toc19889"/>
      <w:bookmarkStart w:id="655" w:name="_Toc3572"/>
      <w:bookmarkStart w:id="656" w:name="_Toc16944"/>
      <w:bookmarkStart w:id="657" w:name="_Toc15438"/>
      <w:bookmarkStart w:id="658" w:name="_Toc6996"/>
      <w:r>
        <w:rPr>
          <w:rFonts w:hint="eastAsia" w:ascii="宋体" w:hAnsi="宋体" w:eastAsia="宋体" w:cs="宋体"/>
          <w:b/>
          <w:color w:val="auto"/>
          <w:sz w:val="24"/>
          <w:szCs w:val="24"/>
          <w:lang w:eastAsia="zh-CN"/>
        </w:rPr>
        <w:t>3.</w:t>
      </w:r>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lang w:eastAsia="zh-CN"/>
        </w:rPr>
        <w:t xml:space="preserve"> 投标报价</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14:paraId="4DB54D67">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.1本项目预算金额及最高限价见“</w:t>
      </w:r>
      <w:r>
        <w:rPr>
          <w:rFonts w:hint="eastAsia" w:hAnsi="宋体" w:cs="宋体"/>
          <w:b/>
          <w:bCs/>
          <w:color w:val="auto"/>
          <w:sz w:val="24"/>
          <w:szCs w:val="24"/>
          <w:lang w:eastAsia="zh-CN"/>
        </w:rPr>
        <w:t>供应商</w:t>
      </w:r>
      <w:r>
        <w:rPr>
          <w:rFonts w:hint="eastAsia" w:ascii="宋体" w:hAnsi="宋体" w:eastAsia="宋体" w:cs="宋体"/>
          <w:b/>
          <w:bCs/>
          <w:color w:val="auto"/>
          <w:sz w:val="24"/>
          <w:szCs w:val="24"/>
        </w:rPr>
        <w:t>须知前附表</w:t>
      </w:r>
      <w:r>
        <w:rPr>
          <w:rFonts w:hint="eastAsia" w:ascii="宋体" w:hAnsi="宋体" w:eastAsia="宋体" w:cs="宋体"/>
          <w:color w:val="auto"/>
          <w:sz w:val="24"/>
          <w:szCs w:val="24"/>
        </w:rPr>
        <w:t>”，若</w:t>
      </w:r>
      <w:r>
        <w:rPr>
          <w:rFonts w:hint="eastAsia" w:hAnsi="宋体" w:cs="宋体"/>
          <w:color w:val="auto"/>
          <w:sz w:val="24"/>
          <w:szCs w:val="24"/>
          <w:lang w:eastAsia="zh-CN"/>
        </w:rPr>
        <w:t>供应商</w:t>
      </w:r>
      <w:r>
        <w:rPr>
          <w:rFonts w:hint="eastAsia" w:ascii="宋体" w:hAnsi="宋体" w:eastAsia="宋体" w:cs="宋体"/>
          <w:color w:val="auto"/>
          <w:sz w:val="24"/>
          <w:szCs w:val="24"/>
        </w:rPr>
        <w:t>的投标报价超过最高限价，</w:t>
      </w:r>
      <w:r>
        <w:rPr>
          <w:rFonts w:hint="eastAsia" w:ascii="宋体" w:hAnsi="宋体" w:eastAsia="宋体" w:cs="宋体"/>
          <w:bCs/>
          <w:color w:val="auto"/>
          <w:sz w:val="24"/>
          <w:szCs w:val="24"/>
        </w:rPr>
        <w:t>按不实质性响应招标文件要求处理</w:t>
      </w:r>
      <w:r>
        <w:rPr>
          <w:rFonts w:hint="eastAsia" w:ascii="宋体" w:hAnsi="宋体" w:eastAsia="宋体" w:cs="宋体"/>
          <w:color w:val="auto"/>
          <w:sz w:val="24"/>
          <w:szCs w:val="24"/>
        </w:rPr>
        <w:t>。</w:t>
      </w:r>
    </w:p>
    <w:p w14:paraId="714EE9D9">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.2</w:t>
      </w:r>
      <w:r>
        <w:rPr>
          <w:rFonts w:hint="eastAsia" w:hAnsi="宋体" w:cs="宋体"/>
          <w:color w:val="auto"/>
          <w:sz w:val="24"/>
          <w:szCs w:val="24"/>
          <w:lang w:eastAsia="zh-CN"/>
        </w:rPr>
        <w:t>供应商</w:t>
      </w:r>
      <w:r>
        <w:rPr>
          <w:rFonts w:hint="eastAsia" w:ascii="宋体" w:hAnsi="宋体" w:eastAsia="宋体" w:cs="宋体"/>
          <w:color w:val="auto"/>
          <w:sz w:val="24"/>
          <w:szCs w:val="24"/>
        </w:rPr>
        <w:t>须就“</w:t>
      </w:r>
      <w:r>
        <w:rPr>
          <w:rFonts w:hint="eastAsia" w:ascii="宋体" w:hAnsi="宋体" w:eastAsia="宋体" w:cs="宋体"/>
          <w:b/>
          <w:bCs/>
          <w:color w:val="auto"/>
          <w:sz w:val="24"/>
          <w:szCs w:val="24"/>
          <w:lang w:val="en-US" w:eastAsia="zh-CN"/>
        </w:rPr>
        <w:t>第四章</w:t>
      </w:r>
      <w:r>
        <w:rPr>
          <w:rFonts w:hint="eastAsia" w:ascii="宋体" w:hAnsi="宋体" w:eastAsia="宋体" w:cs="宋体"/>
          <w:color w:val="auto"/>
          <w:sz w:val="24"/>
          <w:szCs w:val="24"/>
          <w:lang w:val="en-US" w:eastAsia="zh-CN"/>
        </w:rPr>
        <w:t xml:space="preserve"> </w:t>
      </w:r>
      <w:r>
        <w:rPr>
          <w:rFonts w:hint="eastAsia" w:ascii="宋体" w:hAnsi="宋体" w:eastAsia="宋体" w:cs="宋体"/>
          <w:b/>
          <w:bCs/>
          <w:color w:val="auto"/>
          <w:sz w:val="24"/>
          <w:szCs w:val="24"/>
          <w:lang w:val="en-US" w:eastAsia="zh-CN"/>
        </w:rPr>
        <w:t>采购需求及要求</w:t>
      </w:r>
      <w:r>
        <w:rPr>
          <w:rFonts w:hint="eastAsia" w:ascii="宋体" w:hAnsi="宋体" w:eastAsia="宋体" w:cs="宋体"/>
          <w:color w:val="auto"/>
          <w:sz w:val="24"/>
          <w:szCs w:val="24"/>
        </w:rPr>
        <w:t>”中的</w:t>
      </w:r>
      <w:r>
        <w:rPr>
          <w:rFonts w:hint="eastAsia" w:ascii="宋体" w:hAnsi="宋体" w:eastAsia="宋体" w:cs="宋体"/>
          <w:b/>
          <w:bCs/>
          <w:color w:val="auto"/>
          <w:sz w:val="24"/>
          <w:szCs w:val="24"/>
        </w:rPr>
        <w:t>所投包货物</w:t>
      </w:r>
      <w:r>
        <w:rPr>
          <w:rFonts w:hint="eastAsia" w:ascii="宋体" w:hAnsi="宋体" w:eastAsia="宋体" w:cs="宋体"/>
          <w:b/>
          <w:bCs/>
          <w:color w:val="auto"/>
          <w:sz w:val="24"/>
          <w:szCs w:val="24"/>
          <w:lang w:val="en-US" w:eastAsia="zh-CN"/>
        </w:rPr>
        <w:t>及伴随的服务</w:t>
      </w:r>
      <w:r>
        <w:rPr>
          <w:rFonts w:hint="eastAsia" w:ascii="宋体" w:hAnsi="宋体" w:eastAsia="宋体" w:cs="宋体"/>
          <w:b/>
          <w:bCs/>
          <w:color w:val="auto"/>
          <w:sz w:val="24"/>
          <w:szCs w:val="24"/>
        </w:rPr>
        <w:t>内容作完整唯一报价</w:t>
      </w:r>
      <w:r>
        <w:rPr>
          <w:rFonts w:hint="eastAsia" w:ascii="宋体" w:hAnsi="宋体" w:eastAsia="宋体" w:cs="宋体"/>
          <w:color w:val="auto"/>
          <w:sz w:val="24"/>
          <w:szCs w:val="24"/>
        </w:rPr>
        <w:t>。</w:t>
      </w:r>
    </w:p>
    <w:p w14:paraId="03C5D023">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.3</w:t>
      </w:r>
      <w:r>
        <w:rPr>
          <w:rFonts w:hint="eastAsia" w:hAnsi="宋体" w:cs="宋体"/>
          <w:color w:val="auto"/>
          <w:sz w:val="24"/>
          <w:szCs w:val="24"/>
          <w:lang w:eastAsia="zh-CN"/>
        </w:rPr>
        <w:t>供应商</w:t>
      </w:r>
      <w:r>
        <w:rPr>
          <w:rFonts w:hint="eastAsia" w:ascii="宋体" w:hAnsi="宋体" w:eastAsia="宋体" w:cs="宋体"/>
          <w:color w:val="auto"/>
          <w:sz w:val="24"/>
          <w:szCs w:val="24"/>
        </w:rPr>
        <w:t>应依据招标文件的要求及有关资料，按国家或行业现行技术经济标准、定额及规范，自行测算出满足招标要求的投标货物的竞争性报价。</w:t>
      </w:r>
      <w:r>
        <w:rPr>
          <w:rFonts w:hint="eastAsia" w:ascii="宋体" w:hAnsi="宋体" w:eastAsia="宋体" w:cs="宋体"/>
          <w:b/>
          <w:color w:val="auto"/>
          <w:sz w:val="24"/>
          <w:szCs w:val="24"/>
        </w:rPr>
        <w:t>投标报价</w:t>
      </w:r>
      <w:r>
        <w:rPr>
          <w:rFonts w:hint="eastAsia" w:ascii="宋体" w:hAnsi="宋体" w:eastAsia="宋体" w:cs="宋体"/>
          <w:color w:val="auto"/>
          <w:sz w:val="24"/>
          <w:szCs w:val="24"/>
        </w:rPr>
        <w:t>包括但不仅限于货物的出厂价、随机备品备件、运杂费、</w:t>
      </w:r>
      <w:r>
        <w:rPr>
          <w:rFonts w:hint="eastAsia" w:hAnsi="宋体" w:cs="宋体"/>
          <w:color w:val="auto"/>
          <w:sz w:val="24"/>
          <w:szCs w:val="24"/>
          <w:lang w:val="en-US" w:eastAsia="zh-CN"/>
        </w:rPr>
        <w:t>招标代理服务费</w:t>
      </w:r>
      <w:r>
        <w:rPr>
          <w:rFonts w:hint="eastAsia" w:hAnsi="宋体" w:cs="宋体"/>
          <w:color w:val="auto"/>
          <w:sz w:val="24"/>
          <w:szCs w:val="24"/>
          <w:lang w:eastAsia="zh-CN"/>
        </w:rPr>
        <w:t>供应商</w:t>
      </w:r>
      <w:r>
        <w:rPr>
          <w:rFonts w:hint="eastAsia" w:ascii="宋体" w:hAnsi="宋体" w:eastAsia="宋体" w:cs="宋体"/>
          <w:color w:val="auto"/>
          <w:sz w:val="24"/>
          <w:szCs w:val="24"/>
        </w:rPr>
        <w:t>技术服务费、保证期内缺陷的修复补救费用、市场价格变化的风险费用、利润、税金等响应招标文件所有技术、商务要求的价格总和，该报价应考虑市场风险、政策性风险、汇率风险等因素，并能保证</w:t>
      </w:r>
      <w:r>
        <w:rPr>
          <w:rFonts w:hint="eastAsia" w:hAnsi="宋体" w:cs="宋体"/>
          <w:color w:val="auto"/>
          <w:sz w:val="24"/>
          <w:szCs w:val="24"/>
          <w:lang w:eastAsia="zh-CN"/>
        </w:rPr>
        <w:t>供应商</w:t>
      </w:r>
      <w:r>
        <w:rPr>
          <w:rFonts w:hint="eastAsia" w:ascii="宋体" w:hAnsi="宋体" w:eastAsia="宋体" w:cs="宋体"/>
          <w:color w:val="auto"/>
          <w:sz w:val="24"/>
          <w:szCs w:val="24"/>
        </w:rPr>
        <w:t>完成履行合同所需的全部工作，此价格在合同签订后不得调整。</w:t>
      </w:r>
    </w:p>
    <w:p w14:paraId="36EABD40">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.4货物的</w:t>
      </w:r>
      <w:r>
        <w:rPr>
          <w:rFonts w:hint="eastAsia" w:ascii="宋体" w:hAnsi="宋体" w:eastAsia="宋体" w:cs="宋体"/>
          <w:b/>
          <w:color w:val="auto"/>
          <w:sz w:val="24"/>
          <w:szCs w:val="24"/>
        </w:rPr>
        <w:t>出厂价</w:t>
      </w:r>
      <w:r>
        <w:rPr>
          <w:rFonts w:hint="eastAsia" w:ascii="宋体" w:hAnsi="宋体" w:eastAsia="宋体" w:cs="宋体"/>
          <w:color w:val="auto"/>
          <w:sz w:val="24"/>
          <w:szCs w:val="24"/>
        </w:rPr>
        <w:t>指制造厂生产的，满足招标要求及符合国家质量检测标准的货物的价格。包括但不仅限于产品的设计费、</w:t>
      </w:r>
      <w:r>
        <w:rPr>
          <w:rFonts w:hint="eastAsia" w:hAnsi="宋体" w:cs="宋体"/>
          <w:color w:val="auto"/>
          <w:sz w:val="24"/>
          <w:szCs w:val="24"/>
          <w:lang w:eastAsia="zh-CN"/>
        </w:rPr>
        <w:t>供应商</w:t>
      </w:r>
      <w:r>
        <w:rPr>
          <w:rFonts w:hint="eastAsia" w:ascii="宋体" w:hAnsi="宋体" w:eastAsia="宋体" w:cs="宋体"/>
          <w:color w:val="auto"/>
          <w:sz w:val="24"/>
          <w:szCs w:val="24"/>
        </w:rPr>
        <w:t>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w:t>
      </w:r>
      <w:r>
        <w:rPr>
          <w:rFonts w:hint="eastAsia" w:ascii="宋体" w:hAnsi="宋体" w:eastAsia="宋体" w:cs="宋体"/>
          <w:bCs/>
          <w:color w:val="auto"/>
          <w:sz w:val="24"/>
          <w:szCs w:val="24"/>
        </w:rPr>
        <w:t>的价格</w:t>
      </w:r>
      <w:r>
        <w:rPr>
          <w:rFonts w:hint="eastAsia" w:ascii="宋体" w:hAnsi="宋体" w:eastAsia="宋体" w:cs="宋体"/>
          <w:color w:val="auto"/>
          <w:sz w:val="24"/>
          <w:szCs w:val="24"/>
        </w:rPr>
        <w:t>。</w:t>
      </w:r>
    </w:p>
    <w:p w14:paraId="51F8C05F">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.5进口组部件、元器件或全进口产品的全部费用须折合成人民币报价，并注明进口件的原产地，交货时需提供商检证明。汇率风险由</w:t>
      </w:r>
      <w:r>
        <w:rPr>
          <w:rFonts w:hint="eastAsia" w:hAnsi="宋体" w:cs="宋体"/>
          <w:color w:val="auto"/>
          <w:sz w:val="24"/>
          <w:szCs w:val="24"/>
          <w:lang w:eastAsia="zh-CN"/>
        </w:rPr>
        <w:t>供应商</w:t>
      </w:r>
      <w:r>
        <w:rPr>
          <w:rFonts w:hint="eastAsia" w:ascii="宋体" w:hAnsi="宋体" w:eastAsia="宋体" w:cs="宋体"/>
          <w:color w:val="auto"/>
          <w:sz w:val="24"/>
          <w:szCs w:val="24"/>
        </w:rPr>
        <w:t>自行承担。</w:t>
      </w:r>
    </w:p>
    <w:p w14:paraId="2024313D">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bCs/>
          <w:color w:val="auto"/>
          <w:sz w:val="24"/>
          <w:szCs w:val="24"/>
        </w:rPr>
        <w:t>.6</w:t>
      </w:r>
      <w:r>
        <w:rPr>
          <w:rFonts w:hint="eastAsia" w:ascii="宋体" w:hAnsi="宋体" w:eastAsia="宋体" w:cs="宋体"/>
          <w:b/>
          <w:color w:val="auto"/>
          <w:sz w:val="24"/>
          <w:szCs w:val="24"/>
        </w:rPr>
        <w:t>运杂费用</w:t>
      </w:r>
      <w:r>
        <w:rPr>
          <w:rFonts w:hint="eastAsia" w:ascii="宋体" w:hAnsi="宋体" w:eastAsia="宋体" w:cs="宋体"/>
          <w:color w:val="auto"/>
          <w:sz w:val="24"/>
          <w:szCs w:val="24"/>
        </w:rPr>
        <w:t>：即投标货物到</w:t>
      </w:r>
      <w:r>
        <w:rPr>
          <w:rFonts w:hint="eastAsia" w:hAnsi="宋体" w:cs="宋体"/>
          <w:color w:val="auto"/>
          <w:sz w:val="24"/>
          <w:szCs w:val="24"/>
          <w:lang w:eastAsia="zh-CN"/>
        </w:rPr>
        <w:t>服务地点</w:t>
      </w:r>
      <w:r>
        <w:rPr>
          <w:rFonts w:hint="eastAsia" w:ascii="宋体" w:hAnsi="宋体" w:eastAsia="宋体" w:cs="宋体"/>
          <w:color w:val="auto"/>
          <w:sz w:val="24"/>
          <w:szCs w:val="24"/>
        </w:rPr>
        <w:t>前的所有费用，包括铁路或公路运费、提货及转运费用、短途运费、包装费、装卸费用、加固费用、保险费等。</w:t>
      </w:r>
    </w:p>
    <w:p w14:paraId="5388B127">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.7</w:t>
      </w:r>
      <w:r>
        <w:rPr>
          <w:rFonts w:hint="eastAsia" w:ascii="宋体" w:hAnsi="宋体" w:eastAsia="宋体" w:cs="宋体"/>
          <w:b/>
          <w:color w:val="auto"/>
          <w:sz w:val="24"/>
          <w:szCs w:val="24"/>
        </w:rPr>
        <w:t>技术服务费用</w:t>
      </w:r>
      <w:r>
        <w:rPr>
          <w:rFonts w:hint="eastAsia" w:ascii="宋体" w:hAnsi="宋体" w:eastAsia="宋体" w:cs="宋体"/>
          <w:color w:val="auto"/>
          <w:sz w:val="24"/>
          <w:szCs w:val="24"/>
        </w:rPr>
        <w:t>包括：设计联络费用、现场服务（包括安装和调试费用）和人员培训的费用、技术资料费以及技术咨询协调费用等</w:t>
      </w:r>
      <w:r>
        <w:rPr>
          <w:rFonts w:hint="eastAsia" w:ascii="宋体" w:hAnsi="宋体" w:eastAsia="宋体" w:cs="宋体"/>
          <w:color w:val="auto"/>
          <w:sz w:val="24"/>
          <w:szCs w:val="24"/>
          <w:lang w:eastAsia="zh-CN"/>
        </w:rPr>
        <w:t>。</w:t>
      </w:r>
    </w:p>
    <w:p w14:paraId="1BC0E54F">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659" w:name="_Toc6834"/>
      <w:bookmarkStart w:id="660" w:name="_Toc19035"/>
      <w:bookmarkStart w:id="661" w:name="_Toc26958"/>
      <w:bookmarkStart w:id="662" w:name="_Toc7211"/>
      <w:bookmarkStart w:id="663" w:name="_Toc2343"/>
      <w:bookmarkStart w:id="664" w:name="_Toc12853"/>
      <w:bookmarkStart w:id="665" w:name="_Toc18844"/>
      <w:bookmarkStart w:id="666" w:name="_Toc17928"/>
      <w:bookmarkStart w:id="667" w:name="_Toc11774"/>
      <w:bookmarkStart w:id="668" w:name="_Toc13264"/>
      <w:bookmarkStart w:id="669" w:name="_Toc31623"/>
      <w:bookmarkStart w:id="670" w:name="_Toc12162"/>
      <w:bookmarkStart w:id="671" w:name="_Toc12978"/>
      <w:bookmarkStart w:id="672" w:name="_Toc19861"/>
      <w:bookmarkStart w:id="673" w:name="_Toc1529"/>
      <w:bookmarkStart w:id="674" w:name="_Toc24196"/>
      <w:bookmarkStart w:id="675" w:name="_Toc10993"/>
      <w:bookmarkStart w:id="676" w:name="_Toc21021"/>
      <w:bookmarkStart w:id="677" w:name="_Toc10050"/>
      <w:bookmarkStart w:id="678" w:name="_Toc12286"/>
      <w:r>
        <w:rPr>
          <w:rFonts w:hint="eastAsia" w:ascii="宋体" w:hAnsi="宋体" w:eastAsia="宋体" w:cs="宋体"/>
          <w:b/>
          <w:color w:val="auto"/>
          <w:sz w:val="24"/>
          <w:szCs w:val="24"/>
          <w:lang w:eastAsia="zh-CN"/>
        </w:rPr>
        <w:t>3.</w:t>
      </w:r>
      <w:r>
        <w:rPr>
          <w:rFonts w:hint="eastAsia" w:ascii="宋体" w:hAnsi="宋体" w:eastAsia="宋体" w:cs="宋体"/>
          <w:b/>
          <w:color w:val="auto"/>
          <w:sz w:val="24"/>
          <w:szCs w:val="24"/>
          <w:lang w:val="en-US" w:eastAsia="zh-CN"/>
        </w:rPr>
        <w:t>4</w:t>
      </w:r>
      <w:r>
        <w:rPr>
          <w:rFonts w:hint="eastAsia" w:ascii="宋体" w:hAnsi="宋体" w:eastAsia="宋体" w:cs="宋体"/>
          <w:b/>
          <w:color w:val="auto"/>
          <w:sz w:val="24"/>
          <w:szCs w:val="24"/>
          <w:lang w:eastAsia="zh-CN"/>
        </w:rPr>
        <w:t xml:space="preserve"> 投标有效期</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p w14:paraId="543C733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3.4</w:t>
      </w:r>
      <w:r>
        <w:rPr>
          <w:rFonts w:hint="eastAsia" w:ascii="宋体" w:hAnsi="宋体" w:eastAsia="宋体" w:cs="宋体"/>
          <w:color w:val="auto"/>
          <w:sz w:val="24"/>
          <w:szCs w:val="24"/>
          <w:lang w:eastAsia="zh-CN"/>
        </w:rPr>
        <w:t>.1在“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须知前附表”规定的投标有效期内，</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不得要求撤销或修改其投标文件。</w:t>
      </w:r>
    </w:p>
    <w:p w14:paraId="399D462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3.4</w:t>
      </w:r>
      <w:r>
        <w:rPr>
          <w:rFonts w:hint="eastAsia" w:ascii="宋体" w:hAnsi="宋体" w:eastAsia="宋体" w:cs="宋体"/>
          <w:color w:val="auto"/>
          <w:sz w:val="24"/>
          <w:szCs w:val="24"/>
          <w:lang w:eastAsia="zh-CN"/>
        </w:rPr>
        <w:t>.2投标有效期从提交投标文件的截止之日起算。投标文件中承诺的投标有效期应当不少于招标文件中载明的投标有效期。投标有效期内</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撤销投标文件的，采购代理机构可以不退还投标保证金。</w:t>
      </w:r>
    </w:p>
    <w:p w14:paraId="1EFB29F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3.4</w:t>
      </w:r>
      <w:r>
        <w:rPr>
          <w:rFonts w:hint="eastAsia" w:ascii="宋体" w:hAnsi="宋体" w:eastAsia="宋体" w:cs="宋体"/>
          <w:color w:val="auto"/>
          <w:sz w:val="24"/>
          <w:szCs w:val="24"/>
          <w:lang w:eastAsia="zh-CN"/>
        </w:rPr>
        <w:t>.3在特殊情况需要延长投标有效期的，采购人以书面形式通知所有</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延长投标有效期。</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同意延长的，应相应延长其投标保证金的有效期，但不得要求或被允许修改或撤销其投标文件；</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拒绝延长的，其投标文件失效，但</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有权收回其投标保证金。</w:t>
      </w:r>
    </w:p>
    <w:p w14:paraId="13E52F07">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679" w:name="_Toc24505"/>
      <w:bookmarkStart w:id="680" w:name="_Toc5773"/>
      <w:bookmarkStart w:id="681" w:name="_Toc7309"/>
      <w:bookmarkStart w:id="682" w:name="_Toc13302"/>
      <w:bookmarkStart w:id="683" w:name="_Toc5338"/>
      <w:bookmarkStart w:id="684" w:name="_Toc14695"/>
      <w:bookmarkStart w:id="685" w:name="_Toc16261"/>
      <w:bookmarkStart w:id="686" w:name="_Toc25259"/>
      <w:bookmarkStart w:id="687" w:name="_Toc31071"/>
      <w:bookmarkStart w:id="688" w:name="_Toc18821"/>
      <w:bookmarkStart w:id="689" w:name="_Toc267"/>
      <w:bookmarkStart w:id="690" w:name="_Toc11517"/>
      <w:bookmarkStart w:id="691" w:name="_Toc29250"/>
      <w:bookmarkStart w:id="692" w:name="_Toc27044"/>
      <w:bookmarkStart w:id="693" w:name="_Toc13851"/>
      <w:bookmarkStart w:id="694" w:name="_Toc17053"/>
      <w:bookmarkStart w:id="695" w:name="_Toc19745"/>
      <w:bookmarkStart w:id="696" w:name="_Toc29639"/>
      <w:bookmarkStart w:id="697" w:name="_Toc9017"/>
      <w:bookmarkStart w:id="698" w:name="_Toc32544"/>
      <w:r>
        <w:rPr>
          <w:rFonts w:hint="eastAsia" w:ascii="宋体" w:hAnsi="宋体" w:eastAsia="宋体" w:cs="宋体"/>
          <w:b/>
          <w:color w:val="auto"/>
          <w:sz w:val="24"/>
          <w:szCs w:val="24"/>
          <w:lang w:eastAsia="zh-CN"/>
        </w:rPr>
        <w:t>3.</w:t>
      </w:r>
      <w:r>
        <w:rPr>
          <w:rFonts w:hint="eastAsia" w:ascii="宋体" w:hAnsi="宋体" w:eastAsia="宋体" w:cs="宋体"/>
          <w:b/>
          <w:color w:val="auto"/>
          <w:sz w:val="24"/>
          <w:szCs w:val="24"/>
          <w:lang w:val="en-US" w:eastAsia="zh-CN"/>
        </w:rPr>
        <w:t>5</w:t>
      </w:r>
      <w:r>
        <w:rPr>
          <w:rFonts w:hint="eastAsia" w:ascii="宋体" w:hAnsi="宋体" w:eastAsia="宋体" w:cs="宋体"/>
          <w:b/>
          <w:color w:val="auto"/>
          <w:sz w:val="24"/>
          <w:szCs w:val="24"/>
          <w:lang w:eastAsia="zh-CN"/>
        </w:rPr>
        <w:t xml:space="preserve"> 投标保证金</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p w14:paraId="634F491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在递交投标文件的同时，应按</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须知前附表规定的金额、形式递交投标保证金。联合体投标的，其投标保证金可以由牵头人递交。</w:t>
      </w:r>
    </w:p>
    <w:p w14:paraId="664CBF3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 xml:space="preserve">.2 </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不按本章第3.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.1 项要求提交投标保证金的，其投标将被视为无效投标。</w:t>
      </w:r>
    </w:p>
    <w:p w14:paraId="05267F5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.3 采购人或者采购代理机构应当自中标通知书发出之日起5个工作日内退还未中标人的投标保证金，自采购合同签订之日起5个工作日内退还中标人的投标保证金。</w:t>
      </w:r>
    </w:p>
    <w:p w14:paraId="0E6FEE6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.4 有下列情形之一的，投标保证金将不予退还：</w:t>
      </w:r>
    </w:p>
    <w:p w14:paraId="4A2F9DA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在投标有效期内撤销投标文件；</w:t>
      </w:r>
    </w:p>
    <w:p w14:paraId="26805A1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（2）中标人在收到中标通知书后，无正当理由不与采购人订立合同，在签订合同时向采购人提出附加条件，或者不按照招标文件要求提交履约保证金；</w:t>
      </w:r>
    </w:p>
    <w:p w14:paraId="77D8A4D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（3）其他法律法规要求不予退还投标保证金的情形。</w:t>
      </w:r>
    </w:p>
    <w:p w14:paraId="3ED63CD2">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699" w:name="_Toc31786"/>
      <w:bookmarkStart w:id="700" w:name="_Toc30061"/>
      <w:bookmarkStart w:id="701" w:name="_Toc12703"/>
      <w:bookmarkStart w:id="702" w:name="_Toc19819"/>
      <w:bookmarkStart w:id="703" w:name="_Toc14838"/>
      <w:bookmarkStart w:id="704" w:name="_Toc16809"/>
      <w:bookmarkStart w:id="705" w:name="_Toc27799"/>
      <w:bookmarkStart w:id="706" w:name="_Toc4477"/>
      <w:bookmarkStart w:id="707" w:name="_Toc15120"/>
      <w:bookmarkStart w:id="708" w:name="_Toc24298"/>
      <w:bookmarkStart w:id="709" w:name="_Toc27906"/>
      <w:bookmarkStart w:id="710" w:name="_Toc3424"/>
      <w:bookmarkStart w:id="711" w:name="_Toc15057"/>
      <w:bookmarkStart w:id="712" w:name="_Toc4786"/>
      <w:bookmarkStart w:id="713" w:name="_Toc25032"/>
      <w:bookmarkStart w:id="714" w:name="_Toc9302"/>
      <w:bookmarkStart w:id="715" w:name="_Toc6076"/>
      <w:bookmarkStart w:id="716" w:name="_Toc13009"/>
      <w:bookmarkStart w:id="717" w:name="_Toc6627"/>
      <w:bookmarkStart w:id="718" w:name="_Toc19601"/>
      <w:r>
        <w:rPr>
          <w:rFonts w:hint="eastAsia" w:ascii="宋体" w:hAnsi="宋体" w:eastAsia="宋体" w:cs="宋体"/>
          <w:b/>
          <w:color w:val="auto"/>
          <w:sz w:val="24"/>
          <w:szCs w:val="24"/>
          <w:lang w:eastAsia="zh-CN"/>
        </w:rPr>
        <w:t>3.</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lang w:eastAsia="zh-CN"/>
        </w:rPr>
        <w:t xml:space="preserve"> 投标文件的编制</w:t>
      </w:r>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14:paraId="1449D874">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.1投标文件全部采用电子文档，</w:t>
      </w:r>
      <w:r>
        <w:rPr>
          <w:rFonts w:hint="eastAsia" w:hAnsi="宋体" w:cs="宋体"/>
          <w:color w:val="auto"/>
          <w:sz w:val="24"/>
          <w:szCs w:val="24"/>
          <w:lang w:eastAsia="zh-CN"/>
        </w:rPr>
        <w:t>供应商</w:t>
      </w:r>
      <w:r>
        <w:rPr>
          <w:rFonts w:hint="eastAsia" w:ascii="宋体" w:hAnsi="宋体" w:eastAsia="宋体" w:cs="宋体"/>
          <w:color w:val="auto"/>
          <w:sz w:val="24"/>
          <w:szCs w:val="24"/>
        </w:rPr>
        <w:t>应安装客户端软件—“政采云电子交易客户端”，并按照招标文件和政采云电子交易平台的要求编制，编制后应进行电子签名及加密。</w:t>
      </w:r>
    </w:p>
    <w:p w14:paraId="5C01F74E">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.2如</w:t>
      </w:r>
      <w:r>
        <w:rPr>
          <w:rFonts w:hint="eastAsia" w:hAnsi="宋体" w:cs="宋体"/>
          <w:color w:val="auto"/>
          <w:sz w:val="24"/>
          <w:szCs w:val="24"/>
          <w:lang w:eastAsia="zh-CN"/>
        </w:rPr>
        <w:t>供应商</w:t>
      </w:r>
      <w:r>
        <w:rPr>
          <w:rFonts w:hint="eastAsia" w:ascii="宋体" w:hAnsi="宋体" w:eastAsia="宋体" w:cs="宋体"/>
          <w:color w:val="auto"/>
          <w:sz w:val="24"/>
          <w:szCs w:val="24"/>
        </w:rPr>
        <w:t>提交的电子标书不符合要求或开标时无法读取导入或解密，其投标文件将不予受理。</w:t>
      </w:r>
    </w:p>
    <w:p w14:paraId="534F9610">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.3投标文件应尽量避免涂改、行间插字或删除。如果出现上述情况，改动之处应加盖单位章或由</w:t>
      </w:r>
      <w:r>
        <w:rPr>
          <w:rFonts w:hint="eastAsia" w:hAnsi="宋体" w:cs="宋体"/>
          <w:color w:val="auto"/>
          <w:sz w:val="24"/>
          <w:szCs w:val="24"/>
          <w:lang w:eastAsia="zh-CN"/>
        </w:rPr>
        <w:t>供应商</w:t>
      </w:r>
      <w:r>
        <w:rPr>
          <w:rFonts w:hint="eastAsia" w:ascii="宋体" w:hAnsi="宋体" w:eastAsia="宋体" w:cs="宋体"/>
          <w:color w:val="auto"/>
          <w:sz w:val="24"/>
          <w:szCs w:val="24"/>
        </w:rPr>
        <w:t>的法定代表人或其委托代理人签字确认。</w:t>
      </w:r>
    </w:p>
    <w:p w14:paraId="0F8F17A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.4关键内容字迹潦草、表达不清、未按要求填写而导致非唯一理解</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造成非实质性响应的将会被视为未实质性响应招标文件的投标文件。</w:t>
      </w:r>
    </w:p>
    <w:p w14:paraId="15DDB34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.5投标文件中提</w:t>
      </w:r>
      <w:r>
        <w:rPr>
          <w:rFonts w:hint="eastAsia" w:ascii="宋体" w:hAnsi="宋体" w:eastAsia="宋体" w:cs="宋体"/>
          <w:bCs/>
          <w:color w:val="auto"/>
          <w:sz w:val="24"/>
          <w:szCs w:val="24"/>
        </w:rPr>
        <w:t>供的资料（扫描件），内容必须清晰可辨，若内容模糊，无法辨识，均视为未提供。</w:t>
      </w:r>
    </w:p>
    <w:p w14:paraId="6B08DD9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按照投标文件格式，在规定的电子签名处逐一电子签名（电子签名或电子签章），要求盖章处应盖单位章（电子签章）。</w:t>
      </w:r>
    </w:p>
    <w:p w14:paraId="364FEC0B">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b/>
          <w:bCs/>
          <w:color w:val="auto"/>
          <w:sz w:val="24"/>
          <w:szCs w:val="24"/>
          <w:lang w:eastAsia="zh-CN"/>
        </w:rPr>
      </w:pPr>
      <w:bookmarkStart w:id="719" w:name="_Toc88638762"/>
      <w:bookmarkStart w:id="720" w:name="_Toc3718"/>
      <w:bookmarkStart w:id="721" w:name="_Toc29890"/>
      <w:bookmarkStart w:id="722" w:name="_Toc20113"/>
      <w:bookmarkStart w:id="723" w:name="_Toc88646736"/>
      <w:r>
        <w:rPr>
          <w:rFonts w:hint="eastAsia" w:ascii="宋体" w:hAnsi="宋体" w:eastAsia="宋体" w:cs="宋体"/>
          <w:color w:val="auto"/>
          <w:sz w:val="24"/>
          <w:szCs w:val="24"/>
          <w:lang w:eastAsia="zh-CN"/>
        </w:rPr>
        <w:t>4.投标</w:t>
      </w:r>
      <w:bookmarkEnd w:id="719"/>
      <w:bookmarkEnd w:id="720"/>
      <w:bookmarkEnd w:id="721"/>
      <w:bookmarkEnd w:id="722"/>
      <w:bookmarkEnd w:id="723"/>
    </w:p>
    <w:p w14:paraId="373BFF0C">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rPr>
          <w:rFonts w:hint="eastAsia" w:ascii="宋体" w:hAnsi="宋体" w:eastAsia="宋体" w:cs="宋体"/>
          <w:b/>
          <w:bCs/>
          <w:color w:val="auto"/>
          <w:sz w:val="24"/>
          <w:szCs w:val="24"/>
          <w:lang w:eastAsia="zh-CN"/>
        </w:rPr>
      </w:pPr>
      <w:bookmarkStart w:id="724" w:name="_Toc18292"/>
      <w:bookmarkStart w:id="725" w:name="_Toc31341"/>
      <w:bookmarkStart w:id="726" w:name="_Toc20182"/>
      <w:r>
        <w:rPr>
          <w:rFonts w:hint="eastAsia" w:ascii="宋体" w:hAnsi="宋体" w:eastAsia="宋体" w:cs="宋体"/>
          <w:b/>
          <w:bCs/>
          <w:color w:val="auto"/>
          <w:sz w:val="24"/>
          <w:szCs w:val="24"/>
          <w:lang w:eastAsia="zh-CN"/>
        </w:rPr>
        <w:t>4.1</w:t>
      </w:r>
      <w:bookmarkEnd w:id="724"/>
      <w:bookmarkEnd w:id="725"/>
      <w:bookmarkEnd w:id="726"/>
      <w:r>
        <w:rPr>
          <w:rFonts w:hint="eastAsia" w:ascii="宋体" w:hAnsi="宋体" w:eastAsia="宋体" w:cs="宋体"/>
          <w:b/>
          <w:bCs/>
          <w:color w:val="auto"/>
          <w:sz w:val="24"/>
          <w:szCs w:val="24"/>
          <w:lang w:eastAsia="zh-CN"/>
        </w:rPr>
        <w:t>投标文件的密封与标记</w:t>
      </w:r>
    </w:p>
    <w:p w14:paraId="7283962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4.1</w:t>
      </w:r>
      <w:r>
        <w:rPr>
          <w:rFonts w:hint="eastAsia" w:ascii="宋体" w:hAnsi="宋体" w:eastAsia="宋体" w:cs="宋体"/>
          <w:b w:val="0"/>
          <w:bCs w:val="0"/>
          <w:color w:val="auto"/>
          <w:sz w:val="24"/>
          <w:szCs w:val="24"/>
          <w:lang w:eastAsia="zh-CN"/>
        </w:rPr>
        <w:t>.1</w:t>
      </w:r>
      <w:r>
        <w:rPr>
          <w:rFonts w:hint="eastAsia" w:ascii="宋体" w:hAnsi="宋体"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进行电子交易应安装客户端软件—“政采云电子交易客户端”，并按照招标文件和电子交易平台的要求编制并加密投标文件。采购人未按规定加密的投标文件，电子交易平台将拒收并提示。</w:t>
      </w:r>
    </w:p>
    <w:p w14:paraId="136B250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4.1</w:t>
      </w:r>
      <w:r>
        <w:rPr>
          <w:rFonts w:hint="eastAsia" w:ascii="宋体" w:hAnsi="宋体" w:eastAsia="宋体" w:cs="宋体"/>
          <w:b w:val="0"/>
          <w:bCs w:val="0"/>
          <w:color w:val="auto"/>
          <w:sz w:val="24"/>
          <w:szCs w:val="24"/>
          <w:lang w:eastAsia="zh-CN"/>
        </w:rPr>
        <w:t>.2使用“政采云电子交易客户端”需要提前申领CA数字证书。</w:t>
      </w:r>
    </w:p>
    <w:p w14:paraId="7129956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b w:val="0"/>
          <w:bCs w:val="0"/>
          <w:color w:val="auto"/>
          <w:sz w:val="24"/>
          <w:szCs w:val="24"/>
          <w:lang w:val="en-US" w:eastAsia="zh-CN"/>
        </w:rPr>
        <w:t>4.1</w:t>
      </w:r>
      <w:r>
        <w:rPr>
          <w:rFonts w:hint="eastAsia" w:ascii="宋体" w:hAnsi="宋体" w:eastAsia="宋体" w:cs="宋体"/>
          <w:b w:val="0"/>
          <w:bCs w:val="0"/>
          <w:color w:val="auto"/>
          <w:sz w:val="24"/>
          <w:szCs w:val="24"/>
          <w:lang w:eastAsia="zh-CN"/>
        </w:rPr>
        <w:t>.3为确保网上操作合法、有效和安全，</w:t>
      </w:r>
      <w:r>
        <w:rPr>
          <w:rFonts w:hint="eastAsia" w:ascii="宋体" w:hAnsi="宋体"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应当在投标文件提交截止时间前完成在“政府采购云平台”的身份认证，确保在电子交易过程中能够对相关数据电文进行加密和使用电子签名。</w:t>
      </w:r>
    </w:p>
    <w:p w14:paraId="2187E884">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727" w:name="_Toc5474"/>
      <w:bookmarkStart w:id="728" w:name="_Toc6857"/>
      <w:bookmarkStart w:id="729" w:name="_Toc18628"/>
      <w:bookmarkStart w:id="730" w:name="_Toc22623"/>
      <w:bookmarkStart w:id="731" w:name="_Toc19726"/>
      <w:bookmarkStart w:id="732" w:name="_Toc16146"/>
      <w:bookmarkStart w:id="733" w:name="_Toc29642"/>
      <w:bookmarkStart w:id="734" w:name="_Toc17116"/>
      <w:bookmarkStart w:id="735" w:name="_Toc18730"/>
      <w:bookmarkStart w:id="736" w:name="_Toc23985"/>
      <w:bookmarkStart w:id="737" w:name="_Toc32013"/>
      <w:bookmarkStart w:id="738" w:name="_Toc18774"/>
      <w:bookmarkStart w:id="739" w:name="_Toc12351"/>
      <w:bookmarkStart w:id="740" w:name="_Toc14462"/>
      <w:bookmarkStart w:id="741" w:name="_Toc11262"/>
      <w:bookmarkStart w:id="742" w:name="_Toc17674"/>
      <w:bookmarkStart w:id="743" w:name="_Toc8187"/>
      <w:bookmarkStart w:id="744" w:name="_Toc3155"/>
      <w:bookmarkStart w:id="745" w:name="_Toc11219"/>
      <w:bookmarkStart w:id="746" w:name="_Toc32367"/>
      <w:r>
        <w:rPr>
          <w:rFonts w:hint="eastAsia" w:ascii="宋体" w:hAnsi="宋体" w:eastAsia="宋体" w:cs="宋体"/>
          <w:b/>
          <w:bCs/>
          <w:color w:val="auto"/>
          <w:sz w:val="24"/>
          <w:szCs w:val="24"/>
          <w:lang w:eastAsia="zh-CN"/>
        </w:rPr>
        <w:t>4.2提交投标文件的截止时间和地点</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47A67FB9">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.1投标文件的提交/上传不得迟于“</w:t>
      </w:r>
      <w:r>
        <w:rPr>
          <w:rFonts w:hint="eastAsia" w:hAnsi="宋体" w:cs="宋体"/>
          <w:b/>
          <w:bCs/>
          <w:color w:val="auto"/>
          <w:sz w:val="24"/>
          <w:szCs w:val="24"/>
          <w:lang w:eastAsia="zh-CN"/>
        </w:rPr>
        <w:t>供应商</w:t>
      </w:r>
      <w:r>
        <w:rPr>
          <w:rFonts w:hint="eastAsia" w:ascii="宋体" w:hAnsi="宋体" w:eastAsia="宋体" w:cs="宋体"/>
          <w:b/>
          <w:bCs/>
          <w:color w:val="auto"/>
          <w:sz w:val="24"/>
          <w:szCs w:val="24"/>
        </w:rPr>
        <w:t>须知前附表</w:t>
      </w:r>
      <w:r>
        <w:rPr>
          <w:rFonts w:hint="eastAsia" w:ascii="宋体" w:hAnsi="宋体" w:eastAsia="宋体" w:cs="宋体"/>
          <w:color w:val="auto"/>
          <w:sz w:val="24"/>
          <w:szCs w:val="24"/>
        </w:rPr>
        <w:t>”规定的提交投标文件截止时间。</w:t>
      </w:r>
      <w:r>
        <w:rPr>
          <w:rFonts w:hint="eastAsia" w:ascii="宋体" w:hAnsi="宋体" w:eastAsia="宋体" w:cs="宋体"/>
          <w:b/>
          <w:color w:val="auto"/>
          <w:sz w:val="24"/>
          <w:szCs w:val="24"/>
        </w:rPr>
        <w:t>逾期送达/上传的投标文件，将被拒收。</w:t>
      </w:r>
    </w:p>
    <w:p w14:paraId="22D4570F">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.2</w:t>
      </w:r>
      <w:r>
        <w:rPr>
          <w:rFonts w:hint="eastAsia" w:hAnsi="宋体" w:cs="宋体"/>
          <w:color w:val="auto"/>
          <w:sz w:val="24"/>
          <w:szCs w:val="24"/>
          <w:lang w:eastAsia="zh-CN"/>
        </w:rPr>
        <w:t>供应商</w:t>
      </w:r>
      <w:r>
        <w:rPr>
          <w:rFonts w:hint="eastAsia" w:ascii="宋体" w:hAnsi="宋体" w:eastAsia="宋体" w:cs="宋体"/>
          <w:color w:val="auto"/>
          <w:sz w:val="24"/>
          <w:szCs w:val="24"/>
        </w:rPr>
        <w:t>必须在规定时间内将投标文件提交到“</w:t>
      </w:r>
      <w:r>
        <w:rPr>
          <w:rFonts w:hint="eastAsia" w:hAnsi="宋体" w:cs="宋体"/>
          <w:b/>
          <w:bCs/>
          <w:color w:val="auto"/>
          <w:sz w:val="24"/>
          <w:szCs w:val="24"/>
          <w:lang w:eastAsia="zh-CN"/>
        </w:rPr>
        <w:t>供应商</w:t>
      </w:r>
      <w:r>
        <w:rPr>
          <w:rFonts w:hint="eastAsia" w:ascii="宋体" w:hAnsi="宋体" w:eastAsia="宋体" w:cs="宋体"/>
          <w:b/>
          <w:bCs/>
          <w:color w:val="auto"/>
          <w:sz w:val="24"/>
          <w:szCs w:val="24"/>
        </w:rPr>
        <w:t>须知前附表</w:t>
      </w:r>
      <w:r>
        <w:rPr>
          <w:rFonts w:hint="eastAsia" w:ascii="宋体" w:hAnsi="宋体" w:eastAsia="宋体" w:cs="宋体"/>
          <w:color w:val="auto"/>
          <w:sz w:val="24"/>
          <w:szCs w:val="24"/>
        </w:rPr>
        <w:t>”规定的地点。</w:t>
      </w:r>
    </w:p>
    <w:p w14:paraId="2F20939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.3除“</w:t>
      </w:r>
      <w:r>
        <w:rPr>
          <w:rFonts w:hint="eastAsia" w:ascii="宋体" w:hAnsi="宋体" w:cs="宋体"/>
          <w:b/>
          <w:color w:val="auto"/>
          <w:sz w:val="24"/>
          <w:szCs w:val="24"/>
          <w:lang w:eastAsia="zh-CN"/>
        </w:rPr>
        <w:t>供应商</w:t>
      </w:r>
      <w:r>
        <w:rPr>
          <w:rFonts w:hint="eastAsia" w:ascii="宋体" w:hAnsi="宋体" w:eastAsia="宋体" w:cs="宋体"/>
          <w:b/>
          <w:color w:val="auto"/>
          <w:sz w:val="24"/>
          <w:szCs w:val="24"/>
        </w:rPr>
        <w:t>须知前附表</w:t>
      </w:r>
      <w:r>
        <w:rPr>
          <w:rFonts w:hint="eastAsia" w:ascii="宋体" w:hAnsi="宋体" w:eastAsia="宋体" w:cs="宋体"/>
          <w:color w:val="auto"/>
          <w:sz w:val="24"/>
          <w:szCs w:val="24"/>
        </w:rPr>
        <w:t>”另有规定外，</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所递交的投标文件不予退还</w:t>
      </w:r>
      <w:r>
        <w:rPr>
          <w:rFonts w:hint="eastAsia" w:ascii="宋体" w:hAnsi="宋体" w:eastAsia="宋体" w:cs="宋体"/>
          <w:color w:val="auto"/>
          <w:sz w:val="24"/>
          <w:szCs w:val="24"/>
          <w:lang w:eastAsia="zh-CN"/>
        </w:rPr>
        <w:t>。</w:t>
      </w:r>
    </w:p>
    <w:p w14:paraId="7DEA63BB">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747" w:name="_Toc7481"/>
      <w:bookmarkStart w:id="748" w:name="_Toc9688"/>
      <w:bookmarkStart w:id="749" w:name="_Toc3574"/>
      <w:bookmarkStart w:id="750" w:name="_Toc17905"/>
      <w:bookmarkStart w:id="751" w:name="_Toc31811"/>
      <w:bookmarkStart w:id="752" w:name="_Toc22519"/>
      <w:bookmarkStart w:id="753" w:name="_Toc10645"/>
      <w:bookmarkStart w:id="754" w:name="_Toc19718"/>
      <w:bookmarkStart w:id="755" w:name="_Toc17662"/>
      <w:bookmarkStart w:id="756" w:name="_Toc23469"/>
      <w:bookmarkStart w:id="757" w:name="_Toc21136"/>
      <w:bookmarkStart w:id="758" w:name="_Toc29875"/>
      <w:bookmarkStart w:id="759" w:name="_Toc24881"/>
      <w:bookmarkStart w:id="760" w:name="_Toc21086"/>
      <w:bookmarkStart w:id="761" w:name="_Toc26138"/>
      <w:bookmarkStart w:id="762" w:name="_Toc27673"/>
      <w:bookmarkStart w:id="763" w:name="_Toc12267"/>
      <w:bookmarkStart w:id="764" w:name="_Toc31782"/>
      <w:bookmarkStart w:id="765" w:name="_Toc24728"/>
      <w:bookmarkStart w:id="766" w:name="_Toc2575"/>
      <w:r>
        <w:rPr>
          <w:rFonts w:hint="eastAsia" w:ascii="宋体" w:hAnsi="宋体" w:eastAsia="宋体" w:cs="宋体"/>
          <w:b/>
          <w:bCs/>
          <w:color w:val="auto"/>
          <w:sz w:val="24"/>
          <w:szCs w:val="24"/>
          <w:lang w:eastAsia="zh-CN"/>
        </w:rPr>
        <w:t>4.3电子投标文件的修改与撤回</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14:paraId="29948BB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在投标截止时间前，</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可以撤回在网上已递交的投标文件，修改后重新上传，无须书面形式通知采购人。</w:t>
      </w:r>
    </w:p>
    <w:p w14:paraId="28D62E8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4.3.2</w:t>
      </w:r>
      <w:r>
        <w:rPr>
          <w:rFonts w:hint="eastAsia" w:ascii="宋体" w:hAnsi="宋体" w:eastAsia="宋体" w:cs="宋体"/>
          <w:color w:val="auto"/>
          <w:sz w:val="24"/>
          <w:szCs w:val="24"/>
          <w:lang w:eastAsia="zh-CN"/>
        </w:rPr>
        <w:t>修改的投标文件应按照本章第</w:t>
      </w: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lang w:eastAsia="zh-CN"/>
        </w:rPr>
        <w:t>款、第</w:t>
      </w:r>
      <w:r>
        <w:rPr>
          <w:rFonts w:hint="eastAsia" w:ascii="宋体" w:hAnsi="宋体" w:eastAsia="宋体" w:cs="宋体"/>
          <w:color w:val="auto"/>
          <w:sz w:val="24"/>
          <w:szCs w:val="24"/>
          <w:lang w:val="en-US" w:eastAsia="zh-CN"/>
        </w:rPr>
        <w:t>4.1</w:t>
      </w:r>
      <w:r>
        <w:rPr>
          <w:rFonts w:hint="eastAsia" w:ascii="宋体" w:hAnsi="宋体" w:eastAsia="宋体" w:cs="宋体"/>
          <w:color w:val="auto"/>
          <w:sz w:val="24"/>
          <w:szCs w:val="24"/>
          <w:lang w:eastAsia="zh-CN"/>
        </w:rPr>
        <w:t>款的要求进行重新编制、加密和递交。</w:t>
      </w:r>
    </w:p>
    <w:p w14:paraId="2266E0A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4.3.3</w:t>
      </w:r>
      <w:r>
        <w:rPr>
          <w:rFonts w:hint="eastAsia" w:ascii="宋体" w:hAnsi="宋体" w:eastAsia="宋体" w:cs="宋体"/>
          <w:color w:val="auto"/>
          <w:sz w:val="24"/>
          <w:szCs w:val="24"/>
          <w:lang w:eastAsia="zh-CN"/>
        </w:rPr>
        <w:t>在投标截止时间后递交的投标文件不予撤回。</w:t>
      </w:r>
    </w:p>
    <w:p w14:paraId="527578C0">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color w:val="auto"/>
          <w:sz w:val="24"/>
          <w:szCs w:val="24"/>
          <w:lang w:eastAsia="zh-CN"/>
        </w:rPr>
      </w:pPr>
      <w:bookmarkStart w:id="767" w:name="_Toc29977"/>
      <w:bookmarkStart w:id="768" w:name="_Toc88638763"/>
      <w:bookmarkStart w:id="769" w:name="_Toc1890"/>
      <w:bookmarkStart w:id="770" w:name="_Toc25469"/>
      <w:bookmarkStart w:id="771" w:name="_Toc88646737"/>
      <w:r>
        <w:rPr>
          <w:rFonts w:hint="eastAsia" w:ascii="宋体" w:hAnsi="宋体" w:eastAsia="宋体" w:cs="宋体"/>
          <w:color w:val="auto"/>
          <w:sz w:val="24"/>
          <w:szCs w:val="24"/>
          <w:lang w:eastAsia="zh-CN"/>
        </w:rPr>
        <w:t>5.开标</w:t>
      </w:r>
      <w:bookmarkEnd w:id="767"/>
      <w:bookmarkEnd w:id="768"/>
      <w:bookmarkEnd w:id="769"/>
      <w:bookmarkEnd w:id="770"/>
      <w:bookmarkEnd w:id="771"/>
    </w:p>
    <w:p w14:paraId="1643554C">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.1采购代理机构将在“</w:t>
      </w:r>
      <w:r>
        <w:rPr>
          <w:rFonts w:hint="eastAsia" w:ascii="宋体" w:hAnsi="宋体" w:cs="宋体"/>
          <w:b/>
          <w:bCs/>
          <w:color w:val="auto"/>
          <w:sz w:val="24"/>
          <w:szCs w:val="24"/>
          <w:lang w:eastAsia="zh-CN"/>
        </w:rPr>
        <w:t>供应商</w:t>
      </w:r>
      <w:r>
        <w:rPr>
          <w:rFonts w:hint="eastAsia" w:ascii="宋体" w:hAnsi="宋体" w:eastAsia="宋体" w:cs="宋体"/>
          <w:b/>
          <w:bCs/>
          <w:color w:val="auto"/>
          <w:sz w:val="24"/>
          <w:szCs w:val="24"/>
          <w:lang w:eastAsia="zh-CN"/>
        </w:rPr>
        <w:t>须知前附表</w:t>
      </w:r>
      <w:r>
        <w:rPr>
          <w:rFonts w:hint="eastAsia" w:ascii="宋体" w:hAnsi="宋体" w:eastAsia="宋体" w:cs="宋体"/>
          <w:color w:val="auto"/>
          <w:sz w:val="24"/>
          <w:szCs w:val="24"/>
          <w:lang w:eastAsia="zh-CN"/>
        </w:rPr>
        <w:t>”规定的时间和地点进行开标。</w:t>
      </w:r>
    </w:p>
    <w:p w14:paraId="444B7F8C">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.2投标截止后</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不足3家的，不得开标。</w:t>
      </w:r>
    </w:p>
    <w:p w14:paraId="0F23B427">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.3开标程序：</w:t>
      </w:r>
    </w:p>
    <w:p w14:paraId="5E6336C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开标会由采购代理机构主持，具体流程如下：</w:t>
      </w:r>
    </w:p>
    <w:p w14:paraId="522762C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（1）采购代理机构依托电子交易平台发起开始解密指令，</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须使用加密时所用的CA锁按平台提示和招标文件的规定登录到“政采云”平台电子开标大厅签到，并在发起解密指令之时起</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分钟内完成对电子投标文件在线解密。</w:t>
      </w:r>
    </w:p>
    <w:p w14:paraId="34D818C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（2）发起解密指令之时起5分钟内</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还未进行解密的，代理机构可通知</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未预留联系方式或预留联系方式无效，导致代理机构无法联系到</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进行解密的，视为撤回投标文件。</w:t>
      </w:r>
    </w:p>
    <w:p w14:paraId="6A35DED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（解密异常情况处理：详见本章7.</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电子交易活动的中止）如</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成功解密投标文件，但未在“政采云”电子开标大厅参加开标的，视同认可开标过程和结果，由此产生的后果由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自行负责。</w:t>
      </w:r>
    </w:p>
    <w:p w14:paraId="202980AE">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.4开标工作人员将做开标记录。</w:t>
      </w:r>
    </w:p>
    <w:p w14:paraId="323C3117">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.5</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代表对开标过程和开标记录有疑义，以及认为采购人、采购代理机构相关工作人员有需要回避的情形的，应在线提出询问或者回避申请。采购人、采购代理机构对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代表提出的询问或者回避申请应当及时处理。</w:t>
      </w:r>
    </w:p>
    <w:p w14:paraId="47CE59D4">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color w:val="auto"/>
          <w:sz w:val="24"/>
          <w:szCs w:val="24"/>
          <w:lang w:eastAsia="zh-CN"/>
        </w:rPr>
      </w:pPr>
      <w:bookmarkStart w:id="772" w:name="_Toc11868"/>
      <w:bookmarkStart w:id="773" w:name="_Toc88646738"/>
      <w:bookmarkStart w:id="774" w:name="_Toc88638764"/>
      <w:bookmarkStart w:id="775" w:name="_Toc7007"/>
      <w:bookmarkStart w:id="776" w:name="_Toc30628"/>
      <w:r>
        <w:rPr>
          <w:rFonts w:hint="eastAsia" w:ascii="宋体" w:hAnsi="宋体" w:eastAsia="宋体" w:cs="宋体"/>
          <w:color w:val="auto"/>
          <w:sz w:val="24"/>
          <w:szCs w:val="24"/>
          <w:lang w:eastAsia="zh-CN"/>
        </w:rPr>
        <w:t>6.资格审查</w:t>
      </w:r>
      <w:bookmarkEnd w:id="772"/>
      <w:bookmarkEnd w:id="773"/>
      <w:bookmarkEnd w:id="774"/>
      <w:bookmarkEnd w:id="775"/>
      <w:bookmarkEnd w:id="776"/>
    </w:p>
    <w:p w14:paraId="1770D3F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开标结束后，采购人或者采购代理机构应当按照“资格审查</w:t>
      </w:r>
      <w:r>
        <w:rPr>
          <w:rFonts w:hint="eastAsia" w:ascii="宋体" w:hAnsi="宋体" w:eastAsia="宋体" w:cs="宋体"/>
          <w:color w:val="auto"/>
          <w:sz w:val="24"/>
          <w:szCs w:val="24"/>
          <w:lang w:val="en-US" w:eastAsia="zh-CN"/>
        </w:rPr>
        <w:t>标准</w:t>
      </w:r>
      <w:r>
        <w:rPr>
          <w:rFonts w:hint="eastAsia" w:ascii="宋体" w:hAnsi="宋体" w:eastAsia="宋体" w:cs="宋体"/>
          <w:color w:val="auto"/>
          <w:sz w:val="24"/>
          <w:szCs w:val="24"/>
          <w:lang w:eastAsia="zh-CN"/>
        </w:rPr>
        <w:t>”依法对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的资格进行审查，合格</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不足3家的，不得</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w:t>
      </w:r>
      <w:bookmarkStart w:id="777" w:name="_Toc88638765"/>
      <w:bookmarkStart w:id="778" w:name="_Toc88646739"/>
    </w:p>
    <w:p w14:paraId="65B082D2">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b/>
          <w:color w:val="auto"/>
          <w:sz w:val="24"/>
          <w:szCs w:val="24"/>
          <w:lang w:eastAsia="zh-CN"/>
        </w:rPr>
      </w:pPr>
      <w:bookmarkStart w:id="779" w:name="_Toc9355"/>
      <w:bookmarkStart w:id="780" w:name="_Toc18569"/>
      <w:bookmarkStart w:id="781" w:name="_Toc27986"/>
      <w:r>
        <w:rPr>
          <w:rFonts w:hint="eastAsia" w:ascii="宋体" w:hAnsi="宋体" w:eastAsia="宋体" w:cs="宋体"/>
          <w:color w:val="auto"/>
          <w:sz w:val="24"/>
          <w:szCs w:val="24"/>
          <w:lang w:eastAsia="zh-CN"/>
        </w:rPr>
        <w:t>7.</w:t>
      </w:r>
      <w:bookmarkEnd w:id="777"/>
      <w:bookmarkEnd w:id="778"/>
      <w:bookmarkEnd w:id="779"/>
      <w:bookmarkEnd w:id="780"/>
      <w:bookmarkEnd w:id="781"/>
      <w:r>
        <w:rPr>
          <w:rFonts w:hint="eastAsia" w:cs="宋体"/>
          <w:color w:val="auto"/>
          <w:sz w:val="24"/>
          <w:szCs w:val="24"/>
          <w:lang w:eastAsia="zh-CN"/>
        </w:rPr>
        <w:t>评审</w:t>
      </w:r>
    </w:p>
    <w:p w14:paraId="20DEACE1">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782" w:name="_Toc23054"/>
      <w:bookmarkStart w:id="783" w:name="_Toc18104"/>
      <w:bookmarkStart w:id="784" w:name="_Toc7368"/>
      <w:bookmarkStart w:id="785" w:name="_Toc26642"/>
      <w:bookmarkStart w:id="786" w:name="_Toc17064"/>
      <w:bookmarkStart w:id="787" w:name="_Toc237"/>
      <w:bookmarkStart w:id="788" w:name="_Toc30816"/>
      <w:bookmarkStart w:id="789" w:name="_Toc5808"/>
      <w:bookmarkStart w:id="790" w:name="_Toc28295"/>
      <w:bookmarkStart w:id="791" w:name="_Toc15086"/>
      <w:bookmarkStart w:id="792" w:name="_Toc5328"/>
      <w:bookmarkStart w:id="793" w:name="_Toc26312"/>
      <w:bookmarkStart w:id="794" w:name="_Toc3823"/>
      <w:bookmarkStart w:id="795" w:name="_Toc1046"/>
      <w:bookmarkStart w:id="796" w:name="_Toc18534"/>
      <w:bookmarkStart w:id="797" w:name="_Toc32323"/>
      <w:bookmarkStart w:id="798" w:name="_Toc12777"/>
      <w:bookmarkStart w:id="799" w:name="_Toc5396"/>
      <w:bookmarkStart w:id="800" w:name="_Toc6011"/>
      <w:bookmarkStart w:id="801" w:name="_Toc634"/>
      <w:r>
        <w:rPr>
          <w:rFonts w:hint="eastAsia" w:ascii="宋体" w:hAnsi="宋体" w:eastAsia="宋体" w:cs="宋体"/>
          <w:b/>
          <w:color w:val="auto"/>
          <w:sz w:val="24"/>
          <w:szCs w:val="24"/>
          <w:lang w:eastAsia="zh-CN"/>
        </w:rPr>
        <w:t xml:space="preserve">7.1 </w:t>
      </w:r>
      <w:r>
        <w:rPr>
          <w:rFonts w:hint="eastAsia" w:cs="宋体"/>
          <w:b/>
          <w:color w:val="auto"/>
          <w:sz w:val="24"/>
          <w:szCs w:val="24"/>
          <w:lang w:eastAsia="zh-CN"/>
        </w:rPr>
        <w:t>评审</w:t>
      </w:r>
      <w:r>
        <w:rPr>
          <w:rFonts w:hint="eastAsia" w:ascii="宋体" w:hAnsi="宋体" w:eastAsia="宋体" w:cs="宋体"/>
          <w:b/>
          <w:color w:val="auto"/>
          <w:sz w:val="24"/>
          <w:szCs w:val="24"/>
          <w:lang w:eastAsia="zh-CN"/>
        </w:rPr>
        <w:t>委员会</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p w14:paraId="1A46FE4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7.1.1</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由采购人依法组建的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委员会负责。</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委员会由采购人代表和有关技术、经济等方面的专家组成，成员人数应当为5人或以上单数。其中，技术、经济等方面的专家不得少于成员总数的三分之二。</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委员会应当推选组长，但采购人代表不得担任组长。</w:t>
      </w:r>
    </w:p>
    <w:p w14:paraId="19392F6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7.1.2采购人委派代表参加</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委员会的，要向采购代理机构出具授权函。</w:t>
      </w:r>
    </w:p>
    <w:p w14:paraId="0BD6AC4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7.1.3</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委员会成员有下列情形之一的，应当回避：</w:t>
      </w:r>
    </w:p>
    <w:p w14:paraId="23A3A0C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或</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主要负责人的近亲属；</w:t>
      </w:r>
    </w:p>
    <w:p w14:paraId="6981151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（2）项目主管部门或者行政监督部门的人员；</w:t>
      </w:r>
    </w:p>
    <w:p w14:paraId="1C24629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（3）与</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有经济利益关系，可能影响对投标公正评审的；</w:t>
      </w:r>
    </w:p>
    <w:p w14:paraId="7AD663F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（4）曾因在招标、</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以及其他与招标投标有关活动中从事违法行为而受过行政处罚或刑事处罚的；</w:t>
      </w:r>
    </w:p>
    <w:p w14:paraId="0FDEF23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（5）与</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有其他利害关系。</w:t>
      </w:r>
    </w:p>
    <w:p w14:paraId="0EFD073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7.1.4</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过程中，</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委员会成员有回避事由、擅离职守或者因健康等原因不能继续</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的，采购人有权更换。被更换的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委员会成员作出的评审结论无效，由更换后的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委员会成员重新进行评审。</w:t>
      </w:r>
    </w:p>
    <w:p w14:paraId="331A33A8">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802" w:name="_Toc26741"/>
      <w:bookmarkStart w:id="803" w:name="_Toc17967"/>
      <w:bookmarkStart w:id="804" w:name="_Toc14795"/>
      <w:bookmarkStart w:id="805" w:name="_Toc10498"/>
      <w:bookmarkStart w:id="806" w:name="_Toc6592"/>
      <w:bookmarkStart w:id="807" w:name="_Toc4757"/>
      <w:bookmarkStart w:id="808" w:name="_Toc9538"/>
      <w:bookmarkStart w:id="809" w:name="_Toc10814"/>
      <w:bookmarkStart w:id="810" w:name="_Toc9462"/>
      <w:bookmarkStart w:id="811" w:name="_Toc27686"/>
      <w:bookmarkStart w:id="812" w:name="_Toc9835"/>
      <w:bookmarkStart w:id="813" w:name="_Toc22581"/>
      <w:bookmarkStart w:id="814" w:name="_Toc6258"/>
      <w:bookmarkStart w:id="815" w:name="_Toc10667"/>
      <w:bookmarkStart w:id="816" w:name="_Toc5966"/>
      <w:bookmarkStart w:id="817" w:name="_Toc16829"/>
      <w:bookmarkStart w:id="818" w:name="_Toc22491"/>
      <w:bookmarkStart w:id="819" w:name="_Toc31831"/>
      <w:bookmarkStart w:id="820" w:name="_Toc24358"/>
      <w:bookmarkStart w:id="821" w:name="_Toc6000"/>
      <w:r>
        <w:rPr>
          <w:rFonts w:hint="eastAsia" w:ascii="宋体" w:hAnsi="宋体" w:eastAsia="宋体" w:cs="宋体"/>
          <w:b/>
          <w:color w:val="auto"/>
          <w:sz w:val="24"/>
          <w:szCs w:val="24"/>
          <w:lang w:eastAsia="zh-CN"/>
        </w:rPr>
        <w:t xml:space="preserve">7.2 </w:t>
      </w:r>
      <w:r>
        <w:rPr>
          <w:rFonts w:hint="eastAsia" w:cs="宋体"/>
          <w:b/>
          <w:color w:val="auto"/>
          <w:sz w:val="24"/>
          <w:szCs w:val="24"/>
          <w:lang w:eastAsia="zh-CN"/>
        </w:rPr>
        <w:t>评审</w:t>
      </w:r>
      <w:r>
        <w:rPr>
          <w:rFonts w:hint="eastAsia" w:ascii="宋体" w:hAnsi="宋体" w:eastAsia="宋体" w:cs="宋体"/>
          <w:b/>
          <w:color w:val="auto"/>
          <w:sz w:val="24"/>
          <w:szCs w:val="24"/>
          <w:lang w:eastAsia="zh-CN"/>
        </w:rPr>
        <w:t>原则</w:t>
      </w:r>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208E661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活动遵循公平、公正、科学和择优的原则。</w:t>
      </w:r>
    </w:p>
    <w:p w14:paraId="697ED936">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822" w:name="_Toc15958"/>
      <w:bookmarkStart w:id="823" w:name="_Toc25721"/>
      <w:bookmarkStart w:id="824" w:name="_Toc30704"/>
      <w:bookmarkStart w:id="825" w:name="_Toc13678"/>
      <w:bookmarkStart w:id="826" w:name="_Toc27928"/>
      <w:bookmarkStart w:id="827" w:name="_Toc6360"/>
      <w:bookmarkStart w:id="828" w:name="_Toc17322"/>
      <w:bookmarkStart w:id="829" w:name="_Toc20203"/>
      <w:bookmarkStart w:id="830" w:name="_Toc26761"/>
      <w:bookmarkStart w:id="831" w:name="_Toc24703"/>
      <w:bookmarkStart w:id="832" w:name="_Toc31257"/>
      <w:bookmarkStart w:id="833" w:name="_Toc4202"/>
      <w:bookmarkStart w:id="834" w:name="_Toc10907"/>
      <w:bookmarkStart w:id="835" w:name="_Toc9696"/>
      <w:bookmarkStart w:id="836" w:name="_Toc17114"/>
      <w:bookmarkStart w:id="837" w:name="_Toc9727"/>
      <w:bookmarkStart w:id="838" w:name="_Toc10237"/>
      <w:bookmarkStart w:id="839" w:name="_Toc30566"/>
      <w:bookmarkStart w:id="840" w:name="_Toc22573"/>
      <w:bookmarkStart w:id="841" w:name="_Toc14602"/>
      <w:r>
        <w:rPr>
          <w:rFonts w:hint="eastAsia" w:ascii="宋体" w:hAnsi="宋体" w:eastAsia="宋体" w:cs="宋体"/>
          <w:b/>
          <w:color w:val="auto"/>
          <w:sz w:val="24"/>
          <w:szCs w:val="24"/>
          <w:lang w:eastAsia="zh-CN"/>
        </w:rPr>
        <w:t xml:space="preserve">7.3 </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r>
        <w:rPr>
          <w:rFonts w:hint="eastAsia" w:cs="宋体"/>
          <w:b/>
          <w:color w:val="auto"/>
          <w:sz w:val="24"/>
          <w:szCs w:val="24"/>
          <w:lang w:eastAsia="zh-CN"/>
        </w:rPr>
        <w:t>评审</w:t>
      </w:r>
    </w:p>
    <w:p w14:paraId="23F2741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7.3.1</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委员会按照“第三章</w:t>
      </w:r>
      <w:r>
        <w:rPr>
          <w:rFonts w:hint="eastAsia" w:ascii="宋体" w:hAnsi="宋体" w:eastAsia="宋体" w:cs="宋体"/>
          <w:color w:val="auto"/>
          <w:sz w:val="24"/>
          <w:szCs w:val="24"/>
          <w:lang w:val="en-US" w:eastAsia="zh-CN"/>
        </w:rPr>
        <w:t xml:space="preserve"> 评审办法</w:t>
      </w:r>
      <w:r>
        <w:rPr>
          <w:rFonts w:hint="eastAsia" w:ascii="宋体" w:hAnsi="宋体" w:eastAsia="宋体" w:cs="宋体"/>
          <w:color w:val="auto"/>
          <w:sz w:val="24"/>
          <w:szCs w:val="24"/>
          <w:lang w:eastAsia="zh-CN"/>
        </w:rPr>
        <w:t>（综合评分法）”规定的方法、评审因素、标准和程序对投标文件进行评审。“第三章</w:t>
      </w:r>
      <w:r>
        <w:rPr>
          <w:rFonts w:hint="eastAsia" w:ascii="宋体" w:hAnsi="宋体" w:eastAsia="宋体" w:cs="宋体"/>
          <w:color w:val="auto"/>
          <w:sz w:val="24"/>
          <w:szCs w:val="24"/>
          <w:lang w:val="en-US" w:eastAsia="zh-CN"/>
        </w:rPr>
        <w:t xml:space="preserve"> 评审办法</w:t>
      </w:r>
      <w:r>
        <w:rPr>
          <w:rFonts w:hint="eastAsia" w:ascii="宋体" w:hAnsi="宋体" w:eastAsia="宋体" w:cs="宋体"/>
          <w:color w:val="auto"/>
          <w:sz w:val="24"/>
          <w:szCs w:val="24"/>
          <w:lang w:eastAsia="zh-CN"/>
        </w:rPr>
        <w:t>（综合评分法）”没有规定的方法、评审因素和标准，不作为</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依据。</w:t>
      </w:r>
    </w:p>
    <w:p w14:paraId="1EF2D5B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7.3.2</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应当在严格保密的情况下进行。任何单位和个人不得非法干预、影响</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办法的确定，以及</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过程和结果。</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委员会成员和与</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活动有关的人员在政府采购活动中应严格遵守政府采购评审工作纪律，不得向外界泄露评审情况。</w:t>
      </w:r>
    </w:p>
    <w:p w14:paraId="11185F2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7.3.3有下列情形之一的，视为</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串通投标，其投标无效：</w:t>
      </w:r>
    </w:p>
    <w:p w14:paraId="7E87562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的投标文件由同一单位或者个人编制；</w:t>
      </w:r>
    </w:p>
    <w:p w14:paraId="2DD9A01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委托同一单位或者个人办理投标事宜；</w:t>
      </w:r>
    </w:p>
    <w:p w14:paraId="60143A3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的投标文件载明的项目管理成员或者联系人员为同一人；</w:t>
      </w:r>
    </w:p>
    <w:p w14:paraId="3627562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的投标文件异常一致或者投标报价呈规律性差异；</w:t>
      </w:r>
    </w:p>
    <w:p w14:paraId="5F8C97C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（五）不同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的投标文件相互混装；</w:t>
      </w:r>
    </w:p>
    <w:p w14:paraId="07C0AB8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（六）不同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的投标保证金从同一单位或者个人的账户转出。</w:t>
      </w:r>
    </w:p>
    <w:p w14:paraId="1E80F59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7.3.4提供相同品牌产品且通过资格审查、符合性审查的不同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参加同一招标项目包投标的，按一家</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计算，评审后得分最高的同品牌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获得中标人推荐资格；评审得分相同的，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委员会将依次按技术部分得分高优先、价格部分得分高优先、商务部分得分高优先的顺序确定；所有得分均相等的，采取随机抽取方式确定，其他同品牌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不作为中标候选人。</w:t>
      </w:r>
    </w:p>
    <w:p w14:paraId="3823630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7.3.5 若单个项目（包）为非单一产品采购项目，对于招标文件“第二章</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须知”规定的核心产品，多家</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提供的核心产品品牌有一项品牌相同的，按 7.3.4款规定处理。</w:t>
      </w:r>
    </w:p>
    <w:p w14:paraId="4AAF262C">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0" w:firstLineChars="200"/>
        <w:jc w:val="left"/>
        <w:textAlignment w:val="auto"/>
        <w:outlineLvl w:val="2"/>
        <w:rPr>
          <w:rFonts w:hint="eastAsia" w:ascii="宋体" w:hAnsi="宋体" w:eastAsia="宋体" w:cs="宋体"/>
          <w:color w:val="auto"/>
          <w:sz w:val="24"/>
          <w:szCs w:val="24"/>
          <w:lang w:eastAsia="zh-CN"/>
        </w:rPr>
      </w:pPr>
      <w:bookmarkStart w:id="842" w:name="_Toc16997"/>
      <w:bookmarkStart w:id="843" w:name="_Toc21194"/>
      <w:bookmarkStart w:id="844" w:name="_Toc20837"/>
      <w:bookmarkStart w:id="845" w:name="_Toc3588"/>
      <w:bookmarkStart w:id="846" w:name="_Toc16178"/>
      <w:bookmarkStart w:id="847" w:name="_Toc8099"/>
      <w:bookmarkStart w:id="848" w:name="_Toc30610"/>
      <w:bookmarkStart w:id="849" w:name="_Toc3363"/>
      <w:bookmarkStart w:id="850" w:name="_Toc19990"/>
      <w:bookmarkStart w:id="851" w:name="_Toc9494"/>
      <w:bookmarkStart w:id="852" w:name="_Toc4330"/>
      <w:bookmarkStart w:id="853" w:name="_Toc5367"/>
      <w:bookmarkStart w:id="854" w:name="_Toc5045"/>
      <w:bookmarkStart w:id="855" w:name="_Toc20099"/>
      <w:bookmarkStart w:id="856" w:name="_Toc22518"/>
      <w:bookmarkStart w:id="857" w:name="_Toc28517"/>
      <w:bookmarkStart w:id="858" w:name="_Toc6485"/>
      <w:bookmarkStart w:id="859" w:name="_Toc18947"/>
      <w:bookmarkStart w:id="860" w:name="_Toc14962"/>
      <w:bookmarkStart w:id="861" w:name="_Toc6529"/>
      <w:r>
        <w:rPr>
          <w:rFonts w:hint="eastAsia" w:ascii="宋体" w:hAnsi="宋体" w:eastAsia="宋体" w:cs="宋体"/>
          <w:color w:val="auto"/>
          <w:sz w:val="24"/>
          <w:szCs w:val="24"/>
          <w:lang w:eastAsia="zh-CN"/>
        </w:rPr>
        <w:t>7.4 在招标采购中，出现下列情形之一的，应予废标：</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p w14:paraId="79F4387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（1）符合专业条件的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或者对招标文件作实质响应的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不足3家的；</w:t>
      </w:r>
    </w:p>
    <w:p w14:paraId="1935705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（2）出现影响采购公正的违法、违规行为的；</w:t>
      </w:r>
    </w:p>
    <w:p w14:paraId="18DE6A2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的报价均超过了采购预算，采购人不能支付的；</w:t>
      </w:r>
    </w:p>
    <w:p w14:paraId="6B5F54D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（4）因重大变故，采购任务取消的。</w:t>
      </w:r>
    </w:p>
    <w:p w14:paraId="6A2E6609">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7.5电子交易活动的中止：</w:t>
      </w:r>
    </w:p>
    <w:p w14:paraId="31C3BCE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采购过程中出现以下情形，导致电子交易平台无法正常运行，或者无法保证电子交易的公平、公正和安全时，采购机构可中止电子交易活动：</w:t>
      </w:r>
    </w:p>
    <w:p w14:paraId="67F5A13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（1）电子交易平台发生故障而无法登录访问的；</w:t>
      </w:r>
    </w:p>
    <w:p w14:paraId="7F64641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（2）电子交易平台应用或数据库出现错误，不能进行正常操作的；</w:t>
      </w:r>
    </w:p>
    <w:p w14:paraId="0C3E302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（3）电子交易平台发现严重安全漏洞，有潜在泄密危险的；</w:t>
      </w:r>
    </w:p>
    <w:p w14:paraId="549FC8E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（4）病毒发作导致不能进行正常操作的；</w:t>
      </w:r>
    </w:p>
    <w:p w14:paraId="66BBFD5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（4）其他无法保证电子交易的公平、公正和安全的情况。</w:t>
      </w:r>
    </w:p>
    <w:p w14:paraId="699EC61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7.5.1 出现以上情形，不影响采购公平、公正性的，采购组织机构可以待上述情形消除后继续组织电子交易活动；影响或可能影响采购公平、公正性的，经采购代理机构确认后，应当重新采购。采购代理机构必须对原有的资料及信息做出妥善保密处理，并报财政部门备案。</w:t>
      </w:r>
      <w:bookmarkStart w:id="862" w:name="_Toc88638766"/>
      <w:bookmarkStart w:id="863" w:name="_Toc88646740"/>
      <w:bookmarkStart w:id="864" w:name="_Toc16257"/>
      <w:bookmarkStart w:id="865" w:name="_Toc25460"/>
    </w:p>
    <w:p w14:paraId="5C9A474B">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b/>
          <w:color w:val="auto"/>
          <w:sz w:val="24"/>
          <w:szCs w:val="24"/>
          <w:lang w:eastAsia="zh-CN"/>
        </w:rPr>
      </w:pPr>
      <w:bookmarkStart w:id="866" w:name="_Toc8670"/>
      <w:r>
        <w:rPr>
          <w:rFonts w:hint="eastAsia" w:ascii="宋体" w:hAnsi="宋体" w:eastAsia="宋体" w:cs="宋体"/>
          <w:color w:val="auto"/>
          <w:sz w:val="24"/>
          <w:szCs w:val="24"/>
          <w:lang w:eastAsia="zh-CN"/>
        </w:rPr>
        <w:t>8.中标和合同</w:t>
      </w:r>
      <w:bookmarkEnd w:id="862"/>
      <w:bookmarkEnd w:id="863"/>
      <w:bookmarkEnd w:id="864"/>
      <w:bookmarkEnd w:id="865"/>
      <w:bookmarkEnd w:id="866"/>
    </w:p>
    <w:p w14:paraId="0C11405B">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867" w:name="_Toc24037"/>
      <w:bookmarkStart w:id="868" w:name="_Toc27383"/>
      <w:bookmarkStart w:id="869" w:name="_Toc28286"/>
      <w:bookmarkStart w:id="870" w:name="_Toc7383"/>
      <w:bookmarkStart w:id="871" w:name="_Toc9537"/>
      <w:bookmarkStart w:id="872" w:name="_Toc6758"/>
      <w:bookmarkStart w:id="873" w:name="_Toc16840"/>
      <w:bookmarkStart w:id="874" w:name="_Toc12421"/>
      <w:bookmarkStart w:id="875" w:name="_Toc14560"/>
      <w:bookmarkStart w:id="876" w:name="_Toc29865"/>
      <w:bookmarkStart w:id="877" w:name="_Toc5448"/>
      <w:bookmarkStart w:id="878" w:name="_Toc11208"/>
      <w:bookmarkStart w:id="879" w:name="_Toc13585"/>
      <w:bookmarkStart w:id="880" w:name="_Toc11595"/>
      <w:bookmarkStart w:id="881" w:name="_Toc32665"/>
      <w:bookmarkStart w:id="882" w:name="_Toc22135"/>
      <w:bookmarkStart w:id="883" w:name="_Toc15274"/>
      <w:bookmarkStart w:id="884" w:name="_Toc6062"/>
      <w:bookmarkStart w:id="885" w:name="_Toc22747"/>
      <w:bookmarkStart w:id="886" w:name="_Toc17332"/>
      <w:r>
        <w:rPr>
          <w:rFonts w:hint="eastAsia" w:ascii="宋体" w:hAnsi="宋体" w:eastAsia="宋体" w:cs="宋体"/>
          <w:b/>
          <w:color w:val="auto"/>
          <w:sz w:val="24"/>
          <w:szCs w:val="24"/>
          <w:lang w:eastAsia="zh-CN"/>
        </w:rPr>
        <w:t>8.1  中标人的确定</w:t>
      </w:r>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p>
    <w:p w14:paraId="7E7680B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8.1.1采购代理机构应当在</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结束之日起2个工作日内将</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报告送采购人确认。</w:t>
      </w:r>
    </w:p>
    <w:p w14:paraId="4290413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8.1.2采购人应当在收到</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报告之日起5个工作日内，在</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报告中推荐的中标候选人中按顺序确定中标人。</w:t>
      </w:r>
    </w:p>
    <w:p w14:paraId="24C1B01D">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887" w:name="_Toc21421"/>
      <w:bookmarkStart w:id="888" w:name="_Toc4702"/>
      <w:bookmarkStart w:id="889" w:name="_Toc3456"/>
      <w:bookmarkStart w:id="890" w:name="_Toc7644"/>
      <w:bookmarkStart w:id="891" w:name="_Toc21564"/>
      <w:bookmarkStart w:id="892" w:name="_Toc9497"/>
      <w:bookmarkStart w:id="893" w:name="_Toc28976"/>
      <w:bookmarkStart w:id="894" w:name="_Toc28975"/>
      <w:bookmarkStart w:id="895" w:name="_Toc23353"/>
      <w:bookmarkStart w:id="896" w:name="_Toc23830"/>
      <w:bookmarkStart w:id="897" w:name="_Toc14197"/>
      <w:bookmarkStart w:id="898" w:name="_Toc24832"/>
      <w:bookmarkStart w:id="899" w:name="_Toc10731"/>
      <w:bookmarkStart w:id="900" w:name="_Toc25554"/>
      <w:bookmarkStart w:id="901" w:name="_Toc27580"/>
      <w:bookmarkStart w:id="902" w:name="_Toc9133"/>
      <w:bookmarkStart w:id="903" w:name="_Toc27537"/>
      <w:bookmarkStart w:id="904" w:name="_Toc2817"/>
      <w:bookmarkStart w:id="905" w:name="_Toc8955"/>
      <w:bookmarkStart w:id="906" w:name="_Toc27022"/>
      <w:r>
        <w:rPr>
          <w:rFonts w:hint="eastAsia" w:ascii="宋体" w:hAnsi="宋体" w:eastAsia="宋体" w:cs="宋体"/>
          <w:b/>
          <w:color w:val="auto"/>
          <w:sz w:val="24"/>
          <w:szCs w:val="24"/>
          <w:lang w:eastAsia="zh-CN"/>
        </w:rPr>
        <w:t>8.2中标通知书</w:t>
      </w:r>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p>
    <w:p w14:paraId="2D6D9C3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8.2.1中标人确定之日起2个工作日内，采购代理机构在省级以上财政部门指定的媒体上公告中标结果，中标公告期限为1个工作日，同时向中标人发出中标通知书，向未中标人发出招标结果通知书。</w:t>
      </w:r>
    </w:p>
    <w:p w14:paraId="61F9267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8.2.2中标通知书是合同的一个组成部分。</w:t>
      </w:r>
    </w:p>
    <w:p w14:paraId="0BAB7888">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907" w:name="_Toc5298"/>
      <w:bookmarkStart w:id="908" w:name="_Toc13213"/>
      <w:bookmarkStart w:id="909" w:name="_Toc27171"/>
      <w:bookmarkStart w:id="910" w:name="_Toc30552"/>
      <w:bookmarkStart w:id="911" w:name="_Toc2587"/>
      <w:bookmarkStart w:id="912" w:name="_Toc32246"/>
      <w:bookmarkStart w:id="913" w:name="_Toc27005"/>
      <w:bookmarkStart w:id="914" w:name="_Toc20821"/>
      <w:bookmarkStart w:id="915" w:name="_Toc8949"/>
      <w:bookmarkStart w:id="916" w:name="_Toc19541"/>
      <w:bookmarkStart w:id="917" w:name="_Toc15803"/>
      <w:bookmarkStart w:id="918" w:name="_Toc6406"/>
      <w:bookmarkStart w:id="919" w:name="_Toc21922"/>
      <w:bookmarkStart w:id="920" w:name="_Toc12833"/>
      <w:bookmarkStart w:id="921" w:name="_Toc4285"/>
      <w:bookmarkStart w:id="922" w:name="_Toc11756"/>
      <w:bookmarkStart w:id="923" w:name="_Toc28865"/>
      <w:bookmarkStart w:id="924" w:name="_Toc4509"/>
      <w:bookmarkStart w:id="925" w:name="_Toc12986"/>
      <w:bookmarkStart w:id="926" w:name="_Toc9437"/>
      <w:r>
        <w:rPr>
          <w:rFonts w:hint="eastAsia" w:ascii="宋体" w:hAnsi="宋体" w:eastAsia="宋体" w:cs="宋体"/>
          <w:b/>
          <w:color w:val="auto"/>
          <w:sz w:val="24"/>
          <w:szCs w:val="24"/>
          <w:lang w:eastAsia="zh-CN"/>
        </w:rPr>
        <w:t>8.3签订合同</w:t>
      </w:r>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p>
    <w:p w14:paraId="41266CB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8.3.1采购人与中标人应当在中标通知书发出之日起30日内，按照招标文件和中标人投标文件的规定签订政府采购合同。</w:t>
      </w:r>
    </w:p>
    <w:p w14:paraId="4449D8D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8.3.2中标人因不可抗力或者自身原因不能履行政府采购合同的，或中标人拒绝与采购人签订合同的，采购人可以按照</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报告推荐的中标候选人名单排序，确定下一候选人为中标人，也可以重新开展政府采购活动。</w:t>
      </w:r>
    </w:p>
    <w:p w14:paraId="6B0FB0F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8.3.3政府采购合同履行中，采购人需追加与合同标的相同的货物的，在不改变合同其他条款的前提下，可以与中标人协商签订补充合同，但所有补充合同的采购金额不得超过原合同采购金额的10%。</w:t>
      </w:r>
    </w:p>
    <w:p w14:paraId="14833EC5">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927" w:name="_Toc23478"/>
      <w:bookmarkStart w:id="928" w:name="_Toc27483"/>
      <w:bookmarkStart w:id="929" w:name="_Toc9062"/>
      <w:bookmarkStart w:id="930" w:name="_Toc14791"/>
      <w:bookmarkStart w:id="931" w:name="_Toc4575"/>
      <w:bookmarkStart w:id="932" w:name="_Toc22875"/>
      <w:bookmarkStart w:id="933" w:name="_Toc29007"/>
      <w:bookmarkStart w:id="934" w:name="_Toc27485"/>
      <w:bookmarkStart w:id="935" w:name="_Toc14153"/>
      <w:bookmarkStart w:id="936" w:name="_Toc24934"/>
      <w:bookmarkStart w:id="937" w:name="_Toc19463"/>
      <w:bookmarkStart w:id="938" w:name="_Toc21476"/>
      <w:bookmarkStart w:id="939" w:name="_Toc14642"/>
      <w:bookmarkStart w:id="940" w:name="_Toc7740"/>
      <w:bookmarkStart w:id="941" w:name="_Toc24394"/>
      <w:bookmarkStart w:id="942" w:name="_Toc19011"/>
      <w:bookmarkStart w:id="943" w:name="_Toc7844"/>
      <w:bookmarkStart w:id="944" w:name="_Toc3019"/>
      <w:bookmarkStart w:id="945" w:name="_Toc11954"/>
      <w:bookmarkStart w:id="946" w:name="_Toc21759"/>
      <w:r>
        <w:rPr>
          <w:rFonts w:hint="eastAsia" w:ascii="宋体" w:hAnsi="宋体" w:eastAsia="宋体" w:cs="宋体"/>
          <w:b/>
          <w:color w:val="auto"/>
          <w:sz w:val="24"/>
          <w:szCs w:val="24"/>
          <w:lang w:eastAsia="zh-CN"/>
        </w:rPr>
        <w:t>8.4履约担保</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p w14:paraId="53269C4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8.4.1中标人应按“</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须知前附表”上确定的履约担保的金额及形式，向采购人提交履约担保，联合体中标的，其履约担保由牵头人递交。否则，视为放弃中标项目，投标保证金将不予退还。</w:t>
      </w:r>
    </w:p>
    <w:p w14:paraId="4A5B36E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8.4.2签订合同后，如中标人不按双方签订合同约定履约，则没收其全部履约保证金，履约保证金不足以赔偿损失的，按实际损失赔偿。</w:t>
      </w:r>
      <w:bookmarkStart w:id="947" w:name="_Toc88638767"/>
      <w:bookmarkStart w:id="948" w:name="_Toc88646741"/>
    </w:p>
    <w:p w14:paraId="1901BB0E">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color w:val="auto"/>
          <w:sz w:val="24"/>
          <w:szCs w:val="24"/>
          <w:lang w:eastAsia="zh-CN"/>
        </w:rPr>
      </w:pPr>
      <w:bookmarkStart w:id="949" w:name="_Toc15345"/>
      <w:bookmarkStart w:id="950" w:name="_Toc1190"/>
      <w:bookmarkStart w:id="951" w:name="_Toc16532"/>
      <w:r>
        <w:rPr>
          <w:rFonts w:hint="eastAsia" w:ascii="宋体" w:hAnsi="宋体" w:eastAsia="宋体" w:cs="宋体"/>
          <w:color w:val="auto"/>
          <w:sz w:val="24"/>
          <w:szCs w:val="24"/>
          <w:lang w:eastAsia="zh-CN"/>
        </w:rPr>
        <w:t>9.需要补充的其他内容</w:t>
      </w:r>
      <w:bookmarkEnd w:id="947"/>
      <w:bookmarkEnd w:id="948"/>
      <w:bookmarkEnd w:id="949"/>
      <w:bookmarkEnd w:id="950"/>
      <w:bookmarkEnd w:id="951"/>
    </w:p>
    <w:p w14:paraId="79BABE8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9.1中标人应在接受“中标通知书”前向采购代理机构一次付清代理服务费，代理机构向中标人收取代理服务费。</w:t>
      </w:r>
    </w:p>
    <w:p w14:paraId="1D9F59A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9.2投标文件全部采用电子文档，除</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须知前附表另有规定外，投标文件所附证书证件均为原件扫描件。</w:t>
      </w:r>
    </w:p>
    <w:p w14:paraId="0D82076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outlineLvl w:val="2"/>
        <w:rPr>
          <w:rFonts w:hint="eastAsia" w:ascii="宋体" w:hAnsi="宋体" w:eastAsia="宋体" w:cs="宋体"/>
          <w:color w:val="auto"/>
          <w:sz w:val="24"/>
          <w:szCs w:val="24"/>
          <w:lang w:eastAsia="zh-CN"/>
        </w:rPr>
      </w:pPr>
      <w:bookmarkStart w:id="952" w:name="_Toc19212"/>
      <w:bookmarkStart w:id="953" w:name="_Toc19201"/>
      <w:bookmarkStart w:id="954" w:name="_Toc12137"/>
      <w:bookmarkStart w:id="955" w:name="_Toc4772"/>
      <w:bookmarkStart w:id="956" w:name="_Toc30980"/>
      <w:bookmarkStart w:id="957" w:name="_Toc11246"/>
      <w:bookmarkStart w:id="958" w:name="_Toc15513"/>
      <w:bookmarkStart w:id="959" w:name="_Toc30360"/>
      <w:bookmarkStart w:id="960" w:name="_Toc26625"/>
      <w:bookmarkStart w:id="961" w:name="_Toc16081"/>
      <w:bookmarkStart w:id="962" w:name="_Toc7010"/>
      <w:bookmarkStart w:id="963" w:name="_Toc26986"/>
      <w:bookmarkStart w:id="964" w:name="_Toc19310"/>
      <w:bookmarkStart w:id="965" w:name="_Toc29444"/>
      <w:bookmarkStart w:id="966" w:name="_Toc18747"/>
      <w:bookmarkStart w:id="967" w:name="_Toc875"/>
      <w:bookmarkStart w:id="968" w:name="_Toc21247"/>
      <w:bookmarkStart w:id="969" w:name="_Toc6789"/>
      <w:bookmarkStart w:id="970" w:name="_Toc30694"/>
      <w:bookmarkStart w:id="971" w:name="_Toc5602"/>
      <w:r>
        <w:rPr>
          <w:rFonts w:hint="eastAsia" w:ascii="宋体" w:hAnsi="宋体" w:eastAsia="宋体" w:cs="宋体"/>
          <w:color w:val="auto"/>
          <w:sz w:val="24"/>
          <w:szCs w:val="24"/>
          <w:lang w:eastAsia="zh-CN"/>
        </w:rPr>
        <w:t>9.3需要补充的其他内容：见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Start w:id="972" w:name="_Toc93564616"/>
      <w:bookmarkStart w:id="973" w:name="_Toc92998100"/>
    </w:p>
    <w:p w14:paraId="02D0D3CB">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宋体" w:hAnsi="宋体" w:eastAsia="宋体" w:cs="宋体"/>
          <w:b/>
          <w:bCs/>
          <w:color w:val="auto"/>
          <w:sz w:val="24"/>
          <w:szCs w:val="24"/>
          <w:lang w:eastAsia="zh-CN"/>
        </w:rPr>
      </w:pPr>
      <w:bookmarkStart w:id="974" w:name="_Toc17919"/>
      <w:bookmarkStart w:id="975" w:name="_Toc1705"/>
      <w:bookmarkStart w:id="976" w:name="_Toc12466"/>
      <w:r>
        <w:rPr>
          <w:rFonts w:hint="eastAsia" w:ascii="宋体" w:hAnsi="宋体" w:eastAsia="宋体" w:cs="宋体"/>
          <w:color w:val="auto"/>
          <w:sz w:val="24"/>
          <w:szCs w:val="24"/>
          <w:lang w:eastAsia="zh-CN"/>
        </w:rPr>
        <w:t>10.政府采购政策</w:t>
      </w:r>
      <w:bookmarkEnd w:id="972"/>
      <w:bookmarkEnd w:id="973"/>
      <w:bookmarkEnd w:id="974"/>
      <w:bookmarkEnd w:id="975"/>
      <w:bookmarkEnd w:id="976"/>
    </w:p>
    <w:p w14:paraId="0CC227D1">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977" w:name="_Toc18342"/>
      <w:bookmarkStart w:id="978" w:name="_Toc1985"/>
      <w:bookmarkStart w:id="979" w:name="_Toc6662"/>
      <w:bookmarkStart w:id="980" w:name="_Toc21397"/>
      <w:bookmarkStart w:id="981" w:name="_Toc23585"/>
      <w:bookmarkStart w:id="982" w:name="_Toc3273"/>
      <w:bookmarkStart w:id="983" w:name="_Toc10813"/>
      <w:bookmarkStart w:id="984" w:name="_Toc27120"/>
      <w:bookmarkStart w:id="985" w:name="_Toc26873"/>
      <w:bookmarkStart w:id="986" w:name="_Toc32297"/>
      <w:bookmarkStart w:id="987" w:name="_Toc4510"/>
      <w:bookmarkStart w:id="988" w:name="_Toc22734"/>
      <w:bookmarkStart w:id="989" w:name="_Toc14837"/>
      <w:bookmarkStart w:id="990" w:name="_Toc21205"/>
      <w:bookmarkStart w:id="991" w:name="_Toc7924"/>
      <w:bookmarkStart w:id="992" w:name="_Toc25194"/>
      <w:bookmarkStart w:id="993" w:name="_Toc4790"/>
      <w:bookmarkStart w:id="994" w:name="_Toc31478"/>
      <w:bookmarkStart w:id="995" w:name="_Toc22385"/>
      <w:bookmarkStart w:id="996" w:name="_Toc4197"/>
      <w:r>
        <w:rPr>
          <w:rFonts w:hint="eastAsia" w:ascii="宋体" w:hAnsi="宋体" w:eastAsia="宋体" w:cs="宋体"/>
          <w:b/>
          <w:bCs/>
          <w:color w:val="auto"/>
          <w:sz w:val="24"/>
          <w:szCs w:val="24"/>
          <w:lang w:eastAsia="zh-CN"/>
        </w:rPr>
        <w:t>10.1关于中小企业</w:t>
      </w:r>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p>
    <w:p w14:paraId="16F870D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10.1.1根据《关于印发〈政府采购促进中小企业发展管理办法〉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63758A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10.1.2在政府采购活动中，</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提供的货物、工程或者服务符合下列情形的，享受中小企业扶持政策：</w:t>
      </w:r>
    </w:p>
    <w:p w14:paraId="61161C2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（一）在货物采购项目中，货物</w:t>
      </w:r>
      <w:r>
        <w:rPr>
          <w:rFonts w:hint="eastAsia" w:ascii="宋体" w:hAnsi="宋体" w:eastAsia="宋体" w:cs="宋体"/>
          <w:color w:val="auto"/>
          <w:sz w:val="24"/>
          <w:szCs w:val="24"/>
          <w:lang w:val="en-US" w:eastAsia="zh-CN"/>
        </w:rPr>
        <w:t>由</w:t>
      </w:r>
      <w:r>
        <w:rPr>
          <w:rFonts w:hint="eastAsia" w:ascii="宋体" w:hAnsi="宋体" w:eastAsia="宋体" w:cs="宋体"/>
          <w:color w:val="auto"/>
          <w:sz w:val="24"/>
          <w:szCs w:val="24"/>
          <w:lang w:eastAsia="zh-CN"/>
        </w:rPr>
        <w:t>中小企业制造，即货物</w:t>
      </w:r>
      <w:r>
        <w:rPr>
          <w:rFonts w:hint="eastAsia" w:ascii="宋体" w:hAnsi="宋体" w:eastAsia="宋体" w:cs="宋体"/>
          <w:color w:val="auto"/>
          <w:sz w:val="24"/>
          <w:szCs w:val="24"/>
          <w:lang w:val="en-US" w:eastAsia="zh-CN"/>
        </w:rPr>
        <w:t>由</w:t>
      </w:r>
      <w:r>
        <w:rPr>
          <w:rFonts w:hint="eastAsia" w:ascii="宋体" w:hAnsi="宋体" w:eastAsia="宋体" w:cs="宋体"/>
          <w:color w:val="auto"/>
          <w:sz w:val="24"/>
          <w:szCs w:val="24"/>
          <w:lang w:eastAsia="zh-CN"/>
        </w:rPr>
        <w:t>中小企业生产且使用该中小企业商号或者注册商标；</w:t>
      </w:r>
    </w:p>
    <w:p w14:paraId="740B27A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（二）在工程采购项目中，工程由中小企业承建，即工程施工单位为中小企业；</w:t>
      </w:r>
    </w:p>
    <w:p w14:paraId="3034C32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（三）在服务采购项目中，服务由中小企业承接，即提供服务的人员为中小企业依照《中华人民共和国劳动合同法》订立劳动合同的从业人员。</w:t>
      </w:r>
    </w:p>
    <w:p w14:paraId="2166D20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在货物采购项目中，</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提供的货物既有中小企业制造货物，也有大型企业制造货物的，不享受本办法规定的中小企业扶持政策。</w:t>
      </w:r>
    </w:p>
    <w:p w14:paraId="0A25733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以联合体形式参加政府采购活动，联合体各方均为中小企业的，联合体视同中小企业。其中，联合体各方均为小微企业的，联合体视同小微企业。</w:t>
      </w:r>
    </w:p>
    <w:p w14:paraId="5E47F1C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10.1.3依据《政府采购促进中小企业发展管理办法》（财库〔2020〕46号）规定享受扶持政策获得政府采购合同的，小微企业不得将合同分包给大中型企业，中型企业不得将合同分包给大型企业。</w:t>
      </w:r>
    </w:p>
    <w:p w14:paraId="0B5E055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10.1.4中小企业参加政府采购活动，应当出具本办法规定的《中小企业声明函》（后附），否则不得享受相关中小企业扶持政策。</w:t>
      </w:r>
    </w:p>
    <w:p w14:paraId="7D810F4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10.1.5本项目针对小微企业报价给予10%的扣除，用扣除后的价格参与评审。残疾人福利性单位属于小型、微型企业、监狱企业的，不重复享受政策。</w:t>
      </w:r>
    </w:p>
    <w:p w14:paraId="08F3D95E">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997" w:name="_Toc28330"/>
      <w:bookmarkStart w:id="998" w:name="_Toc23403"/>
      <w:bookmarkStart w:id="999" w:name="_Toc12318"/>
      <w:bookmarkStart w:id="1000" w:name="_Toc30609"/>
      <w:bookmarkStart w:id="1001" w:name="_Toc9320"/>
      <w:bookmarkStart w:id="1002" w:name="_Toc25448"/>
      <w:bookmarkStart w:id="1003" w:name="_Toc25071"/>
      <w:bookmarkStart w:id="1004" w:name="_Toc14557"/>
      <w:bookmarkStart w:id="1005" w:name="_Toc14125"/>
      <w:bookmarkStart w:id="1006" w:name="_Toc16854"/>
      <w:bookmarkStart w:id="1007" w:name="_Toc24584"/>
      <w:bookmarkStart w:id="1008" w:name="_Toc18063"/>
      <w:bookmarkStart w:id="1009" w:name="_Toc10464"/>
      <w:bookmarkStart w:id="1010" w:name="_Toc26450"/>
      <w:bookmarkStart w:id="1011" w:name="_Toc24419"/>
      <w:bookmarkStart w:id="1012" w:name="_Toc26464"/>
      <w:bookmarkStart w:id="1013" w:name="_Toc27763"/>
      <w:bookmarkStart w:id="1014" w:name="_Toc18855"/>
      <w:bookmarkStart w:id="1015" w:name="_Toc5892"/>
      <w:bookmarkStart w:id="1016" w:name="_Toc23131"/>
      <w:r>
        <w:rPr>
          <w:rFonts w:hint="eastAsia" w:ascii="宋体" w:hAnsi="宋体" w:eastAsia="宋体" w:cs="宋体"/>
          <w:b/>
          <w:bCs/>
          <w:color w:val="auto"/>
          <w:sz w:val="24"/>
          <w:szCs w:val="24"/>
          <w:lang w:eastAsia="zh-CN"/>
        </w:rPr>
        <w:t>10.2关于残疾人福利性单位：</w:t>
      </w:r>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p>
    <w:p w14:paraId="12B3923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10.2.1根据《关于促进残疾人就业政府采购政策的通知》（财库〔2017〕141号）的规定，享受政府采购支持政策的残疾人福利性单位应当同时满足以下条件：</w:t>
      </w:r>
    </w:p>
    <w:p w14:paraId="70C85B0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（一）安置的残疾人占本单位在职职工人数的比例不低于25%（含25%），并且安置的残疾人人数不少于10人（含10人）；</w:t>
      </w:r>
    </w:p>
    <w:p w14:paraId="3246CE5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（二）依法与安置的每位残疾人签订了一年以上（含一年）的劳动合同或服务协议；</w:t>
      </w:r>
    </w:p>
    <w:p w14:paraId="0DD0ABF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（三）为安置的每位残疾人按月足额缴纳了基本养老保险、基本医疗保险、失业保险、工伤保险和生育保险等社会保险费；</w:t>
      </w:r>
    </w:p>
    <w:p w14:paraId="2045887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（四）通过银行等金融机构向安置的每位残疾人，按月支付了不低于单位所在区县适用的经省级人民政府批准的月最低工资标准的工资；</w:t>
      </w:r>
    </w:p>
    <w:p w14:paraId="10DF0AE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（五）提供本单位制造的货物、承担的工程或者服务（以下简称产品），或者提供其他残疾人福利性单位制造的货物（不包括使用非残疾人福利性单位注册商标的货物）。</w:t>
      </w:r>
    </w:p>
    <w:p w14:paraId="775FD3E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2BE6DA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10.2.2符合条件的残疾人福利性单位在参加政府采购活动时，应当按《三部门联合发布关于促进残疾人就业政府采购政策的通知》（财库〔2017〕141号）提供规定的《残疾人福利性单位声明函》，并对声明的真实性负责。</w:t>
      </w:r>
    </w:p>
    <w:p w14:paraId="3163EAE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10.2.3本项目针对残疾人福利性单位产品的价格给予10%的扣除，</w:t>
      </w:r>
      <w:bookmarkStart w:id="1017" w:name="_Hlk92451014"/>
      <w:r>
        <w:rPr>
          <w:rFonts w:hint="eastAsia" w:ascii="宋体" w:hAnsi="宋体" w:eastAsia="宋体" w:cs="宋体"/>
          <w:color w:val="auto"/>
          <w:sz w:val="24"/>
          <w:szCs w:val="24"/>
          <w:lang w:eastAsia="zh-CN"/>
        </w:rPr>
        <w:t>用扣除后的价格参与评审。残疾人福利性单位属于小型、微型企业、监狱企业的，不重复享受政策。</w:t>
      </w:r>
      <w:bookmarkEnd w:id="1017"/>
    </w:p>
    <w:p w14:paraId="5CC032D9">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1018" w:name="_Toc5069"/>
      <w:bookmarkStart w:id="1019" w:name="_Toc8916"/>
      <w:bookmarkStart w:id="1020" w:name="_Toc4967"/>
      <w:bookmarkStart w:id="1021" w:name="_Toc21410"/>
      <w:bookmarkStart w:id="1022" w:name="_Toc20795"/>
      <w:bookmarkStart w:id="1023" w:name="_Toc4230"/>
      <w:bookmarkStart w:id="1024" w:name="_Toc13224"/>
      <w:bookmarkStart w:id="1025" w:name="_Toc30148"/>
      <w:bookmarkStart w:id="1026" w:name="_Toc12803"/>
      <w:bookmarkStart w:id="1027" w:name="_Toc18091"/>
      <w:bookmarkStart w:id="1028" w:name="_Toc12326"/>
      <w:bookmarkStart w:id="1029" w:name="_Toc18013"/>
      <w:bookmarkStart w:id="1030" w:name="_Toc13318"/>
      <w:bookmarkStart w:id="1031" w:name="_Toc14900"/>
      <w:bookmarkStart w:id="1032" w:name="_Toc32466"/>
      <w:bookmarkStart w:id="1033" w:name="_Toc18644"/>
      <w:bookmarkStart w:id="1034" w:name="_Toc30074"/>
      <w:bookmarkStart w:id="1035" w:name="_Toc18563"/>
      <w:bookmarkStart w:id="1036" w:name="_Toc32119"/>
      <w:bookmarkStart w:id="1037" w:name="_Toc5994"/>
      <w:r>
        <w:rPr>
          <w:rFonts w:hint="eastAsia" w:ascii="宋体" w:hAnsi="宋体" w:eastAsia="宋体" w:cs="宋体"/>
          <w:b/>
          <w:bCs/>
          <w:color w:val="auto"/>
          <w:sz w:val="24"/>
          <w:szCs w:val="24"/>
          <w:lang w:eastAsia="zh-CN"/>
        </w:rPr>
        <w:t>10.3关于监狱企业：</w:t>
      </w:r>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p w14:paraId="5D236EE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10.3.1依照〈财政部、司法部关于政府采购支持监狱企业发展有关问题的通知〉（财库〔2014〕68号）之规定，监狱企业应当符合以下条件：</w:t>
      </w:r>
    </w:p>
    <w:p w14:paraId="3621CA7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10.3.2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4A9A2D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10.3.3 监狱企业参加政府采购活动时，视同小型、微型企业，应当提供由省级以上监狱管理局、戒毒管理局（含新疆生产建设兵团）出具的属于监狱企业的证明文件。</w:t>
      </w:r>
    </w:p>
    <w:p w14:paraId="15946E6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10.3.4在政府采购活动中，监狱企业视同小型、微型企业，享受预留份额、评审中价格扣除等政府采购促进中小企业发展的政府采购政策。</w:t>
      </w:r>
    </w:p>
    <w:p w14:paraId="51C43B85">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1038" w:name="_Toc32189"/>
      <w:bookmarkStart w:id="1039" w:name="_Toc13576"/>
      <w:bookmarkStart w:id="1040" w:name="_Toc11183"/>
      <w:bookmarkStart w:id="1041" w:name="_Toc32120"/>
      <w:bookmarkStart w:id="1042" w:name="_Toc27301"/>
      <w:bookmarkStart w:id="1043" w:name="_Toc3601"/>
      <w:bookmarkStart w:id="1044" w:name="_Toc3063"/>
      <w:bookmarkStart w:id="1045" w:name="_Toc27147"/>
      <w:bookmarkStart w:id="1046" w:name="_Toc25834"/>
      <w:bookmarkStart w:id="1047" w:name="_Toc24366"/>
      <w:bookmarkStart w:id="1048" w:name="_Toc18918"/>
      <w:bookmarkStart w:id="1049" w:name="_Toc28275"/>
      <w:bookmarkStart w:id="1050" w:name="_Toc4251"/>
      <w:bookmarkStart w:id="1051" w:name="_Toc7071"/>
      <w:bookmarkStart w:id="1052" w:name="_Toc21064"/>
      <w:bookmarkStart w:id="1053" w:name="_Toc998"/>
      <w:bookmarkStart w:id="1054" w:name="_Toc18497"/>
      <w:bookmarkStart w:id="1055" w:name="_Toc18066"/>
      <w:bookmarkStart w:id="1056" w:name="_Toc15107"/>
      <w:bookmarkStart w:id="1057" w:name="_Toc3072"/>
      <w:r>
        <w:rPr>
          <w:rFonts w:hint="eastAsia" w:ascii="宋体" w:hAnsi="宋体" w:eastAsia="宋体" w:cs="宋体"/>
          <w:b/>
          <w:bCs/>
          <w:color w:val="auto"/>
          <w:sz w:val="24"/>
          <w:szCs w:val="24"/>
          <w:lang w:eastAsia="zh-CN"/>
        </w:rPr>
        <w:t>10.4关于节能产品及环境标志产品</w:t>
      </w:r>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p>
    <w:p w14:paraId="0BFD14D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10.4.1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提供经国家认定的节能产品或环保产品须提供有效证明材料方可</w:t>
      </w:r>
      <w:r>
        <w:rPr>
          <w:rFonts w:hint="eastAsia" w:ascii="宋体" w:hAnsi="宋体" w:cs="宋体"/>
          <w:color w:val="auto"/>
          <w:sz w:val="24"/>
          <w:szCs w:val="24"/>
          <w:lang w:eastAsia="zh-CN"/>
        </w:rPr>
        <w:t>得</w:t>
      </w:r>
      <w:r>
        <w:rPr>
          <w:rFonts w:hint="eastAsia" w:ascii="宋体" w:hAnsi="宋体" w:eastAsia="宋体" w:cs="宋体"/>
          <w:color w:val="auto"/>
          <w:sz w:val="24"/>
          <w:szCs w:val="24"/>
          <w:lang w:eastAsia="zh-CN"/>
        </w:rPr>
        <w:t>分。</w:t>
      </w:r>
    </w:p>
    <w:p w14:paraId="502A1FC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10.4.2节能产品是指列入财政部和发展改革委公布的《关于印发节能产品政府采购品目清单的通知》（财库〔2019〕19号）《节能产品政府采购品目清单》中的产品，其中以标注的政府强制采购产品。</w:t>
      </w:r>
    </w:p>
    <w:p w14:paraId="5DD3E73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10.4.3环境标志产品是指列入财政部和生态环境部公布的《关于印发环境标志产品政府采购品目清单的通知》（财库〔2019〕18号）《环境标志产品政府采购品目清单》中的产品。</w:t>
      </w:r>
    </w:p>
    <w:p w14:paraId="585DF22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10.4.4产品属于节能产品或环境标志产品的，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1D75CF4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10.4.5</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应在投标文件中提供所投标产品国家确定的认证机构出具的、处于有效期之内的节能产品、环境标志产品认证证书，否则不予认可。</w:t>
      </w:r>
    </w:p>
    <w:p w14:paraId="6A86ECC0">
      <w:pPr>
        <w:keepNext w:val="0"/>
        <w:keepLines w:val="0"/>
        <w:pageBreakBefore w:val="0"/>
        <w:widowControl w:val="0"/>
        <w:tabs>
          <w:tab w:val="left" w:pos="5727"/>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10.4.6《节能产品政府采购品目清单》及《环境标志产品政府采购品目清单》可通过中国政府采购网（http://www.ccgp.gov.cn/ ）查阅、下载。认证机构名录如若以现行最新规定为准。</w:t>
      </w:r>
      <w:bookmarkStart w:id="1058" w:name="_Toc23051"/>
      <w:bookmarkStart w:id="1059" w:name="_Toc22572"/>
      <w:bookmarkStart w:id="1060" w:name="_Toc17204"/>
      <w:bookmarkStart w:id="1061" w:name="_Toc23455"/>
    </w:p>
    <w:p w14:paraId="7BAA192C">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both"/>
        <w:textAlignment w:val="auto"/>
        <w:rPr>
          <w:rFonts w:hint="eastAsia" w:ascii="宋体" w:hAnsi="宋体" w:eastAsia="宋体" w:cs="宋体"/>
          <w:b/>
          <w:bCs/>
          <w:color w:val="auto"/>
          <w:sz w:val="24"/>
          <w:szCs w:val="24"/>
          <w:lang w:val="en-US" w:eastAsia="zh-CN"/>
        </w:rPr>
      </w:pPr>
      <w:bookmarkStart w:id="1062" w:name="_Toc14591"/>
      <w:bookmarkStart w:id="1063" w:name="_Toc24756"/>
      <w:bookmarkStart w:id="1064" w:name="_Toc27765"/>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其他事项</w:t>
      </w:r>
      <w:bookmarkEnd w:id="1058"/>
      <w:bookmarkEnd w:id="1059"/>
      <w:bookmarkEnd w:id="1060"/>
      <w:bookmarkEnd w:id="1061"/>
      <w:bookmarkEnd w:id="1062"/>
      <w:bookmarkEnd w:id="1063"/>
      <w:bookmarkEnd w:id="1064"/>
      <w:bookmarkStart w:id="1065" w:name="_Toc30456"/>
      <w:bookmarkStart w:id="1066" w:name="_Toc27440"/>
      <w:bookmarkStart w:id="1067" w:name="_Toc12444"/>
      <w:bookmarkStart w:id="1068" w:name="_Toc13632"/>
      <w:bookmarkStart w:id="1069" w:name="_Toc25411"/>
      <w:bookmarkStart w:id="1070" w:name="_Toc13534"/>
      <w:bookmarkStart w:id="1071" w:name="_Toc17623"/>
      <w:bookmarkStart w:id="1072" w:name="_Toc31643"/>
      <w:bookmarkStart w:id="1073" w:name="_Toc931"/>
      <w:bookmarkStart w:id="1074" w:name="_Toc17099"/>
      <w:bookmarkStart w:id="1075" w:name="_Toc6960"/>
      <w:bookmarkStart w:id="1076" w:name="_Toc15144"/>
      <w:bookmarkStart w:id="1077" w:name="_Toc13124"/>
      <w:bookmarkStart w:id="1078" w:name="_Toc4845"/>
      <w:bookmarkStart w:id="1079" w:name="_Toc26225"/>
      <w:bookmarkStart w:id="1080" w:name="_Toc11513"/>
      <w:bookmarkStart w:id="1081" w:name="_Toc78"/>
      <w:bookmarkStart w:id="1082" w:name="_Toc3018"/>
    </w:p>
    <w:p w14:paraId="17E7386D">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both"/>
        <w:textAlignment w:val="auto"/>
        <w:outlineLvl w:val="2"/>
        <w:rPr>
          <w:rFonts w:hint="eastAsia" w:ascii="宋体" w:hAnsi="宋体" w:eastAsia="宋体" w:cs="宋体"/>
          <w:b/>
          <w:bCs/>
          <w:color w:val="auto"/>
          <w:sz w:val="24"/>
          <w:szCs w:val="24"/>
        </w:rPr>
      </w:pPr>
      <w:bookmarkStart w:id="1083" w:name="_Toc20254"/>
      <w:bookmarkStart w:id="1084" w:name="_Toc27783"/>
      <w:bookmarkStart w:id="1085" w:name="_Toc7578"/>
      <w:bookmarkStart w:id="1086" w:name="_Toc19322"/>
      <w:bookmarkStart w:id="1087" w:name="_Toc32001"/>
      <w:bookmarkStart w:id="1088" w:name="_Toc7164"/>
      <w:bookmarkStart w:id="1089" w:name="_Toc22338"/>
      <w:bookmarkStart w:id="1090" w:name="_Toc15118"/>
      <w:bookmarkStart w:id="1091" w:name="_Toc30109"/>
      <w:bookmarkStart w:id="1092" w:name="_Toc3597"/>
      <w:bookmarkStart w:id="1093" w:name="_Toc24325"/>
      <w:bookmarkStart w:id="1094" w:name="_Toc3608"/>
      <w:bookmarkStart w:id="1095" w:name="_Toc3552"/>
      <w:bookmarkStart w:id="1096" w:name="_Toc4627"/>
      <w:bookmarkStart w:id="1097" w:name="_Toc24159"/>
      <w:bookmarkStart w:id="1098" w:name="_Toc12239"/>
      <w:bookmarkStart w:id="1099" w:name="_Toc13028"/>
      <w:bookmarkStart w:id="1100" w:name="_Toc17613"/>
      <w:bookmarkStart w:id="1101" w:name="_Toc5246"/>
      <w:bookmarkStart w:id="1102" w:name="_Toc19371"/>
      <w:bookmarkStart w:id="1103" w:name="_Toc11657"/>
      <w:bookmarkStart w:id="1104" w:name="_Toc19018"/>
      <w:r>
        <w:rPr>
          <w:rFonts w:hint="eastAsia" w:ascii="宋体" w:hAnsi="宋体" w:eastAsia="宋体" w:cs="宋体"/>
          <w:b/>
          <w:bCs/>
          <w:color w:val="auto"/>
          <w:sz w:val="24"/>
          <w:szCs w:val="24"/>
          <w:lang w:val="en-US" w:eastAsia="zh-CN"/>
        </w:rPr>
        <w:t>11.1</w:t>
      </w:r>
      <w:r>
        <w:rPr>
          <w:rFonts w:hint="eastAsia" w:ascii="宋体" w:hAnsi="宋体" w:eastAsia="宋体" w:cs="宋体"/>
          <w:b/>
          <w:bCs/>
          <w:color w:val="auto"/>
          <w:sz w:val="24"/>
          <w:szCs w:val="24"/>
        </w:rPr>
        <w:t>采购代理服务费</w:t>
      </w:r>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p>
    <w:p w14:paraId="5826D784">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11.1</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招标代理服务费</w:t>
      </w:r>
      <w:r>
        <w:rPr>
          <w:rFonts w:hint="eastAsia" w:ascii="宋体" w:hAnsi="宋体" w:eastAsia="宋体" w:cs="宋体"/>
          <w:color w:val="auto"/>
          <w:sz w:val="24"/>
          <w:szCs w:val="24"/>
          <w:lang w:eastAsia="zh-CN"/>
        </w:rPr>
        <w:t>取费标准</w:t>
      </w:r>
    </w:p>
    <w:p w14:paraId="3FFACD72">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采购代理机</w:t>
      </w:r>
      <w:r>
        <w:rPr>
          <w:rFonts w:hint="eastAsia" w:ascii="宋体" w:hAnsi="宋体" w:eastAsia="宋体" w:cs="宋体"/>
          <w:i w:val="0"/>
          <w:iCs w:val="0"/>
          <w:color w:val="auto"/>
          <w:sz w:val="24"/>
          <w:szCs w:val="24"/>
          <w:highlight w:val="none"/>
          <w:lang w:eastAsia="zh-CN"/>
        </w:rPr>
        <w:t>构按以下</w:t>
      </w:r>
      <w:r>
        <w:rPr>
          <w:rFonts w:hint="eastAsia" w:ascii="宋体" w:hAnsi="宋体" w:eastAsia="宋体" w:cs="宋体"/>
          <w:b/>
          <w:bCs/>
          <w:i w:val="0"/>
          <w:iCs w:val="0"/>
          <w:color w:val="auto"/>
          <w:sz w:val="24"/>
          <w:szCs w:val="24"/>
          <w:highlight w:val="none"/>
          <w:u w:val="single"/>
          <w:lang w:val="en-US" w:eastAsia="zh-CN"/>
        </w:rPr>
        <w:t xml:space="preserve"> 服务 </w:t>
      </w:r>
      <w:r>
        <w:rPr>
          <w:rFonts w:hint="eastAsia" w:ascii="宋体" w:hAnsi="宋体" w:eastAsia="宋体" w:cs="宋体"/>
          <w:i w:val="0"/>
          <w:iCs w:val="0"/>
          <w:color w:val="auto"/>
          <w:sz w:val="24"/>
          <w:szCs w:val="24"/>
          <w:highlight w:val="none"/>
          <w:lang w:eastAsia="zh-CN"/>
        </w:rPr>
        <w:t>招标收费标准向中</w:t>
      </w:r>
      <w:r>
        <w:rPr>
          <w:rFonts w:hint="eastAsia" w:ascii="宋体" w:hAnsi="宋体" w:eastAsia="宋体" w:cs="宋体"/>
          <w:color w:val="auto"/>
          <w:sz w:val="24"/>
          <w:szCs w:val="24"/>
          <w:highlight w:val="none"/>
          <w:lang w:eastAsia="zh-CN"/>
        </w:rPr>
        <w:t>标人收取招标代理服务费：</w:t>
      </w:r>
    </w:p>
    <w:tbl>
      <w:tblPr>
        <w:tblStyle w:val="67"/>
        <w:tblW w:w="9699" w:type="dxa"/>
        <w:jc w:val="center"/>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50"/>
        <w:gridCol w:w="2113"/>
        <w:gridCol w:w="2113"/>
        <w:gridCol w:w="2923"/>
      </w:tblGrid>
      <w:tr w14:paraId="5E85693A">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2550" w:type="dxa"/>
            <w:vMerge w:val="restart"/>
            <w:noWrap w:val="0"/>
            <w:vAlign w:val="center"/>
          </w:tcPr>
          <w:p w14:paraId="37098D05">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中标金额</w:t>
            </w:r>
          </w:p>
          <w:p w14:paraId="61F478C6">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（万元）</w:t>
            </w:r>
          </w:p>
        </w:tc>
        <w:tc>
          <w:tcPr>
            <w:tcW w:w="7149" w:type="dxa"/>
            <w:gridSpan w:val="3"/>
            <w:noWrap w:val="0"/>
            <w:vAlign w:val="center"/>
          </w:tcPr>
          <w:p w14:paraId="48D4A88E">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收费标准</w:t>
            </w:r>
          </w:p>
        </w:tc>
      </w:tr>
      <w:tr w14:paraId="7F816DCA">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2550" w:type="dxa"/>
            <w:vMerge w:val="continue"/>
            <w:shd w:val="clear" w:color="auto" w:fill="auto"/>
            <w:noWrap w:val="0"/>
            <w:vAlign w:val="center"/>
          </w:tcPr>
          <w:p w14:paraId="7754FC41">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p>
        </w:tc>
        <w:tc>
          <w:tcPr>
            <w:tcW w:w="2113" w:type="dxa"/>
            <w:shd w:val="clear" w:color="auto" w:fill="auto"/>
            <w:noWrap w:val="0"/>
            <w:vAlign w:val="center"/>
          </w:tcPr>
          <w:p w14:paraId="3028F040">
            <w:pPr>
              <w:jc w:val="center"/>
              <w:rPr>
                <w:rFonts w:hint="eastAsia"/>
                <w:color w:val="auto"/>
              </w:rPr>
            </w:pPr>
            <w:r>
              <w:rPr>
                <w:rFonts w:hint="eastAsia"/>
                <w:color w:val="auto"/>
              </w:rPr>
              <w:t>货物招标</w:t>
            </w:r>
          </w:p>
        </w:tc>
        <w:tc>
          <w:tcPr>
            <w:tcW w:w="2113" w:type="dxa"/>
            <w:shd w:val="clear" w:color="auto" w:fill="FFFF00"/>
            <w:noWrap w:val="0"/>
            <w:vAlign w:val="center"/>
          </w:tcPr>
          <w:p w14:paraId="565867E3">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服务招标</w:t>
            </w:r>
          </w:p>
        </w:tc>
        <w:tc>
          <w:tcPr>
            <w:tcW w:w="2923" w:type="dxa"/>
            <w:noWrap w:val="0"/>
            <w:vAlign w:val="center"/>
          </w:tcPr>
          <w:p w14:paraId="2F88F167">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工程招标</w:t>
            </w:r>
          </w:p>
        </w:tc>
      </w:tr>
      <w:tr w14:paraId="7B44576F">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550" w:type="dxa"/>
            <w:shd w:val="clear" w:color="auto" w:fill="auto"/>
            <w:noWrap w:val="0"/>
            <w:vAlign w:val="center"/>
          </w:tcPr>
          <w:p w14:paraId="2ED0B503">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100以下</w:t>
            </w:r>
          </w:p>
        </w:tc>
        <w:tc>
          <w:tcPr>
            <w:tcW w:w="2113" w:type="dxa"/>
            <w:shd w:val="clear" w:color="auto" w:fill="auto"/>
            <w:noWrap w:val="0"/>
            <w:vAlign w:val="center"/>
          </w:tcPr>
          <w:p w14:paraId="00B6C19D">
            <w:pPr>
              <w:jc w:val="center"/>
              <w:rPr>
                <w:rFonts w:hint="eastAsia"/>
                <w:color w:val="auto"/>
              </w:rPr>
            </w:pPr>
            <w:r>
              <w:rPr>
                <w:rFonts w:hint="eastAsia"/>
                <w:color w:val="auto"/>
              </w:rPr>
              <w:t>1.5%</w:t>
            </w:r>
          </w:p>
        </w:tc>
        <w:tc>
          <w:tcPr>
            <w:tcW w:w="2113" w:type="dxa"/>
            <w:shd w:val="clear" w:color="auto" w:fill="FFFF00"/>
            <w:noWrap w:val="0"/>
            <w:vAlign w:val="center"/>
          </w:tcPr>
          <w:p w14:paraId="157A3BD9">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1.5%</w:t>
            </w:r>
          </w:p>
        </w:tc>
        <w:tc>
          <w:tcPr>
            <w:tcW w:w="2923" w:type="dxa"/>
            <w:noWrap w:val="0"/>
            <w:vAlign w:val="center"/>
          </w:tcPr>
          <w:p w14:paraId="5E7DA5F2">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1.0%</w:t>
            </w:r>
          </w:p>
        </w:tc>
      </w:tr>
      <w:tr w14:paraId="68549F34">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2550" w:type="dxa"/>
            <w:shd w:val="clear" w:color="auto" w:fill="auto"/>
            <w:noWrap w:val="0"/>
            <w:vAlign w:val="center"/>
          </w:tcPr>
          <w:p w14:paraId="4EDE3D5C">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100—500</w:t>
            </w:r>
          </w:p>
        </w:tc>
        <w:tc>
          <w:tcPr>
            <w:tcW w:w="2113" w:type="dxa"/>
            <w:shd w:val="clear" w:color="auto" w:fill="auto"/>
            <w:noWrap w:val="0"/>
            <w:vAlign w:val="center"/>
          </w:tcPr>
          <w:p w14:paraId="135E8EF6">
            <w:pPr>
              <w:jc w:val="center"/>
              <w:rPr>
                <w:rFonts w:hint="eastAsia"/>
                <w:color w:val="auto"/>
              </w:rPr>
            </w:pPr>
            <w:r>
              <w:rPr>
                <w:rFonts w:hint="eastAsia"/>
                <w:color w:val="auto"/>
              </w:rPr>
              <w:t>1.1%</w:t>
            </w:r>
          </w:p>
        </w:tc>
        <w:tc>
          <w:tcPr>
            <w:tcW w:w="2113" w:type="dxa"/>
            <w:shd w:val="clear" w:color="auto" w:fill="FFFF00"/>
            <w:noWrap w:val="0"/>
            <w:vAlign w:val="center"/>
          </w:tcPr>
          <w:p w14:paraId="5153D6FB">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0.8%</w:t>
            </w:r>
          </w:p>
        </w:tc>
        <w:tc>
          <w:tcPr>
            <w:tcW w:w="2923" w:type="dxa"/>
            <w:noWrap w:val="0"/>
            <w:vAlign w:val="center"/>
          </w:tcPr>
          <w:p w14:paraId="449743A0">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0.7%</w:t>
            </w:r>
          </w:p>
        </w:tc>
      </w:tr>
      <w:tr w14:paraId="3615DAB4">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2550" w:type="dxa"/>
            <w:shd w:val="clear" w:color="auto" w:fill="auto"/>
            <w:noWrap w:val="0"/>
            <w:vAlign w:val="center"/>
          </w:tcPr>
          <w:p w14:paraId="3FBB71FA">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500—1000</w:t>
            </w:r>
          </w:p>
        </w:tc>
        <w:tc>
          <w:tcPr>
            <w:tcW w:w="2113" w:type="dxa"/>
            <w:shd w:val="clear" w:color="auto" w:fill="auto"/>
            <w:noWrap w:val="0"/>
            <w:vAlign w:val="center"/>
          </w:tcPr>
          <w:p w14:paraId="16CC91A2">
            <w:pPr>
              <w:jc w:val="center"/>
              <w:rPr>
                <w:rFonts w:hint="eastAsia"/>
                <w:color w:val="auto"/>
              </w:rPr>
            </w:pPr>
            <w:r>
              <w:rPr>
                <w:rFonts w:hint="eastAsia"/>
                <w:color w:val="auto"/>
              </w:rPr>
              <w:t>0.8%</w:t>
            </w:r>
          </w:p>
        </w:tc>
        <w:tc>
          <w:tcPr>
            <w:tcW w:w="2113" w:type="dxa"/>
            <w:shd w:val="clear" w:color="auto" w:fill="FFFF00"/>
            <w:noWrap w:val="0"/>
            <w:vAlign w:val="center"/>
          </w:tcPr>
          <w:p w14:paraId="6BABA79F">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0.45%</w:t>
            </w:r>
          </w:p>
        </w:tc>
        <w:tc>
          <w:tcPr>
            <w:tcW w:w="2923" w:type="dxa"/>
            <w:noWrap w:val="0"/>
            <w:vAlign w:val="center"/>
          </w:tcPr>
          <w:p w14:paraId="75ECCFCE">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0.55%</w:t>
            </w:r>
          </w:p>
        </w:tc>
      </w:tr>
      <w:tr w14:paraId="5DE1274E">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2550" w:type="dxa"/>
            <w:shd w:val="clear" w:color="auto" w:fill="auto"/>
            <w:noWrap w:val="0"/>
            <w:vAlign w:val="center"/>
          </w:tcPr>
          <w:p w14:paraId="13C8E030">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1000—5000</w:t>
            </w:r>
          </w:p>
        </w:tc>
        <w:tc>
          <w:tcPr>
            <w:tcW w:w="2113" w:type="dxa"/>
            <w:shd w:val="clear" w:color="auto" w:fill="auto"/>
            <w:noWrap w:val="0"/>
            <w:vAlign w:val="center"/>
          </w:tcPr>
          <w:p w14:paraId="6FA88DEB">
            <w:pPr>
              <w:jc w:val="center"/>
              <w:rPr>
                <w:rFonts w:hint="eastAsia"/>
                <w:color w:val="auto"/>
              </w:rPr>
            </w:pPr>
            <w:r>
              <w:rPr>
                <w:rFonts w:hint="eastAsia"/>
                <w:color w:val="auto"/>
              </w:rPr>
              <w:t>0.5%</w:t>
            </w:r>
          </w:p>
        </w:tc>
        <w:tc>
          <w:tcPr>
            <w:tcW w:w="2113" w:type="dxa"/>
            <w:shd w:val="clear" w:color="auto" w:fill="FFFF00"/>
            <w:noWrap w:val="0"/>
            <w:vAlign w:val="center"/>
          </w:tcPr>
          <w:p w14:paraId="07CAA2EF">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0.25%</w:t>
            </w:r>
          </w:p>
        </w:tc>
        <w:tc>
          <w:tcPr>
            <w:tcW w:w="2923" w:type="dxa"/>
            <w:noWrap w:val="0"/>
            <w:vAlign w:val="center"/>
          </w:tcPr>
          <w:p w14:paraId="7FF0A33F">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0.35%</w:t>
            </w:r>
          </w:p>
        </w:tc>
      </w:tr>
      <w:tr w14:paraId="5C3C1452">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2550" w:type="dxa"/>
            <w:shd w:val="clear" w:color="auto" w:fill="auto"/>
            <w:noWrap w:val="0"/>
            <w:vAlign w:val="center"/>
          </w:tcPr>
          <w:p w14:paraId="10B72503">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5000—10000</w:t>
            </w:r>
          </w:p>
        </w:tc>
        <w:tc>
          <w:tcPr>
            <w:tcW w:w="2113" w:type="dxa"/>
            <w:shd w:val="clear" w:color="auto" w:fill="auto"/>
            <w:noWrap w:val="0"/>
            <w:vAlign w:val="center"/>
          </w:tcPr>
          <w:p w14:paraId="4596D95E">
            <w:pPr>
              <w:jc w:val="center"/>
              <w:rPr>
                <w:rFonts w:hint="eastAsia"/>
                <w:color w:val="auto"/>
              </w:rPr>
            </w:pPr>
            <w:r>
              <w:rPr>
                <w:rFonts w:hint="eastAsia"/>
                <w:color w:val="auto"/>
              </w:rPr>
              <w:t>0.25%</w:t>
            </w:r>
          </w:p>
        </w:tc>
        <w:tc>
          <w:tcPr>
            <w:tcW w:w="2113" w:type="dxa"/>
            <w:shd w:val="clear" w:color="auto" w:fill="FFFF00"/>
            <w:noWrap w:val="0"/>
            <w:vAlign w:val="center"/>
          </w:tcPr>
          <w:p w14:paraId="6D8B32B7">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0.1%</w:t>
            </w:r>
          </w:p>
        </w:tc>
        <w:tc>
          <w:tcPr>
            <w:tcW w:w="2923" w:type="dxa"/>
            <w:noWrap w:val="0"/>
            <w:vAlign w:val="center"/>
          </w:tcPr>
          <w:p w14:paraId="7065B6AF">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0.2%</w:t>
            </w:r>
          </w:p>
        </w:tc>
      </w:tr>
    </w:tbl>
    <w:p w14:paraId="3B53ED2D">
      <w:pPr>
        <w:keepNext w:val="0"/>
        <w:keepLines w:val="0"/>
        <w:pageBreakBefore w:val="0"/>
        <w:widowControl w:val="0"/>
        <w:kinsoku/>
        <w:wordWrap w:val="0"/>
        <w:overflowPunct/>
        <w:topLinePunct/>
        <w:autoSpaceDE/>
        <w:autoSpaceDN/>
        <w:bidi w:val="0"/>
        <w:adjustRightInd/>
        <w:snapToGrid/>
        <w:spacing w:line="400" w:lineRule="exact"/>
        <w:ind w:left="0" w:leftChars="0" w:right="0" w:firstLine="480"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注：中标服务费按差额定率累进法计算。</w:t>
      </w:r>
      <w:r>
        <w:rPr>
          <w:rFonts w:hint="eastAsia" w:ascii="宋体" w:hAnsi="宋体" w:eastAsia="宋体" w:cs="宋体"/>
          <w:b w:val="0"/>
          <w:bCs w:val="0"/>
          <w:color w:val="auto"/>
          <w:kern w:val="0"/>
          <w:sz w:val="24"/>
          <w:szCs w:val="24"/>
          <w:highlight w:val="none"/>
        </w:rPr>
        <w:t>例如：</w:t>
      </w:r>
      <w:r>
        <w:rPr>
          <w:rFonts w:hint="eastAsia" w:ascii="宋体" w:hAnsi="宋体" w:eastAsia="宋体" w:cs="宋体"/>
          <w:color w:val="auto"/>
          <w:kern w:val="0"/>
          <w:sz w:val="24"/>
          <w:szCs w:val="24"/>
          <w:highlight w:val="none"/>
        </w:rPr>
        <w:t>某</w:t>
      </w:r>
      <w:r>
        <w:rPr>
          <w:rFonts w:hint="eastAsia" w:ascii="宋体" w:hAnsi="宋体" w:eastAsia="宋体" w:cs="宋体"/>
          <w:b/>
          <w:bCs/>
          <w:color w:val="auto"/>
          <w:kern w:val="0"/>
          <w:sz w:val="24"/>
          <w:szCs w:val="24"/>
          <w:highlight w:val="none"/>
          <w:u w:val="single"/>
          <w:lang w:val="en-US" w:eastAsia="zh-CN"/>
        </w:rPr>
        <w:t>服务</w:t>
      </w:r>
      <w:r>
        <w:rPr>
          <w:rFonts w:hint="eastAsia" w:ascii="宋体" w:hAnsi="宋体" w:eastAsia="宋体" w:cs="宋体"/>
          <w:color w:val="auto"/>
          <w:kern w:val="0"/>
          <w:sz w:val="24"/>
          <w:szCs w:val="24"/>
          <w:highlight w:val="none"/>
        </w:rPr>
        <w:t>采购代理业务中标金额为</w:t>
      </w:r>
      <w:r>
        <w:rPr>
          <w:rFonts w:hint="eastAsia" w:ascii="宋体" w:hAnsi="宋体" w:eastAsia="宋体" w:cs="宋体"/>
          <w:color w:val="auto"/>
          <w:kern w:val="0"/>
          <w:sz w:val="24"/>
          <w:szCs w:val="24"/>
          <w:highlight w:val="none"/>
          <w:lang w:val="en-US" w:eastAsia="zh-CN"/>
        </w:rPr>
        <w:t>150</w:t>
      </w:r>
      <w:r>
        <w:rPr>
          <w:rFonts w:hint="eastAsia" w:ascii="宋体" w:hAnsi="宋体" w:eastAsia="宋体" w:cs="宋体"/>
          <w:color w:val="auto"/>
          <w:kern w:val="0"/>
          <w:sz w:val="24"/>
          <w:szCs w:val="24"/>
          <w:highlight w:val="none"/>
        </w:rPr>
        <w:t>万元，</w:t>
      </w:r>
      <w:r>
        <w:rPr>
          <w:rFonts w:hint="eastAsia" w:ascii="宋体" w:hAnsi="宋体" w:eastAsia="宋体" w:cs="宋体"/>
          <w:color w:val="auto"/>
          <w:sz w:val="24"/>
          <w:szCs w:val="24"/>
          <w:highlight w:val="none"/>
          <w:lang w:val="en-US" w:eastAsia="zh-CN"/>
        </w:rPr>
        <w:t>按照</w:t>
      </w:r>
      <w:r>
        <w:rPr>
          <w:rFonts w:hint="eastAsia" w:ascii="宋体" w:hAnsi="宋体" w:eastAsia="宋体" w:cs="宋体"/>
          <w:b/>
          <w:bCs/>
          <w:color w:val="auto"/>
          <w:sz w:val="24"/>
          <w:szCs w:val="24"/>
          <w:highlight w:val="none"/>
          <w:u w:val="single"/>
          <w:lang w:val="en-US" w:eastAsia="zh-CN"/>
        </w:rPr>
        <w:t>服务</w:t>
      </w:r>
      <w:r>
        <w:rPr>
          <w:rFonts w:hint="eastAsia" w:ascii="宋体" w:hAnsi="宋体" w:eastAsia="宋体" w:cs="宋体"/>
          <w:color w:val="auto"/>
          <w:sz w:val="24"/>
          <w:szCs w:val="24"/>
          <w:highlight w:val="none"/>
          <w:lang w:val="en-US" w:eastAsia="zh-CN"/>
        </w:rPr>
        <w:t>收费标准收取委托代理服务费。</w:t>
      </w:r>
      <w:r>
        <w:rPr>
          <w:rFonts w:hint="eastAsia" w:ascii="宋体" w:hAnsi="宋体" w:eastAsia="宋体" w:cs="宋体"/>
          <w:color w:val="auto"/>
          <w:kern w:val="0"/>
          <w:sz w:val="24"/>
          <w:szCs w:val="24"/>
          <w:highlight w:val="none"/>
        </w:rPr>
        <w:t>计算采购代理服务收费额如下：</w:t>
      </w:r>
    </w:p>
    <w:p w14:paraId="1667B485">
      <w:pPr>
        <w:keepNext w:val="0"/>
        <w:keepLines w:val="0"/>
        <w:pageBreakBefore w:val="0"/>
        <w:widowControl w:val="0"/>
        <w:kinsoku/>
        <w:wordWrap w:val="0"/>
        <w:overflowPunct/>
        <w:topLinePunct/>
        <w:autoSpaceDE/>
        <w:autoSpaceDN/>
        <w:bidi w:val="0"/>
        <w:adjustRightInd/>
        <w:snapToGrid/>
        <w:spacing w:line="400" w:lineRule="exact"/>
        <w:ind w:right="0" w:firstLine="240" w:firstLineChars="1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100万元×l.</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万元</w:t>
      </w:r>
    </w:p>
    <w:p w14:paraId="462AB1CA">
      <w:pPr>
        <w:keepNext w:val="0"/>
        <w:keepLines w:val="0"/>
        <w:pageBreakBefore w:val="0"/>
        <w:widowControl w:val="0"/>
        <w:kinsoku/>
        <w:wordWrap w:val="0"/>
        <w:overflowPunct/>
        <w:topLinePunct/>
        <w:autoSpaceDE/>
        <w:autoSpaceDN/>
        <w:bidi w:val="0"/>
        <w:adjustRightInd/>
        <w:snapToGrid/>
        <w:spacing w:line="400" w:lineRule="exact"/>
        <w:ind w:left="0" w:leftChars="0" w:right="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（150</w:t>
      </w:r>
      <w:r>
        <w:rPr>
          <w:rFonts w:hint="eastAsia" w:ascii="宋体" w:hAnsi="宋体" w:eastAsia="宋体" w:cs="宋体"/>
          <w:color w:val="auto"/>
          <w:kern w:val="0"/>
          <w:sz w:val="24"/>
          <w:szCs w:val="24"/>
          <w:highlight w:val="none"/>
        </w:rPr>
        <w:t>－100</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万元×</w:t>
      </w:r>
      <w:r>
        <w:rPr>
          <w:rFonts w:hint="eastAsia" w:ascii="宋体" w:hAnsi="宋体" w:eastAsia="宋体" w:cs="宋体"/>
          <w:color w:val="auto"/>
          <w:kern w:val="0"/>
          <w:sz w:val="24"/>
          <w:szCs w:val="24"/>
          <w:highlight w:val="none"/>
          <w:lang w:val="en-US" w:eastAsia="zh-CN"/>
        </w:rPr>
        <w:t>0.8</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0.4</w:t>
      </w:r>
      <w:r>
        <w:rPr>
          <w:rFonts w:hint="eastAsia" w:ascii="宋体" w:hAnsi="宋体" w:eastAsia="宋体" w:cs="宋体"/>
          <w:color w:val="auto"/>
          <w:kern w:val="0"/>
          <w:sz w:val="24"/>
          <w:szCs w:val="24"/>
          <w:highlight w:val="none"/>
        </w:rPr>
        <w:t>万元</w:t>
      </w:r>
    </w:p>
    <w:p w14:paraId="069547E8">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highlight w:val="none"/>
          <w:lang w:val="en-US" w:eastAsia="zh-CN"/>
        </w:rPr>
        <w:t>费用合计：1.5+0.4=1.9万元</w:t>
      </w:r>
    </w:p>
    <w:p w14:paraId="006E9AA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11.1.</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中标人应在接受“</w:t>
      </w:r>
      <w:r>
        <w:rPr>
          <w:rFonts w:hint="eastAsia" w:ascii="宋体" w:hAnsi="宋体" w:eastAsia="宋体" w:cs="宋体"/>
          <w:b/>
          <w:color w:val="auto"/>
          <w:sz w:val="24"/>
          <w:szCs w:val="24"/>
        </w:rPr>
        <w:t>中标通知书</w:t>
      </w:r>
      <w:r>
        <w:rPr>
          <w:rFonts w:hint="eastAsia" w:ascii="宋体" w:hAnsi="宋体" w:eastAsia="宋体" w:cs="宋体"/>
          <w:color w:val="auto"/>
          <w:sz w:val="24"/>
          <w:szCs w:val="24"/>
        </w:rPr>
        <w:t>”前向</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一次付清代理服务费</w:t>
      </w:r>
      <w:r>
        <w:rPr>
          <w:rFonts w:hint="eastAsia" w:ascii="宋体" w:hAnsi="宋体" w:eastAsia="宋体" w:cs="宋体"/>
          <w:color w:val="auto"/>
          <w:sz w:val="24"/>
          <w:szCs w:val="24"/>
          <w:lang w:eastAsia="zh-CN"/>
        </w:rPr>
        <w:t>。</w:t>
      </w:r>
    </w:p>
    <w:p w14:paraId="64D6A4C1">
      <w:pPr>
        <w:keepNext w:val="0"/>
        <w:keepLines w:val="0"/>
        <w:pageBreakBefore w:val="0"/>
        <w:widowControl w:val="0"/>
        <w:kinsoku/>
        <w:wordWrap w:val="0"/>
        <w:overflowPunct/>
        <w:topLinePunct/>
        <w:autoSpaceDE/>
        <w:autoSpaceDN/>
        <w:bidi w:val="0"/>
        <w:adjustRightInd/>
        <w:snapToGrid/>
        <w:spacing w:line="360" w:lineRule="auto"/>
        <w:ind w:right="0"/>
        <w:jc w:val="center"/>
        <w:textAlignment w:val="baseline"/>
        <w:rPr>
          <w:rFonts w:hint="eastAsia" w:ascii="宋体" w:hAnsi="宋体" w:eastAsia="宋体" w:cs="宋体"/>
          <w:color w:val="auto"/>
          <w:lang w:eastAsia="zh-CN"/>
        </w:rPr>
        <w:sectPr>
          <w:footerReference r:id="rId6" w:type="first"/>
          <w:footerReference r:id="rId5" w:type="default"/>
          <w:pgSz w:w="11906" w:h="16838"/>
          <w:pgMar w:top="1440" w:right="1080" w:bottom="1440" w:left="1080"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p>
    <w:p w14:paraId="30472B18">
      <w:pPr>
        <w:keepNext w:val="0"/>
        <w:keepLines w:val="0"/>
        <w:pageBreakBefore w:val="0"/>
        <w:widowControl w:val="0"/>
        <w:kinsoku/>
        <w:wordWrap w:val="0"/>
        <w:overflowPunct/>
        <w:topLinePunct/>
        <w:autoSpaceDE/>
        <w:autoSpaceDN/>
        <w:bidi w:val="0"/>
        <w:adjustRightInd/>
        <w:snapToGrid/>
        <w:spacing w:line="240" w:lineRule="auto"/>
        <w:ind w:left="0" w:leftChars="0" w:right="0"/>
        <w:jc w:val="left"/>
        <w:textAlignment w:val="baseline"/>
        <w:rPr>
          <w:rFonts w:hint="eastAsia" w:ascii="宋体" w:hAnsi="宋体" w:eastAsia="宋体" w:cs="宋体"/>
          <w:color w:val="auto"/>
          <w:lang w:eastAsia="zh-CN"/>
        </w:rPr>
      </w:pPr>
      <w:r>
        <w:rPr>
          <w:rFonts w:hint="eastAsia" w:ascii="宋体" w:hAnsi="宋体" w:eastAsia="宋体" w:cs="宋体"/>
          <w:color w:val="auto"/>
          <w:lang w:eastAsia="zh-CN"/>
        </w:rPr>
        <w:t>附件：</w:t>
      </w:r>
    </w:p>
    <w:p w14:paraId="2301987B">
      <w:pPr>
        <w:keepNext w:val="0"/>
        <w:keepLines w:val="0"/>
        <w:pageBreakBefore w:val="0"/>
        <w:widowControl w:val="0"/>
        <w:kinsoku/>
        <w:wordWrap w:val="0"/>
        <w:overflowPunct/>
        <w:topLinePunct/>
        <w:autoSpaceDE/>
        <w:autoSpaceDN/>
        <w:bidi w:val="0"/>
        <w:adjustRightInd/>
        <w:snapToGrid/>
        <w:spacing w:line="360" w:lineRule="auto"/>
        <w:ind w:left="0" w:leftChars="0" w:right="0" w:firstLine="484" w:firstLineChars="201"/>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说明：本部分格式为</w:t>
      </w:r>
      <w:r>
        <w:rPr>
          <w:rFonts w:hint="eastAsia" w:ascii="宋体" w:hAnsi="宋体" w:cs="宋体"/>
          <w:b/>
          <w:color w:val="auto"/>
          <w:sz w:val="24"/>
          <w:szCs w:val="24"/>
          <w:lang w:eastAsia="zh-CN"/>
        </w:rPr>
        <w:t>供应商</w:t>
      </w:r>
      <w:r>
        <w:rPr>
          <w:rFonts w:hint="eastAsia" w:ascii="宋体" w:hAnsi="宋体" w:eastAsia="宋体" w:cs="宋体"/>
          <w:b/>
          <w:color w:val="auto"/>
          <w:sz w:val="24"/>
          <w:szCs w:val="24"/>
        </w:rPr>
        <w:t>提交询问函、质疑函、投诉函时使用，不属于投标文件格式的组成部分。</w:t>
      </w:r>
    </w:p>
    <w:p w14:paraId="3DA5BEFA">
      <w:pPr>
        <w:pStyle w:val="61"/>
        <w:keepNext w:val="0"/>
        <w:keepLines w:val="0"/>
        <w:pageBreakBefore w:val="0"/>
        <w:widowControl w:val="0"/>
        <w:kinsoku/>
        <w:wordWrap w:val="0"/>
        <w:overflowPunct/>
        <w:topLinePunct/>
        <w:autoSpaceDE/>
        <w:autoSpaceDN/>
        <w:bidi w:val="0"/>
        <w:adjustRightInd/>
        <w:snapToGrid/>
        <w:spacing w:before="0" w:beforeAutospacing="0" w:after="0" w:afterAutospacing="0" w:line="360" w:lineRule="auto"/>
        <w:ind w:left="0" w:leftChars="0" w:right="0"/>
        <w:jc w:val="center"/>
        <w:textAlignment w:val="auto"/>
        <w:rPr>
          <w:rStyle w:val="72"/>
          <w:rFonts w:hint="eastAsia" w:ascii="宋体" w:hAnsi="宋体" w:eastAsia="宋体" w:cs="宋体"/>
          <w:b/>
          <w:bCs w:val="0"/>
          <w:color w:val="auto"/>
          <w:sz w:val="44"/>
          <w:szCs w:val="44"/>
        </w:rPr>
      </w:pPr>
    </w:p>
    <w:p w14:paraId="0372375B">
      <w:pPr>
        <w:pStyle w:val="61"/>
        <w:keepNext w:val="0"/>
        <w:keepLines w:val="0"/>
        <w:pageBreakBefore w:val="0"/>
        <w:widowControl w:val="0"/>
        <w:kinsoku/>
        <w:wordWrap w:val="0"/>
        <w:overflowPunct/>
        <w:topLinePunct/>
        <w:autoSpaceDE/>
        <w:autoSpaceDN/>
        <w:bidi w:val="0"/>
        <w:adjustRightInd/>
        <w:snapToGrid/>
        <w:spacing w:before="0" w:beforeAutospacing="0" w:after="0" w:afterAutospacing="0" w:line="360" w:lineRule="auto"/>
        <w:ind w:left="0" w:leftChars="0" w:right="0"/>
        <w:jc w:val="center"/>
        <w:textAlignment w:val="auto"/>
        <w:rPr>
          <w:rStyle w:val="72"/>
          <w:rFonts w:hint="eastAsia" w:ascii="宋体" w:hAnsi="宋体" w:eastAsia="宋体" w:cs="宋体"/>
          <w:color w:val="auto"/>
          <w:sz w:val="24"/>
          <w:szCs w:val="24"/>
          <w:lang w:eastAsia="zh-CN"/>
        </w:rPr>
      </w:pPr>
      <w:r>
        <w:rPr>
          <w:rStyle w:val="72"/>
          <w:rFonts w:hint="eastAsia" w:ascii="宋体" w:hAnsi="宋体" w:eastAsia="宋体" w:cs="宋体"/>
          <w:b/>
          <w:bCs w:val="0"/>
          <w:color w:val="auto"/>
          <w:sz w:val="44"/>
          <w:szCs w:val="44"/>
        </w:rPr>
        <w:t>询问函</w:t>
      </w:r>
      <w:r>
        <w:rPr>
          <w:rFonts w:hint="eastAsia" w:ascii="宋体" w:hAnsi="宋体" w:eastAsia="宋体" w:cs="宋体"/>
          <w:b/>
          <w:bCs w:val="0"/>
          <w:color w:val="auto"/>
          <w:sz w:val="44"/>
          <w:szCs w:val="44"/>
          <w:lang w:eastAsia="zh-CN"/>
        </w:rPr>
        <w:t>（</w:t>
      </w:r>
      <w:r>
        <w:rPr>
          <w:rFonts w:hint="eastAsia" w:ascii="宋体" w:hAnsi="宋体" w:eastAsia="宋体" w:cs="宋体"/>
          <w:b/>
          <w:bCs w:val="0"/>
          <w:color w:val="auto"/>
          <w:sz w:val="44"/>
          <w:szCs w:val="44"/>
        </w:rPr>
        <w:t>文本格式</w:t>
      </w:r>
      <w:r>
        <w:rPr>
          <w:rFonts w:hint="eastAsia" w:ascii="宋体" w:hAnsi="宋体" w:eastAsia="宋体" w:cs="宋体"/>
          <w:b/>
          <w:bCs w:val="0"/>
          <w:color w:val="auto"/>
          <w:sz w:val="44"/>
          <w:szCs w:val="44"/>
          <w:lang w:eastAsia="zh-CN"/>
        </w:rPr>
        <w:t>）</w:t>
      </w:r>
    </w:p>
    <w:p w14:paraId="216DAA38">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lang w:eastAsia="zh-CN"/>
        </w:rPr>
      </w:pPr>
    </w:p>
    <w:p w14:paraId="62EA09B4">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楚雄腾凯工程项目管理有限公司 </w:t>
      </w:r>
      <w:r>
        <w:rPr>
          <w:rFonts w:hint="eastAsia" w:ascii="宋体" w:hAnsi="宋体" w:eastAsia="宋体" w:cs="宋体"/>
          <w:color w:val="auto"/>
          <w:sz w:val="24"/>
          <w:szCs w:val="24"/>
          <w:highlight w:val="none"/>
        </w:rPr>
        <w:t>：</w:t>
      </w:r>
    </w:p>
    <w:p w14:paraId="47BA78F3">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我单位已报名并准备参与</w:t>
      </w:r>
      <w:r>
        <w:rPr>
          <w:rFonts w:hint="eastAsia" w:ascii="宋体" w:hAnsi="宋体" w:eastAsia="宋体" w:cs="宋体"/>
          <w:i w:val="0"/>
          <w:iCs/>
          <w:color w:val="auto"/>
          <w:sz w:val="24"/>
          <w:szCs w:val="24"/>
          <w:u w:val="single"/>
        </w:rPr>
        <w:t>（项目名称）</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标    项：</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none"/>
          <w:lang w:val="en-US" w:eastAsia="zh-CN"/>
        </w:rPr>
        <w:t>，</w:t>
      </w:r>
      <w:r>
        <w:rPr>
          <w:rFonts w:hint="eastAsia" w:ascii="宋体" w:hAnsi="宋体" w:eastAsia="宋体" w:cs="宋体"/>
          <w:color w:val="auto"/>
          <w:sz w:val="24"/>
          <w:szCs w:val="24"/>
        </w:rPr>
        <w:t>采购文件编号：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的投标（或报价）活动，现有以下几</w:t>
      </w:r>
      <w:r>
        <w:rPr>
          <w:rFonts w:hint="eastAsia" w:ascii="宋体" w:hAnsi="宋体" w:eastAsia="宋体" w:cs="宋体"/>
          <w:color w:val="auto"/>
          <w:sz w:val="24"/>
          <w:szCs w:val="24"/>
          <w:lang w:eastAsia="zh-CN"/>
        </w:rPr>
        <w:t>项</w:t>
      </w:r>
      <w:r>
        <w:rPr>
          <w:rFonts w:hint="eastAsia" w:ascii="宋体" w:hAnsi="宋体" w:eastAsia="宋体" w:cs="宋体"/>
          <w:color w:val="auto"/>
          <w:sz w:val="24"/>
          <w:szCs w:val="24"/>
        </w:rPr>
        <w:t>内容（或条款）存在疑问（或无法理解），特提出询问。</w:t>
      </w:r>
    </w:p>
    <w:p w14:paraId="4F26A364">
      <w:pPr>
        <w:keepNext w:val="0"/>
        <w:keepLines w:val="0"/>
        <w:pageBreakBefore w:val="0"/>
        <w:widowControl w:val="0"/>
        <w:numPr>
          <w:ilvl w:val="0"/>
          <w:numId w:val="0"/>
        </w:numPr>
        <w:tabs>
          <w:tab w:val="left" w:pos="6300"/>
        </w:tabs>
        <w:kinsoku/>
        <w:wordWrap w:val="0"/>
        <w:overflowPunct/>
        <w:topLinePunct/>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lang w:val="en-US" w:eastAsia="en-US" w:bidi="ar-SA"/>
        </w:rPr>
      </w:pPr>
    </w:p>
    <w:p w14:paraId="1CE24776">
      <w:pPr>
        <w:keepNext w:val="0"/>
        <w:keepLines w:val="0"/>
        <w:pageBreakBefore w:val="0"/>
        <w:widowControl w:val="0"/>
        <w:numPr>
          <w:ilvl w:val="0"/>
          <w:numId w:val="0"/>
        </w:numPr>
        <w:tabs>
          <w:tab w:val="left" w:pos="6300"/>
        </w:tabs>
        <w:kinsoku/>
        <w:wordWrap w:val="0"/>
        <w:overflowPunct/>
        <w:topLinePunct/>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en-US" w:bidi="ar-SA"/>
        </w:rPr>
        <w:t>一、</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（事项一）</w:t>
      </w:r>
    </w:p>
    <w:p w14:paraId="253B5F4A">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（问题或条款内容）</w:t>
      </w:r>
    </w:p>
    <w:p w14:paraId="264310F6">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（说明疑问或无法理解原因）</w:t>
      </w:r>
    </w:p>
    <w:p w14:paraId="1E30986F">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（建议）</w:t>
      </w:r>
    </w:p>
    <w:p w14:paraId="6E3830FE">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p>
    <w:p w14:paraId="3DE60121">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（事项二）</w:t>
      </w:r>
    </w:p>
    <w:p w14:paraId="3BA2A498">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755BA946">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随附相关证明材料如下：（目录）。</w:t>
      </w:r>
    </w:p>
    <w:p w14:paraId="1673D059">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1440" w:firstLineChars="600"/>
        <w:jc w:val="left"/>
        <w:textAlignment w:val="auto"/>
        <w:rPr>
          <w:rFonts w:hint="eastAsia" w:ascii="宋体" w:hAnsi="宋体" w:eastAsia="宋体" w:cs="宋体"/>
          <w:color w:val="auto"/>
          <w:sz w:val="24"/>
          <w:szCs w:val="24"/>
        </w:rPr>
      </w:pPr>
    </w:p>
    <w:p w14:paraId="5404D80C">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1440" w:firstLineChars="6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询问人：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（公章）</w:t>
      </w:r>
    </w:p>
    <w:p w14:paraId="23F7A282">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1440" w:firstLineChars="6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法定代表人（授权代表）：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p>
    <w:p w14:paraId="5A437132">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1440" w:firstLineChars="6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地址/邮编：</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p>
    <w:p w14:paraId="0725468C">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1440" w:firstLineChars="6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电话/传真：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p>
    <w:p w14:paraId="00F46FF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center"/>
        <w:textAlignment w:val="auto"/>
        <w:rPr>
          <w:rFonts w:hint="eastAsia" w:ascii="宋体" w:hAnsi="宋体" w:eastAsia="宋体" w:cs="宋体"/>
          <w:color w:val="auto"/>
          <w:sz w:val="24"/>
          <w:szCs w:val="24"/>
          <w:u w:val="singl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rtlGutter w:val="0"/>
          <w:docGrid w:type="lines" w:linePitch="312" w:charSpace="0"/>
        </w:sect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日</w:t>
      </w:r>
    </w:p>
    <w:p w14:paraId="53F42FC3">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w:t>
      </w:r>
      <w:r>
        <w:rPr>
          <w:rFonts w:hint="eastAsia" w:ascii="宋体" w:hAnsi="宋体" w:eastAsia="宋体" w:cs="宋体"/>
          <w:color w:val="auto"/>
          <w:sz w:val="24"/>
          <w:szCs w:val="24"/>
          <w:lang w:val="en-US" w:eastAsia="zh-CN"/>
        </w:rPr>
        <w:t>一：</w:t>
      </w:r>
    </w:p>
    <w:p w14:paraId="14560553">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法定代表人授权委托书</w:t>
      </w:r>
    </w:p>
    <w:p w14:paraId="362BA4C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b/>
          <w:bCs/>
          <w:color w:val="auto"/>
          <w:sz w:val="24"/>
          <w:szCs w:val="24"/>
        </w:rPr>
      </w:pPr>
      <w:r>
        <w:rPr>
          <w:rFonts w:hint="eastAsia" w:ascii="宋体" w:hAnsi="宋体" w:eastAsia="宋体" w:cs="宋体"/>
          <w:bCs/>
          <w:color w:val="auto"/>
          <w:sz w:val="24"/>
          <w:szCs w:val="24"/>
        </w:rPr>
        <w:t>致：</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招标代理机构</w:t>
      </w:r>
      <w:r>
        <w:rPr>
          <w:rFonts w:hint="eastAsia" w:ascii="宋体" w:hAnsi="宋体" w:eastAsia="宋体" w:cs="宋体"/>
          <w:color w:val="auto"/>
          <w:sz w:val="24"/>
          <w:szCs w:val="24"/>
          <w:u w:val="single"/>
        </w:rPr>
        <w:t>或</w:t>
      </w:r>
      <w:r>
        <w:rPr>
          <w:rFonts w:hint="eastAsia" w:ascii="宋体" w:hAnsi="宋体" w:eastAsia="宋体" w:cs="宋体"/>
          <w:color w:val="auto"/>
          <w:sz w:val="24"/>
          <w:szCs w:val="24"/>
          <w:u w:val="single"/>
          <w:lang w:eastAsia="zh-CN"/>
        </w:rPr>
        <w:t>采购人</w:t>
      </w:r>
      <w:r>
        <w:rPr>
          <w:rFonts w:hint="eastAsia" w:ascii="宋体" w:hAnsi="宋体" w:eastAsia="宋体" w:cs="宋体"/>
          <w:color w:val="auto"/>
          <w:sz w:val="24"/>
          <w:szCs w:val="24"/>
          <w:u w:val="single"/>
        </w:rPr>
        <w:t>名称）</w:t>
      </w:r>
      <w:r>
        <w:rPr>
          <w:rFonts w:hint="eastAsia" w:ascii="宋体" w:hAnsi="宋体" w:eastAsia="宋体" w:cs="宋体"/>
          <w:color w:val="auto"/>
          <w:sz w:val="24"/>
          <w:szCs w:val="24"/>
        </w:rPr>
        <w:t>：</w:t>
      </w:r>
    </w:p>
    <w:p w14:paraId="0ED2DB5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（姓名）系</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 xml:space="preserve">名称）的法定代表人，现授权委托本单位在职职工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（姓名）以我方的名义参加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标    项：</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的采购活动，并代表我方全权办理（</w:t>
      </w:r>
      <w:r>
        <w:rPr>
          <w:rFonts w:hint="eastAsia" w:ascii="宋体" w:hAnsi="宋体" w:eastAsia="宋体" w:cs="宋体"/>
          <w:color w:val="auto"/>
          <w:sz w:val="24"/>
          <w:szCs w:val="24"/>
          <w:u w:val="single"/>
        </w:rPr>
        <w:t>应当载明委托代理的具体权限和事项</w:t>
      </w:r>
      <w:r>
        <w:rPr>
          <w:rFonts w:hint="eastAsia" w:ascii="宋体" w:hAnsi="宋体" w:eastAsia="宋体" w:cs="宋体"/>
          <w:color w:val="auto"/>
          <w:sz w:val="24"/>
          <w:szCs w:val="24"/>
        </w:rPr>
        <w:t>）。</w:t>
      </w:r>
    </w:p>
    <w:p w14:paraId="2817B45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我方对被授权人的签名事项负全部责任。</w:t>
      </w:r>
    </w:p>
    <w:p w14:paraId="217A815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在撤销授权的书面通知以前，本授权书一直有效。被授权人在授权书有效期内签署的所有文件不因授权的撤销而失效。</w:t>
      </w:r>
    </w:p>
    <w:p w14:paraId="3383267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被授权人无转委托权，特此委托。</w:t>
      </w:r>
    </w:p>
    <w:p w14:paraId="3B7713F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u w:val="none"/>
        </w:rPr>
        <w:t>签名：</w:t>
      </w:r>
      <w:r>
        <w:rPr>
          <w:rFonts w:hint="eastAsia" w:ascii="宋体" w:hAnsi="宋体" w:eastAsia="宋体" w:cs="宋体"/>
          <w:b/>
          <w:color w:val="auto"/>
          <w:sz w:val="24"/>
          <w:szCs w:val="24"/>
          <w:u w:val="single"/>
        </w:rPr>
        <w:t xml:space="preserve">       </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u w:val="none"/>
        </w:rPr>
        <w:t>（盖姓名章无效）</w:t>
      </w:r>
    </w:p>
    <w:p w14:paraId="073D327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法定代表人身份证号码：</w:t>
      </w:r>
      <w:r>
        <w:rPr>
          <w:rFonts w:hint="eastAsia" w:ascii="宋体" w:hAnsi="宋体" w:eastAsia="宋体" w:cs="宋体"/>
          <w:color w:val="auto"/>
          <w:sz w:val="24"/>
          <w:szCs w:val="24"/>
          <w:u w:val="single"/>
        </w:rPr>
        <w:t xml:space="preserve">                           </w:t>
      </w:r>
    </w:p>
    <w:p w14:paraId="6F1F0A1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被授权人签名：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rPr>
        <w:t>所在部门</w:t>
      </w:r>
      <w:r>
        <w:rPr>
          <w:rFonts w:hint="eastAsia" w:ascii="宋体" w:hAnsi="宋体" w:eastAsia="宋体" w:cs="宋体"/>
          <w:color w:val="auto"/>
          <w:sz w:val="24"/>
          <w:szCs w:val="24"/>
          <w:lang w:eastAsia="zh-CN"/>
        </w:rPr>
        <w:t>及</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1AAC214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被授权人身份证号码：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32DB57A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p>
    <w:tbl>
      <w:tblPr>
        <w:tblStyle w:val="67"/>
        <w:tblW w:w="9600" w:type="dxa"/>
        <w:jc w:val="center"/>
        <w:tblLayout w:type="autofit"/>
        <w:tblCellMar>
          <w:top w:w="0" w:type="dxa"/>
          <w:left w:w="108" w:type="dxa"/>
          <w:bottom w:w="0" w:type="dxa"/>
          <w:right w:w="108" w:type="dxa"/>
        </w:tblCellMar>
      </w:tblPr>
      <w:tblGrid>
        <w:gridCol w:w="9600"/>
      </w:tblGrid>
      <w:tr w14:paraId="18671250">
        <w:tblPrEx>
          <w:tblCellMar>
            <w:top w:w="0" w:type="dxa"/>
            <w:left w:w="108" w:type="dxa"/>
            <w:bottom w:w="0" w:type="dxa"/>
            <w:right w:w="108" w:type="dxa"/>
          </w:tblCellMar>
        </w:tblPrEx>
        <w:trPr>
          <w:trHeight w:val="2045" w:hRule="atLeast"/>
          <w:jc w:val="center"/>
        </w:trPr>
        <w:tc>
          <w:tcPr>
            <w:tcW w:w="9600" w:type="dxa"/>
            <w:noWrap w:val="0"/>
            <w:vAlign w:val="center"/>
          </w:tcPr>
          <w:p w14:paraId="091F9869">
            <w:pPr>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法定代表人身份证正、反面</w:t>
            </w:r>
            <w:r>
              <w:rPr>
                <w:rFonts w:hint="eastAsia" w:ascii="宋体" w:hAnsi="宋体" w:eastAsia="宋体" w:cs="宋体"/>
                <w:color w:val="auto"/>
                <w:sz w:val="24"/>
                <w:szCs w:val="24"/>
                <w:lang w:eastAsia="zh-CN"/>
              </w:rPr>
              <w:t>扫描件</w:t>
            </w:r>
          </w:p>
        </w:tc>
      </w:tr>
      <w:tr w14:paraId="05D43A75">
        <w:tblPrEx>
          <w:tblCellMar>
            <w:top w:w="0" w:type="dxa"/>
            <w:left w:w="108" w:type="dxa"/>
            <w:bottom w:w="0" w:type="dxa"/>
            <w:right w:w="108" w:type="dxa"/>
          </w:tblCellMar>
        </w:tblPrEx>
        <w:trPr>
          <w:trHeight w:val="2016" w:hRule="atLeast"/>
          <w:jc w:val="center"/>
        </w:trPr>
        <w:tc>
          <w:tcPr>
            <w:tcW w:w="9600" w:type="dxa"/>
            <w:noWrap w:val="0"/>
            <w:vAlign w:val="center"/>
          </w:tcPr>
          <w:p w14:paraId="3F2091B5">
            <w:pPr>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委托代理人身份证正、反面</w:t>
            </w:r>
            <w:r>
              <w:rPr>
                <w:rFonts w:hint="eastAsia" w:ascii="宋体" w:hAnsi="宋体" w:eastAsia="宋体" w:cs="宋体"/>
                <w:color w:val="auto"/>
                <w:sz w:val="24"/>
                <w:szCs w:val="24"/>
                <w:lang w:eastAsia="zh-CN"/>
              </w:rPr>
              <w:t>扫描件</w:t>
            </w:r>
          </w:p>
        </w:tc>
      </w:tr>
    </w:tbl>
    <w:p w14:paraId="6F1AFDB1">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1"/>
          <w:szCs w:val="21"/>
          <w:lang w:val="en-US" w:eastAsia="zh-CN"/>
        </w:rPr>
        <w:t>后附：加盖公章的营业执照复印件、投标确认回执。</w:t>
      </w:r>
    </w:p>
    <w:p w14:paraId="3C92CF1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p>
    <w:p w14:paraId="5DCCC74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p>
    <w:p w14:paraId="37045D5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询问人：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（公章）</w:t>
      </w:r>
    </w:p>
    <w:p w14:paraId="711E0E73">
      <w:pPr>
        <w:pStyle w:val="28"/>
        <w:keepNext w:val="0"/>
        <w:keepLines w:val="0"/>
        <w:pageBreakBefore w:val="0"/>
        <w:widowControl w:val="0"/>
        <w:kinsoku/>
        <w:wordWrap w:val="0"/>
        <w:overflowPunct/>
        <w:topLinePunct/>
        <w:autoSpaceDE/>
        <w:autoSpaceDN/>
        <w:bidi w:val="0"/>
        <w:adjustRightInd/>
        <w:snapToGrid/>
        <w:ind w:left="0" w:leftChars="0" w:right="0" w:firstLine="480" w:firstLineChars="200"/>
        <w:rPr>
          <w:rFonts w:hint="eastAsia" w:ascii="宋体" w:hAnsi="宋体" w:eastAsia="宋体" w:cs="宋体"/>
          <w:color w:val="auto"/>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720" w:num="1"/>
          <w:rtlGutter w:val="0"/>
          <w:docGrid w:type="lines" w:linePitch="312" w:charSpace="0"/>
        </w:sect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日</w:t>
      </w:r>
    </w:p>
    <w:p w14:paraId="4EE2BA55">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质疑函</w:t>
      </w:r>
      <w:r>
        <w:rPr>
          <w:rFonts w:hint="eastAsia" w:ascii="宋体" w:hAnsi="宋体" w:eastAsia="宋体" w:cs="宋体"/>
          <w:b/>
          <w:bCs/>
          <w:color w:val="auto"/>
          <w:sz w:val="32"/>
          <w:szCs w:val="32"/>
          <w:lang w:eastAsia="zh-CN"/>
        </w:rPr>
        <w:t>（</w:t>
      </w:r>
      <w:r>
        <w:rPr>
          <w:rFonts w:hint="eastAsia" w:ascii="宋体" w:hAnsi="宋体" w:eastAsia="宋体" w:cs="宋体"/>
          <w:b/>
          <w:bCs/>
          <w:color w:val="auto"/>
          <w:sz w:val="32"/>
          <w:szCs w:val="32"/>
        </w:rPr>
        <w:t>范本</w:t>
      </w:r>
      <w:r>
        <w:rPr>
          <w:rFonts w:hint="eastAsia" w:ascii="宋体" w:hAnsi="宋体" w:eastAsia="宋体" w:cs="宋体"/>
          <w:b/>
          <w:bCs/>
          <w:color w:val="auto"/>
          <w:sz w:val="32"/>
          <w:szCs w:val="32"/>
          <w:lang w:eastAsia="zh-CN"/>
        </w:rPr>
        <w:t>）</w:t>
      </w:r>
    </w:p>
    <w:p w14:paraId="3B655FA7">
      <w:pPr>
        <w:keepNext w:val="0"/>
        <w:keepLines w:val="0"/>
        <w:pageBreakBefore w:val="0"/>
        <w:widowControl w:val="0"/>
        <w:kinsoku/>
        <w:overflowPunct/>
        <w:autoSpaceDE/>
        <w:autoSpaceDN/>
        <w:bidi w:val="0"/>
        <w:adjustRightInd w:val="0"/>
        <w:snapToGrid w:val="0"/>
        <w:spacing w:beforeLines="100" w:line="5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一、质疑供应商基本信息</w:t>
      </w:r>
    </w:p>
    <w:p w14:paraId="39CECA59">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质疑供应商：</w:t>
      </w:r>
      <w:r>
        <w:rPr>
          <w:rFonts w:hint="eastAsia" w:ascii="宋体" w:hAnsi="宋体" w:eastAsia="宋体" w:cs="宋体"/>
          <w:color w:val="auto"/>
          <w:sz w:val="24"/>
          <w:szCs w:val="24"/>
          <w:u w:val="dotted"/>
        </w:rPr>
        <w:t xml:space="preserve">                                        </w:t>
      </w:r>
    </w:p>
    <w:p w14:paraId="0C269281">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eastAsia="宋体" w:cs="宋体"/>
          <w:color w:val="auto"/>
          <w:sz w:val="24"/>
          <w:szCs w:val="24"/>
          <w:u w:val="dotted"/>
        </w:rPr>
        <w:t xml:space="preserve">                          </w:t>
      </w:r>
      <w:r>
        <w:rPr>
          <w:rFonts w:hint="eastAsia" w:ascii="宋体" w:hAnsi="宋体" w:eastAsia="宋体" w:cs="宋体"/>
          <w:color w:val="auto"/>
          <w:sz w:val="24"/>
          <w:szCs w:val="24"/>
        </w:rPr>
        <w:t>邮编：</w:t>
      </w:r>
      <w:r>
        <w:rPr>
          <w:rFonts w:hint="eastAsia" w:ascii="宋体" w:hAnsi="宋体" w:eastAsia="宋体" w:cs="宋体"/>
          <w:color w:val="auto"/>
          <w:sz w:val="24"/>
          <w:szCs w:val="24"/>
          <w:u w:val="dotted"/>
        </w:rPr>
        <w:t xml:space="preserve">              </w:t>
      </w:r>
    </w:p>
    <w:p w14:paraId="38576163">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联系人：</w:t>
      </w:r>
      <w:r>
        <w:rPr>
          <w:rFonts w:hint="eastAsia" w:ascii="宋体" w:hAnsi="宋体" w:eastAsia="宋体" w:cs="宋体"/>
          <w:color w:val="auto"/>
          <w:sz w:val="24"/>
          <w:szCs w:val="24"/>
          <w:u w:val="dotted"/>
        </w:rPr>
        <w:t xml:space="preserve">                      </w:t>
      </w:r>
      <w:r>
        <w:rPr>
          <w:rFonts w:hint="eastAsia" w:ascii="宋体" w:hAnsi="宋体" w:eastAsia="宋体" w:cs="宋体"/>
          <w:color w:val="auto"/>
          <w:sz w:val="24"/>
          <w:szCs w:val="24"/>
        </w:rPr>
        <w:t>联系电话：</w:t>
      </w:r>
      <w:r>
        <w:rPr>
          <w:rFonts w:hint="eastAsia" w:ascii="宋体" w:hAnsi="宋体" w:eastAsia="宋体" w:cs="宋体"/>
          <w:color w:val="auto"/>
          <w:sz w:val="24"/>
          <w:szCs w:val="24"/>
          <w:u w:val="dotted"/>
        </w:rPr>
        <w:t xml:space="preserve">            </w:t>
      </w:r>
    </w:p>
    <w:p w14:paraId="55B2C7B0">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授权代表：</w:t>
      </w:r>
      <w:r>
        <w:rPr>
          <w:rFonts w:hint="eastAsia" w:ascii="宋体" w:hAnsi="宋体" w:eastAsia="宋体" w:cs="宋体"/>
          <w:color w:val="auto"/>
          <w:sz w:val="24"/>
          <w:szCs w:val="24"/>
          <w:u w:val="dotted"/>
        </w:rPr>
        <w:t xml:space="preserve">                                          </w:t>
      </w:r>
    </w:p>
    <w:p w14:paraId="25EAAC6A">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dotted"/>
        </w:rPr>
        <w:t xml:space="preserve">                                          </w:t>
      </w:r>
    </w:p>
    <w:p w14:paraId="3511FCA2">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dotted"/>
        </w:rPr>
        <w:t xml:space="preserve">                        </w:t>
      </w:r>
      <w:r>
        <w:rPr>
          <w:rFonts w:hint="eastAsia" w:ascii="宋体" w:hAnsi="宋体" w:eastAsia="宋体" w:cs="宋体"/>
          <w:color w:val="auto"/>
          <w:sz w:val="24"/>
          <w:szCs w:val="24"/>
        </w:rPr>
        <w:t>邮编：</w:t>
      </w:r>
      <w:r>
        <w:rPr>
          <w:rFonts w:hint="eastAsia" w:ascii="宋体" w:hAnsi="宋体" w:eastAsia="宋体" w:cs="宋体"/>
          <w:color w:val="auto"/>
          <w:sz w:val="24"/>
          <w:szCs w:val="24"/>
          <w:u w:val="dotted"/>
        </w:rPr>
        <w:t xml:space="preserve">               </w:t>
      </w:r>
    </w:p>
    <w:p w14:paraId="5C075792">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二、质疑项目基本情况</w:t>
      </w:r>
    </w:p>
    <w:p w14:paraId="5A94514D">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质疑项目的名称：</w:t>
      </w:r>
      <w:r>
        <w:rPr>
          <w:rFonts w:hint="eastAsia" w:ascii="宋体" w:hAnsi="宋体" w:eastAsia="宋体" w:cs="宋体"/>
          <w:color w:val="auto"/>
          <w:sz w:val="24"/>
          <w:szCs w:val="24"/>
          <w:u w:val="dotted"/>
        </w:rPr>
        <w:t xml:space="preserve">                                    </w:t>
      </w:r>
    </w:p>
    <w:p w14:paraId="64B01F02">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质疑项目的编号：</w:t>
      </w:r>
      <w:r>
        <w:rPr>
          <w:rFonts w:hint="eastAsia" w:ascii="宋体" w:hAnsi="宋体" w:eastAsia="宋体" w:cs="宋体"/>
          <w:color w:val="auto"/>
          <w:sz w:val="24"/>
          <w:szCs w:val="24"/>
          <w:u w:val="dotted"/>
        </w:rPr>
        <w:t xml:space="preserve">               </w:t>
      </w:r>
      <w:r>
        <w:rPr>
          <w:rFonts w:hint="eastAsia" w:ascii="宋体" w:hAnsi="宋体" w:eastAsia="宋体" w:cs="宋体"/>
          <w:color w:val="auto"/>
          <w:sz w:val="24"/>
          <w:szCs w:val="24"/>
        </w:rPr>
        <w:t>包号：</w:t>
      </w:r>
      <w:r>
        <w:rPr>
          <w:rFonts w:hint="eastAsia" w:ascii="宋体" w:hAnsi="宋体" w:eastAsia="宋体" w:cs="宋体"/>
          <w:color w:val="auto"/>
          <w:sz w:val="24"/>
          <w:szCs w:val="24"/>
          <w:u w:val="dotted"/>
        </w:rPr>
        <w:t xml:space="preserve">               </w:t>
      </w:r>
    </w:p>
    <w:p w14:paraId="1BF85624">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采购人名称：</w:t>
      </w:r>
      <w:r>
        <w:rPr>
          <w:rFonts w:hint="eastAsia" w:ascii="宋体" w:hAnsi="宋体" w:eastAsia="宋体" w:cs="宋体"/>
          <w:color w:val="auto"/>
          <w:sz w:val="24"/>
          <w:szCs w:val="24"/>
          <w:u w:val="dotted"/>
        </w:rPr>
        <w:t xml:space="preserve">                                        </w:t>
      </w:r>
    </w:p>
    <w:p w14:paraId="022BA1E9">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采购文件获取日期：</w:t>
      </w:r>
      <w:r>
        <w:rPr>
          <w:rFonts w:hint="eastAsia" w:ascii="宋体" w:hAnsi="宋体" w:eastAsia="宋体" w:cs="宋体"/>
          <w:color w:val="auto"/>
          <w:sz w:val="24"/>
          <w:szCs w:val="24"/>
          <w:u w:val="dotted"/>
        </w:rPr>
        <w:t xml:space="preserve">                                  </w:t>
      </w:r>
    </w:p>
    <w:p w14:paraId="16F8A7FE">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三、质疑事项具体内容</w:t>
      </w:r>
    </w:p>
    <w:p w14:paraId="46BC18B1">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质疑事项1：</w:t>
      </w:r>
      <w:r>
        <w:rPr>
          <w:rFonts w:hint="eastAsia" w:ascii="宋体" w:hAnsi="宋体" w:eastAsia="宋体" w:cs="宋体"/>
          <w:color w:val="auto"/>
          <w:sz w:val="24"/>
          <w:szCs w:val="24"/>
          <w:u w:val="dotted"/>
        </w:rPr>
        <w:t xml:space="preserve">                                         </w:t>
      </w:r>
    </w:p>
    <w:p w14:paraId="4FCB8DE5">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事实依据：</w:t>
      </w:r>
      <w:r>
        <w:rPr>
          <w:rFonts w:hint="eastAsia" w:ascii="宋体" w:hAnsi="宋体" w:eastAsia="宋体" w:cs="宋体"/>
          <w:color w:val="auto"/>
          <w:sz w:val="24"/>
          <w:szCs w:val="24"/>
          <w:u w:val="dotted"/>
        </w:rPr>
        <w:t xml:space="preserve">                                          </w:t>
      </w:r>
    </w:p>
    <w:p w14:paraId="1BC63AF2">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dotted"/>
        </w:rPr>
        <w:t xml:space="preserve">                                                    </w:t>
      </w:r>
    </w:p>
    <w:p w14:paraId="34A57CDD">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法律依据：</w:t>
      </w:r>
      <w:r>
        <w:rPr>
          <w:rFonts w:hint="eastAsia" w:ascii="宋体" w:hAnsi="宋体" w:eastAsia="宋体" w:cs="宋体"/>
          <w:color w:val="auto"/>
          <w:sz w:val="24"/>
          <w:szCs w:val="24"/>
          <w:u w:val="dotted"/>
        </w:rPr>
        <w:t xml:space="preserve">                                          </w:t>
      </w:r>
    </w:p>
    <w:p w14:paraId="3D98C00C">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u w:val="dotted"/>
        </w:rPr>
        <w:t xml:space="preserve">                                                    </w:t>
      </w:r>
    </w:p>
    <w:p w14:paraId="67042C1B">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质疑事项2</w:t>
      </w:r>
    </w:p>
    <w:p w14:paraId="4C5044B4">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37A85D7F">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四、与质疑事项相关的质疑请求</w:t>
      </w:r>
    </w:p>
    <w:p w14:paraId="2317C618">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请求：</w:t>
      </w:r>
      <w:r>
        <w:rPr>
          <w:rFonts w:hint="eastAsia" w:ascii="宋体" w:hAnsi="宋体" w:eastAsia="宋体" w:cs="宋体"/>
          <w:color w:val="auto"/>
          <w:sz w:val="24"/>
          <w:szCs w:val="24"/>
          <w:u w:val="dotted"/>
        </w:rPr>
        <w:t xml:space="preserve">                                              </w:t>
      </w:r>
    </w:p>
    <w:p w14:paraId="79C49F3D">
      <w:pPr>
        <w:keepNext w:val="0"/>
        <w:keepLines w:val="0"/>
        <w:pageBreakBefore w:val="0"/>
        <w:widowControl w:val="0"/>
        <w:kinsoku/>
        <w:overflowPunct/>
        <w:autoSpaceDE/>
        <w:autoSpaceDN/>
        <w:bidi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签字</w:t>
      </w:r>
      <w:r>
        <w:rPr>
          <w:rFonts w:hint="eastAsia" w:ascii="宋体" w:hAnsi="宋体" w:cs="宋体"/>
          <w:color w:val="auto"/>
          <w:sz w:val="24"/>
          <w:szCs w:val="24"/>
          <w:lang w:eastAsia="zh-CN"/>
        </w:rPr>
        <w:t>（</w:t>
      </w:r>
      <w:r>
        <w:rPr>
          <w:rFonts w:hint="eastAsia" w:ascii="宋体" w:hAnsi="宋体" w:eastAsia="宋体" w:cs="宋体"/>
          <w:color w:val="auto"/>
          <w:sz w:val="24"/>
          <w:szCs w:val="24"/>
        </w:rPr>
        <w:t>签章</w:t>
      </w:r>
      <w:r>
        <w:rPr>
          <w:rFonts w:hint="eastAsia" w:ascii="宋体" w:hAnsi="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公章：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p>
    <w:p w14:paraId="01E01830">
      <w:pPr>
        <w:keepNext w:val="0"/>
        <w:keepLines w:val="0"/>
        <w:pageBreakBefore w:val="0"/>
        <w:widowControl w:val="0"/>
        <w:kinsoku/>
        <w:wordWrap w:val="0"/>
        <w:overflowPunct/>
        <w:topLinePunct/>
        <w:autoSpaceDE/>
        <w:autoSpaceDN/>
        <w:bidi w:val="0"/>
        <w:adjustRightInd/>
        <w:snapToGrid/>
        <w:spacing w:line="500" w:lineRule="exact"/>
        <w:ind w:left="0" w:leftChars="0"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日</w:t>
      </w:r>
    </w:p>
    <w:p w14:paraId="0E657460">
      <w:pPr>
        <w:keepNext w:val="0"/>
        <w:keepLines w:val="0"/>
        <w:pageBreakBefore w:val="0"/>
        <w:widowControl w:val="0"/>
        <w:kinsoku/>
        <w:wordWrap w:val="0"/>
        <w:overflowPunct/>
        <w:topLinePunct/>
        <w:autoSpaceDE/>
        <w:autoSpaceDN/>
        <w:bidi w:val="0"/>
        <w:adjustRightInd/>
        <w:snapToGrid/>
        <w:spacing w:line="420" w:lineRule="exact"/>
        <w:ind w:left="0" w:leftChars="0" w:right="0" w:firstLine="480" w:firstLineChars="200"/>
        <w:textAlignment w:val="auto"/>
        <w:rPr>
          <w:rFonts w:hint="eastAsia" w:ascii="宋体" w:hAnsi="宋体" w:eastAsia="宋体" w:cs="宋体"/>
          <w:color w:val="auto"/>
          <w:sz w:val="24"/>
          <w:szCs w:val="24"/>
        </w:rPr>
      </w:pPr>
    </w:p>
    <w:p w14:paraId="7344A496">
      <w:pPr>
        <w:keepNext w:val="0"/>
        <w:keepLines w:val="0"/>
        <w:pageBreakBefore w:val="0"/>
        <w:widowControl w:val="0"/>
        <w:kinsoku/>
        <w:wordWrap w:val="0"/>
        <w:overflowPunct/>
        <w:topLinePunct/>
        <w:autoSpaceDE/>
        <w:autoSpaceDN/>
        <w:bidi w:val="0"/>
        <w:adjustRightInd/>
        <w:snapToGrid/>
        <w:spacing w:line="420" w:lineRule="exact"/>
        <w:ind w:left="0" w:leftChars="0" w:right="0" w:firstLine="480" w:firstLineChars="200"/>
        <w:textAlignment w:val="auto"/>
        <w:rPr>
          <w:rFonts w:hint="eastAsia" w:ascii="宋体" w:hAnsi="宋体" w:eastAsia="宋体" w:cs="宋体"/>
          <w:color w:val="auto"/>
          <w:sz w:val="24"/>
          <w:szCs w:val="24"/>
          <w:u w:val="single"/>
        </w:rPr>
      </w:pPr>
    </w:p>
    <w:p w14:paraId="44F4B7E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56B6B9CD">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附件1：相关证明材料（……）</w:t>
      </w:r>
    </w:p>
    <w:p w14:paraId="1D14236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22CEE819">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附件2:</w:t>
      </w:r>
    </w:p>
    <w:p w14:paraId="3CEF9AEA">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法定代表人授权委托书</w:t>
      </w:r>
    </w:p>
    <w:p w14:paraId="3CA84BB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b/>
          <w:bCs/>
          <w:color w:val="auto"/>
          <w:sz w:val="24"/>
          <w:szCs w:val="24"/>
        </w:rPr>
      </w:pPr>
      <w:r>
        <w:rPr>
          <w:rFonts w:hint="eastAsia" w:ascii="宋体" w:hAnsi="宋体" w:eastAsia="宋体" w:cs="宋体"/>
          <w:bCs/>
          <w:color w:val="auto"/>
          <w:sz w:val="24"/>
          <w:szCs w:val="24"/>
        </w:rPr>
        <w:t>致：</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招标代理机构</w:t>
      </w:r>
      <w:r>
        <w:rPr>
          <w:rFonts w:hint="eastAsia" w:ascii="宋体" w:hAnsi="宋体" w:eastAsia="宋体" w:cs="宋体"/>
          <w:color w:val="auto"/>
          <w:sz w:val="24"/>
          <w:szCs w:val="24"/>
          <w:u w:val="single"/>
        </w:rPr>
        <w:t>或</w:t>
      </w:r>
      <w:r>
        <w:rPr>
          <w:rFonts w:hint="eastAsia" w:ascii="宋体" w:hAnsi="宋体" w:eastAsia="宋体" w:cs="宋体"/>
          <w:color w:val="auto"/>
          <w:sz w:val="24"/>
          <w:szCs w:val="24"/>
          <w:u w:val="single"/>
          <w:lang w:eastAsia="zh-CN"/>
        </w:rPr>
        <w:t>采购人</w:t>
      </w:r>
      <w:r>
        <w:rPr>
          <w:rFonts w:hint="eastAsia" w:ascii="宋体" w:hAnsi="宋体" w:eastAsia="宋体" w:cs="宋体"/>
          <w:color w:val="auto"/>
          <w:sz w:val="24"/>
          <w:szCs w:val="24"/>
          <w:u w:val="single"/>
        </w:rPr>
        <w:t>名称）</w:t>
      </w:r>
      <w:r>
        <w:rPr>
          <w:rFonts w:hint="eastAsia" w:ascii="宋体" w:hAnsi="宋体" w:eastAsia="宋体" w:cs="宋体"/>
          <w:color w:val="auto"/>
          <w:sz w:val="24"/>
          <w:szCs w:val="24"/>
        </w:rPr>
        <w:t>：</w:t>
      </w:r>
    </w:p>
    <w:p w14:paraId="3230107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（姓名）系</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 xml:space="preserve">名称）的法定代表人，现授权委托本单位在职职工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（姓名）以我方的名义参加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标    项：</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的采购活动，并代表我方全权办理（</w:t>
      </w:r>
      <w:r>
        <w:rPr>
          <w:rFonts w:hint="eastAsia" w:ascii="宋体" w:hAnsi="宋体" w:eastAsia="宋体" w:cs="宋体"/>
          <w:color w:val="auto"/>
          <w:sz w:val="24"/>
          <w:szCs w:val="24"/>
          <w:u w:val="single"/>
        </w:rPr>
        <w:t>应当载明委托代理的具体权限和事项</w:t>
      </w:r>
      <w:r>
        <w:rPr>
          <w:rFonts w:hint="eastAsia" w:ascii="宋体" w:hAnsi="宋体" w:eastAsia="宋体" w:cs="宋体"/>
          <w:color w:val="auto"/>
          <w:sz w:val="24"/>
          <w:szCs w:val="24"/>
        </w:rPr>
        <w:t>）。</w:t>
      </w:r>
    </w:p>
    <w:p w14:paraId="7CA1214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我方对被授权人的签名事项负全部责任。</w:t>
      </w:r>
    </w:p>
    <w:p w14:paraId="136E4B5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在撤销授权的书面通知以前，本授权书一直有效。被授权人在授权书有效期内签署的所有文件不因授权的撤销而失效。</w:t>
      </w:r>
    </w:p>
    <w:p w14:paraId="4C28C22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被授权人无转委托权，特此委托。</w:t>
      </w:r>
    </w:p>
    <w:p w14:paraId="030C82E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u w:val="none"/>
        </w:rPr>
        <w:t>签名</w:t>
      </w:r>
      <w:r>
        <w:rPr>
          <w:rFonts w:hint="eastAsia" w:ascii="宋体" w:hAnsi="宋体" w:cs="宋体"/>
          <w:color w:val="auto"/>
          <w:sz w:val="24"/>
          <w:szCs w:val="24"/>
          <w:u w:val="none"/>
          <w:lang w:eastAsia="zh-CN"/>
        </w:rPr>
        <w:t>或盖章</w:t>
      </w:r>
      <w:r>
        <w:rPr>
          <w:rFonts w:hint="eastAsia" w:ascii="宋体" w:hAnsi="宋体" w:eastAsia="宋体" w:cs="宋体"/>
          <w:color w:val="auto"/>
          <w:sz w:val="24"/>
          <w:szCs w:val="24"/>
          <w:u w:val="none"/>
        </w:rPr>
        <w:t>：</w:t>
      </w:r>
      <w:r>
        <w:rPr>
          <w:rFonts w:hint="eastAsia" w:ascii="宋体" w:hAnsi="宋体" w:eastAsia="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                   </w:t>
      </w:r>
      <w:r>
        <w:rPr>
          <w:rFonts w:hint="eastAsia" w:ascii="宋体" w:hAnsi="宋体" w:eastAsia="宋体" w:cs="宋体"/>
          <w:b/>
          <w:color w:val="auto"/>
          <w:sz w:val="24"/>
          <w:szCs w:val="24"/>
          <w:u w:val="single"/>
        </w:rPr>
        <w:t xml:space="preserve">    </w:t>
      </w:r>
      <w:r>
        <w:rPr>
          <w:rFonts w:hint="eastAsia" w:ascii="宋体" w:hAnsi="宋体" w:eastAsia="宋体" w:cs="宋体"/>
          <w:b w:val="0"/>
          <w:bCs/>
          <w:color w:val="auto"/>
          <w:sz w:val="24"/>
          <w:szCs w:val="24"/>
          <w:u w:val="single"/>
        </w:rPr>
        <w:t xml:space="preserve"> </w:t>
      </w:r>
    </w:p>
    <w:p w14:paraId="0BE9E7A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法定代表人身份证号码：</w:t>
      </w:r>
      <w:r>
        <w:rPr>
          <w:rFonts w:hint="eastAsia" w:ascii="宋体" w:hAnsi="宋体" w:eastAsia="宋体" w:cs="宋体"/>
          <w:color w:val="auto"/>
          <w:sz w:val="24"/>
          <w:szCs w:val="24"/>
          <w:u w:val="single"/>
        </w:rPr>
        <w:t xml:space="preserve">                           </w:t>
      </w:r>
    </w:p>
    <w:p w14:paraId="18FB95D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被授权人签名：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rPr>
        <w:t>所在部门</w:t>
      </w:r>
      <w:r>
        <w:rPr>
          <w:rFonts w:hint="eastAsia" w:ascii="宋体" w:hAnsi="宋体" w:eastAsia="宋体" w:cs="宋体"/>
          <w:color w:val="auto"/>
          <w:sz w:val="24"/>
          <w:szCs w:val="24"/>
          <w:lang w:eastAsia="zh-CN"/>
        </w:rPr>
        <w:t>及</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309C032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被授权人身份证号码：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4DE05DB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p>
    <w:tbl>
      <w:tblPr>
        <w:tblStyle w:val="67"/>
        <w:tblW w:w="9640" w:type="dxa"/>
        <w:jc w:val="center"/>
        <w:tblLayout w:type="autofit"/>
        <w:tblCellMar>
          <w:top w:w="0" w:type="dxa"/>
          <w:left w:w="108" w:type="dxa"/>
          <w:bottom w:w="0" w:type="dxa"/>
          <w:right w:w="108" w:type="dxa"/>
        </w:tblCellMar>
      </w:tblPr>
      <w:tblGrid>
        <w:gridCol w:w="9640"/>
      </w:tblGrid>
      <w:tr w14:paraId="4C7609B7">
        <w:trPr>
          <w:trHeight w:val="2209" w:hRule="atLeast"/>
          <w:jc w:val="center"/>
        </w:trPr>
        <w:tc>
          <w:tcPr>
            <w:tcW w:w="9640" w:type="dxa"/>
            <w:noWrap w:val="0"/>
            <w:vAlign w:val="center"/>
          </w:tcPr>
          <w:p w14:paraId="3E3D10C7">
            <w:pPr>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法定代表人身份证正、反面</w:t>
            </w:r>
            <w:r>
              <w:rPr>
                <w:rFonts w:hint="eastAsia" w:ascii="宋体" w:hAnsi="宋体" w:eastAsia="宋体" w:cs="宋体"/>
                <w:color w:val="auto"/>
                <w:sz w:val="24"/>
                <w:szCs w:val="24"/>
                <w:lang w:eastAsia="zh-CN"/>
              </w:rPr>
              <w:t>扫描件</w:t>
            </w:r>
          </w:p>
        </w:tc>
      </w:tr>
      <w:tr w14:paraId="4D87082F">
        <w:tblPrEx>
          <w:tblCellMar>
            <w:top w:w="0" w:type="dxa"/>
            <w:left w:w="108" w:type="dxa"/>
            <w:bottom w:w="0" w:type="dxa"/>
            <w:right w:w="108" w:type="dxa"/>
          </w:tblCellMar>
        </w:tblPrEx>
        <w:trPr>
          <w:trHeight w:val="2143" w:hRule="atLeast"/>
          <w:jc w:val="center"/>
        </w:trPr>
        <w:tc>
          <w:tcPr>
            <w:tcW w:w="9640" w:type="dxa"/>
            <w:noWrap w:val="0"/>
            <w:vAlign w:val="center"/>
          </w:tcPr>
          <w:p w14:paraId="3E4B3E07">
            <w:pPr>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委托代理人身份证正、反面</w:t>
            </w:r>
            <w:r>
              <w:rPr>
                <w:rFonts w:hint="eastAsia" w:ascii="宋体" w:hAnsi="宋体" w:eastAsia="宋体" w:cs="宋体"/>
                <w:color w:val="auto"/>
                <w:sz w:val="24"/>
                <w:szCs w:val="24"/>
                <w:lang w:eastAsia="zh-CN"/>
              </w:rPr>
              <w:t>扫描件</w:t>
            </w:r>
          </w:p>
        </w:tc>
      </w:tr>
    </w:tbl>
    <w:p w14:paraId="7DF3B322">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1"/>
          <w:szCs w:val="21"/>
          <w:lang w:val="en-US" w:eastAsia="zh-CN"/>
        </w:rPr>
        <w:t>后附：加盖公章的营业执照复印件、投标确认回执。</w:t>
      </w:r>
    </w:p>
    <w:p w14:paraId="77560FA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p>
    <w:p w14:paraId="06D7D43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p>
    <w:p w14:paraId="0C4456A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质疑人：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（公章）</w:t>
      </w:r>
    </w:p>
    <w:p w14:paraId="25263AE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日</w:t>
      </w:r>
    </w:p>
    <w:p w14:paraId="3585B89A">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textAlignment w:val="auto"/>
        <w:rPr>
          <w:rFonts w:hint="eastAsia" w:ascii="宋体" w:hAnsi="宋体" w:eastAsia="宋体" w:cs="宋体"/>
          <w:b/>
          <w:color w:val="auto"/>
          <w:sz w:val="24"/>
          <w:szCs w:val="24"/>
        </w:rPr>
        <w:sectPr>
          <w:pgSz w:w="11906" w:h="16838"/>
          <w:pgMar w:top="1440" w:right="1080" w:bottom="1440" w:left="1080" w:header="851" w:footer="850"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27FC53CC">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制作质疑函说明：  </w:t>
      </w:r>
    </w:p>
    <w:p w14:paraId="349F88F3">
      <w:pPr>
        <w:widowControl/>
        <w:spacing w:line="480" w:lineRule="auto"/>
        <w:ind w:firstLine="480" w:firstLineChars="200"/>
        <w:jc w:val="left"/>
        <w:rPr>
          <w:rFonts w:hint="eastAsia" w:ascii="宋体" w:hAnsi="宋体" w:eastAsia="宋体" w:cs="宋体"/>
          <w:color w:val="auto"/>
          <w:sz w:val="24"/>
          <w:szCs w:val="24"/>
        </w:rPr>
      </w:pPr>
      <w:bookmarkStart w:id="1105" w:name="_Toc497486317"/>
      <w:r>
        <w:rPr>
          <w:rFonts w:hint="eastAsia" w:ascii="宋体" w:hAnsi="宋体" w:eastAsia="宋体" w:cs="宋体"/>
          <w:color w:val="auto"/>
          <w:sz w:val="24"/>
          <w:szCs w:val="24"/>
        </w:rPr>
        <w:t>1.供应商提出质疑时，应提交质疑函和必要的证明材料。</w:t>
      </w:r>
    </w:p>
    <w:p w14:paraId="5044352F">
      <w:pPr>
        <w:widowControl/>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2.质疑供应商若委托代理人进行质疑的，质疑函应按要求列明“授权代表”的有关内容，并在附件中提交由质疑</w:t>
      </w:r>
      <w:r>
        <w:rPr>
          <w:rFonts w:hint="eastAsia" w:ascii="宋体" w:hAnsi="宋体" w:eastAsia="宋体" w:cs="宋体"/>
          <w:color w:val="auto"/>
          <w:kern w:val="0"/>
          <w:sz w:val="24"/>
          <w:szCs w:val="24"/>
        </w:rPr>
        <w:t>供应商签署的授权委托书。授权委托书应载明代理人的姓名或者名称、代理事项、具体权限、期限和相关事项。</w:t>
      </w:r>
    </w:p>
    <w:p w14:paraId="1F9F6513">
      <w:pPr>
        <w:widowControl/>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3.质疑供应商若对项目的某一分包进行质疑，质疑函中应列明具体分包号。</w:t>
      </w:r>
    </w:p>
    <w:p w14:paraId="2240FDCA">
      <w:pPr>
        <w:widowControl/>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4.质疑函的质疑事项应具体、明确，并有必要的事实依据和法律依据。</w:t>
      </w:r>
    </w:p>
    <w:p w14:paraId="105FCCB3">
      <w:pPr>
        <w:widowControl/>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5.质疑函的质疑请求应与质疑事项相关。</w:t>
      </w:r>
    </w:p>
    <w:p w14:paraId="2772533F">
      <w:pPr>
        <w:pStyle w:val="36"/>
        <w:keepNext w:val="0"/>
        <w:keepLines w:val="0"/>
        <w:pageBreakBefore w:val="0"/>
        <w:widowControl w:val="0"/>
        <w:kinsoku/>
        <w:wordWrap w:val="0"/>
        <w:overflowPunct/>
        <w:topLinePunct/>
        <w:autoSpaceDE/>
        <w:autoSpaceDN/>
        <w:bidi w:val="0"/>
        <w:adjustRightInd/>
        <w:snapToGrid/>
        <w:spacing w:line="480" w:lineRule="auto"/>
        <w:ind w:left="0" w:leftChars="0" w:right="0" w:firstLine="480" w:firstLineChars="200"/>
        <w:jc w:val="left"/>
        <w:textAlignment w:val="auto"/>
        <w:rPr>
          <w:rFonts w:hint="eastAsia" w:ascii="宋体" w:hAnsi="宋体" w:eastAsia="宋体" w:cs="宋体"/>
          <w:color w:val="auto"/>
          <w:sz w:val="24"/>
          <w:szCs w:val="24"/>
        </w:rPr>
        <w:sectPr>
          <w:pgSz w:w="11906" w:h="16838"/>
          <w:pgMar w:top="1440" w:right="1080" w:bottom="1440" w:left="1080"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宋体" w:hAnsi="宋体" w:eastAsia="宋体" w:cs="宋体"/>
          <w:color w:val="auto"/>
          <w:sz w:val="24"/>
          <w:szCs w:val="24"/>
        </w:rPr>
        <w:t>6.质疑供应商为自然人的，质疑函应由本人签字；质疑供应商为法人或者其他组织的，质疑函应由法定代表人、主要负责人，或者其授权代表签字或者盖章，并加盖公章。</w:t>
      </w:r>
    </w:p>
    <w:bookmarkEnd w:id="1105"/>
    <w:p w14:paraId="36705A72">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883" w:firstLineChars="200"/>
        <w:jc w:val="center"/>
        <w:textAlignment w:val="auto"/>
        <w:outlineLvl w:val="0"/>
        <w:rPr>
          <w:rStyle w:val="89"/>
          <w:rFonts w:hint="eastAsia" w:ascii="宋体" w:hAnsi="宋体" w:eastAsia="宋体" w:cs="宋体"/>
          <w:color w:val="auto"/>
          <w:lang w:eastAsia="zh-CN"/>
        </w:rPr>
      </w:pPr>
      <w:bookmarkStart w:id="1106" w:name="_Toc10107"/>
      <w:bookmarkStart w:id="1107" w:name="_Toc88646743"/>
      <w:bookmarkStart w:id="1108" w:name="_Toc13343"/>
      <w:bookmarkStart w:id="1109" w:name="_Toc88638769"/>
      <w:bookmarkStart w:id="1110" w:name="_Toc5596"/>
      <w:r>
        <w:rPr>
          <w:rStyle w:val="89"/>
          <w:rFonts w:hint="eastAsia" w:ascii="宋体" w:hAnsi="宋体" w:eastAsia="宋体" w:cs="宋体"/>
          <w:color w:val="auto"/>
          <w:lang w:eastAsia="zh-CN"/>
        </w:rPr>
        <w:t>第三章</w:t>
      </w:r>
      <w:r>
        <w:rPr>
          <w:rStyle w:val="89"/>
          <w:rFonts w:hint="eastAsia" w:ascii="宋体" w:hAnsi="宋体" w:eastAsia="宋体" w:cs="宋体"/>
          <w:color w:val="auto"/>
          <w:lang w:val="en-US" w:eastAsia="zh-CN"/>
        </w:rPr>
        <w:t xml:space="preserve"> </w:t>
      </w:r>
      <w:r>
        <w:rPr>
          <w:rStyle w:val="89"/>
          <w:rFonts w:hint="eastAsia" w:ascii="宋体" w:hAnsi="宋体" w:eastAsia="宋体" w:cs="宋体"/>
          <w:color w:val="auto"/>
          <w:lang w:eastAsia="zh-CN"/>
        </w:rPr>
        <w:t>评</w:t>
      </w:r>
      <w:r>
        <w:rPr>
          <w:rStyle w:val="89"/>
          <w:rFonts w:hint="eastAsia" w:ascii="宋体" w:hAnsi="宋体" w:eastAsia="宋体" w:cs="宋体"/>
          <w:color w:val="auto"/>
          <w:lang w:val="en-US" w:eastAsia="zh-CN"/>
        </w:rPr>
        <w:t>审</w:t>
      </w:r>
      <w:r>
        <w:rPr>
          <w:rStyle w:val="89"/>
          <w:rFonts w:hint="eastAsia" w:ascii="宋体" w:hAnsi="宋体" w:eastAsia="宋体" w:cs="宋体"/>
          <w:color w:val="auto"/>
          <w:lang w:eastAsia="zh-CN"/>
        </w:rPr>
        <w:t>办法（综合评分法）</w:t>
      </w:r>
    </w:p>
    <w:p w14:paraId="013C1972">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jc w:val="left"/>
        <w:textAlignment w:val="auto"/>
        <w:rPr>
          <w:rFonts w:hint="eastAsia" w:ascii="宋体" w:hAnsi="宋体" w:eastAsia="宋体" w:cs="宋体"/>
          <w:color w:val="auto"/>
          <w:sz w:val="48"/>
          <w:szCs w:val="48"/>
          <w:lang w:eastAsia="zh-CN"/>
        </w:rPr>
      </w:pPr>
      <w:bookmarkStart w:id="1111" w:name="_Toc22597"/>
      <w:r>
        <w:rPr>
          <w:rFonts w:hint="eastAsia" w:ascii="宋体" w:hAnsi="宋体" w:eastAsia="宋体" w:cs="宋体"/>
          <w:color w:val="auto"/>
          <w:sz w:val="28"/>
          <w:szCs w:val="28"/>
          <w:lang w:val="en-US" w:eastAsia="zh-CN"/>
        </w:rPr>
        <w:t>1</w:t>
      </w:r>
      <w:r>
        <w:rPr>
          <w:rFonts w:hint="eastAsia" w:cs="宋体"/>
          <w:color w:val="auto"/>
          <w:sz w:val="28"/>
          <w:szCs w:val="28"/>
          <w:lang w:val="en-US" w:eastAsia="zh-CN"/>
        </w:rPr>
        <w:t>.</w:t>
      </w:r>
      <w:r>
        <w:rPr>
          <w:rFonts w:hint="eastAsia" w:ascii="宋体" w:hAnsi="宋体" w:eastAsia="宋体" w:cs="宋体"/>
          <w:color w:val="auto"/>
          <w:sz w:val="28"/>
          <w:szCs w:val="28"/>
          <w:lang w:val="en-US" w:eastAsia="zh-CN"/>
        </w:rPr>
        <w:t>评审标准前附表</w:t>
      </w:r>
      <w:bookmarkEnd w:id="1111"/>
    </w:p>
    <w:p w14:paraId="6BB34AB7">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textAlignment w:val="auto"/>
        <w:rPr>
          <w:rFonts w:hint="eastAsia" w:ascii="宋体" w:hAnsi="宋体" w:eastAsia="宋体" w:cs="宋体"/>
          <w:color w:val="auto"/>
          <w:sz w:val="32"/>
          <w:szCs w:val="32"/>
          <w:lang w:eastAsia="zh-CN"/>
        </w:rPr>
      </w:pPr>
      <w:r>
        <w:rPr>
          <w:rFonts w:hint="eastAsia" w:cs="宋体"/>
          <w:color w:val="auto"/>
          <w:sz w:val="32"/>
          <w:szCs w:val="32"/>
          <w:lang w:eastAsia="zh-CN"/>
        </w:rPr>
        <w:t>（</w:t>
      </w:r>
      <w:r>
        <w:rPr>
          <w:rFonts w:hint="eastAsia" w:cs="宋体"/>
          <w:color w:val="auto"/>
          <w:sz w:val="32"/>
          <w:szCs w:val="32"/>
          <w:lang w:val="en-US" w:eastAsia="zh-CN"/>
        </w:rPr>
        <w:t>1</w:t>
      </w:r>
      <w:r>
        <w:rPr>
          <w:rFonts w:hint="eastAsia" w:cs="宋体"/>
          <w:color w:val="auto"/>
          <w:sz w:val="32"/>
          <w:szCs w:val="32"/>
          <w:lang w:eastAsia="zh-CN"/>
        </w:rPr>
        <w:t>）</w:t>
      </w:r>
      <w:r>
        <w:rPr>
          <w:rFonts w:hint="eastAsia" w:ascii="宋体" w:hAnsi="宋体" w:eastAsia="宋体" w:cs="宋体"/>
          <w:color w:val="auto"/>
          <w:sz w:val="32"/>
          <w:szCs w:val="32"/>
          <w:lang w:eastAsia="zh-CN"/>
        </w:rPr>
        <w:t>资格审查</w:t>
      </w:r>
      <w:r>
        <w:rPr>
          <w:rFonts w:hint="eastAsia" w:ascii="宋体" w:hAnsi="宋体" w:eastAsia="宋体" w:cs="宋体"/>
          <w:color w:val="auto"/>
          <w:sz w:val="32"/>
          <w:szCs w:val="32"/>
          <w:lang w:val="en-US" w:eastAsia="zh-CN"/>
        </w:rPr>
        <w:t>标准</w:t>
      </w:r>
      <w:bookmarkEnd w:id="1106"/>
      <w:bookmarkEnd w:id="1107"/>
      <w:bookmarkEnd w:id="1108"/>
      <w:bookmarkEnd w:id="1109"/>
      <w:bookmarkEnd w:id="1110"/>
    </w:p>
    <w:tbl>
      <w:tblPr>
        <w:tblStyle w:val="67"/>
        <w:tblW w:w="965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620"/>
        <w:gridCol w:w="7037"/>
      </w:tblGrid>
      <w:tr w14:paraId="7F4995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noWrap w:val="0"/>
            <w:vAlign w:val="center"/>
          </w:tcPr>
          <w:p w14:paraId="2EE00EE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评审因素</w:t>
            </w:r>
          </w:p>
        </w:tc>
        <w:tc>
          <w:tcPr>
            <w:tcW w:w="7037" w:type="dxa"/>
            <w:noWrap w:val="0"/>
            <w:vAlign w:val="center"/>
          </w:tcPr>
          <w:p w14:paraId="6CC9C0ED">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评审标准</w:t>
            </w:r>
          </w:p>
        </w:tc>
      </w:tr>
      <w:tr w14:paraId="5A41B1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58" w:hRule="atLeast"/>
          <w:jc w:val="center"/>
        </w:trPr>
        <w:tc>
          <w:tcPr>
            <w:tcW w:w="2620" w:type="dxa"/>
            <w:noWrap w:val="0"/>
            <w:vAlign w:val="center"/>
          </w:tcPr>
          <w:p w14:paraId="18D5916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bCs/>
                <w:color w:val="auto"/>
                <w:sz w:val="24"/>
              </w:rPr>
              <w:t>具有独立承担民事责任的能力</w:t>
            </w:r>
          </w:p>
        </w:tc>
        <w:tc>
          <w:tcPr>
            <w:tcW w:w="7037" w:type="dxa"/>
            <w:noWrap w:val="0"/>
            <w:vAlign w:val="center"/>
          </w:tcPr>
          <w:p w14:paraId="175B6AB3">
            <w:pPr>
              <w:keepNext w:val="0"/>
              <w:keepLines w:val="0"/>
              <w:pageBreakBefore w:val="0"/>
              <w:widowControl w:val="0"/>
              <w:kinsoku/>
              <w:wordWrap w:val="0"/>
              <w:overflowPunct/>
              <w:topLinePunct/>
              <w:autoSpaceDE/>
              <w:autoSpaceDN/>
              <w:bidi w:val="0"/>
              <w:adjustRightInd/>
              <w:snapToGrid/>
              <w:spacing w:line="360" w:lineRule="auto"/>
              <w:ind w:right="0" w:firstLine="480" w:firstLineChars="200"/>
              <w:jc w:val="both"/>
              <w:rPr>
                <w:rFonts w:hint="eastAsia" w:ascii="宋体" w:hAnsi="宋体" w:eastAsia="宋体" w:cs="宋体"/>
                <w:b/>
                <w:color w:val="auto"/>
                <w:kern w:val="2"/>
                <w:sz w:val="24"/>
                <w:szCs w:val="24"/>
                <w:u w:val="single"/>
                <w:lang w:val="en-US" w:eastAsia="zh-CN" w:bidi="ar-SA"/>
              </w:rPr>
            </w:pPr>
            <w:r>
              <w:rPr>
                <w:rFonts w:hint="eastAsia" w:ascii="宋体" w:hAnsi="宋体" w:eastAsia="宋体" w:cs="宋体"/>
                <w:color w:val="auto"/>
                <w:sz w:val="24"/>
                <w:szCs w:val="24"/>
                <w:lang w:eastAsia="zh-CN"/>
              </w:rPr>
              <w:t>具有独立承担民事责任的能力，提供法人或者其他组织有效的营业执照等证明文件</w:t>
            </w:r>
            <w:r>
              <w:rPr>
                <w:rFonts w:hint="eastAsia" w:ascii="宋体" w:hAnsi="宋体" w:eastAsia="宋体" w:cs="宋体"/>
                <w:b/>
                <w:color w:val="auto"/>
                <w:sz w:val="24"/>
                <w:szCs w:val="24"/>
                <w:lang w:eastAsia="zh-CN"/>
              </w:rPr>
              <w:t>。（扫描件加盖电子公章）</w:t>
            </w:r>
          </w:p>
        </w:tc>
      </w:tr>
      <w:tr w14:paraId="197998D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noWrap w:val="0"/>
            <w:vAlign w:val="center"/>
          </w:tcPr>
          <w:p w14:paraId="2A2EA9C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具有良好的商业信誉和健全的财务会计制度</w:t>
            </w:r>
          </w:p>
        </w:tc>
        <w:tc>
          <w:tcPr>
            <w:tcW w:w="7037" w:type="dxa"/>
            <w:noWrap w:val="0"/>
            <w:vAlign w:val="center"/>
          </w:tcPr>
          <w:p w14:paraId="04CE917E">
            <w:pPr>
              <w:keepNext w:val="0"/>
              <w:keepLines w:val="0"/>
              <w:pageBreakBefore w:val="0"/>
              <w:widowControl w:val="0"/>
              <w:kinsoku/>
              <w:wordWrap w:val="0"/>
              <w:overflowPunct/>
              <w:topLinePunct/>
              <w:autoSpaceDE/>
              <w:autoSpaceDN/>
              <w:bidi w:val="0"/>
              <w:adjustRightInd/>
              <w:snapToGrid/>
              <w:spacing w:line="0" w:lineRule="atLeast"/>
              <w:ind w:left="0" w:leftChars="0" w:right="0"/>
              <w:jc w:val="left"/>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eastAsia="宋体" w:cs="宋体"/>
                <w:b/>
                <w:color w:val="auto"/>
                <w:kern w:val="0"/>
                <w:sz w:val="24"/>
                <w:szCs w:val="24"/>
                <w:highlight w:val="none"/>
                <w:lang w:bidi="ar"/>
              </w:rPr>
              <w:t>具有良好的商业信誉：</w:t>
            </w:r>
          </w:p>
          <w:p w14:paraId="2735715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bCs/>
                <w:color w:val="auto"/>
                <w:kern w:val="0"/>
                <w:sz w:val="24"/>
                <w:szCs w:val="24"/>
                <w:highlight w:val="none"/>
                <w:lang w:val="en-US" w:eastAsia="zh-CN" w:bidi="ar"/>
              </w:rPr>
              <w:t>据实提供《</w:t>
            </w:r>
            <w:r>
              <w:rPr>
                <w:rFonts w:hint="eastAsia" w:ascii="宋体" w:hAnsi="宋体" w:eastAsia="宋体" w:cs="宋体"/>
                <w:bCs/>
                <w:color w:val="auto"/>
                <w:kern w:val="0"/>
                <w:sz w:val="24"/>
                <w:szCs w:val="24"/>
                <w:highlight w:val="none"/>
                <w:lang w:bidi="ar"/>
              </w:rPr>
              <w:t>商业信誉承诺书</w:t>
            </w:r>
            <w:r>
              <w:rPr>
                <w:rFonts w:hint="eastAsia" w:ascii="宋体" w:hAnsi="宋体" w:eastAsia="宋体" w:cs="宋体"/>
                <w:bCs/>
                <w:color w:val="auto"/>
                <w:kern w:val="0"/>
                <w:sz w:val="24"/>
                <w:szCs w:val="24"/>
                <w:highlight w:val="none"/>
                <w:lang w:val="en-US" w:eastAsia="zh-CN" w:bidi="ar"/>
              </w:rPr>
              <w:t>》</w:t>
            </w:r>
            <w:r>
              <w:rPr>
                <w:rFonts w:hint="eastAsia" w:ascii="宋体" w:hAnsi="宋体" w:eastAsia="宋体" w:cs="宋体"/>
                <w:bCs/>
                <w:color w:val="auto"/>
                <w:kern w:val="0"/>
                <w:sz w:val="24"/>
                <w:szCs w:val="24"/>
                <w:highlight w:val="none"/>
                <w:lang w:bidi="ar"/>
              </w:rPr>
              <w:t>。</w:t>
            </w:r>
          </w:p>
          <w:p w14:paraId="4512719D">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rPr>
                <w:rFonts w:hint="eastAsia" w:ascii="宋体" w:hAnsi="宋体" w:eastAsia="宋体" w:cs="宋体"/>
                <w:b/>
                <w:color w:val="auto"/>
                <w:kern w:val="0"/>
                <w:sz w:val="24"/>
                <w:szCs w:val="24"/>
                <w:highlight w:val="none"/>
                <w:lang w:bidi="ar"/>
              </w:rPr>
            </w:pPr>
            <w:r>
              <w:rPr>
                <w:rFonts w:hint="eastAsia" w:ascii="宋体" w:hAnsi="宋体" w:cs="宋体"/>
                <w:b/>
                <w:color w:val="auto"/>
                <w:sz w:val="24"/>
                <w:szCs w:val="24"/>
                <w:highlight w:val="none"/>
                <w:lang w:val="en-US" w:eastAsia="zh-CN"/>
              </w:rPr>
              <w:t>2</w:t>
            </w:r>
            <w:r>
              <w:rPr>
                <w:rFonts w:hint="eastAsia" w:ascii="宋体" w:hAnsi="宋体" w:eastAsia="宋体" w:cs="宋体"/>
                <w:b/>
                <w:color w:val="auto"/>
                <w:sz w:val="24"/>
                <w:szCs w:val="24"/>
                <w:highlight w:val="none"/>
              </w:rPr>
              <w:t>.</w:t>
            </w:r>
            <w:r>
              <w:rPr>
                <w:rFonts w:hint="eastAsia" w:ascii="宋体" w:hAnsi="宋体" w:eastAsia="宋体" w:cs="宋体"/>
                <w:b/>
                <w:color w:val="auto"/>
                <w:kern w:val="0"/>
                <w:sz w:val="24"/>
                <w:szCs w:val="24"/>
                <w:highlight w:val="none"/>
              </w:rPr>
              <w:t>健全的财务会计制度证明材料：</w:t>
            </w:r>
          </w:p>
          <w:p w14:paraId="181A713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b/>
                <w:color w:val="auto"/>
                <w:sz w:val="24"/>
                <w:szCs w:val="24"/>
                <w:lang w:eastAsia="zh-CN"/>
              </w:rPr>
            </w:pPr>
            <w:r>
              <w:rPr>
                <w:rFonts w:hint="eastAsia" w:ascii="宋体" w:hAnsi="宋体" w:eastAsia="宋体" w:cs="宋体"/>
                <w:bCs/>
                <w:color w:val="auto"/>
                <w:kern w:val="0"/>
                <w:sz w:val="24"/>
                <w:szCs w:val="24"/>
                <w:highlight w:val="none"/>
                <w:lang w:val="en-US" w:eastAsia="zh-CN" w:bidi="ar"/>
              </w:rPr>
              <w:t>据实</w:t>
            </w:r>
            <w:r>
              <w:rPr>
                <w:rFonts w:hint="eastAsia" w:ascii="宋体" w:hAnsi="宋体" w:eastAsia="宋体" w:cs="宋体"/>
                <w:color w:val="auto"/>
                <w:sz w:val="24"/>
                <w:highlight w:val="none"/>
                <w:lang w:val="en-US" w:eastAsia="zh-CN"/>
              </w:rPr>
              <w:t>提供《具有健全的财务会计制度的承诺函》。</w:t>
            </w:r>
          </w:p>
        </w:tc>
      </w:tr>
      <w:tr w14:paraId="5A2AF4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noWrap w:val="0"/>
            <w:vAlign w:val="center"/>
          </w:tcPr>
          <w:p w14:paraId="07C08EAA">
            <w:pPr>
              <w:wordWrap w:val="0"/>
              <w:topLinePunct/>
              <w:spacing w:line="360" w:lineRule="auto"/>
              <w:jc w:val="center"/>
              <w:rPr>
                <w:rFonts w:hint="eastAsia" w:ascii="宋体" w:hAnsi="宋体" w:eastAsia="宋体" w:cs="宋体"/>
                <w:bCs/>
                <w:color w:val="auto"/>
                <w:sz w:val="24"/>
                <w:szCs w:val="22"/>
                <w:lang w:val="en-US" w:eastAsia="zh-CN" w:bidi="ar-SA"/>
              </w:rPr>
            </w:pPr>
            <w:r>
              <w:rPr>
                <w:rFonts w:hint="eastAsia" w:ascii="宋体" w:hAnsi="宋体" w:eastAsia="宋体" w:cs="宋体"/>
                <w:bCs/>
                <w:color w:val="auto"/>
                <w:sz w:val="24"/>
              </w:rPr>
              <w:t>具有履行合同</w:t>
            </w:r>
            <w:r>
              <w:rPr>
                <w:rFonts w:hint="eastAsia" w:ascii="宋体" w:hAnsi="宋体" w:eastAsia="宋体" w:cs="宋体"/>
                <w:bCs/>
                <w:color w:val="auto"/>
                <w:sz w:val="24"/>
                <w:lang w:eastAsia="zh-CN"/>
              </w:rPr>
              <w:t>所必须的</w:t>
            </w:r>
            <w:r>
              <w:rPr>
                <w:rFonts w:hint="eastAsia" w:ascii="宋体" w:hAnsi="宋体" w:eastAsia="宋体" w:cs="宋体"/>
                <w:bCs/>
                <w:color w:val="auto"/>
                <w:sz w:val="24"/>
              </w:rPr>
              <w:t>设备和专业技术能力</w:t>
            </w:r>
          </w:p>
        </w:tc>
        <w:tc>
          <w:tcPr>
            <w:tcW w:w="7037" w:type="dxa"/>
            <w:noWrap w:val="0"/>
            <w:vAlign w:val="center"/>
          </w:tcPr>
          <w:p w14:paraId="7D801E80">
            <w:pPr>
              <w:wordWrap w:val="0"/>
              <w:topLinePunct/>
              <w:spacing w:line="360" w:lineRule="auto"/>
              <w:ind w:firstLine="480" w:firstLineChars="200"/>
              <w:jc w:val="left"/>
              <w:rPr>
                <w:rFonts w:hint="eastAsia" w:ascii="宋体" w:hAnsi="宋体" w:eastAsia="宋体" w:cs="宋体"/>
                <w:bCs/>
                <w:color w:val="auto"/>
                <w:sz w:val="24"/>
                <w:szCs w:val="22"/>
                <w:lang w:val="en-US" w:eastAsia="zh-CN" w:bidi="ar-SA"/>
              </w:rPr>
            </w:pPr>
            <w:r>
              <w:rPr>
                <w:rFonts w:hint="eastAsia" w:ascii="宋体" w:hAnsi="宋体" w:cs="宋体"/>
                <w:bCs/>
                <w:color w:val="auto"/>
                <w:kern w:val="0"/>
                <w:sz w:val="24"/>
                <w:lang w:val="en-US" w:eastAsia="zh-CN" w:bidi="ar"/>
              </w:rPr>
              <w:t>供应商</w:t>
            </w:r>
            <w:r>
              <w:rPr>
                <w:rFonts w:hint="eastAsia" w:ascii="宋体" w:hAnsi="宋体" w:eastAsia="宋体" w:cs="宋体"/>
                <w:bCs/>
                <w:color w:val="auto"/>
                <w:kern w:val="0"/>
                <w:sz w:val="24"/>
                <w:lang w:bidi="ar"/>
              </w:rPr>
              <w:t>应具有履行合同相应的专业团队、设备等。须附相关证明材料或承诺书。</w:t>
            </w:r>
          </w:p>
        </w:tc>
      </w:tr>
      <w:tr w14:paraId="309F1D9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noWrap w:val="0"/>
            <w:vAlign w:val="center"/>
          </w:tcPr>
          <w:p w14:paraId="20D0AF7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有依法缴纳税收和社会保障资金的良好记录</w:t>
            </w:r>
          </w:p>
        </w:tc>
        <w:tc>
          <w:tcPr>
            <w:tcW w:w="7037" w:type="dxa"/>
            <w:noWrap w:val="0"/>
            <w:vAlign w:val="center"/>
          </w:tcPr>
          <w:p w14:paraId="3A150BCC">
            <w:pPr>
              <w:keepNext w:val="0"/>
              <w:keepLines w:val="0"/>
              <w:pageBreakBefore w:val="0"/>
              <w:widowControl w:val="0"/>
              <w:kinsoku/>
              <w:wordWrap w:val="0"/>
              <w:overflowPunct/>
              <w:topLinePunct/>
              <w:autoSpaceDE/>
              <w:autoSpaceDN/>
              <w:bidi w:val="0"/>
              <w:adjustRightInd/>
              <w:snapToGrid/>
              <w:spacing w:line="360" w:lineRule="auto"/>
              <w:ind w:right="0" w:firstLine="480" w:firstLineChars="200"/>
              <w:jc w:val="both"/>
              <w:rPr>
                <w:rFonts w:hint="eastAsia" w:ascii="宋体" w:hAnsi="宋体" w:eastAsia="宋体" w:cs="宋体"/>
                <w:color w:val="auto"/>
                <w:sz w:val="24"/>
                <w:szCs w:val="24"/>
                <w:lang w:eastAsia="zh-CN"/>
              </w:rPr>
            </w:pPr>
            <w:r>
              <w:rPr>
                <w:rFonts w:hint="eastAsia" w:ascii="宋体" w:hAnsi="宋体" w:eastAsia="宋体" w:cs="宋体"/>
                <w:bCs/>
                <w:color w:val="auto"/>
                <w:kern w:val="0"/>
                <w:sz w:val="24"/>
                <w:szCs w:val="24"/>
                <w:highlight w:val="none"/>
                <w:lang w:val="en-US" w:eastAsia="zh-CN" w:bidi="ar"/>
              </w:rPr>
              <w:t>据实</w:t>
            </w:r>
            <w:r>
              <w:rPr>
                <w:rFonts w:hint="eastAsia" w:ascii="宋体" w:hAnsi="宋体" w:eastAsia="宋体" w:cs="宋体"/>
                <w:color w:val="auto"/>
                <w:sz w:val="24"/>
                <w:szCs w:val="24"/>
                <w:highlight w:val="none"/>
                <w:lang w:val="en-US" w:eastAsia="zh-CN"/>
              </w:rPr>
              <w:t>提供《依法缴纳税收和社会保障资金承诺书》</w:t>
            </w:r>
            <w:r>
              <w:rPr>
                <w:rFonts w:hint="eastAsia" w:ascii="宋体" w:hAnsi="宋体" w:eastAsia="宋体" w:cs="宋体"/>
                <w:color w:val="auto"/>
                <w:sz w:val="24"/>
                <w:szCs w:val="24"/>
                <w:highlight w:val="none"/>
              </w:rPr>
              <w:t>。</w:t>
            </w:r>
          </w:p>
        </w:tc>
      </w:tr>
      <w:tr w14:paraId="6467C3D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noWrap w:val="0"/>
            <w:vAlign w:val="center"/>
          </w:tcPr>
          <w:p w14:paraId="19AC073D">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rPr>
            </w:pPr>
            <w:r>
              <w:rPr>
                <w:rFonts w:hint="eastAsia" w:ascii="宋体" w:hAnsi="宋体" w:cs="宋体"/>
                <w:bCs/>
                <w:color w:val="auto"/>
                <w:sz w:val="24"/>
                <w:lang w:val="en-US" w:eastAsia="zh-CN"/>
              </w:rPr>
              <w:t>供应商</w:t>
            </w:r>
            <w:r>
              <w:rPr>
                <w:rFonts w:hint="eastAsia" w:ascii="宋体" w:hAnsi="宋体" w:eastAsia="宋体" w:cs="宋体"/>
                <w:bCs/>
                <w:color w:val="auto"/>
                <w:sz w:val="24"/>
              </w:rPr>
              <w:t>参加政府采购活动前三年内，在经营活动中没有重大违法记录</w:t>
            </w:r>
          </w:p>
        </w:tc>
        <w:tc>
          <w:tcPr>
            <w:tcW w:w="7037" w:type="dxa"/>
            <w:noWrap w:val="0"/>
            <w:vAlign w:val="center"/>
          </w:tcPr>
          <w:p w14:paraId="33605714">
            <w:pPr>
              <w:keepNext w:val="0"/>
              <w:keepLines w:val="0"/>
              <w:pageBreakBefore w:val="0"/>
              <w:widowControl w:val="0"/>
              <w:kinsoku/>
              <w:wordWrap w:val="0"/>
              <w:overflowPunct/>
              <w:topLinePunct/>
              <w:autoSpaceDE/>
              <w:autoSpaceDN/>
              <w:bidi w:val="0"/>
              <w:adjustRightInd/>
              <w:snapToGrid/>
              <w:spacing w:line="360" w:lineRule="auto"/>
              <w:ind w:right="0" w:firstLine="480" w:firstLineChars="200"/>
              <w:jc w:val="both"/>
              <w:rPr>
                <w:rFonts w:hint="eastAsia" w:ascii="宋体" w:hAnsi="宋体" w:eastAsia="宋体" w:cs="宋体"/>
                <w:color w:val="auto"/>
                <w:sz w:val="24"/>
                <w:szCs w:val="24"/>
                <w:lang w:eastAsia="zh-CN"/>
              </w:rPr>
            </w:pPr>
            <w:r>
              <w:rPr>
                <w:rFonts w:hint="eastAsia" w:ascii="宋体" w:hAnsi="宋体" w:eastAsia="宋体" w:cs="宋体"/>
                <w:bCs/>
                <w:color w:val="auto"/>
                <w:kern w:val="0"/>
                <w:sz w:val="24"/>
                <w:szCs w:val="24"/>
                <w:highlight w:val="none"/>
                <w:lang w:val="en-US" w:eastAsia="zh-CN" w:bidi="ar"/>
              </w:rPr>
              <w:t>据实</w:t>
            </w:r>
            <w:r>
              <w:rPr>
                <w:rFonts w:hint="eastAsia" w:ascii="宋体" w:hAnsi="宋体" w:eastAsia="宋体" w:cs="宋体"/>
                <w:bCs/>
                <w:color w:val="auto"/>
                <w:sz w:val="24"/>
                <w:highlight w:val="none"/>
              </w:rPr>
              <w:t>提供</w:t>
            </w:r>
            <w:r>
              <w:rPr>
                <w:rFonts w:hint="eastAsia" w:ascii="宋体" w:hAnsi="宋体" w:eastAsia="宋体" w:cs="宋体"/>
                <w:bCs/>
                <w:color w:val="auto"/>
                <w:sz w:val="24"/>
                <w:highlight w:val="none"/>
                <w:lang w:eastAsia="zh-CN"/>
              </w:rPr>
              <w:t>《参加采购活动前三年内在经营活动中没有重大违法记</w:t>
            </w:r>
            <w:r>
              <w:rPr>
                <w:rFonts w:hint="eastAsia" w:ascii="宋体" w:hAnsi="宋体" w:cs="宋体"/>
                <w:bCs/>
                <w:color w:val="auto"/>
                <w:sz w:val="24"/>
                <w:highlight w:val="none"/>
                <w:lang w:eastAsia="zh-CN"/>
              </w:rPr>
              <w:t>录的</w:t>
            </w:r>
            <w:r>
              <w:rPr>
                <w:rFonts w:hint="eastAsia" w:ascii="宋体" w:hAnsi="宋体" w:eastAsia="宋体" w:cs="宋体"/>
                <w:bCs/>
                <w:color w:val="auto"/>
                <w:sz w:val="24"/>
                <w:highlight w:val="none"/>
                <w:lang w:eastAsia="zh-CN"/>
              </w:rPr>
              <w:t>书面声明》</w:t>
            </w:r>
            <w:r>
              <w:rPr>
                <w:rFonts w:hint="eastAsia" w:ascii="宋体" w:hAnsi="宋体" w:eastAsia="宋体" w:cs="宋体"/>
                <w:bCs/>
                <w:color w:val="auto"/>
                <w:sz w:val="24"/>
                <w:highlight w:val="none"/>
              </w:rPr>
              <w:t>。</w:t>
            </w:r>
          </w:p>
        </w:tc>
      </w:tr>
      <w:tr w14:paraId="01B110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620" w:type="dxa"/>
            <w:vMerge w:val="restart"/>
            <w:noWrap w:val="0"/>
            <w:vAlign w:val="center"/>
          </w:tcPr>
          <w:p w14:paraId="5E964E0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本项目的特定资格要求</w:t>
            </w:r>
          </w:p>
          <w:p w14:paraId="70F89A69">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leftChars="0" w:right="0" w:rightChars="0" w:firstLine="480" w:firstLineChars="200"/>
              <w:jc w:val="left"/>
              <w:textAlignment w:val="auto"/>
              <w:rPr>
                <w:rFonts w:hint="eastAsia" w:ascii="宋体" w:hAnsi="宋体" w:eastAsia="宋体" w:cs="宋体"/>
                <w:color w:val="auto"/>
                <w:sz w:val="24"/>
                <w:szCs w:val="24"/>
                <w:lang w:eastAsia="zh-CN"/>
              </w:rPr>
            </w:pPr>
          </w:p>
        </w:tc>
        <w:tc>
          <w:tcPr>
            <w:tcW w:w="7037" w:type="dxa"/>
            <w:noWrap w:val="0"/>
            <w:vAlign w:val="center"/>
          </w:tcPr>
          <w:p w14:paraId="50C48BFC">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cs="宋体"/>
                <w:b w:val="0"/>
                <w:bCs w:val="0"/>
                <w:color w:val="auto"/>
                <w:sz w:val="24"/>
                <w:szCs w:val="24"/>
                <w:lang w:eastAsia="zh-CN"/>
              </w:rPr>
              <w:t>投标人如果是代理商或经销商，须提供医疗器械经营许可证/备案证；②投标人如果是制造商，须提供医疗器械生产许可证。</w:t>
            </w:r>
          </w:p>
        </w:tc>
      </w:tr>
      <w:tr w14:paraId="17A388F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vMerge w:val="continue"/>
            <w:noWrap w:val="0"/>
            <w:vAlign w:val="center"/>
          </w:tcPr>
          <w:p w14:paraId="138D307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eastAsia="zh-CN"/>
              </w:rPr>
            </w:pPr>
          </w:p>
        </w:tc>
        <w:tc>
          <w:tcPr>
            <w:tcW w:w="7037" w:type="dxa"/>
            <w:noWrap w:val="0"/>
            <w:vAlign w:val="center"/>
          </w:tcPr>
          <w:p w14:paraId="40340B8B">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b w:val="0"/>
                <w:bCs w:val="0"/>
                <w:color w:val="auto"/>
                <w:sz w:val="24"/>
                <w:szCs w:val="24"/>
                <w:lang w:eastAsia="zh-CN"/>
              </w:rPr>
              <w:t>单位负责人为同一人或者存在直接控股、管理关系的不同</w:t>
            </w: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，不得参加同一合同项下的政府采购活动：</w:t>
            </w:r>
            <w:r>
              <w:rPr>
                <w:rFonts w:hint="eastAsia" w:ascii="宋体" w:hAnsi="宋体" w:eastAsia="宋体" w:cs="宋体"/>
                <w:color w:val="auto"/>
                <w:sz w:val="24"/>
                <w:szCs w:val="24"/>
                <w:lang w:val="en-US" w:eastAsia="zh-CN"/>
              </w:rPr>
              <w:t>据实提供《</w:t>
            </w:r>
            <w:r>
              <w:rPr>
                <w:rFonts w:hint="eastAsia" w:ascii="宋体" w:hAnsi="宋体" w:eastAsia="宋体" w:cs="宋体"/>
                <w:color w:val="auto"/>
                <w:sz w:val="24"/>
                <w:szCs w:val="24"/>
                <w:lang w:eastAsia="zh-CN"/>
              </w:rPr>
              <w:t>资格声明函</w:t>
            </w:r>
            <w:r>
              <w:rPr>
                <w:rFonts w:hint="eastAsia" w:ascii="宋体" w:hAnsi="宋体" w:eastAsia="宋体" w:cs="宋体"/>
                <w:color w:val="auto"/>
                <w:sz w:val="24"/>
                <w:szCs w:val="24"/>
                <w:lang w:val="en-US" w:eastAsia="zh-CN"/>
              </w:rPr>
              <w:t>》。</w:t>
            </w:r>
          </w:p>
        </w:tc>
      </w:tr>
      <w:tr w14:paraId="7A1AD6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2620" w:type="dxa"/>
            <w:noWrap w:val="0"/>
            <w:vAlign w:val="center"/>
          </w:tcPr>
          <w:p w14:paraId="1E61C4B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lang w:eastAsia="zh-CN"/>
              </w:rPr>
            </w:pPr>
            <w:r>
              <w:rPr>
                <w:rFonts w:hint="eastAsia" w:ascii="宋体" w:hAnsi="宋体" w:eastAsia="宋体" w:cs="宋体"/>
                <w:bCs/>
                <w:color w:val="auto"/>
                <w:sz w:val="24"/>
                <w:highlight w:val="none"/>
              </w:rPr>
              <w:t>法律、行政法规规定的其他条件</w:t>
            </w:r>
          </w:p>
        </w:tc>
        <w:tc>
          <w:tcPr>
            <w:tcW w:w="7037" w:type="dxa"/>
            <w:noWrap w:val="0"/>
            <w:vAlign w:val="center"/>
          </w:tcPr>
          <w:p w14:paraId="6FA8DD1C">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rightChars="0" w:firstLine="480" w:firstLineChars="200"/>
              <w:rPr>
                <w:rFonts w:hint="eastAsia" w:ascii="宋体" w:hAnsi="宋体" w:eastAsia="宋体" w:cs="宋体"/>
                <w:color w:val="auto"/>
                <w:sz w:val="24"/>
                <w:szCs w:val="24"/>
                <w:lang w:eastAsia="zh-CN"/>
              </w:rPr>
            </w:pPr>
            <w:r>
              <w:rPr>
                <w:rFonts w:hint="eastAsia" w:ascii="宋体" w:hAnsi="宋体" w:eastAsia="宋体" w:cs="宋体"/>
                <w:bCs/>
                <w:color w:val="auto"/>
                <w:sz w:val="24"/>
                <w:highlight w:val="none"/>
                <w:lang w:val="en-US" w:eastAsia="zh-CN"/>
              </w:rPr>
              <w:t>据实</w:t>
            </w:r>
            <w:r>
              <w:rPr>
                <w:rFonts w:hint="eastAsia" w:ascii="宋体" w:hAnsi="宋体" w:eastAsia="宋体" w:cs="宋体"/>
                <w:bCs/>
                <w:color w:val="auto"/>
                <w:sz w:val="24"/>
                <w:highlight w:val="none"/>
                <w:lang w:eastAsia="zh-CN"/>
              </w:rPr>
              <w:t>提供《</w:t>
            </w:r>
            <w:r>
              <w:rPr>
                <w:rFonts w:hint="eastAsia" w:ascii="宋体" w:hAnsi="宋体" w:eastAsia="宋体" w:cs="宋体"/>
                <w:bCs/>
                <w:color w:val="auto"/>
                <w:sz w:val="24"/>
                <w:highlight w:val="none"/>
                <w:lang w:val="en-US" w:eastAsia="zh-CN"/>
              </w:rPr>
              <w:t>未被列入失信被执行人、重大税收违法案件当事人、政府采购严重违法失信行为名单的承诺函</w:t>
            </w:r>
            <w:r>
              <w:rPr>
                <w:rFonts w:hint="eastAsia" w:ascii="宋体" w:hAnsi="宋体" w:eastAsia="宋体" w:cs="宋体"/>
                <w:bCs/>
                <w:color w:val="auto"/>
                <w:sz w:val="24"/>
                <w:highlight w:val="none"/>
                <w:lang w:eastAsia="zh-CN"/>
              </w:rPr>
              <w:t>》。</w:t>
            </w:r>
          </w:p>
        </w:tc>
      </w:tr>
      <w:tr w14:paraId="75E7366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2620" w:type="dxa"/>
            <w:noWrap w:val="0"/>
            <w:vAlign w:val="center"/>
          </w:tcPr>
          <w:p w14:paraId="4C3104B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投标保证金</w:t>
            </w:r>
          </w:p>
        </w:tc>
        <w:tc>
          <w:tcPr>
            <w:tcW w:w="7037" w:type="dxa"/>
            <w:noWrap w:val="0"/>
            <w:vAlign w:val="center"/>
          </w:tcPr>
          <w:p w14:paraId="000AE15A">
            <w:pPr>
              <w:keepNext w:val="0"/>
              <w:keepLines w:val="0"/>
              <w:pageBreakBefore w:val="0"/>
              <w:widowControl w:val="0"/>
              <w:kinsoku/>
              <w:wordWrap w:val="0"/>
              <w:overflowPunct/>
              <w:topLinePunct/>
              <w:autoSpaceDE/>
              <w:autoSpaceDN/>
              <w:bidi w:val="0"/>
              <w:adjustRightInd/>
              <w:snapToGrid/>
              <w:spacing w:line="360" w:lineRule="auto"/>
              <w:ind w:right="0" w:rightChars="0" w:firstLine="480" w:firstLineChars="200"/>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按照招标文件的规定提交投标保证金。</w:t>
            </w:r>
          </w:p>
        </w:tc>
      </w:tr>
    </w:tbl>
    <w:p w14:paraId="44E9CCE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公开招标采购项目开标结束后，采购人或采购代理机构依据招标文件的规定，对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的资格进行审查。合格</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不足3家的，不得</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，只有通过资格审查的投标文件才能进入</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w:t>
      </w:r>
    </w:p>
    <w:p w14:paraId="42EC3322">
      <w:pPr>
        <w:pStyle w:val="4"/>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Style w:val="685"/>
          <w:rFonts w:hint="eastAsia" w:ascii="仿宋" w:hAnsi="仿宋" w:eastAsia="仿宋" w:cs="仿宋"/>
          <w:b/>
          <w:bCs/>
          <w:color w:val="auto"/>
          <w:sz w:val="32"/>
          <w:szCs w:val="32"/>
          <w:lang w:eastAsia="zh-CN"/>
        </w:rPr>
      </w:pPr>
      <w:bookmarkStart w:id="1112" w:name="_Toc927"/>
      <w:bookmarkStart w:id="1113" w:name="_Toc22184"/>
      <w:bookmarkStart w:id="1114" w:name="_Toc20179"/>
      <w:bookmarkStart w:id="1115" w:name="_Toc512"/>
      <w:bookmarkStart w:id="1116" w:name="_Toc88646744"/>
      <w:r>
        <w:rPr>
          <w:rStyle w:val="685"/>
          <w:rFonts w:hint="eastAsia" w:ascii="宋体" w:hAnsi="宋体" w:eastAsia="宋体" w:cs="宋体"/>
          <w:b/>
          <w:bCs/>
          <w:color w:val="auto"/>
          <w:sz w:val="32"/>
          <w:szCs w:val="32"/>
          <w:lang w:val="en-US" w:eastAsia="zh-CN"/>
        </w:rPr>
        <w:t>（2）</w:t>
      </w:r>
      <w:r>
        <w:rPr>
          <w:rStyle w:val="685"/>
          <w:rFonts w:hint="eastAsia" w:ascii="宋体" w:hAnsi="宋体" w:eastAsia="宋体" w:cs="宋体"/>
          <w:b/>
          <w:bCs/>
          <w:color w:val="auto"/>
          <w:sz w:val="32"/>
          <w:szCs w:val="32"/>
          <w:lang w:eastAsia="zh-CN"/>
        </w:rPr>
        <w:t>符合性评审标准</w:t>
      </w:r>
    </w:p>
    <w:bookmarkEnd w:id="1112"/>
    <w:bookmarkEnd w:id="1113"/>
    <w:bookmarkEnd w:id="1114"/>
    <w:p w14:paraId="55F6886F">
      <w:pPr>
        <w:keepNext w:val="0"/>
        <w:keepLines w:val="0"/>
        <w:pageBreakBefore w:val="0"/>
        <w:widowControl w:val="0"/>
        <w:kinsoku/>
        <w:overflowPunct/>
        <w:autoSpaceDE/>
        <w:autoSpaceDN/>
        <w:bidi w:val="0"/>
        <w:adjustRightInd/>
        <w:snapToGrid/>
        <w:spacing w:line="440" w:lineRule="exact"/>
        <w:ind w:firstLine="480" w:firstLineChars="200"/>
        <w:textAlignment w:val="auto"/>
        <w:rPr>
          <w:rFonts w:ascii="宋体" w:hAnsi="宋体"/>
          <w:color w:val="auto"/>
          <w:sz w:val="24"/>
          <w:szCs w:val="24"/>
          <w:highlight w:val="none"/>
        </w:rPr>
      </w:pPr>
      <w:bookmarkStart w:id="1117" w:name="_Toc535054230"/>
      <w:bookmarkStart w:id="1118" w:name="_Toc512145677"/>
      <w:bookmarkStart w:id="1119" w:name="_Toc510164803"/>
      <w:bookmarkStart w:id="1120" w:name="_Toc522705438"/>
      <w:bookmarkStart w:id="1121" w:name="_Toc532026507"/>
      <w:bookmarkStart w:id="1122" w:name="_Toc427534"/>
      <w:bookmarkStart w:id="1123" w:name="_Toc524152292"/>
      <w:bookmarkStart w:id="1124" w:name="_Toc522249415"/>
      <w:bookmarkStart w:id="1125" w:name="_Toc522792533"/>
      <w:bookmarkStart w:id="1126" w:name="_Toc535053841"/>
      <w:bookmarkStart w:id="1127" w:name="_Toc510168028"/>
      <w:bookmarkStart w:id="1128" w:name="_Toc510168199"/>
      <w:bookmarkStart w:id="1129" w:name="_Toc510164454"/>
      <w:bookmarkStart w:id="1130" w:name="_Toc522249814"/>
      <w:bookmarkStart w:id="1131" w:name="_Toc521313388"/>
      <w:bookmarkStart w:id="1132" w:name="_Toc36621972"/>
      <w:bookmarkStart w:id="1133" w:name="_Toc24531792"/>
      <w:bookmarkStart w:id="1134" w:name="_Toc510164551"/>
      <w:bookmarkStart w:id="1135" w:name="_Toc532026899"/>
      <w:bookmarkStart w:id="1136" w:name="_Toc532025724"/>
      <w:bookmarkStart w:id="1137" w:name="_Toc510164598"/>
      <w:r>
        <w:rPr>
          <w:rFonts w:hint="eastAsia" w:ascii="宋体" w:hAnsi="宋体"/>
          <w:color w:val="auto"/>
          <w:sz w:val="24"/>
          <w:szCs w:val="24"/>
          <w:highlight w:val="none"/>
          <w:lang w:val="en-US" w:eastAsia="zh-CN"/>
        </w:rPr>
        <w:t>2</w:t>
      </w:r>
      <w:r>
        <w:rPr>
          <w:rFonts w:ascii="宋体" w:hAnsi="宋体"/>
          <w:color w:val="auto"/>
          <w:sz w:val="24"/>
          <w:szCs w:val="24"/>
          <w:highlight w:val="none"/>
        </w:rPr>
        <w:t>.1</w:t>
      </w:r>
      <w:r>
        <w:rPr>
          <w:rFonts w:hint="eastAsia" w:ascii="宋体" w:hAnsi="宋体"/>
          <w:color w:val="auto"/>
          <w:sz w:val="24"/>
          <w:szCs w:val="24"/>
          <w:highlight w:val="none"/>
          <w:lang w:eastAsia="zh-CN"/>
        </w:rPr>
        <w:t>评审</w:t>
      </w:r>
      <w:r>
        <w:rPr>
          <w:rFonts w:ascii="宋体" w:hAnsi="宋体"/>
          <w:color w:val="auto"/>
          <w:sz w:val="24"/>
          <w:szCs w:val="24"/>
          <w:highlight w:val="none"/>
        </w:rPr>
        <w:t>委员会对符合资格审查的</w:t>
      </w:r>
      <w:r>
        <w:rPr>
          <w:rFonts w:hint="eastAsia" w:ascii="宋体" w:hAnsi="宋体"/>
          <w:color w:val="auto"/>
          <w:sz w:val="24"/>
          <w:szCs w:val="24"/>
          <w:highlight w:val="none"/>
          <w:lang w:eastAsia="zh-CN"/>
        </w:rPr>
        <w:t>供应商</w:t>
      </w:r>
      <w:r>
        <w:rPr>
          <w:rFonts w:ascii="宋体" w:hAnsi="宋体"/>
          <w:color w:val="auto"/>
          <w:sz w:val="24"/>
          <w:szCs w:val="24"/>
          <w:highlight w:val="none"/>
        </w:rPr>
        <w:t>的投标文件进行符合性审查，以确定其是否满足招标文件的实质性要求。</w:t>
      </w:r>
    </w:p>
    <w:p w14:paraId="1AD61145">
      <w:pPr>
        <w:keepNext w:val="0"/>
        <w:keepLines w:val="0"/>
        <w:pageBreakBefore w:val="0"/>
        <w:widowControl w:val="0"/>
        <w:kinsoku/>
        <w:overflowPunct/>
        <w:autoSpaceDE/>
        <w:autoSpaceDN/>
        <w:bidi w:val="0"/>
        <w:adjustRightInd/>
        <w:snapToGrid/>
        <w:spacing w:line="440" w:lineRule="exact"/>
        <w:ind w:firstLine="480" w:firstLineChars="200"/>
        <w:textAlignment w:val="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w:t>
      </w:r>
      <w:r>
        <w:rPr>
          <w:rFonts w:ascii="宋体" w:hAnsi="宋体"/>
          <w:color w:val="auto"/>
          <w:sz w:val="24"/>
          <w:szCs w:val="24"/>
          <w:highlight w:val="none"/>
        </w:rPr>
        <w:t>.2有下列情形投标文件不能通过符合性评审，未通过符合性评审的</w:t>
      </w:r>
      <w:r>
        <w:rPr>
          <w:rFonts w:hint="eastAsia" w:ascii="宋体" w:hAnsi="宋体"/>
          <w:color w:val="auto"/>
          <w:sz w:val="24"/>
          <w:szCs w:val="24"/>
          <w:highlight w:val="none"/>
          <w:lang w:eastAsia="zh-CN"/>
        </w:rPr>
        <w:t>供应商</w:t>
      </w:r>
      <w:r>
        <w:rPr>
          <w:rFonts w:ascii="宋体" w:hAnsi="宋体"/>
          <w:color w:val="auto"/>
          <w:sz w:val="24"/>
          <w:szCs w:val="24"/>
          <w:highlight w:val="none"/>
        </w:rPr>
        <w:t>将不进入综合评分</w:t>
      </w:r>
      <w:r>
        <w:rPr>
          <w:rFonts w:hint="eastAsia" w:ascii="宋体" w:hAnsi="宋体"/>
          <w:color w:val="auto"/>
          <w:sz w:val="24"/>
          <w:szCs w:val="24"/>
          <w:highlight w:val="none"/>
          <w:lang w:eastAsia="zh-CN"/>
        </w:rPr>
        <w:t>。</w:t>
      </w:r>
    </w:p>
    <w:tbl>
      <w:tblPr>
        <w:tblStyle w:val="67"/>
        <w:tblW w:w="9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9"/>
        <w:gridCol w:w="7701"/>
      </w:tblGrid>
      <w:tr w14:paraId="25714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89" w:type="dxa"/>
            <w:noWrap w:val="0"/>
            <w:vAlign w:val="center"/>
          </w:tcPr>
          <w:p w14:paraId="751B3F71">
            <w:pPr>
              <w:keepNext w:val="0"/>
              <w:keepLines w:val="0"/>
              <w:pageBreakBefore w:val="0"/>
              <w:widowControl w:val="0"/>
              <w:kinsoku/>
              <w:wordWrap w:val="0"/>
              <w:overflowPunct/>
              <w:topLinePunct/>
              <w:autoSpaceDE/>
              <w:autoSpaceDN/>
              <w:bidi w:val="0"/>
              <w:adjustRightInd/>
              <w:snapToGrid/>
              <w:spacing w:line="440" w:lineRule="exact"/>
              <w:ind w:left="0" w:leftChars="0" w:right="0"/>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评 审 内 容</w:t>
            </w:r>
          </w:p>
        </w:tc>
        <w:tc>
          <w:tcPr>
            <w:tcW w:w="7701" w:type="dxa"/>
            <w:noWrap w:val="0"/>
            <w:vAlign w:val="center"/>
          </w:tcPr>
          <w:p w14:paraId="6298CA61">
            <w:pPr>
              <w:keepNext w:val="0"/>
              <w:keepLines w:val="0"/>
              <w:pageBreakBefore w:val="0"/>
              <w:widowControl w:val="0"/>
              <w:kinsoku/>
              <w:wordWrap w:val="0"/>
              <w:overflowPunct/>
              <w:topLinePunct/>
              <w:autoSpaceDE/>
              <w:autoSpaceDN/>
              <w:bidi w:val="0"/>
              <w:adjustRightInd/>
              <w:snapToGrid/>
              <w:spacing w:line="440" w:lineRule="exact"/>
              <w:ind w:left="0" w:leftChars="0" w:right="0"/>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评 审 标 准</w:t>
            </w:r>
          </w:p>
        </w:tc>
      </w:tr>
      <w:tr w14:paraId="6660F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989" w:type="dxa"/>
            <w:noWrap w:val="0"/>
            <w:vAlign w:val="center"/>
          </w:tcPr>
          <w:p w14:paraId="7C22D6A9">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投标文件格式</w:t>
            </w:r>
          </w:p>
        </w:tc>
        <w:tc>
          <w:tcPr>
            <w:tcW w:w="7701" w:type="dxa"/>
            <w:noWrap w:val="0"/>
            <w:vAlign w:val="center"/>
          </w:tcPr>
          <w:p w14:paraId="556EADB4">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投标文件未按招标文件</w:t>
            </w:r>
            <w:r>
              <w:rPr>
                <w:rFonts w:hint="eastAsia" w:ascii="宋体" w:hAnsi="宋体" w:eastAsia="宋体" w:cs="宋体"/>
                <w:color w:val="auto"/>
                <w:sz w:val="24"/>
                <w:szCs w:val="24"/>
                <w:lang w:val="en-US" w:eastAsia="zh-CN"/>
              </w:rPr>
              <w:t>中“第六章 投标文件格式”</w:t>
            </w:r>
            <w:r>
              <w:rPr>
                <w:rFonts w:hint="eastAsia" w:ascii="宋体" w:hAnsi="宋体" w:eastAsia="宋体" w:cs="宋体"/>
                <w:color w:val="auto"/>
                <w:sz w:val="24"/>
                <w:szCs w:val="24"/>
                <w:lang w:eastAsia="zh-CN"/>
              </w:rPr>
              <w:t>要求</w:t>
            </w:r>
            <w:r>
              <w:rPr>
                <w:rFonts w:hint="eastAsia" w:ascii="宋体" w:hAnsi="宋体" w:eastAsia="宋体" w:cs="宋体"/>
                <w:color w:val="auto"/>
                <w:sz w:val="24"/>
                <w:szCs w:val="24"/>
                <w:lang w:val="en-US" w:eastAsia="zh-CN"/>
              </w:rPr>
              <w:t>编制</w:t>
            </w:r>
            <w:r>
              <w:rPr>
                <w:rFonts w:hint="eastAsia" w:ascii="宋体" w:hAnsi="宋体" w:eastAsia="宋体" w:cs="宋体"/>
                <w:color w:val="auto"/>
                <w:sz w:val="24"/>
                <w:szCs w:val="24"/>
                <w:lang w:eastAsia="zh-CN"/>
              </w:rPr>
              <w:t>的。</w:t>
            </w:r>
          </w:p>
        </w:tc>
      </w:tr>
      <w:tr w14:paraId="61262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989" w:type="dxa"/>
            <w:noWrap w:val="0"/>
            <w:vAlign w:val="center"/>
          </w:tcPr>
          <w:p w14:paraId="7E86FAAB">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投标文件的签署</w:t>
            </w:r>
          </w:p>
        </w:tc>
        <w:tc>
          <w:tcPr>
            <w:tcW w:w="7701" w:type="dxa"/>
            <w:noWrap w:val="0"/>
            <w:vAlign w:val="center"/>
          </w:tcPr>
          <w:p w14:paraId="03CECAE6">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投标文件未按招标文件要求签署、盖章的。</w:t>
            </w:r>
          </w:p>
        </w:tc>
      </w:tr>
      <w:tr w14:paraId="00C78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89" w:type="dxa"/>
            <w:noWrap w:val="0"/>
            <w:vAlign w:val="center"/>
          </w:tcPr>
          <w:p w14:paraId="22472556">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投标报价</w:t>
            </w:r>
          </w:p>
        </w:tc>
        <w:tc>
          <w:tcPr>
            <w:tcW w:w="7701" w:type="dxa"/>
            <w:noWrap w:val="0"/>
            <w:vAlign w:val="center"/>
          </w:tcPr>
          <w:p w14:paraId="6BF2BDCF">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投标报价超过招标文件中规定的预算金额或者最高限价的。</w:t>
            </w:r>
          </w:p>
        </w:tc>
      </w:tr>
      <w:tr w14:paraId="6DCE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989" w:type="dxa"/>
            <w:noWrap w:val="0"/>
            <w:vAlign w:val="center"/>
          </w:tcPr>
          <w:p w14:paraId="520675BB">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投标有效期</w:t>
            </w:r>
          </w:p>
        </w:tc>
        <w:tc>
          <w:tcPr>
            <w:tcW w:w="7701" w:type="dxa"/>
            <w:noWrap w:val="0"/>
            <w:vAlign w:val="center"/>
          </w:tcPr>
          <w:p w14:paraId="3308502F">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投标文件未按招标文件要求</w:t>
            </w:r>
            <w:r>
              <w:rPr>
                <w:rFonts w:hint="eastAsia" w:ascii="宋体" w:hAnsi="宋体" w:eastAsia="宋体" w:cs="宋体"/>
                <w:color w:val="auto"/>
                <w:sz w:val="24"/>
                <w:szCs w:val="24"/>
                <w:lang w:val="en-US" w:eastAsia="zh-CN"/>
              </w:rPr>
              <w:t>确定投标有效期</w:t>
            </w:r>
            <w:r>
              <w:rPr>
                <w:rFonts w:hint="eastAsia" w:ascii="宋体" w:hAnsi="宋体" w:eastAsia="宋体" w:cs="宋体"/>
                <w:color w:val="auto"/>
                <w:sz w:val="24"/>
                <w:szCs w:val="24"/>
                <w:lang w:eastAsia="zh-CN"/>
              </w:rPr>
              <w:t>的。</w:t>
            </w:r>
          </w:p>
        </w:tc>
      </w:tr>
      <w:tr w14:paraId="6033B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989" w:type="dxa"/>
            <w:noWrap w:val="0"/>
            <w:vAlign w:val="center"/>
          </w:tcPr>
          <w:p w14:paraId="64F2156C">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实质性条款</w:t>
            </w:r>
          </w:p>
        </w:tc>
        <w:tc>
          <w:tcPr>
            <w:tcW w:w="7701" w:type="dxa"/>
            <w:noWrap w:val="0"/>
            <w:vAlign w:val="center"/>
          </w:tcPr>
          <w:p w14:paraId="27E7EE64">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未实质性响应招标文件中标注实质性条款内容的。</w:t>
            </w:r>
          </w:p>
        </w:tc>
      </w:tr>
      <w:tr w14:paraId="7DB74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3" w:hRule="atLeast"/>
          <w:jc w:val="center"/>
        </w:trPr>
        <w:tc>
          <w:tcPr>
            <w:tcW w:w="1989" w:type="dxa"/>
            <w:noWrap w:val="0"/>
            <w:vAlign w:val="center"/>
          </w:tcPr>
          <w:p w14:paraId="38212D8E">
            <w:pPr>
              <w:keepNext w:val="0"/>
              <w:keepLines w:val="0"/>
              <w:pageBreakBefore w:val="0"/>
              <w:widowControl w:val="0"/>
              <w:kinsoku/>
              <w:overflowPunct/>
              <w:autoSpaceDE/>
              <w:autoSpaceDN/>
              <w:bidi w:val="0"/>
              <w:adjustRightInd/>
              <w:snapToGrid/>
              <w:spacing w:before="100" w:beforeAutospacing="1" w:after="100" w:afterAutospacing="1" w:line="440" w:lineRule="exact"/>
              <w:jc w:val="center"/>
              <w:textAlignment w:val="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rPr>
              <w:t>无串通投标情形</w:t>
            </w:r>
          </w:p>
        </w:tc>
        <w:tc>
          <w:tcPr>
            <w:tcW w:w="7701" w:type="dxa"/>
            <w:noWrap w:val="0"/>
            <w:vAlign w:val="center"/>
          </w:tcPr>
          <w:p w14:paraId="15489373">
            <w:pPr>
              <w:keepNext w:val="0"/>
              <w:keepLines w:val="0"/>
              <w:pageBreakBefore w:val="0"/>
              <w:widowControl w:val="0"/>
              <w:kinsoku/>
              <w:overflowPunct/>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有下列情形之一的，视为</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串通投标：</w:t>
            </w:r>
          </w:p>
          <w:p w14:paraId="17BD393E">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的投标文件由同一单位或者个人编制；</w:t>
            </w:r>
          </w:p>
          <w:p w14:paraId="3E076F14">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委托同一单位或者个人办理投标事宜；</w:t>
            </w:r>
          </w:p>
          <w:p w14:paraId="3374878E">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③不同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的投标文件载明的项目管理成员或者联系人员为同一人；</w:t>
            </w:r>
          </w:p>
          <w:p w14:paraId="7CFD86F9">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④不同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的投标文件异常一致或者投标报价呈规律性差异；</w:t>
            </w:r>
          </w:p>
          <w:p w14:paraId="5CA97F1E">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⑤不同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的投标文件相互混装；</w:t>
            </w:r>
          </w:p>
          <w:p w14:paraId="748ACB50">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⑥不同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的投标保证金从同一单位或者个人的账户转出</w:t>
            </w:r>
            <w:r>
              <w:rPr>
                <w:rFonts w:hint="eastAsia" w:ascii="宋体" w:hAnsi="宋体" w:eastAsia="宋体" w:cs="宋体"/>
                <w:color w:val="auto"/>
                <w:sz w:val="24"/>
                <w:szCs w:val="24"/>
                <w:lang w:eastAsia="zh-CN"/>
              </w:rPr>
              <w:t>；</w:t>
            </w:r>
          </w:p>
          <w:p w14:paraId="675F676E">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⑦其他围标串标的情形</w:t>
            </w:r>
            <w:r>
              <w:rPr>
                <w:rFonts w:hint="eastAsia" w:ascii="宋体" w:hAnsi="宋体" w:eastAsia="宋体" w:cs="宋体"/>
                <w:color w:val="auto"/>
                <w:sz w:val="24"/>
                <w:szCs w:val="24"/>
                <w:lang w:eastAsia="zh-CN"/>
              </w:rPr>
              <w:t>。</w:t>
            </w:r>
          </w:p>
        </w:tc>
      </w:tr>
      <w:tr w14:paraId="27453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1989" w:type="dxa"/>
            <w:noWrap w:val="0"/>
            <w:vAlign w:val="center"/>
          </w:tcPr>
          <w:p w14:paraId="3C6B1D0F">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val="0"/>
                <w:bCs w:val="0"/>
                <w:snapToGrid w:val="0"/>
                <w:color w:val="auto"/>
                <w:kern w:val="0"/>
                <w:sz w:val="24"/>
                <w:szCs w:val="24"/>
                <w:lang w:val="en-US" w:eastAsia="zh-CN" w:bidi="ar-SA"/>
              </w:rPr>
              <w:t>权利义务</w:t>
            </w:r>
          </w:p>
        </w:tc>
        <w:tc>
          <w:tcPr>
            <w:tcW w:w="7701" w:type="dxa"/>
            <w:noWrap w:val="0"/>
            <w:vAlign w:val="center"/>
          </w:tcPr>
          <w:p w14:paraId="5AB44457">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b w:val="0"/>
                <w:bCs w:val="0"/>
                <w:snapToGrid w:val="0"/>
                <w:color w:val="auto"/>
                <w:kern w:val="0"/>
                <w:sz w:val="24"/>
                <w:szCs w:val="24"/>
                <w:lang w:val="en-US" w:eastAsia="zh-CN" w:bidi="ar-SA"/>
              </w:rPr>
              <w:t>投标文件中应对“第五章 合同条款及格式”中规定的相应权利及义务进行响应。</w:t>
            </w:r>
            <w:r>
              <w:rPr>
                <w:rFonts w:hint="eastAsia" w:ascii="宋体" w:hAnsi="宋体" w:eastAsia="宋体" w:cs="宋体"/>
                <w:color w:val="auto"/>
                <w:sz w:val="24"/>
                <w:szCs w:val="24"/>
              </w:rPr>
              <w:t>投标文件含有采购人不能接受的附加条件的</w:t>
            </w:r>
            <w:r>
              <w:rPr>
                <w:rFonts w:hint="eastAsia" w:ascii="宋体" w:hAnsi="宋体" w:eastAsia="宋体" w:cs="宋体"/>
                <w:color w:val="auto"/>
                <w:sz w:val="24"/>
                <w:szCs w:val="24"/>
                <w:lang w:eastAsia="zh-CN"/>
              </w:rPr>
              <w:t>。</w:t>
            </w:r>
          </w:p>
        </w:tc>
      </w:tr>
      <w:tr w14:paraId="6F859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989" w:type="dxa"/>
            <w:noWrap w:val="0"/>
            <w:vAlign w:val="center"/>
          </w:tcPr>
          <w:p w14:paraId="40F06F18">
            <w:pPr>
              <w:keepNext w:val="0"/>
              <w:keepLines w:val="0"/>
              <w:pageBreakBefore w:val="0"/>
              <w:widowControl w:val="0"/>
              <w:kinsoku/>
              <w:overflowPunct/>
              <w:autoSpaceDE/>
              <w:autoSpaceDN/>
              <w:bidi w:val="0"/>
              <w:adjustRightInd/>
              <w:snapToGrid/>
              <w:spacing w:line="440" w:lineRule="exact"/>
              <w:jc w:val="center"/>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rPr>
              <w:t>其他无效情形</w:t>
            </w:r>
          </w:p>
        </w:tc>
        <w:tc>
          <w:tcPr>
            <w:tcW w:w="7701" w:type="dxa"/>
            <w:noWrap w:val="0"/>
            <w:vAlign w:val="center"/>
          </w:tcPr>
          <w:p w14:paraId="7B729762">
            <w:pPr>
              <w:keepNext w:val="0"/>
              <w:keepLines w:val="0"/>
              <w:pageBreakBefore w:val="0"/>
              <w:widowControl w:val="0"/>
              <w:kinsoku/>
              <w:overflowPunct/>
              <w:autoSpaceDE/>
              <w:autoSpaceDN/>
              <w:bidi w:val="0"/>
              <w:adjustRightInd/>
              <w:snapToGrid/>
              <w:spacing w:line="440" w:lineRule="exact"/>
              <w:ind w:firstLine="240" w:firstLineChars="10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lang w:eastAsia="zh-CN"/>
              </w:rPr>
              <w:t>法律法规</w:t>
            </w:r>
            <w:r>
              <w:rPr>
                <w:rFonts w:hint="eastAsia" w:ascii="宋体" w:hAnsi="宋体" w:eastAsia="宋体" w:cs="宋体"/>
                <w:snapToGrid w:val="0"/>
                <w:color w:val="auto"/>
                <w:kern w:val="0"/>
                <w:sz w:val="24"/>
              </w:rPr>
              <w:t>和招标文件规定的其他无效情形。</w:t>
            </w:r>
          </w:p>
        </w:tc>
      </w:tr>
    </w:tbl>
    <w:p w14:paraId="625F3A87">
      <w:pPr>
        <w:keepNext w:val="0"/>
        <w:keepLines w:val="0"/>
        <w:pageBreakBefore w:val="0"/>
        <w:widowControl w:val="0"/>
        <w:kinsoku/>
        <w:overflowPunct/>
        <w:autoSpaceDE/>
        <w:autoSpaceDN/>
        <w:bidi w:val="0"/>
        <w:adjustRightInd/>
        <w:snapToGrid/>
        <w:spacing w:line="440" w:lineRule="exact"/>
        <w:ind w:firstLine="480" w:firstLineChars="200"/>
        <w:textAlignment w:val="auto"/>
        <w:rPr>
          <w:rFonts w:ascii="宋体" w:hAnsi="宋体"/>
          <w:color w:val="auto"/>
          <w:sz w:val="24"/>
          <w:szCs w:val="24"/>
          <w:highlight w:val="none"/>
        </w:rPr>
      </w:pPr>
    </w:p>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p w14:paraId="7A7D032F">
      <w:pPr>
        <w:keepNext w:val="0"/>
        <w:keepLines w:val="0"/>
        <w:pageBreakBefore w:val="0"/>
        <w:widowControl w:val="0"/>
        <w:kinsoku/>
        <w:overflowPunct/>
        <w:autoSpaceDE/>
        <w:autoSpaceDN/>
        <w:bidi w:val="0"/>
        <w:adjustRightInd/>
        <w:snapToGrid/>
        <w:spacing w:line="440" w:lineRule="exact"/>
        <w:ind w:firstLine="482" w:firstLineChars="200"/>
        <w:textAlignment w:val="auto"/>
        <w:rPr>
          <w:rFonts w:ascii="宋体" w:hAnsi="宋体"/>
          <w:b/>
          <w:bCs/>
          <w:color w:val="auto"/>
          <w:sz w:val="24"/>
          <w:szCs w:val="24"/>
          <w:highlight w:val="none"/>
        </w:rPr>
      </w:pPr>
    </w:p>
    <w:p w14:paraId="047B7FF2">
      <w:pPr>
        <w:keepNext w:val="0"/>
        <w:keepLines w:val="0"/>
        <w:pageBreakBefore w:val="0"/>
        <w:widowControl w:val="0"/>
        <w:kinsoku/>
        <w:overflowPunct/>
        <w:autoSpaceDE/>
        <w:autoSpaceDN/>
        <w:bidi w:val="0"/>
        <w:adjustRightInd/>
        <w:snapToGrid/>
        <w:spacing w:line="440" w:lineRule="exact"/>
        <w:ind w:firstLine="482" w:firstLineChars="200"/>
        <w:textAlignment w:val="auto"/>
        <w:rPr>
          <w:rFonts w:ascii="宋体" w:hAnsi="宋体"/>
          <w:b/>
          <w:bCs/>
          <w:color w:val="auto"/>
          <w:sz w:val="24"/>
          <w:szCs w:val="24"/>
          <w:highlight w:val="none"/>
        </w:rPr>
      </w:pPr>
    </w:p>
    <w:p w14:paraId="4A082AD9">
      <w:pPr>
        <w:keepNext w:val="0"/>
        <w:keepLines w:val="0"/>
        <w:pageBreakBefore w:val="0"/>
        <w:widowControl w:val="0"/>
        <w:kinsoku/>
        <w:overflowPunct/>
        <w:autoSpaceDE/>
        <w:autoSpaceDN/>
        <w:bidi w:val="0"/>
        <w:adjustRightInd/>
        <w:snapToGrid/>
        <w:spacing w:line="440" w:lineRule="exact"/>
        <w:ind w:firstLine="482" w:firstLineChars="200"/>
        <w:textAlignment w:val="auto"/>
        <w:rPr>
          <w:rFonts w:ascii="宋体" w:hAnsi="宋体"/>
          <w:b/>
          <w:bCs/>
          <w:color w:val="auto"/>
          <w:sz w:val="24"/>
          <w:szCs w:val="24"/>
          <w:highlight w:val="none"/>
        </w:rPr>
      </w:pPr>
    </w:p>
    <w:p w14:paraId="5A6578EC">
      <w:pPr>
        <w:pStyle w:val="3"/>
        <w:keepNext w:val="0"/>
        <w:keepLines w:val="0"/>
        <w:pageBreakBefore w:val="0"/>
        <w:widowControl w:val="0"/>
        <w:kinsoku/>
        <w:wordWrap w:val="0"/>
        <w:overflowPunct/>
        <w:topLinePunct/>
        <w:autoSpaceDE/>
        <w:autoSpaceDN/>
        <w:bidi w:val="0"/>
        <w:adjustRightInd/>
        <w:snapToGrid/>
        <w:spacing w:before="0" w:after="0" w:line="360" w:lineRule="auto"/>
        <w:ind w:left="0"/>
        <w:textAlignment w:val="auto"/>
        <w:rPr>
          <w:rFonts w:hint="eastAsia" w:ascii="宋体" w:hAnsi="宋体" w:eastAsia="宋体" w:cs="宋体"/>
          <w:i w:val="0"/>
          <w:iCs w:val="0"/>
          <w:color w:val="auto"/>
          <w:sz w:val="32"/>
          <w:szCs w:val="32"/>
          <w:lang w:eastAsia="zh-CN"/>
        </w:rPr>
      </w:pPr>
      <w:bookmarkStart w:id="1138" w:name="_Toc30410"/>
      <w:r>
        <w:rPr>
          <w:rFonts w:hint="eastAsia" w:ascii="宋体" w:hAnsi="宋体" w:eastAsia="宋体" w:cs="宋体"/>
          <w:color w:val="auto"/>
          <w:sz w:val="32"/>
          <w:szCs w:val="32"/>
          <w:lang w:val="en-US" w:eastAsia="zh-CN"/>
        </w:rPr>
        <w:t>（3）</w:t>
      </w:r>
      <w:r>
        <w:rPr>
          <w:rFonts w:hint="eastAsia" w:ascii="宋体" w:hAnsi="宋体" w:eastAsia="宋体" w:cs="宋体"/>
          <w:color w:val="auto"/>
          <w:sz w:val="32"/>
          <w:szCs w:val="32"/>
          <w:lang w:eastAsia="zh-CN"/>
        </w:rPr>
        <w:t>投标报价</w:t>
      </w:r>
      <w:r>
        <w:rPr>
          <w:rFonts w:hint="eastAsia" w:ascii="宋体" w:hAnsi="宋体" w:eastAsia="宋体" w:cs="宋体"/>
          <w:color w:val="auto"/>
          <w:sz w:val="32"/>
          <w:szCs w:val="32"/>
          <w:lang w:val="en-US" w:eastAsia="zh-CN"/>
        </w:rPr>
        <w:t>评分标准（满</w:t>
      </w:r>
      <w:r>
        <w:rPr>
          <w:rFonts w:hint="eastAsia" w:ascii="宋体" w:hAnsi="宋体" w:eastAsia="宋体" w:cs="宋体"/>
          <w:i w:val="0"/>
          <w:iCs w:val="0"/>
          <w:color w:val="auto"/>
          <w:sz w:val="32"/>
          <w:szCs w:val="32"/>
          <w:lang w:val="en-US" w:eastAsia="zh-CN"/>
        </w:rPr>
        <w:t>分</w:t>
      </w:r>
      <w:r>
        <w:rPr>
          <w:rFonts w:hint="eastAsia" w:cs="宋体"/>
          <w:i w:val="0"/>
          <w:iCs w:val="0"/>
          <w:color w:val="auto"/>
          <w:sz w:val="32"/>
          <w:szCs w:val="32"/>
          <w:u w:val="none"/>
          <w:lang w:val="en-US" w:eastAsia="zh-CN"/>
        </w:rPr>
        <w:t>20</w:t>
      </w:r>
      <w:r>
        <w:rPr>
          <w:rFonts w:hint="eastAsia" w:ascii="宋体" w:hAnsi="宋体" w:eastAsia="宋体" w:cs="宋体"/>
          <w:i w:val="0"/>
          <w:iCs w:val="0"/>
          <w:color w:val="auto"/>
          <w:sz w:val="32"/>
          <w:szCs w:val="32"/>
          <w:lang w:val="en-US" w:eastAsia="zh-CN"/>
        </w:rPr>
        <w:t>分）</w:t>
      </w:r>
      <w:bookmarkEnd w:id="1138"/>
    </w:p>
    <w:tbl>
      <w:tblPr>
        <w:tblStyle w:val="67"/>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8131"/>
        <w:gridCol w:w="807"/>
      </w:tblGrid>
      <w:tr w14:paraId="3A408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3" w:hRule="atLeast"/>
          <w:jc w:val="center"/>
        </w:trPr>
        <w:tc>
          <w:tcPr>
            <w:tcW w:w="719" w:type="dxa"/>
            <w:vAlign w:val="center"/>
          </w:tcPr>
          <w:p w14:paraId="4463A21D">
            <w:pPr>
              <w:wordWrap w:val="0"/>
              <w:topLinePunct/>
              <w:spacing w:line="360" w:lineRule="auto"/>
              <w:jc w:val="center"/>
              <w:rPr>
                <w:rFonts w:hint="eastAsia" w:ascii="宋体" w:hAnsi="宋体" w:eastAsia="宋体" w:cs="宋体"/>
                <w:b/>
                <w:bCs/>
                <w:i w:val="0"/>
                <w:iCs w:val="0"/>
                <w:color w:val="auto"/>
                <w:sz w:val="24"/>
                <w:lang w:val="en-US" w:eastAsia="zh-CN"/>
              </w:rPr>
            </w:pPr>
            <w:r>
              <w:rPr>
                <w:rFonts w:hint="eastAsia" w:ascii="宋体" w:hAnsi="宋体" w:eastAsia="宋体" w:cs="宋体"/>
                <w:b/>
                <w:bCs/>
                <w:i w:val="0"/>
                <w:iCs w:val="0"/>
                <w:color w:val="auto"/>
                <w:sz w:val="24"/>
                <w:lang w:val="en-US" w:eastAsia="zh-CN"/>
              </w:rPr>
              <w:t>类型</w:t>
            </w:r>
          </w:p>
        </w:tc>
        <w:tc>
          <w:tcPr>
            <w:tcW w:w="8131" w:type="dxa"/>
            <w:vAlign w:val="center"/>
          </w:tcPr>
          <w:p w14:paraId="44B8D2E4">
            <w:pPr>
              <w:wordWrap w:val="0"/>
              <w:topLinePunct/>
              <w:spacing w:line="360" w:lineRule="auto"/>
              <w:jc w:val="center"/>
              <w:rPr>
                <w:rFonts w:hint="eastAsia" w:ascii="宋体" w:hAnsi="宋体" w:eastAsia="宋体" w:cs="宋体"/>
                <w:b/>
                <w:bCs/>
                <w:i w:val="0"/>
                <w:iCs w:val="0"/>
                <w:color w:val="auto"/>
                <w:sz w:val="24"/>
                <w:lang w:val="en-US" w:eastAsia="zh-CN"/>
              </w:rPr>
            </w:pPr>
            <w:r>
              <w:rPr>
                <w:rFonts w:hint="eastAsia" w:ascii="宋体" w:hAnsi="宋体" w:eastAsia="宋体" w:cs="宋体"/>
                <w:b/>
                <w:bCs/>
                <w:i w:val="0"/>
                <w:iCs w:val="0"/>
                <w:color w:val="auto"/>
                <w:sz w:val="24"/>
                <w:lang w:val="en-US" w:eastAsia="zh-CN"/>
              </w:rPr>
              <w:t>评分标准</w:t>
            </w:r>
          </w:p>
        </w:tc>
        <w:tc>
          <w:tcPr>
            <w:tcW w:w="807" w:type="dxa"/>
            <w:vAlign w:val="center"/>
          </w:tcPr>
          <w:p w14:paraId="3CFD1253">
            <w:pPr>
              <w:wordWrap w:val="0"/>
              <w:topLinePunct/>
              <w:spacing w:line="360" w:lineRule="auto"/>
              <w:jc w:val="center"/>
              <w:rPr>
                <w:rFonts w:hint="eastAsia" w:ascii="宋体" w:hAnsi="宋体" w:eastAsia="宋体" w:cs="宋体"/>
                <w:b/>
                <w:bCs/>
                <w:i w:val="0"/>
                <w:iCs w:val="0"/>
                <w:color w:val="auto"/>
                <w:sz w:val="24"/>
                <w:lang w:val="en-US" w:eastAsia="zh-CN"/>
              </w:rPr>
            </w:pPr>
            <w:r>
              <w:rPr>
                <w:rFonts w:hint="eastAsia" w:ascii="宋体" w:hAnsi="宋体" w:eastAsia="宋体" w:cs="宋体"/>
                <w:b/>
                <w:bCs/>
                <w:i w:val="0"/>
                <w:iCs w:val="0"/>
                <w:color w:val="auto"/>
                <w:sz w:val="24"/>
                <w:lang w:val="en-US" w:eastAsia="zh-CN"/>
              </w:rPr>
              <w:t>分值</w:t>
            </w:r>
          </w:p>
        </w:tc>
      </w:tr>
      <w:tr w14:paraId="36977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4" w:hRule="atLeast"/>
          <w:jc w:val="center"/>
        </w:trPr>
        <w:tc>
          <w:tcPr>
            <w:tcW w:w="719" w:type="dxa"/>
            <w:vAlign w:val="center"/>
          </w:tcPr>
          <w:p w14:paraId="720AF320">
            <w:pPr>
              <w:wordWrap w:val="0"/>
              <w:topLinePunct/>
              <w:spacing w:line="360" w:lineRule="auto"/>
              <w:jc w:val="center"/>
              <w:rPr>
                <w:rFonts w:hint="eastAsia" w:ascii="宋体" w:hAnsi="宋体" w:eastAsia="宋体" w:cs="宋体"/>
                <w:i w:val="0"/>
                <w:iCs w:val="0"/>
                <w:color w:val="auto"/>
                <w:sz w:val="24"/>
                <w:szCs w:val="22"/>
                <w:lang w:val="en-US" w:eastAsia="en-US" w:bidi="ar-SA"/>
              </w:rPr>
            </w:pPr>
            <w:r>
              <w:rPr>
                <w:rFonts w:hint="eastAsia" w:ascii="宋体" w:hAnsi="宋体" w:eastAsia="宋体" w:cs="宋体"/>
                <w:i w:val="0"/>
                <w:iCs w:val="0"/>
                <w:color w:val="auto"/>
                <w:sz w:val="24"/>
                <w:lang w:val="en-US" w:eastAsia="zh-CN"/>
              </w:rPr>
              <w:t>投标</w:t>
            </w:r>
            <w:r>
              <w:rPr>
                <w:rFonts w:hint="eastAsia" w:ascii="宋体" w:hAnsi="宋体" w:eastAsia="宋体" w:cs="宋体"/>
                <w:i w:val="0"/>
                <w:iCs w:val="0"/>
                <w:color w:val="auto"/>
                <w:sz w:val="24"/>
              </w:rPr>
              <w:t>报价</w:t>
            </w:r>
          </w:p>
        </w:tc>
        <w:tc>
          <w:tcPr>
            <w:tcW w:w="8131" w:type="dxa"/>
            <w:vAlign w:val="center"/>
          </w:tcPr>
          <w:p w14:paraId="7C3CD007">
            <w:pPr>
              <w:adjustRightInd w:val="0"/>
              <w:spacing w:line="360" w:lineRule="auto"/>
              <w:rPr>
                <w:rFonts w:hint="default"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 xml:space="preserve">投标报价计算公式= </w:t>
            </w:r>
            <w:r>
              <w:rPr>
                <w:rFonts w:hint="eastAsia" w:ascii="宋体" w:hAnsi="宋体" w:eastAsia="宋体" w:cs="宋体"/>
                <w:i w:val="0"/>
                <w:iCs w:val="0"/>
                <w:color w:val="auto"/>
                <w:position w:val="-26"/>
                <w:sz w:val="24"/>
                <w:szCs w:val="24"/>
              </w:rPr>
              <w:object>
                <v:shape id="_x0000_i1025" o:spt="75" alt="341228446826312" type="#_x0000_t75" style="height:31.5pt;width:66.95pt;" o:ole="t" filled="f" o:preferrelative="t" stroked="f" coordsize="21600,21600">
                  <v:path/>
                  <v:fill on="f" focussize="0,0"/>
                  <v:stroke on="f"/>
                  <v:imagedata r:id="rId10" o:title=""/>
                  <o:lock v:ext="edit" aspectratio="t"/>
                  <w10:wrap type="none"/>
                  <w10:anchorlock/>
                </v:shape>
                <o:OLEObject Type="Embed" ProgID="Equation.3" ShapeID="_x0000_i1025" DrawAspect="Content" ObjectID="_1468075725" r:id="rId9">
                  <o:LockedField>false</o:LockedField>
                </o:OLEObject>
              </w:object>
            </w:r>
            <w:r>
              <w:rPr>
                <w:rFonts w:hint="eastAsia" w:ascii="宋体" w:hAnsi="宋体" w:eastAsia="宋体" w:cs="宋体"/>
                <w:i w:val="0"/>
                <w:iCs w:val="0"/>
                <w:color w:val="auto"/>
                <w:sz w:val="24"/>
                <w:szCs w:val="24"/>
              </w:rPr>
              <w:t>×</w:t>
            </w:r>
            <w:r>
              <w:rPr>
                <w:rFonts w:hint="eastAsia" w:ascii="宋体" w:hAnsi="宋体" w:cs="宋体"/>
                <w:i w:val="0"/>
                <w:iCs w:val="0"/>
                <w:color w:val="auto"/>
                <w:sz w:val="24"/>
                <w:szCs w:val="24"/>
                <w:u w:val="none"/>
                <w:lang w:val="en-US" w:eastAsia="zh-CN"/>
              </w:rPr>
              <w:t>20</w:t>
            </w:r>
          </w:p>
          <w:p w14:paraId="0382B273">
            <w:pPr>
              <w:keepNext w:val="0"/>
              <w:keepLines w:val="0"/>
              <w:pageBreakBefore w:val="0"/>
              <w:widowControl w:val="0"/>
              <w:kinsoku/>
              <w:overflowPunct/>
              <w:autoSpaceDE/>
              <w:autoSpaceDN/>
              <w:bidi w:val="0"/>
              <w:adjustRightInd w:val="0"/>
              <w:snapToGrid/>
              <w:spacing w:line="360" w:lineRule="auto"/>
              <w:textAlignment w:val="auto"/>
              <w:rPr>
                <w:rFonts w:hint="default"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即：F1=[C/（B1，B2，…，Bn）]×</w:t>
            </w:r>
            <w:r>
              <w:rPr>
                <w:rFonts w:hint="eastAsia" w:ascii="宋体" w:hAnsi="宋体" w:cs="宋体"/>
                <w:i w:val="0"/>
                <w:iCs w:val="0"/>
                <w:color w:val="auto"/>
                <w:sz w:val="24"/>
                <w:szCs w:val="24"/>
                <w:u w:val="none"/>
                <w:lang w:val="en-US" w:eastAsia="zh-CN"/>
              </w:rPr>
              <w:t>20</w:t>
            </w:r>
          </w:p>
          <w:p w14:paraId="48F0D467">
            <w:pPr>
              <w:keepNext w:val="0"/>
              <w:keepLines w:val="0"/>
              <w:pageBreakBefore w:val="0"/>
              <w:widowControl w:val="0"/>
              <w:kinsoku/>
              <w:overflowPunct/>
              <w:autoSpaceDE/>
              <w:autoSpaceDN/>
              <w:bidi w:val="0"/>
              <w:adjustRightInd w:val="0"/>
              <w:snapToGrid/>
              <w:spacing w:line="360" w:lineRule="auto"/>
              <w:textAlignment w:val="auto"/>
              <w:rPr>
                <w:rFonts w:hint="eastAsia" w:ascii="宋体" w:hAnsi="宋体" w:cs="宋体"/>
                <w:i w:val="0"/>
                <w:iCs w:val="0"/>
                <w:color w:val="auto"/>
                <w:sz w:val="24"/>
                <w:szCs w:val="24"/>
                <w:lang w:val="en-US" w:eastAsia="zh-CN"/>
              </w:rPr>
            </w:pPr>
            <w:r>
              <w:rPr>
                <w:rFonts w:hint="eastAsia" w:ascii="宋体" w:hAnsi="宋体" w:eastAsia="宋体" w:cs="宋体"/>
                <w:i w:val="0"/>
                <w:iCs w:val="0"/>
                <w:color w:val="auto"/>
                <w:sz w:val="24"/>
                <w:szCs w:val="24"/>
              </w:rPr>
              <w:t>注：</w:t>
            </w:r>
            <w:r>
              <w:rPr>
                <w:rFonts w:hint="eastAsia" w:ascii="宋体" w:hAnsi="宋体" w:cs="宋体"/>
                <w:i w:val="0"/>
                <w:iCs w:val="0"/>
                <w:color w:val="auto"/>
                <w:sz w:val="24"/>
                <w:szCs w:val="24"/>
                <w:lang w:val="en-US" w:eastAsia="zh-CN"/>
              </w:rPr>
              <w:t>F1为</w:t>
            </w:r>
            <w:r>
              <w:rPr>
                <w:rFonts w:hint="eastAsia" w:ascii="宋体" w:hAnsi="宋体" w:eastAsia="宋体" w:cs="宋体"/>
                <w:i w:val="0"/>
                <w:iCs w:val="0"/>
                <w:color w:val="auto"/>
                <w:sz w:val="24"/>
                <w:szCs w:val="24"/>
              </w:rPr>
              <w:t>投标报价</w:t>
            </w:r>
            <w:r>
              <w:rPr>
                <w:rFonts w:hint="eastAsia" w:ascii="宋体" w:hAnsi="宋体" w:cs="宋体"/>
                <w:i w:val="0"/>
                <w:iCs w:val="0"/>
                <w:color w:val="auto"/>
                <w:sz w:val="24"/>
                <w:szCs w:val="24"/>
                <w:lang w:val="en-US" w:eastAsia="zh-CN"/>
              </w:rPr>
              <w:t>得分；</w:t>
            </w:r>
          </w:p>
          <w:p w14:paraId="71AED0D7">
            <w:pPr>
              <w:keepNext w:val="0"/>
              <w:keepLines w:val="0"/>
              <w:pageBreakBefore w:val="0"/>
              <w:widowControl w:val="0"/>
              <w:kinsoku/>
              <w:overflowPunct/>
              <w:autoSpaceDE/>
              <w:autoSpaceDN/>
              <w:bidi w:val="0"/>
              <w:adjustRightInd w:val="0"/>
              <w:snapToGrid/>
              <w:spacing w:line="360" w:lineRule="auto"/>
              <w:ind w:firstLine="480" w:firstLineChars="20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C为</w:t>
            </w:r>
            <w:r>
              <w:rPr>
                <w:rFonts w:hint="eastAsia" w:ascii="宋体" w:hAnsi="宋体" w:cs="宋体"/>
                <w:i w:val="0"/>
                <w:iCs w:val="0"/>
                <w:color w:val="auto"/>
                <w:sz w:val="24"/>
                <w:szCs w:val="24"/>
                <w:lang w:eastAsia="zh-CN"/>
              </w:rPr>
              <w:t>评审</w:t>
            </w:r>
            <w:r>
              <w:rPr>
                <w:rFonts w:hint="eastAsia" w:ascii="宋体" w:hAnsi="宋体" w:eastAsia="宋体" w:cs="宋体"/>
                <w:i w:val="0"/>
                <w:iCs w:val="0"/>
                <w:color w:val="auto"/>
                <w:sz w:val="24"/>
                <w:szCs w:val="24"/>
              </w:rPr>
              <w:t>基准价，即经符合性评审合格且投标价格最低的投标报价；</w:t>
            </w:r>
          </w:p>
          <w:p w14:paraId="257BEBD2">
            <w:pPr>
              <w:keepNext w:val="0"/>
              <w:keepLines w:val="0"/>
              <w:pageBreakBefore w:val="0"/>
              <w:widowControl w:val="0"/>
              <w:kinsoku/>
              <w:overflowPunct/>
              <w:autoSpaceDE/>
              <w:autoSpaceDN/>
              <w:bidi w:val="0"/>
              <w:snapToGrid/>
              <w:spacing w:line="360" w:lineRule="auto"/>
              <w:ind w:firstLine="480" w:firstLineChars="20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B1，B2，…，Bn为第n个经符合性评审合格的投标报价。</w:t>
            </w:r>
          </w:p>
          <w:p w14:paraId="2B14CF39">
            <w:pPr>
              <w:keepNext w:val="0"/>
              <w:keepLines w:val="0"/>
              <w:pageBreakBefore w:val="0"/>
              <w:widowControl w:val="0"/>
              <w:kinsoku/>
              <w:overflowPunct/>
              <w:autoSpaceDE/>
              <w:autoSpaceDN/>
              <w:bidi w:val="0"/>
              <w:snapToGrid/>
              <w:spacing w:line="360" w:lineRule="auto"/>
              <w:ind w:firstLine="480" w:firstLineChars="20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1、在计算投标报价得分时，对小型或微型企业报价给予10%的扣除，用扣除后的价格参加评审。</w:t>
            </w:r>
          </w:p>
          <w:p w14:paraId="52BB75EA">
            <w:pPr>
              <w:keepNext w:val="0"/>
              <w:keepLines w:val="0"/>
              <w:pageBreakBefore w:val="0"/>
              <w:widowControl w:val="0"/>
              <w:kinsoku/>
              <w:overflowPunct/>
              <w:autoSpaceDE/>
              <w:autoSpaceDN/>
              <w:bidi w:val="0"/>
              <w:snapToGrid/>
              <w:spacing w:line="360" w:lineRule="auto"/>
              <w:ind w:firstLine="480" w:firstLineChars="20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2、残疾人福利性单位、监狱企业视同小型、微型企业。</w:t>
            </w:r>
          </w:p>
          <w:p w14:paraId="3B42837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2"/>
                <w:lang w:val="en-US" w:eastAsia="zh-CN" w:bidi="ar-SA"/>
              </w:rPr>
            </w:pPr>
            <w:r>
              <w:rPr>
                <w:rFonts w:hint="eastAsia" w:ascii="宋体" w:hAnsi="宋体" w:eastAsia="宋体" w:cs="宋体"/>
                <w:i w:val="0"/>
                <w:iCs w:val="0"/>
                <w:color w:val="auto"/>
                <w:sz w:val="24"/>
                <w:szCs w:val="24"/>
              </w:rPr>
              <w:t>3、监狱企业或残疾人福利性单位属于小型、微型企业的，不重复计算，只进行一次价格扣除。</w:t>
            </w:r>
          </w:p>
        </w:tc>
        <w:tc>
          <w:tcPr>
            <w:tcW w:w="807" w:type="dxa"/>
            <w:vAlign w:val="center"/>
          </w:tcPr>
          <w:p w14:paraId="18CFCB35">
            <w:pPr>
              <w:wordWrap w:val="0"/>
              <w:topLinePunct/>
              <w:spacing w:line="360" w:lineRule="auto"/>
              <w:jc w:val="center"/>
              <w:rPr>
                <w:rFonts w:hint="eastAsia" w:ascii="宋体" w:hAnsi="宋体" w:eastAsia="宋体" w:cs="宋体"/>
                <w:i w:val="0"/>
                <w:iCs w:val="0"/>
                <w:color w:val="auto"/>
                <w:sz w:val="24"/>
                <w:lang w:val="en-US" w:eastAsia="zh-CN"/>
              </w:rPr>
            </w:pPr>
            <w:r>
              <w:rPr>
                <w:rFonts w:hint="eastAsia" w:ascii="宋体" w:hAnsi="宋体" w:cs="宋体"/>
                <w:b/>
                <w:bCs/>
                <w:i w:val="0"/>
                <w:iCs w:val="0"/>
                <w:color w:val="auto"/>
                <w:sz w:val="24"/>
                <w:lang w:val="en-US" w:eastAsia="zh-CN"/>
              </w:rPr>
              <w:t>20</w:t>
            </w:r>
            <w:r>
              <w:rPr>
                <w:rFonts w:hint="eastAsia" w:ascii="宋体" w:hAnsi="宋体" w:eastAsia="宋体" w:cs="宋体"/>
                <w:b/>
                <w:bCs/>
                <w:i w:val="0"/>
                <w:iCs w:val="0"/>
                <w:color w:val="auto"/>
                <w:sz w:val="24"/>
                <w:lang w:val="en-US" w:eastAsia="zh-CN"/>
              </w:rPr>
              <w:t>分</w:t>
            </w:r>
          </w:p>
        </w:tc>
      </w:tr>
    </w:tbl>
    <w:p w14:paraId="1D05EAD4">
      <w:pPr>
        <w:pStyle w:val="3"/>
        <w:keepNext w:val="0"/>
        <w:keepLines w:val="0"/>
        <w:pageBreakBefore w:val="0"/>
        <w:widowControl w:val="0"/>
        <w:kinsoku/>
        <w:wordWrap w:val="0"/>
        <w:overflowPunct/>
        <w:topLinePunct/>
        <w:autoSpaceDE/>
        <w:autoSpaceDN/>
        <w:bidi w:val="0"/>
        <w:adjustRightInd/>
        <w:snapToGrid/>
        <w:spacing w:before="0" w:after="0" w:line="360" w:lineRule="auto"/>
        <w:ind w:left="0"/>
        <w:textAlignment w:val="auto"/>
        <w:rPr>
          <w:rFonts w:hint="eastAsia" w:ascii="宋体" w:hAnsi="宋体" w:eastAsia="宋体" w:cs="宋体"/>
          <w:color w:val="auto"/>
          <w:sz w:val="32"/>
          <w:szCs w:val="32"/>
          <w:lang w:val="en-US" w:eastAsia="zh-CN"/>
        </w:rPr>
      </w:pPr>
      <w:bookmarkStart w:id="1139" w:name="_Toc3097"/>
    </w:p>
    <w:bookmarkEnd w:id="1139"/>
    <w:p w14:paraId="07A38788">
      <w:pPr>
        <w:pStyle w:val="28"/>
        <w:rPr>
          <w:rFonts w:hint="eastAsia" w:cs="宋体"/>
          <w:color w:val="auto"/>
          <w:sz w:val="32"/>
          <w:szCs w:val="32"/>
          <w:lang w:val="en-US" w:eastAsia="zh-CN"/>
        </w:rPr>
      </w:pPr>
      <w:bookmarkStart w:id="1140" w:name="_Toc4849"/>
      <w:r>
        <w:rPr>
          <w:rFonts w:hint="eastAsia" w:cs="宋体"/>
          <w:color w:val="auto"/>
          <w:sz w:val="32"/>
          <w:szCs w:val="32"/>
          <w:lang w:val="zh-CN" w:eastAsia="zh-CN"/>
        </w:rPr>
        <w:br w:type="page"/>
      </w:r>
    </w:p>
    <w:p w14:paraId="219AFB0D">
      <w:pPr>
        <w:pStyle w:val="3"/>
        <w:keepNext/>
        <w:keepLines w:val="0"/>
        <w:pageBreakBefore w:val="0"/>
        <w:widowControl w:val="0"/>
        <w:numPr>
          <w:ilvl w:val="0"/>
          <w:numId w:val="0"/>
        </w:numPr>
        <w:kinsoku/>
        <w:wordWrap w:val="0"/>
        <w:overflowPunct/>
        <w:topLinePunct/>
        <w:autoSpaceDE/>
        <w:autoSpaceDN/>
        <w:bidi w:val="0"/>
        <w:adjustRightInd/>
        <w:snapToGrid/>
        <w:spacing w:before="0" w:after="0" w:line="360" w:lineRule="auto"/>
        <w:jc w:val="center"/>
        <w:textAlignment w:val="auto"/>
        <w:rPr>
          <w:rFonts w:hint="eastAsia" w:ascii="宋体" w:hAnsi="宋体" w:eastAsia="宋体" w:cs="宋体"/>
          <w:color w:val="auto"/>
          <w:sz w:val="32"/>
          <w:szCs w:val="32"/>
          <w:lang w:val="en-US" w:eastAsia="zh-CN"/>
        </w:rPr>
      </w:pPr>
      <w:r>
        <w:rPr>
          <w:rFonts w:hint="eastAsia" w:cs="宋体"/>
          <w:color w:val="auto"/>
          <w:sz w:val="32"/>
          <w:szCs w:val="32"/>
          <w:lang w:val="zh-CN" w:eastAsia="zh-CN"/>
        </w:rPr>
        <w:t>（</w:t>
      </w:r>
      <w:r>
        <w:rPr>
          <w:rFonts w:hint="eastAsia" w:cs="宋体"/>
          <w:color w:val="auto"/>
          <w:sz w:val="32"/>
          <w:szCs w:val="32"/>
          <w:lang w:val="en-US" w:eastAsia="zh-CN"/>
        </w:rPr>
        <w:t>4</w:t>
      </w:r>
      <w:r>
        <w:rPr>
          <w:rFonts w:hint="eastAsia" w:cs="宋体"/>
          <w:color w:val="auto"/>
          <w:sz w:val="32"/>
          <w:szCs w:val="32"/>
          <w:lang w:val="zh-CN" w:eastAsia="zh-CN"/>
        </w:rPr>
        <w:t>）</w:t>
      </w:r>
      <w:r>
        <w:rPr>
          <w:rFonts w:hint="eastAsia" w:ascii="宋体" w:hAnsi="宋体" w:eastAsia="宋体" w:cs="宋体"/>
          <w:color w:val="auto"/>
          <w:sz w:val="32"/>
          <w:szCs w:val="32"/>
          <w:lang w:val="zh-CN" w:eastAsia="zh-CN"/>
        </w:rPr>
        <w:t>商务技术</w:t>
      </w:r>
      <w:r>
        <w:rPr>
          <w:rFonts w:hint="eastAsia" w:ascii="宋体" w:hAnsi="宋体" w:eastAsia="宋体" w:cs="宋体"/>
          <w:color w:val="auto"/>
          <w:sz w:val="32"/>
          <w:szCs w:val="32"/>
          <w:lang w:val="zh-CN"/>
        </w:rPr>
        <w:t>评分</w:t>
      </w:r>
      <w:r>
        <w:rPr>
          <w:rFonts w:hint="eastAsia" w:ascii="宋体" w:hAnsi="宋体" w:eastAsia="宋体" w:cs="宋体"/>
          <w:color w:val="auto"/>
          <w:sz w:val="32"/>
          <w:szCs w:val="32"/>
          <w:lang w:val="en-US" w:eastAsia="zh-CN"/>
        </w:rPr>
        <w:t>标准</w:t>
      </w:r>
      <w:r>
        <w:rPr>
          <w:rFonts w:hint="eastAsia" w:cs="宋体"/>
          <w:color w:val="auto"/>
          <w:sz w:val="32"/>
          <w:szCs w:val="32"/>
          <w:lang w:val="en-US" w:eastAsia="zh-CN"/>
        </w:rPr>
        <w:t>（</w:t>
      </w:r>
      <w:r>
        <w:rPr>
          <w:rFonts w:hint="eastAsia" w:ascii="宋体" w:hAnsi="宋体" w:eastAsia="宋体" w:cs="宋体"/>
          <w:color w:val="auto"/>
          <w:sz w:val="32"/>
          <w:szCs w:val="32"/>
          <w:lang w:val="en-US" w:eastAsia="zh-CN"/>
        </w:rPr>
        <w:t>满分</w:t>
      </w:r>
      <w:r>
        <w:rPr>
          <w:rFonts w:hint="eastAsia" w:cs="宋体"/>
          <w:color w:val="auto"/>
          <w:sz w:val="32"/>
          <w:szCs w:val="32"/>
          <w:lang w:val="en-US" w:eastAsia="zh-CN"/>
        </w:rPr>
        <w:t>80</w:t>
      </w:r>
      <w:r>
        <w:rPr>
          <w:rFonts w:hint="eastAsia" w:ascii="宋体" w:hAnsi="宋体" w:eastAsia="宋体" w:cs="宋体"/>
          <w:color w:val="auto"/>
          <w:sz w:val="32"/>
          <w:szCs w:val="32"/>
          <w:lang w:val="en-US" w:eastAsia="zh-CN"/>
        </w:rPr>
        <w:t>分</w:t>
      </w:r>
      <w:r>
        <w:rPr>
          <w:rFonts w:hint="eastAsia" w:cs="宋体"/>
          <w:color w:val="auto"/>
          <w:sz w:val="32"/>
          <w:szCs w:val="32"/>
          <w:lang w:val="en-US" w:eastAsia="zh-CN"/>
        </w:rPr>
        <w:t>）</w:t>
      </w:r>
    </w:p>
    <w:tbl>
      <w:tblPr>
        <w:tblStyle w:val="67"/>
        <w:tblW w:w="10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1515"/>
        <w:gridCol w:w="6904"/>
        <w:gridCol w:w="1190"/>
      </w:tblGrid>
      <w:tr w14:paraId="5EE83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09BFE1E1">
            <w:pPr>
              <w:keepNext/>
              <w:keepLines/>
              <w:pageBreakBefore w:val="0"/>
              <w:widowControl w:val="0"/>
              <w:kinsoku/>
              <w:wordWrap w:val="0"/>
              <w:overflowPunct/>
              <w:topLinePunct/>
              <w:autoSpaceDE/>
              <w:autoSpaceDN/>
              <w:bidi w:val="0"/>
              <w:adjustRightInd/>
              <w:snapToGrid/>
              <w:spacing w:line="360" w:lineRule="auto"/>
              <w:jc w:val="center"/>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序号</w:t>
            </w:r>
          </w:p>
        </w:tc>
        <w:tc>
          <w:tcPr>
            <w:tcW w:w="1515" w:type="dxa"/>
            <w:noWrap w:val="0"/>
            <w:vAlign w:val="center"/>
          </w:tcPr>
          <w:p w14:paraId="2BAC3C6F">
            <w:pPr>
              <w:keepNext/>
              <w:keepLines/>
              <w:pageBreakBefore w:val="0"/>
              <w:widowControl w:val="0"/>
              <w:kinsoku/>
              <w:wordWrap w:val="0"/>
              <w:overflowPunct/>
              <w:topLinePunct/>
              <w:autoSpaceDE/>
              <w:autoSpaceDN/>
              <w:bidi w:val="0"/>
              <w:adjustRightInd/>
              <w:snapToGrid/>
              <w:spacing w:line="360" w:lineRule="auto"/>
              <w:jc w:val="center"/>
              <w:textAlignment w:val="auto"/>
              <w:rPr>
                <w:rFonts w:hint="default"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评审因素</w:t>
            </w:r>
          </w:p>
        </w:tc>
        <w:tc>
          <w:tcPr>
            <w:tcW w:w="6904" w:type="dxa"/>
            <w:noWrap w:val="0"/>
            <w:vAlign w:val="center"/>
          </w:tcPr>
          <w:p w14:paraId="118073CD">
            <w:pPr>
              <w:keepNext/>
              <w:keepLines/>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sz w:val="24"/>
                <w:szCs w:val="24"/>
              </w:rPr>
              <w:t>评分标准</w:t>
            </w:r>
          </w:p>
        </w:tc>
        <w:tc>
          <w:tcPr>
            <w:tcW w:w="1190" w:type="dxa"/>
            <w:noWrap w:val="0"/>
            <w:vAlign w:val="center"/>
          </w:tcPr>
          <w:p w14:paraId="150A4766">
            <w:pPr>
              <w:keepNext/>
              <w:keepLines/>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rPr>
              <w:t>分值</w:t>
            </w:r>
          </w:p>
        </w:tc>
      </w:tr>
      <w:tr w14:paraId="2FAC5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50C69377">
            <w:pPr>
              <w:keepNext/>
              <w:keepLines/>
              <w:pageBreakBefore w:val="0"/>
              <w:widowControl w:val="0"/>
              <w:kinsoku/>
              <w:wordWrap w:val="0"/>
              <w:overflowPunct/>
              <w:topLinePunct/>
              <w:autoSpaceDE/>
              <w:autoSpaceDN/>
              <w:bidi w:val="0"/>
              <w:adjustRightInd/>
              <w:snapToGrid/>
              <w:spacing w:line="360" w:lineRule="auto"/>
              <w:jc w:val="center"/>
              <w:textAlignment w:val="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一</w:t>
            </w:r>
          </w:p>
        </w:tc>
        <w:tc>
          <w:tcPr>
            <w:tcW w:w="1515" w:type="dxa"/>
            <w:noWrap w:val="0"/>
            <w:vAlign w:val="center"/>
          </w:tcPr>
          <w:p w14:paraId="51828362">
            <w:pPr>
              <w:keepNext/>
              <w:keepLines/>
              <w:pageBreakBefore w:val="0"/>
              <w:widowControl w:val="0"/>
              <w:kinsoku/>
              <w:wordWrap w:val="0"/>
              <w:overflowPunct/>
              <w:topLinePunct/>
              <w:autoSpaceDE/>
              <w:autoSpaceDN/>
              <w:bidi w:val="0"/>
              <w:adjustRightInd/>
              <w:snapToGrid/>
              <w:spacing w:line="360" w:lineRule="auto"/>
              <w:jc w:val="center"/>
              <w:textAlignment w:val="auto"/>
              <w:rPr>
                <w:rFonts w:hint="default" w:ascii="宋体" w:hAnsi="宋体" w:cs="宋体"/>
                <w:b/>
                <w:bCs/>
                <w:color w:val="auto"/>
                <w:sz w:val="24"/>
                <w:szCs w:val="24"/>
                <w:lang w:val="en-US" w:eastAsia="zh-CN" w:bidi="ar-SA"/>
              </w:rPr>
            </w:pPr>
            <w:r>
              <w:rPr>
                <w:rFonts w:hint="eastAsia" w:ascii="宋体" w:hAnsi="宋体" w:cs="宋体"/>
                <w:b/>
                <w:bCs/>
                <w:color w:val="auto"/>
                <w:sz w:val="24"/>
                <w:szCs w:val="24"/>
                <w:lang w:val="en-US" w:eastAsia="zh-CN" w:bidi="ar-SA"/>
              </w:rPr>
              <w:t>技术部分</w:t>
            </w:r>
          </w:p>
        </w:tc>
        <w:tc>
          <w:tcPr>
            <w:tcW w:w="6904" w:type="dxa"/>
            <w:noWrap w:val="0"/>
            <w:vAlign w:val="center"/>
          </w:tcPr>
          <w:p w14:paraId="46088026">
            <w:pPr>
              <w:keepNext/>
              <w:keepLines/>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bCs/>
                <w:color w:val="auto"/>
                <w:sz w:val="24"/>
                <w:szCs w:val="24"/>
              </w:rPr>
            </w:pPr>
          </w:p>
        </w:tc>
        <w:tc>
          <w:tcPr>
            <w:tcW w:w="1190" w:type="dxa"/>
            <w:noWrap w:val="0"/>
            <w:vAlign w:val="center"/>
          </w:tcPr>
          <w:p w14:paraId="2344E69B">
            <w:pPr>
              <w:keepNext/>
              <w:keepLines/>
              <w:pageBreakBefore w:val="0"/>
              <w:widowControl w:val="0"/>
              <w:kinsoku/>
              <w:wordWrap w:val="0"/>
              <w:overflowPunct/>
              <w:topLinePunct/>
              <w:autoSpaceDE/>
              <w:autoSpaceDN/>
              <w:bidi w:val="0"/>
              <w:adjustRightInd/>
              <w:snapToGrid/>
              <w:spacing w:line="360" w:lineRule="auto"/>
              <w:jc w:val="center"/>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38分</w:t>
            </w:r>
          </w:p>
        </w:tc>
      </w:tr>
      <w:tr w14:paraId="45F24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02C1440B">
            <w:pPr>
              <w:keepNext/>
              <w:keepLines/>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1</w:t>
            </w:r>
          </w:p>
        </w:tc>
        <w:tc>
          <w:tcPr>
            <w:tcW w:w="1515" w:type="dxa"/>
            <w:noWrap w:val="0"/>
            <w:vAlign w:val="center"/>
          </w:tcPr>
          <w:p w14:paraId="68154ED0">
            <w:pPr>
              <w:keepNext/>
              <w:keepLines/>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技术参数响应评审</w:t>
            </w:r>
          </w:p>
        </w:tc>
        <w:tc>
          <w:tcPr>
            <w:tcW w:w="6904" w:type="dxa"/>
            <w:noWrap w:val="0"/>
            <w:vAlign w:val="center"/>
          </w:tcPr>
          <w:p w14:paraId="6B6A6284">
            <w:pPr>
              <w:keepNext/>
              <w:keepLines/>
              <w:pageBreakBefore w:val="0"/>
              <w:widowControl w:val="0"/>
              <w:kinsoku/>
              <w:wordWrap w:val="0"/>
              <w:overflowPunct/>
              <w:autoSpaceDE/>
              <w:autoSpaceDN/>
              <w:bidi w:val="0"/>
              <w:adjustRightInd/>
              <w:snapToGrid/>
              <w:spacing w:line="360" w:lineRule="auto"/>
              <w:textAlignment w:val="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技术参数指标响应评审：</w:t>
            </w:r>
          </w:p>
          <w:p w14:paraId="3D49F861">
            <w:pPr>
              <w:keepNext/>
              <w:keepLines/>
              <w:pageBreakBefore w:val="0"/>
              <w:widowControl w:val="0"/>
              <w:kinsoku/>
              <w:wordWrap w:val="0"/>
              <w:overflowPunct/>
              <w:autoSpaceDE/>
              <w:autoSpaceDN/>
              <w:bidi w:val="0"/>
              <w:adjustRightInd/>
              <w:snapToGrid/>
              <w:spacing w:line="360" w:lineRule="auto"/>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根据招标文件第</w:t>
            </w:r>
            <w:r>
              <w:rPr>
                <w:rFonts w:hint="eastAsia" w:ascii="宋体" w:hAnsi="宋体" w:cs="宋体"/>
                <w:bCs/>
                <w:color w:val="auto"/>
                <w:sz w:val="24"/>
                <w:szCs w:val="24"/>
                <w:highlight w:val="none"/>
                <w:lang w:val="en-US" w:eastAsia="zh-CN"/>
              </w:rPr>
              <w:t>四</w:t>
            </w:r>
            <w:r>
              <w:rPr>
                <w:rFonts w:hint="eastAsia" w:ascii="宋体" w:hAnsi="宋体" w:cs="宋体"/>
                <w:bCs/>
                <w:color w:val="auto"/>
                <w:sz w:val="24"/>
                <w:szCs w:val="24"/>
                <w:highlight w:val="none"/>
              </w:rPr>
              <w:t>章采购需求及要求中</w:t>
            </w:r>
            <w:r>
              <w:rPr>
                <w:rFonts w:hint="eastAsia" w:ascii="宋体" w:hAnsi="宋体" w:cs="宋体"/>
                <w:bCs/>
                <w:color w:val="auto"/>
                <w:sz w:val="24"/>
                <w:szCs w:val="24"/>
                <w:highlight w:val="none"/>
                <w:lang w:val="en-US" w:eastAsia="zh-CN"/>
              </w:rPr>
              <w:t>的技术(服务)参数要求</w:t>
            </w:r>
            <w:r>
              <w:rPr>
                <w:rFonts w:hint="eastAsia" w:ascii="宋体" w:hAnsi="宋体" w:cs="宋体"/>
                <w:bCs/>
                <w:color w:val="auto"/>
                <w:sz w:val="24"/>
                <w:szCs w:val="24"/>
                <w:highlight w:val="none"/>
              </w:rPr>
              <w:t>内容进行评审：</w:t>
            </w:r>
          </w:p>
          <w:p w14:paraId="539CC2E0">
            <w:pPr>
              <w:keepNext/>
              <w:keepLines/>
              <w:pageBreakBefore w:val="0"/>
              <w:widowControl w:val="0"/>
              <w:kinsoku/>
              <w:wordWrap w:val="0"/>
              <w:overflowPunct/>
              <w:autoSpaceDE/>
              <w:autoSpaceDN/>
              <w:bidi w:val="0"/>
              <w:adjustRightInd/>
              <w:snapToGrid/>
              <w:spacing w:line="360" w:lineRule="auto"/>
              <w:ind w:firstLine="482" w:firstLineChars="200"/>
              <w:textAlignment w:val="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1.1标注</w:t>
            </w:r>
            <w:r>
              <w:rPr>
                <w:rFonts w:hint="eastAsia" w:ascii="宋体" w:hAnsi="宋体" w:cs="宋体"/>
                <w:bCs/>
                <w:color w:val="auto"/>
                <w:sz w:val="24"/>
                <w:szCs w:val="24"/>
                <w:highlight w:val="none"/>
              </w:rPr>
              <w:t>（“</w:t>
            </w:r>
            <w:r>
              <w:rPr>
                <w:rFonts w:hint="eastAsia" w:ascii="微软雅黑" w:eastAsia="微软雅黑"/>
                <w:color w:val="auto"/>
                <w:sz w:val="32"/>
                <w:szCs w:val="32"/>
                <w:highlight w:val="none"/>
              </w:rPr>
              <w:t>▲</w:t>
            </w:r>
            <w:r>
              <w:rPr>
                <w:rFonts w:hint="eastAsia" w:ascii="宋体" w:hAnsi="宋体" w:cs="宋体"/>
                <w:bCs/>
                <w:color w:val="auto"/>
                <w:sz w:val="24"/>
                <w:szCs w:val="24"/>
                <w:highlight w:val="none"/>
              </w:rPr>
              <w:t>”）的条款为重要技术指标及要求，共</w:t>
            </w:r>
            <w:r>
              <w:rPr>
                <w:rFonts w:hint="eastAsia" w:ascii="宋体" w:hAnsi="宋体" w:cs="宋体"/>
                <w:b/>
                <w:bCs w:val="0"/>
                <w:color w:val="auto"/>
                <w:sz w:val="24"/>
                <w:szCs w:val="24"/>
                <w:highlight w:val="none"/>
                <w:u w:val="single"/>
                <w:lang w:val="en-US" w:eastAsia="zh-CN"/>
              </w:rPr>
              <w:t>6</w:t>
            </w:r>
            <w:r>
              <w:rPr>
                <w:rFonts w:hint="eastAsia" w:ascii="宋体" w:hAnsi="宋体" w:cs="宋体"/>
                <w:bCs/>
                <w:color w:val="auto"/>
                <w:sz w:val="24"/>
                <w:szCs w:val="24"/>
                <w:highlight w:val="none"/>
              </w:rPr>
              <w:t>条(满分</w:t>
            </w:r>
            <w:r>
              <w:rPr>
                <w:rFonts w:hint="eastAsia" w:ascii="宋体" w:hAnsi="宋体" w:cs="宋体"/>
                <w:b/>
                <w:bCs w:val="0"/>
                <w:color w:val="auto"/>
                <w:sz w:val="24"/>
                <w:szCs w:val="24"/>
                <w:highlight w:val="none"/>
                <w:u w:val="single"/>
                <w:lang w:val="en-US" w:eastAsia="zh-CN"/>
              </w:rPr>
              <w:t xml:space="preserve">18 </w:t>
            </w:r>
            <w:r>
              <w:rPr>
                <w:rFonts w:hint="eastAsia" w:ascii="宋体" w:hAnsi="宋体" w:cs="宋体"/>
                <w:bCs/>
                <w:color w:val="auto"/>
                <w:sz w:val="24"/>
                <w:szCs w:val="24"/>
                <w:highlight w:val="none"/>
              </w:rPr>
              <w:t>分)，负偏离一条扣</w:t>
            </w:r>
            <w:r>
              <w:rPr>
                <w:rFonts w:hint="eastAsia" w:ascii="宋体" w:hAnsi="宋体" w:cs="宋体"/>
                <w:b/>
                <w:bCs w:val="0"/>
                <w:color w:val="auto"/>
                <w:sz w:val="24"/>
                <w:szCs w:val="24"/>
                <w:highlight w:val="none"/>
                <w:u w:val="single"/>
                <w:lang w:val="en-US" w:eastAsia="zh-CN"/>
              </w:rPr>
              <w:t>3</w:t>
            </w:r>
            <w:r>
              <w:rPr>
                <w:rFonts w:hint="eastAsia" w:ascii="宋体" w:hAnsi="宋体" w:cs="宋体"/>
                <w:bCs/>
                <w:color w:val="auto"/>
                <w:sz w:val="24"/>
                <w:szCs w:val="24"/>
                <w:highlight w:val="none"/>
              </w:rPr>
              <w:t>分；</w:t>
            </w:r>
          </w:p>
          <w:p w14:paraId="6509FAF7">
            <w:pPr>
              <w:keepNext/>
              <w:keepLines/>
              <w:pageBreakBefore w:val="0"/>
              <w:widowControl w:val="0"/>
              <w:kinsoku/>
              <w:wordWrap w:val="0"/>
              <w:overflowPunct/>
              <w:autoSpaceDE/>
              <w:autoSpaceDN/>
              <w:bidi w:val="0"/>
              <w:adjustRightInd/>
              <w:snapToGrid/>
              <w:spacing w:line="360" w:lineRule="auto"/>
              <w:ind w:firstLine="482" w:firstLineChars="200"/>
              <w:textAlignment w:val="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1.2未标注</w:t>
            </w:r>
            <w:r>
              <w:rPr>
                <w:rFonts w:hint="eastAsia" w:ascii="宋体" w:hAnsi="宋体" w:cs="宋体"/>
                <w:bCs/>
                <w:color w:val="auto"/>
                <w:sz w:val="24"/>
                <w:szCs w:val="24"/>
                <w:highlight w:val="none"/>
              </w:rPr>
              <w:t>（“</w:t>
            </w:r>
            <w:r>
              <w:rPr>
                <w:rFonts w:hint="eastAsia" w:ascii="微软雅黑" w:eastAsia="微软雅黑"/>
                <w:color w:val="auto"/>
                <w:sz w:val="32"/>
                <w:szCs w:val="32"/>
                <w:highlight w:val="none"/>
              </w:rPr>
              <w:t>▲</w:t>
            </w:r>
            <w:r>
              <w:rPr>
                <w:rFonts w:hint="eastAsia" w:ascii="宋体" w:hAnsi="宋体" w:cs="宋体"/>
                <w:bCs/>
                <w:color w:val="auto"/>
                <w:sz w:val="24"/>
                <w:szCs w:val="24"/>
                <w:highlight w:val="none"/>
              </w:rPr>
              <w:t>”）的条款为一般技术指标及要求，共</w:t>
            </w:r>
            <w:r>
              <w:rPr>
                <w:rFonts w:hint="eastAsia" w:ascii="宋体" w:hAnsi="宋体" w:cs="宋体"/>
                <w:b/>
                <w:bCs w:val="0"/>
                <w:color w:val="auto"/>
                <w:sz w:val="24"/>
                <w:szCs w:val="24"/>
                <w:highlight w:val="none"/>
                <w:u w:val="single"/>
                <w:lang w:val="en-US" w:eastAsia="zh-CN"/>
              </w:rPr>
              <w:t>20</w:t>
            </w:r>
            <w:r>
              <w:rPr>
                <w:rFonts w:hint="eastAsia" w:ascii="宋体" w:hAnsi="宋体" w:cs="宋体"/>
                <w:bCs/>
                <w:color w:val="auto"/>
                <w:sz w:val="24"/>
                <w:szCs w:val="24"/>
                <w:highlight w:val="none"/>
              </w:rPr>
              <w:t>条(满分</w:t>
            </w:r>
            <w:r>
              <w:rPr>
                <w:rFonts w:hint="eastAsia" w:ascii="宋体" w:hAnsi="宋体" w:cs="宋体"/>
                <w:b/>
                <w:bCs w:val="0"/>
                <w:color w:val="auto"/>
                <w:sz w:val="24"/>
                <w:szCs w:val="24"/>
                <w:highlight w:val="none"/>
                <w:u w:val="single"/>
                <w:lang w:val="en-US" w:eastAsia="zh-CN"/>
              </w:rPr>
              <w:t xml:space="preserve">20 </w:t>
            </w:r>
            <w:r>
              <w:rPr>
                <w:rFonts w:hint="eastAsia" w:ascii="宋体" w:hAnsi="宋体" w:cs="宋体"/>
                <w:bCs/>
                <w:color w:val="auto"/>
                <w:sz w:val="24"/>
                <w:szCs w:val="24"/>
                <w:highlight w:val="none"/>
              </w:rPr>
              <w:t>分)，负偏离一条扣</w:t>
            </w:r>
            <w:r>
              <w:rPr>
                <w:rFonts w:hint="eastAsia" w:ascii="宋体" w:hAnsi="宋体" w:cs="宋体"/>
                <w:b/>
                <w:bCs w:val="0"/>
                <w:color w:val="auto"/>
                <w:sz w:val="24"/>
                <w:szCs w:val="24"/>
                <w:highlight w:val="none"/>
                <w:u w:val="single"/>
                <w:lang w:val="en-US" w:eastAsia="zh-CN"/>
              </w:rPr>
              <w:t>1</w:t>
            </w:r>
            <w:r>
              <w:rPr>
                <w:rFonts w:hint="eastAsia" w:ascii="宋体" w:hAnsi="宋体" w:cs="宋体"/>
                <w:bCs/>
                <w:color w:val="auto"/>
                <w:sz w:val="24"/>
                <w:szCs w:val="24"/>
                <w:highlight w:val="none"/>
              </w:rPr>
              <w:t xml:space="preserve">分。  </w:t>
            </w:r>
          </w:p>
          <w:p w14:paraId="2FE12428">
            <w:pPr>
              <w:keepNext/>
              <w:keepLines/>
              <w:pageBreakBefore w:val="0"/>
              <w:widowControl w:val="0"/>
              <w:kinsoku/>
              <w:wordWrap w:val="0"/>
              <w:overflowPunct/>
              <w:autoSpaceDE/>
              <w:autoSpaceDN/>
              <w:bidi w:val="0"/>
              <w:adjustRightInd/>
              <w:snapToGrid/>
              <w:spacing w:line="360" w:lineRule="auto"/>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注：</w:t>
            </w:r>
            <w:r>
              <w:rPr>
                <w:rFonts w:hint="eastAsia" w:ascii="宋体" w:hAnsi="宋体" w:cs="宋体"/>
                <w:b/>
                <w:color w:val="auto"/>
                <w:sz w:val="24"/>
                <w:szCs w:val="24"/>
                <w:highlight w:val="none"/>
                <w:lang w:val="en-US" w:eastAsia="zh-CN"/>
              </w:rPr>
              <w:t>1.招标文件要求</w:t>
            </w:r>
            <w:r>
              <w:rPr>
                <w:rFonts w:hint="eastAsia" w:ascii="宋体" w:hAnsi="宋体" w:cs="宋体"/>
                <w:b/>
                <w:color w:val="auto"/>
                <w:sz w:val="24"/>
                <w:szCs w:val="24"/>
                <w:highlight w:val="none"/>
              </w:rPr>
              <w:t>提供</w:t>
            </w:r>
            <w:r>
              <w:rPr>
                <w:rFonts w:hint="eastAsia" w:ascii="宋体" w:hAnsi="宋体" w:cs="宋体"/>
                <w:b/>
                <w:color w:val="auto"/>
                <w:sz w:val="24"/>
                <w:szCs w:val="24"/>
                <w:highlight w:val="none"/>
                <w:lang w:val="en-US" w:eastAsia="zh-CN"/>
              </w:rPr>
              <w:t>证明材料</w:t>
            </w:r>
            <w:r>
              <w:rPr>
                <w:rFonts w:hint="eastAsia" w:ascii="宋体" w:hAnsi="宋体" w:cs="宋体"/>
                <w:b/>
                <w:color w:val="auto"/>
                <w:sz w:val="24"/>
                <w:szCs w:val="24"/>
                <w:highlight w:val="none"/>
              </w:rPr>
              <w:t>的</w:t>
            </w:r>
            <w:r>
              <w:rPr>
                <w:rFonts w:hint="eastAsia" w:ascii="宋体" w:hAnsi="宋体" w:cs="宋体"/>
                <w:b/>
                <w:color w:val="auto"/>
                <w:sz w:val="24"/>
                <w:szCs w:val="24"/>
                <w:highlight w:val="none"/>
                <w:lang w:val="en-US" w:eastAsia="zh-CN"/>
              </w:rPr>
              <w:t>未提供证明材料或证明材料不满足要求及投标文件</w:t>
            </w:r>
            <w:r>
              <w:rPr>
                <w:rFonts w:hint="eastAsia" w:ascii="宋体" w:hAnsi="宋体" w:cs="宋体"/>
                <w:b/>
                <w:color w:val="auto"/>
                <w:sz w:val="24"/>
                <w:szCs w:val="24"/>
                <w:highlight w:val="none"/>
              </w:rPr>
              <w:t>技术规格偏离表</w:t>
            </w:r>
            <w:r>
              <w:rPr>
                <w:rFonts w:hint="eastAsia" w:ascii="宋体" w:hAnsi="宋体" w:cs="宋体"/>
                <w:b/>
                <w:color w:val="auto"/>
                <w:sz w:val="24"/>
                <w:szCs w:val="24"/>
                <w:highlight w:val="none"/>
                <w:lang w:val="en-US" w:eastAsia="zh-CN"/>
              </w:rPr>
              <w:t>应答</w:t>
            </w:r>
            <w:r>
              <w:rPr>
                <w:rFonts w:hint="eastAsia" w:ascii="宋体" w:hAnsi="宋体" w:cs="宋体"/>
                <w:b/>
                <w:color w:val="auto"/>
                <w:sz w:val="24"/>
                <w:szCs w:val="24"/>
                <w:highlight w:val="none"/>
              </w:rPr>
              <w:t>与</w:t>
            </w:r>
            <w:r>
              <w:rPr>
                <w:rFonts w:hint="eastAsia" w:ascii="宋体" w:hAnsi="宋体" w:cs="宋体"/>
                <w:b/>
                <w:color w:val="auto"/>
                <w:sz w:val="24"/>
                <w:szCs w:val="24"/>
                <w:highlight w:val="none"/>
                <w:lang w:val="en-US" w:eastAsia="zh-CN"/>
              </w:rPr>
              <w:t>招标文件要求</w:t>
            </w:r>
            <w:r>
              <w:rPr>
                <w:rFonts w:hint="eastAsia" w:ascii="宋体" w:hAnsi="宋体" w:cs="宋体"/>
                <w:b/>
                <w:color w:val="auto"/>
                <w:sz w:val="24"/>
                <w:szCs w:val="24"/>
                <w:highlight w:val="none"/>
              </w:rPr>
              <w:t>不符或</w:t>
            </w:r>
            <w:r>
              <w:rPr>
                <w:rFonts w:hint="eastAsia" w:ascii="宋体" w:hAnsi="宋体" w:cs="宋体"/>
                <w:b/>
                <w:color w:val="auto"/>
                <w:sz w:val="24"/>
                <w:szCs w:val="24"/>
                <w:highlight w:val="none"/>
                <w:lang w:val="en-US" w:eastAsia="zh-CN"/>
              </w:rPr>
              <w:t>无</w:t>
            </w:r>
            <w:r>
              <w:rPr>
                <w:rFonts w:hint="eastAsia" w:ascii="宋体" w:hAnsi="宋体" w:cs="宋体"/>
                <w:b/>
                <w:color w:val="auto"/>
                <w:sz w:val="24"/>
                <w:szCs w:val="24"/>
                <w:highlight w:val="none"/>
              </w:rPr>
              <w:t>应答，视为不响应该项技术参数要求，技术部分对应参数条款扣分。</w:t>
            </w:r>
          </w:p>
          <w:p w14:paraId="395AE58E">
            <w:pPr>
              <w:keepNext/>
              <w:keepLines/>
              <w:pageBreakBefore w:val="0"/>
              <w:widowControl w:val="0"/>
              <w:kinsoku/>
              <w:wordWrap w:val="0"/>
              <w:overflowPunct/>
              <w:autoSpaceDE/>
              <w:autoSpaceDN/>
              <w:bidi w:val="0"/>
              <w:adjustRightInd/>
              <w:snapToGrid/>
              <w:spacing w:line="360" w:lineRule="auto"/>
              <w:ind w:firstLine="482" w:firstLineChars="200"/>
              <w:textAlignment w:val="auto"/>
              <w:rPr>
                <w:rFonts w:hint="default" w:eastAsia="宋体"/>
                <w:color w:val="auto"/>
                <w:lang w:val="en-US" w:eastAsia="zh-CN"/>
              </w:rPr>
            </w:pPr>
            <w:r>
              <w:rPr>
                <w:rFonts w:hint="eastAsia" w:ascii="宋体" w:hAnsi="宋体" w:cs="宋体"/>
                <w:b/>
                <w:color w:val="auto"/>
                <w:sz w:val="24"/>
                <w:szCs w:val="24"/>
                <w:highlight w:val="none"/>
                <w:lang w:val="en-US" w:eastAsia="zh-CN"/>
              </w:rPr>
              <w:t>2.标注“★”号的为实质性技术(服务)参数，不作为打分项，投标人必须全部响应，实质性技术(服务)参数要求提供证明材料的投标人须按招标文件要求提供证明材料，实质性技术(服务)参数不符合招标文件要求或未按招标文件要求提供证明材料的均视为不响应招标文件要求，作废标处理。</w:t>
            </w:r>
          </w:p>
        </w:tc>
        <w:tc>
          <w:tcPr>
            <w:tcW w:w="1190" w:type="dxa"/>
            <w:noWrap w:val="0"/>
            <w:vAlign w:val="center"/>
          </w:tcPr>
          <w:p w14:paraId="18429007">
            <w:pPr>
              <w:keepNext/>
              <w:keepLines/>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38</w:t>
            </w:r>
            <w:r>
              <w:rPr>
                <w:rFonts w:hint="eastAsia" w:ascii="宋体" w:hAnsi="宋体" w:eastAsia="宋体" w:cs="宋体"/>
                <w:b/>
                <w:bCs/>
                <w:color w:val="auto"/>
                <w:sz w:val="24"/>
                <w:szCs w:val="24"/>
                <w:lang w:val="en-US" w:eastAsia="zh-CN"/>
              </w:rPr>
              <w:t>分</w:t>
            </w:r>
          </w:p>
        </w:tc>
      </w:tr>
      <w:tr w14:paraId="78180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3DF87516">
            <w:pPr>
              <w:keepNext/>
              <w:keepLines/>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二</w:t>
            </w:r>
          </w:p>
        </w:tc>
        <w:tc>
          <w:tcPr>
            <w:tcW w:w="1515" w:type="dxa"/>
            <w:noWrap w:val="0"/>
            <w:vAlign w:val="center"/>
          </w:tcPr>
          <w:p w14:paraId="1ACA1D85">
            <w:pPr>
              <w:keepNext/>
              <w:keepLines/>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default"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商务部分</w:t>
            </w:r>
          </w:p>
        </w:tc>
        <w:tc>
          <w:tcPr>
            <w:tcW w:w="6904" w:type="dxa"/>
            <w:noWrap w:val="0"/>
            <w:vAlign w:val="center"/>
          </w:tcPr>
          <w:p w14:paraId="3DC0DE0D">
            <w:pPr>
              <w:keepNext/>
              <w:keepLines/>
              <w:pageBreakBefore w:val="0"/>
              <w:widowControl w:val="0"/>
              <w:kinsoku/>
              <w:wordWrap w:val="0"/>
              <w:overflowPunct/>
              <w:autoSpaceDE/>
              <w:autoSpaceDN/>
              <w:bidi w:val="0"/>
              <w:adjustRightInd/>
              <w:snapToGrid/>
              <w:spacing w:line="360" w:lineRule="auto"/>
              <w:rPr>
                <w:rFonts w:hint="eastAsia" w:ascii="宋体" w:hAnsi="宋体" w:cs="宋体"/>
                <w:b/>
                <w:color w:val="auto"/>
                <w:sz w:val="24"/>
                <w:szCs w:val="24"/>
                <w:highlight w:val="none"/>
              </w:rPr>
            </w:pPr>
          </w:p>
        </w:tc>
        <w:tc>
          <w:tcPr>
            <w:tcW w:w="1190" w:type="dxa"/>
            <w:noWrap w:val="0"/>
            <w:vAlign w:val="center"/>
          </w:tcPr>
          <w:p w14:paraId="5614EAC6">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cs="宋体"/>
                <w:b/>
                <w:bCs/>
                <w:color w:val="auto"/>
                <w:sz w:val="24"/>
                <w:szCs w:val="24"/>
                <w:lang w:val="en-US" w:eastAsia="zh-CN"/>
              </w:rPr>
            </w:pPr>
            <w:r>
              <w:rPr>
                <w:rFonts w:hint="eastAsia" w:ascii="宋体" w:hAnsi="宋体" w:cs="宋体"/>
                <w:b/>
                <w:bCs/>
                <w:i w:val="0"/>
                <w:iCs w:val="0"/>
                <w:color w:val="auto"/>
                <w:sz w:val="24"/>
                <w:szCs w:val="24"/>
                <w:u w:val="none"/>
                <w:lang w:val="en-US" w:eastAsia="zh-CN"/>
              </w:rPr>
              <w:t>42分</w:t>
            </w:r>
          </w:p>
        </w:tc>
      </w:tr>
      <w:tr w14:paraId="2990E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2E0C5578">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p>
        </w:tc>
        <w:tc>
          <w:tcPr>
            <w:tcW w:w="1515" w:type="dxa"/>
            <w:noWrap w:val="0"/>
            <w:vAlign w:val="center"/>
          </w:tcPr>
          <w:p w14:paraId="3766EFF2">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i w:val="0"/>
                <w:iCs w:val="0"/>
                <w:color w:val="auto"/>
                <w:sz w:val="24"/>
                <w:szCs w:val="24"/>
                <w:lang w:val="en-US" w:eastAsia="zh-CN"/>
              </w:rPr>
            </w:pPr>
            <w:r>
              <w:rPr>
                <w:rFonts w:hint="eastAsia" w:ascii="宋体" w:hAnsi="宋体" w:cs="宋体"/>
                <w:b/>
                <w:bCs/>
                <w:i w:val="0"/>
                <w:iCs w:val="0"/>
                <w:color w:val="auto"/>
                <w:sz w:val="24"/>
                <w:szCs w:val="24"/>
                <w:lang w:val="en-US" w:eastAsia="zh-CN"/>
              </w:rPr>
              <w:t>设备维保服务方案评审</w:t>
            </w:r>
          </w:p>
        </w:tc>
        <w:tc>
          <w:tcPr>
            <w:tcW w:w="6904" w:type="dxa"/>
            <w:noWrap w:val="0"/>
            <w:vAlign w:val="center"/>
          </w:tcPr>
          <w:p w14:paraId="33A39E3F">
            <w:pPr>
              <w:pStyle w:val="28"/>
              <w:keepNext/>
              <w:keepLines/>
              <w:pageBreakBefore w:val="0"/>
              <w:widowControl w:val="0"/>
              <w:kinsoku/>
              <w:wordWrap w:val="0"/>
              <w:overflowPunct/>
              <w:topLinePunct/>
              <w:autoSpaceDE/>
              <w:autoSpaceDN/>
              <w:bidi w:val="0"/>
              <w:adjustRightInd/>
              <w:snapToGrid/>
              <w:spacing w:line="360" w:lineRule="auto"/>
              <w:ind w:left="0" w:leftChars="0" w:right="0" w:firstLine="0" w:firstLineChars="0"/>
              <w:textAlignment w:val="auto"/>
              <w:rPr>
                <w:rFonts w:hint="eastAsia" w:ascii="宋体" w:hAnsi="宋体" w:eastAsia="宋体" w:cs="宋体"/>
                <w:b/>
                <w:bCs/>
                <w:i w:val="0"/>
                <w:iCs w:val="0"/>
                <w:color w:val="auto"/>
                <w:sz w:val="24"/>
                <w:szCs w:val="24"/>
                <w:lang w:eastAsia="zh-CN"/>
              </w:rPr>
            </w:pPr>
            <w:r>
              <w:rPr>
                <w:rFonts w:hint="eastAsia" w:cs="宋体"/>
                <w:b/>
                <w:bCs/>
                <w:i w:val="0"/>
                <w:iCs w:val="0"/>
                <w:color w:val="auto"/>
                <w:sz w:val="24"/>
                <w:szCs w:val="24"/>
                <w:lang w:eastAsia="zh-CN"/>
              </w:rPr>
              <w:t>供应商</w:t>
            </w:r>
            <w:r>
              <w:rPr>
                <w:rFonts w:hint="eastAsia" w:ascii="宋体" w:hAnsi="宋体" w:eastAsia="宋体" w:cs="宋体"/>
                <w:i w:val="0"/>
                <w:iCs w:val="0"/>
                <w:color w:val="auto"/>
                <w:kern w:val="2"/>
                <w:sz w:val="24"/>
                <w:szCs w:val="24"/>
                <w:lang w:val="en-US" w:eastAsia="zh-CN" w:bidi="ar-SA"/>
              </w:rPr>
              <w:t>根据招标文件“第四章 采购需求及要求”</w:t>
            </w:r>
            <w:r>
              <w:rPr>
                <w:rFonts w:hint="eastAsia" w:ascii="宋体" w:hAnsi="宋体" w:eastAsia="宋体" w:cs="宋体"/>
                <w:b/>
                <w:bCs/>
                <w:i w:val="0"/>
                <w:iCs w:val="0"/>
                <w:color w:val="auto"/>
                <w:sz w:val="24"/>
                <w:szCs w:val="24"/>
                <w:lang w:val="en-US" w:eastAsia="zh-CN"/>
              </w:rPr>
              <w:t>编制设备维保服务方案</w:t>
            </w:r>
            <w:r>
              <w:rPr>
                <w:rFonts w:hint="eastAsia" w:ascii="宋体" w:hAnsi="宋体" w:eastAsia="宋体" w:cs="宋体"/>
                <w:b/>
                <w:bCs/>
                <w:i w:val="0"/>
                <w:iCs w:val="0"/>
                <w:color w:val="auto"/>
                <w:sz w:val="24"/>
                <w:szCs w:val="24"/>
                <w:lang w:eastAsia="zh-CN"/>
              </w:rPr>
              <w:t>：</w:t>
            </w:r>
          </w:p>
          <w:p w14:paraId="26A900D2">
            <w:pPr>
              <w:keepNext/>
              <w:keepLines/>
              <w:pageBreakBefore w:val="0"/>
              <w:widowControl w:val="0"/>
              <w:kinsoku/>
              <w:wordWrap w:val="0"/>
              <w:overflowPunct/>
              <w:autoSpaceDE/>
              <w:autoSpaceDN/>
              <w:bidi w:val="0"/>
              <w:adjustRightInd/>
              <w:snapToGrid/>
              <w:spacing w:line="360" w:lineRule="auto"/>
              <w:ind w:firstLine="480" w:firstLineChars="200"/>
              <w:rPr>
                <w:rFonts w:hint="eastAsia" w:ascii="宋体" w:hAnsi="宋体"/>
                <w:bCs/>
                <w:i w:val="0"/>
                <w:iCs w:val="0"/>
                <w:color w:val="auto"/>
                <w:sz w:val="24"/>
                <w:szCs w:val="20"/>
                <w:highlight w:val="none"/>
              </w:rPr>
            </w:pPr>
            <w:r>
              <w:rPr>
                <w:rFonts w:hint="eastAsia" w:ascii="宋体" w:hAnsi="宋体"/>
                <w:bCs/>
                <w:i w:val="0"/>
                <w:iCs w:val="0"/>
                <w:color w:val="auto"/>
                <w:sz w:val="24"/>
                <w:szCs w:val="20"/>
                <w:highlight w:val="none"/>
              </w:rPr>
              <w:t>方案包括：①维护和保养方案；②设备巡检方案。</w:t>
            </w:r>
          </w:p>
          <w:p w14:paraId="644CCAF1">
            <w:pPr>
              <w:keepNext/>
              <w:keepLines/>
              <w:pageBreakBefore w:val="0"/>
              <w:widowControl w:val="0"/>
              <w:kinsoku/>
              <w:wordWrap w:val="0"/>
              <w:overflowPunct/>
              <w:autoSpaceDE/>
              <w:autoSpaceDN/>
              <w:bidi w:val="0"/>
              <w:adjustRightInd/>
              <w:snapToGrid/>
              <w:spacing w:line="360" w:lineRule="auto"/>
              <w:rPr>
                <w:rFonts w:hint="eastAsia" w:ascii="宋体" w:hAnsi="宋体"/>
                <w:bCs/>
                <w:i w:val="0"/>
                <w:iCs w:val="0"/>
                <w:color w:val="auto"/>
                <w:sz w:val="24"/>
                <w:szCs w:val="20"/>
                <w:highlight w:val="none"/>
              </w:rPr>
            </w:pPr>
            <w:r>
              <w:rPr>
                <w:rFonts w:hint="eastAsia" w:ascii="宋体" w:hAnsi="宋体"/>
                <w:bCs/>
                <w:i w:val="0"/>
                <w:iCs w:val="0"/>
                <w:color w:val="auto"/>
                <w:sz w:val="24"/>
                <w:szCs w:val="20"/>
                <w:highlight w:val="none"/>
              </w:rPr>
              <w:t>以上</w:t>
            </w:r>
            <w:r>
              <w:rPr>
                <w:rFonts w:hint="eastAsia" w:ascii="宋体" w:hAnsi="宋体"/>
                <w:bCs/>
                <w:i w:val="0"/>
                <w:iCs w:val="0"/>
                <w:color w:val="auto"/>
                <w:sz w:val="24"/>
                <w:szCs w:val="20"/>
                <w:highlight w:val="none"/>
                <w:lang w:val="en-US" w:eastAsia="zh-CN"/>
              </w:rPr>
              <w:t>2</w:t>
            </w:r>
            <w:r>
              <w:rPr>
                <w:rFonts w:hint="eastAsia" w:ascii="宋体" w:hAnsi="宋体"/>
                <w:bCs/>
                <w:i w:val="0"/>
                <w:iCs w:val="0"/>
                <w:color w:val="auto"/>
                <w:sz w:val="24"/>
                <w:szCs w:val="20"/>
                <w:highlight w:val="none"/>
              </w:rPr>
              <w:t>项内容每项</w:t>
            </w:r>
            <w:r>
              <w:rPr>
                <w:rFonts w:hint="eastAsia" w:ascii="宋体" w:hAnsi="宋体"/>
                <w:b/>
                <w:bCs w:val="0"/>
                <w:i w:val="0"/>
                <w:iCs w:val="0"/>
                <w:color w:val="auto"/>
                <w:sz w:val="24"/>
                <w:szCs w:val="20"/>
                <w:highlight w:val="none"/>
                <w:u w:val="single"/>
                <w:lang w:val="en-US" w:eastAsia="zh-CN"/>
              </w:rPr>
              <w:t>7</w:t>
            </w:r>
            <w:r>
              <w:rPr>
                <w:rFonts w:hint="eastAsia" w:ascii="宋体" w:hAnsi="宋体"/>
                <w:bCs/>
                <w:i w:val="0"/>
                <w:iCs w:val="0"/>
                <w:color w:val="auto"/>
                <w:sz w:val="24"/>
                <w:szCs w:val="20"/>
                <w:highlight w:val="none"/>
              </w:rPr>
              <w:t>分，无漏项、无缺陷得</w:t>
            </w:r>
            <w:r>
              <w:rPr>
                <w:rFonts w:hint="eastAsia" w:ascii="宋体" w:hAnsi="宋体"/>
                <w:b/>
                <w:bCs w:val="0"/>
                <w:i w:val="0"/>
                <w:iCs w:val="0"/>
                <w:color w:val="auto"/>
                <w:sz w:val="24"/>
                <w:szCs w:val="20"/>
                <w:highlight w:val="none"/>
                <w:u w:val="single"/>
                <w:lang w:val="en-US" w:eastAsia="zh-CN"/>
              </w:rPr>
              <w:t>14</w:t>
            </w:r>
            <w:r>
              <w:rPr>
                <w:rFonts w:hint="eastAsia" w:ascii="宋体" w:hAnsi="宋体"/>
                <w:bCs/>
                <w:i w:val="0"/>
                <w:iCs w:val="0"/>
                <w:color w:val="auto"/>
                <w:sz w:val="24"/>
                <w:szCs w:val="20"/>
                <w:highlight w:val="none"/>
              </w:rPr>
              <w:t>分，每缺少一项扣</w:t>
            </w:r>
            <w:r>
              <w:rPr>
                <w:rFonts w:hint="eastAsia" w:ascii="宋体" w:hAnsi="宋体"/>
                <w:b/>
                <w:bCs w:val="0"/>
                <w:i w:val="0"/>
                <w:iCs w:val="0"/>
                <w:color w:val="auto"/>
                <w:sz w:val="24"/>
                <w:szCs w:val="20"/>
                <w:highlight w:val="none"/>
                <w:u w:val="single"/>
                <w:lang w:val="en-US" w:eastAsia="zh-CN"/>
              </w:rPr>
              <w:t>7</w:t>
            </w:r>
            <w:r>
              <w:rPr>
                <w:rFonts w:hint="eastAsia" w:ascii="宋体" w:hAnsi="宋体"/>
                <w:bCs/>
                <w:i w:val="0"/>
                <w:iCs w:val="0"/>
                <w:color w:val="auto"/>
                <w:sz w:val="24"/>
                <w:szCs w:val="20"/>
                <w:highlight w:val="none"/>
              </w:rPr>
              <w:t>分；每有一项内容</w:t>
            </w:r>
            <w:r>
              <w:rPr>
                <w:rFonts w:hint="eastAsia" w:ascii="宋体" w:hAnsi="宋体"/>
                <w:bCs/>
                <w:i w:val="0"/>
                <w:iCs w:val="0"/>
                <w:color w:val="auto"/>
                <w:sz w:val="24"/>
                <w:szCs w:val="20"/>
                <w:highlight w:val="none"/>
                <w:lang w:val="en-US" w:eastAsia="zh-CN"/>
              </w:rPr>
              <w:t>存</w:t>
            </w:r>
            <w:r>
              <w:rPr>
                <w:rFonts w:hint="eastAsia" w:ascii="宋体" w:hAnsi="宋体"/>
                <w:bCs/>
                <w:i w:val="0"/>
                <w:iCs w:val="0"/>
                <w:color w:val="auto"/>
                <w:sz w:val="24"/>
                <w:szCs w:val="20"/>
                <w:highlight w:val="none"/>
              </w:rPr>
              <w:t>在缺陷的扣</w:t>
            </w:r>
            <w:r>
              <w:rPr>
                <w:rFonts w:hint="eastAsia" w:ascii="宋体" w:hAnsi="宋体"/>
                <w:b/>
                <w:bCs w:val="0"/>
                <w:i w:val="0"/>
                <w:iCs w:val="0"/>
                <w:color w:val="auto"/>
                <w:sz w:val="24"/>
                <w:szCs w:val="20"/>
                <w:highlight w:val="none"/>
                <w:u w:val="single"/>
                <w:lang w:val="en-US" w:eastAsia="zh-CN"/>
              </w:rPr>
              <w:t>3.5</w:t>
            </w:r>
            <w:r>
              <w:rPr>
                <w:rFonts w:hint="eastAsia" w:ascii="宋体" w:hAnsi="宋体"/>
                <w:bCs/>
                <w:i w:val="0"/>
                <w:iCs w:val="0"/>
                <w:color w:val="auto"/>
                <w:sz w:val="24"/>
                <w:szCs w:val="20"/>
                <w:highlight w:val="none"/>
              </w:rPr>
              <w:t>分</w:t>
            </w:r>
            <w:r>
              <w:rPr>
                <w:rFonts w:hint="eastAsia" w:ascii="宋体" w:hAnsi="宋体"/>
                <w:bCs/>
                <w:i w:val="0"/>
                <w:iCs w:val="0"/>
                <w:color w:val="auto"/>
                <w:sz w:val="24"/>
                <w:szCs w:val="20"/>
                <w:highlight w:val="none"/>
                <w:lang w:val="en-US" w:eastAsia="zh-CN"/>
              </w:rPr>
              <w:t>，</w:t>
            </w:r>
            <w:r>
              <w:rPr>
                <w:rFonts w:hint="eastAsia" w:ascii="宋体" w:hAnsi="宋体"/>
                <w:bCs/>
                <w:i w:val="0"/>
                <w:iCs w:val="0"/>
                <w:color w:val="auto"/>
                <w:sz w:val="24"/>
                <w:szCs w:val="20"/>
                <w:highlight w:val="none"/>
              </w:rPr>
              <w:t>未提供方案的不得分。</w:t>
            </w:r>
          </w:p>
          <w:p w14:paraId="489C87E1">
            <w:pPr>
              <w:pStyle w:val="28"/>
              <w:keepNext/>
              <w:keepLines/>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rPr>
            </w:pPr>
            <w:r>
              <w:rPr>
                <w:rFonts w:hint="eastAsia" w:ascii="宋体" w:hAnsi="宋体"/>
                <w:bCs/>
                <w:i w:val="0"/>
                <w:iCs w:val="0"/>
                <w:color w:val="auto"/>
                <w:sz w:val="24"/>
                <w:szCs w:val="20"/>
                <w:highlight w:val="none"/>
              </w:rPr>
              <w:t>（缺陷是指：非专门针对本项目或不适用项目特性的情形、套用其他项目方案、内容前后矛盾、涉及的规范及标准错误、方案内容交叉混乱、缺乏重点、生搬硬造、套用错用、存在歧义、层次粗略、仅有标题或框架缺乏具体说明阐述的情形等任意一种情形。）</w:t>
            </w:r>
          </w:p>
        </w:tc>
        <w:tc>
          <w:tcPr>
            <w:tcW w:w="1190" w:type="dxa"/>
            <w:noWrap w:val="0"/>
            <w:vAlign w:val="center"/>
          </w:tcPr>
          <w:p w14:paraId="4FC0A9EF">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eastAsia="宋体" w:cs="宋体"/>
                <w:i w:val="0"/>
                <w:iCs w:val="0"/>
                <w:color w:val="auto"/>
                <w:sz w:val="24"/>
                <w:szCs w:val="24"/>
                <w:lang w:val="en-US" w:eastAsia="zh-CN"/>
              </w:rPr>
            </w:pPr>
            <w:r>
              <w:rPr>
                <w:rFonts w:hint="eastAsia" w:ascii="宋体" w:hAnsi="宋体" w:cs="宋体"/>
                <w:b/>
                <w:bCs/>
                <w:i w:val="0"/>
                <w:iCs w:val="0"/>
                <w:color w:val="auto"/>
                <w:sz w:val="24"/>
                <w:szCs w:val="24"/>
                <w:u w:val="none"/>
                <w:lang w:val="en-US" w:eastAsia="zh-CN"/>
              </w:rPr>
              <w:t>14</w:t>
            </w:r>
            <w:r>
              <w:rPr>
                <w:rFonts w:hint="eastAsia" w:ascii="宋体" w:hAnsi="宋体" w:eastAsia="宋体" w:cs="宋体"/>
                <w:b/>
                <w:bCs/>
                <w:i w:val="0"/>
                <w:iCs w:val="0"/>
                <w:color w:val="auto"/>
                <w:sz w:val="24"/>
                <w:szCs w:val="24"/>
                <w:u w:val="none"/>
                <w:lang w:val="en-US" w:eastAsia="zh-CN"/>
              </w:rPr>
              <w:t>分</w:t>
            </w:r>
          </w:p>
        </w:tc>
      </w:tr>
      <w:tr w14:paraId="5C804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38AD4BE3">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p>
        </w:tc>
        <w:tc>
          <w:tcPr>
            <w:tcW w:w="1515" w:type="dxa"/>
            <w:noWrap w:val="0"/>
            <w:vAlign w:val="center"/>
          </w:tcPr>
          <w:p w14:paraId="2039ED79">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i w:val="0"/>
                <w:iCs w:val="0"/>
                <w:color w:val="auto"/>
                <w:sz w:val="24"/>
                <w:szCs w:val="24"/>
                <w:lang w:val="en-US" w:eastAsia="zh-CN"/>
              </w:rPr>
            </w:pPr>
            <w:r>
              <w:rPr>
                <w:rFonts w:hint="eastAsia" w:ascii="宋体" w:hAnsi="宋体" w:cs="宋体"/>
                <w:b/>
                <w:bCs/>
                <w:i w:val="0"/>
                <w:iCs w:val="0"/>
                <w:color w:val="auto"/>
                <w:sz w:val="24"/>
                <w:szCs w:val="24"/>
                <w:lang w:val="en-US" w:eastAsia="zh-CN"/>
              </w:rPr>
              <w:t>安全升级服务方案评审</w:t>
            </w:r>
          </w:p>
        </w:tc>
        <w:tc>
          <w:tcPr>
            <w:tcW w:w="6904" w:type="dxa"/>
            <w:noWrap w:val="0"/>
            <w:vAlign w:val="center"/>
          </w:tcPr>
          <w:p w14:paraId="3657DCB0">
            <w:pPr>
              <w:pStyle w:val="28"/>
              <w:keepNext/>
              <w:keepLines/>
              <w:pageBreakBefore w:val="0"/>
              <w:widowControl w:val="0"/>
              <w:kinsoku/>
              <w:wordWrap w:val="0"/>
              <w:overflowPunct/>
              <w:topLinePunct/>
              <w:autoSpaceDE/>
              <w:autoSpaceDN/>
              <w:bidi w:val="0"/>
              <w:adjustRightInd/>
              <w:snapToGrid/>
              <w:spacing w:line="360" w:lineRule="auto"/>
              <w:ind w:left="0" w:leftChars="0" w:right="0" w:firstLine="0" w:firstLineChars="0"/>
              <w:textAlignment w:val="auto"/>
              <w:rPr>
                <w:rFonts w:hint="eastAsia" w:ascii="宋体" w:hAnsi="宋体" w:eastAsia="宋体" w:cs="宋体"/>
                <w:b/>
                <w:bCs/>
                <w:i w:val="0"/>
                <w:iCs w:val="0"/>
                <w:color w:val="auto"/>
                <w:sz w:val="24"/>
                <w:szCs w:val="24"/>
                <w:lang w:eastAsia="zh-CN"/>
              </w:rPr>
            </w:pPr>
            <w:r>
              <w:rPr>
                <w:rFonts w:hint="eastAsia" w:cs="宋体"/>
                <w:b/>
                <w:bCs/>
                <w:i w:val="0"/>
                <w:iCs w:val="0"/>
                <w:color w:val="auto"/>
                <w:sz w:val="24"/>
                <w:szCs w:val="24"/>
                <w:lang w:eastAsia="zh-CN"/>
              </w:rPr>
              <w:t>供应商</w:t>
            </w:r>
            <w:r>
              <w:rPr>
                <w:rFonts w:hint="eastAsia" w:ascii="宋体" w:hAnsi="宋体" w:eastAsia="宋体" w:cs="宋体"/>
                <w:i w:val="0"/>
                <w:iCs w:val="0"/>
                <w:color w:val="auto"/>
                <w:kern w:val="2"/>
                <w:sz w:val="24"/>
                <w:szCs w:val="24"/>
                <w:lang w:val="en-US" w:eastAsia="zh-CN" w:bidi="ar-SA"/>
              </w:rPr>
              <w:t>根据招标文件“第四章 采购需求及要求”</w:t>
            </w:r>
            <w:r>
              <w:rPr>
                <w:rFonts w:hint="eastAsia" w:ascii="宋体" w:hAnsi="宋体" w:eastAsia="宋体" w:cs="宋体"/>
                <w:b/>
                <w:bCs/>
                <w:i w:val="0"/>
                <w:iCs w:val="0"/>
                <w:color w:val="auto"/>
                <w:sz w:val="24"/>
                <w:szCs w:val="24"/>
                <w:lang w:val="en-US" w:eastAsia="zh-CN"/>
              </w:rPr>
              <w:t>编制安全升级服务方案</w:t>
            </w:r>
            <w:r>
              <w:rPr>
                <w:rFonts w:hint="eastAsia" w:ascii="宋体" w:hAnsi="宋体" w:eastAsia="宋体" w:cs="宋体"/>
                <w:b/>
                <w:bCs/>
                <w:i w:val="0"/>
                <w:iCs w:val="0"/>
                <w:color w:val="auto"/>
                <w:sz w:val="24"/>
                <w:szCs w:val="24"/>
                <w:lang w:eastAsia="zh-CN"/>
              </w:rPr>
              <w:t>：</w:t>
            </w:r>
          </w:p>
          <w:p w14:paraId="2961E2C7">
            <w:pPr>
              <w:keepNext/>
              <w:keepLines/>
              <w:pageBreakBefore w:val="0"/>
              <w:widowControl w:val="0"/>
              <w:kinsoku/>
              <w:wordWrap w:val="0"/>
              <w:overflowPunct/>
              <w:autoSpaceDE/>
              <w:autoSpaceDN/>
              <w:bidi w:val="0"/>
              <w:adjustRightInd/>
              <w:snapToGrid/>
              <w:spacing w:line="360" w:lineRule="auto"/>
              <w:ind w:firstLine="480" w:firstLineChars="200"/>
              <w:jc w:val="left"/>
              <w:rPr>
                <w:rFonts w:hint="eastAsia" w:ascii="宋体" w:hAnsi="宋体" w:eastAsia="宋体" w:cs="Times New Roman"/>
                <w:b w:val="0"/>
                <w:bCs/>
                <w:i w:val="0"/>
                <w:iCs w:val="0"/>
                <w:color w:val="auto"/>
                <w:sz w:val="24"/>
                <w:szCs w:val="20"/>
                <w:highlight w:val="none"/>
              </w:rPr>
            </w:pPr>
            <w:r>
              <w:rPr>
                <w:rFonts w:hint="eastAsia" w:ascii="宋体" w:hAnsi="宋体" w:eastAsia="宋体" w:cs="Times New Roman"/>
                <w:b w:val="0"/>
                <w:bCs/>
                <w:i w:val="0"/>
                <w:iCs w:val="0"/>
                <w:color w:val="auto"/>
                <w:sz w:val="24"/>
                <w:szCs w:val="20"/>
                <w:highlight w:val="none"/>
              </w:rPr>
              <w:t>方案包含：①修补方案；②升级方案；</w:t>
            </w:r>
          </w:p>
          <w:p w14:paraId="3F7C2BD9">
            <w:pPr>
              <w:keepNext/>
              <w:keepLines/>
              <w:pageBreakBefore w:val="0"/>
              <w:widowControl w:val="0"/>
              <w:kinsoku/>
              <w:wordWrap w:val="0"/>
              <w:overflowPunct/>
              <w:autoSpaceDE/>
              <w:autoSpaceDN/>
              <w:bidi w:val="0"/>
              <w:adjustRightInd/>
              <w:snapToGrid/>
              <w:spacing w:line="360" w:lineRule="auto"/>
              <w:jc w:val="left"/>
              <w:rPr>
                <w:rFonts w:hint="eastAsia" w:ascii="宋体" w:hAnsi="宋体" w:eastAsia="宋体" w:cs="Times New Roman"/>
                <w:b w:val="0"/>
                <w:bCs/>
                <w:i w:val="0"/>
                <w:iCs w:val="0"/>
                <w:color w:val="auto"/>
                <w:sz w:val="24"/>
                <w:szCs w:val="20"/>
                <w:highlight w:val="none"/>
              </w:rPr>
            </w:pPr>
            <w:r>
              <w:rPr>
                <w:rFonts w:hint="eastAsia" w:ascii="宋体" w:hAnsi="宋体" w:eastAsia="宋体" w:cs="Times New Roman"/>
                <w:b w:val="0"/>
                <w:bCs/>
                <w:i w:val="0"/>
                <w:iCs w:val="0"/>
                <w:color w:val="auto"/>
                <w:sz w:val="24"/>
                <w:szCs w:val="20"/>
                <w:highlight w:val="none"/>
              </w:rPr>
              <w:t>以上</w:t>
            </w:r>
            <w:r>
              <w:rPr>
                <w:rFonts w:hint="eastAsia" w:ascii="宋体" w:hAnsi="宋体" w:cs="Times New Roman"/>
                <w:b w:val="0"/>
                <w:bCs/>
                <w:i w:val="0"/>
                <w:iCs w:val="0"/>
                <w:color w:val="auto"/>
                <w:sz w:val="24"/>
                <w:szCs w:val="20"/>
                <w:highlight w:val="none"/>
                <w:lang w:val="en-US" w:eastAsia="zh-CN"/>
              </w:rPr>
              <w:t>2</w:t>
            </w:r>
            <w:r>
              <w:rPr>
                <w:rFonts w:hint="eastAsia" w:ascii="宋体" w:hAnsi="宋体" w:eastAsia="宋体" w:cs="Times New Roman"/>
                <w:b w:val="0"/>
                <w:bCs/>
                <w:i w:val="0"/>
                <w:iCs w:val="0"/>
                <w:color w:val="auto"/>
                <w:sz w:val="24"/>
                <w:szCs w:val="20"/>
                <w:highlight w:val="none"/>
              </w:rPr>
              <w:t>项内容每项</w:t>
            </w:r>
            <w:r>
              <w:rPr>
                <w:rFonts w:hint="eastAsia" w:ascii="宋体" w:hAnsi="宋体" w:cs="Times New Roman"/>
                <w:b/>
                <w:bCs w:val="0"/>
                <w:i w:val="0"/>
                <w:iCs w:val="0"/>
                <w:color w:val="auto"/>
                <w:sz w:val="24"/>
                <w:szCs w:val="20"/>
                <w:highlight w:val="none"/>
                <w:u w:val="single"/>
                <w:lang w:val="en-US" w:eastAsia="zh-CN"/>
              </w:rPr>
              <w:t>3</w:t>
            </w:r>
            <w:r>
              <w:rPr>
                <w:rFonts w:hint="eastAsia" w:ascii="宋体" w:hAnsi="宋体" w:eastAsia="宋体" w:cs="Times New Roman"/>
                <w:b w:val="0"/>
                <w:bCs/>
                <w:i w:val="0"/>
                <w:iCs w:val="0"/>
                <w:color w:val="auto"/>
                <w:sz w:val="24"/>
                <w:szCs w:val="20"/>
                <w:highlight w:val="none"/>
              </w:rPr>
              <w:t>分，无漏项、无缺陷得</w:t>
            </w:r>
            <w:r>
              <w:rPr>
                <w:rFonts w:hint="eastAsia" w:ascii="宋体" w:hAnsi="宋体" w:cs="Times New Roman"/>
                <w:b/>
                <w:bCs w:val="0"/>
                <w:i w:val="0"/>
                <w:iCs w:val="0"/>
                <w:color w:val="auto"/>
                <w:sz w:val="24"/>
                <w:szCs w:val="20"/>
                <w:highlight w:val="none"/>
                <w:u w:val="single"/>
                <w:lang w:val="en-US" w:eastAsia="zh-CN"/>
              </w:rPr>
              <w:t>6</w:t>
            </w:r>
            <w:r>
              <w:rPr>
                <w:rFonts w:hint="eastAsia" w:ascii="宋体" w:hAnsi="宋体" w:eastAsia="宋体" w:cs="Times New Roman"/>
                <w:b w:val="0"/>
                <w:bCs/>
                <w:i w:val="0"/>
                <w:iCs w:val="0"/>
                <w:color w:val="auto"/>
                <w:sz w:val="24"/>
                <w:szCs w:val="20"/>
                <w:highlight w:val="none"/>
              </w:rPr>
              <w:t>分，每缺少一项扣</w:t>
            </w:r>
            <w:r>
              <w:rPr>
                <w:rFonts w:hint="eastAsia" w:ascii="宋体" w:hAnsi="宋体" w:cs="Times New Roman"/>
                <w:b/>
                <w:bCs w:val="0"/>
                <w:i w:val="0"/>
                <w:iCs w:val="0"/>
                <w:color w:val="auto"/>
                <w:sz w:val="24"/>
                <w:szCs w:val="20"/>
                <w:highlight w:val="none"/>
                <w:u w:val="single"/>
                <w:lang w:val="en-US" w:eastAsia="zh-CN"/>
              </w:rPr>
              <w:t>3</w:t>
            </w:r>
            <w:r>
              <w:rPr>
                <w:rFonts w:hint="eastAsia" w:ascii="宋体" w:hAnsi="宋体" w:eastAsia="宋体" w:cs="Times New Roman"/>
                <w:b w:val="0"/>
                <w:bCs/>
                <w:i w:val="0"/>
                <w:iCs w:val="0"/>
                <w:color w:val="auto"/>
                <w:sz w:val="24"/>
                <w:szCs w:val="20"/>
                <w:highlight w:val="none"/>
              </w:rPr>
              <w:t>分；每有一项内容存在缺陷的扣</w:t>
            </w:r>
            <w:r>
              <w:rPr>
                <w:rFonts w:hint="eastAsia" w:ascii="宋体" w:hAnsi="宋体" w:cs="Times New Roman"/>
                <w:b/>
                <w:bCs w:val="0"/>
                <w:i w:val="0"/>
                <w:iCs w:val="0"/>
                <w:color w:val="auto"/>
                <w:sz w:val="24"/>
                <w:szCs w:val="20"/>
                <w:highlight w:val="none"/>
                <w:u w:val="single"/>
                <w:lang w:val="en-US" w:eastAsia="zh-CN"/>
              </w:rPr>
              <w:t>2</w:t>
            </w:r>
            <w:r>
              <w:rPr>
                <w:rFonts w:hint="eastAsia" w:ascii="宋体" w:hAnsi="宋体" w:eastAsia="宋体" w:cs="Times New Roman"/>
                <w:b w:val="0"/>
                <w:bCs/>
                <w:i w:val="0"/>
                <w:iCs w:val="0"/>
                <w:color w:val="auto"/>
                <w:sz w:val="24"/>
                <w:szCs w:val="20"/>
                <w:highlight w:val="none"/>
              </w:rPr>
              <w:t>分</w:t>
            </w:r>
            <w:r>
              <w:rPr>
                <w:rFonts w:hint="eastAsia" w:ascii="宋体" w:hAnsi="宋体" w:eastAsia="宋体" w:cs="Times New Roman"/>
                <w:b w:val="0"/>
                <w:bCs/>
                <w:i w:val="0"/>
                <w:iCs w:val="0"/>
                <w:color w:val="auto"/>
                <w:sz w:val="24"/>
                <w:szCs w:val="20"/>
                <w:highlight w:val="none"/>
                <w:lang w:val="en-US" w:eastAsia="zh-CN"/>
              </w:rPr>
              <w:t>，</w:t>
            </w:r>
            <w:r>
              <w:rPr>
                <w:rFonts w:hint="eastAsia" w:ascii="宋体" w:hAnsi="宋体" w:eastAsia="宋体" w:cs="Times New Roman"/>
                <w:b w:val="0"/>
                <w:bCs/>
                <w:i w:val="0"/>
                <w:iCs w:val="0"/>
                <w:color w:val="auto"/>
                <w:sz w:val="24"/>
                <w:szCs w:val="20"/>
                <w:highlight w:val="none"/>
              </w:rPr>
              <w:t>未提供方案的不得分。</w:t>
            </w:r>
          </w:p>
          <w:p w14:paraId="5C310357">
            <w:pPr>
              <w:pStyle w:val="28"/>
              <w:keepNext/>
              <w:keepLines/>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lang w:eastAsia="zh-CN"/>
              </w:rPr>
            </w:pPr>
            <w:r>
              <w:rPr>
                <w:rFonts w:hint="eastAsia" w:ascii="宋体" w:hAnsi="宋体" w:eastAsia="宋体" w:cs="Times New Roman"/>
                <w:b w:val="0"/>
                <w:bCs/>
                <w:i w:val="0"/>
                <w:iCs w:val="0"/>
                <w:color w:val="auto"/>
                <w:sz w:val="24"/>
                <w:szCs w:val="20"/>
                <w:highlight w:val="none"/>
              </w:rPr>
              <w:t>（缺陷是指：非专门针对本项目或不适用项目特性的情形、套用其他项目方案、内容前后矛盾、方案内容交叉混乱、缺乏重点、生搬硬造、套用错用、存在歧义、层次粗略、仅有标题或框架缺乏具体说明阐述的情形等任意一种情形。）</w:t>
            </w:r>
            <w:bookmarkStart w:id="1870" w:name="_GoBack"/>
            <w:bookmarkEnd w:id="1870"/>
          </w:p>
        </w:tc>
        <w:tc>
          <w:tcPr>
            <w:tcW w:w="1190" w:type="dxa"/>
            <w:noWrap w:val="0"/>
            <w:vAlign w:val="center"/>
          </w:tcPr>
          <w:p w14:paraId="2B88E033">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eastAsia="宋体" w:cs="宋体"/>
                <w:i w:val="0"/>
                <w:iCs w:val="0"/>
                <w:color w:val="auto"/>
                <w:sz w:val="24"/>
                <w:szCs w:val="24"/>
                <w:lang w:val="en-US" w:eastAsia="zh-CN"/>
              </w:rPr>
            </w:pPr>
            <w:r>
              <w:rPr>
                <w:rFonts w:hint="eastAsia" w:ascii="宋体" w:hAnsi="宋体" w:cs="宋体"/>
                <w:b/>
                <w:bCs/>
                <w:i w:val="0"/>
                <w:iCs w:val="0"/>
                <w:color w:val="auto"/>
                <w:sz w:val="24"/>
                <w:szCs w:val="24"/>
                <w:lang w:val="en-US" w:eastAsia="zh-CN"/>
              </w:rPr>
              <w:t>6</w:t>
            </w:r>
            <w:r>
              <w:rPr>
                <w:rFonts w:hint="eastAsia" w:ascii="宋体" w:hAnsi="宋体" w:eastAsia="宋体" w:cs="宋体"/>
                <w:b/>
                <w:bCs/>
                <w:i w:val="0"/>
                <w:iCs w:val="0"/>
                <w:color w:val="auto"/>
                <w:sz w:val="24"/>
                <w:szCs w:val="24"/>
                <w:lang w:val="en-US" w:eastAsia="zh-CN"/>
              </w:rPr>
              <w:t>分</w:t>
            </w:r>
          </w:p>
        </w:tc>
      </w:tr>
      <w:tr w14:paraId="55500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324AD5D8">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p>
        </w:tc>
        <w:tc>
          <w:tcPr>
            <w:tcW w:w="1515" w:type="dxa"/>
            <w:noWrap w:val="0"/>
            <w:vAlign w:val="center"/>
          </w:tcPr>
          <w:p w14:paraId="5A82D588">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i w:val="0"/>
                <w:iCs w:val="0"/>
                <w:color w:val="auto"/>
                <w:sz w:val="24"/>
                <w:szCs w:val="24"/>
                <w:lang w:val="en-US" w:eastAsia="zh-CN"/>
              </w:rPr>
            </w:pPr>
            <w:r>
              <w:rPr>
                <w:rFonts w:hint="eastAsia" w:ascii="宋体" w:hAnsi="宋体" w:cs="宋体"/>
                <w:b/>
                <w:bCs/>
                <w:i w:val="0"/>
                <w:iCs w:val="0"/>
                <w:color w:val="auto"/>
                <w:sz w:val="24"/>
                <w:szCs w:val="24"/>
                <w:lang w:val="en-US" w:eastAsia="zh-CN"/>
              </w:rPr>
              <w:t>备件更换方案评审</w:t>
            </w:r>
          </w:p>
        </w:tc>
        <w:tc>
          <w:tcPr>
            <w:tcW w:w="6904" w:type="dxa"/>
            <w:noWrap w:val="0"/>
            <w:vAlign w:val="center"/>
          </w:tcPr>
          <w:p w14:paraId="28581FDB">
            <w:pPr>
              <w:pStyle w:val="28"/>
              <w:keepNext/>
              <w:keepLines/>
              <w:pageBreakBefore w:val="0"/>
              <w:widowControl w:val="0"/>
              <w:kinsoku/>
              <w:wordWrap w:val="0"/>
              <w:overflowPunct/>
              <w:topLinePunct/>
              <w:autoSpaceDE/>
              <w:autoSpaceDN/>
              <w:bidi w:val="0"/>
              <w:adjustRightInd/>
              <w:snapToGrid/>
              <w:spacing w:line="360" w:lineRule="auto"/>
              <w:ind w:left="0" w:leftChars="0" w:right="0" w:firstLine="0" w:firstLineChars="0"/>
              <w:jc w:val="left"/>
              <w:textAlignment w:val="auto"/>
              <w:rPr>
                <w:rFonts w:hint="eastAsia" w:ascii="宋体" w:hAnsi="宋体" w:eastAsia="宋体" w:cs="宋体"/>
                <w:i w:val="0"/>
                <w:iCs w:val="0"/>
                <w:color w:val="auto"/>
                <w:sz w:val="24"/>
                <w:szCs w:val="24"/>
                <w:lang w:eastAsia="zh-CN"/>
              </w:rPr>
            </w:pPr>
            <w:r>
              <w:rPr>
                <w:rFonts w:hint="eastAsia" w:cs="宋体"/>
                <w:b/>
                <w:bCs/>
                <w:i w:val="0"/>
                <w:iCs w:val="0"/>
                <w:color w:val="auto"/>
                <w:sz w:val="24"/>
                <w:szCs w:val="24"/>
                <w:lang w:eastAsia="zh-CN"/>
              </w:rPr>
              <w:t>供应商</w:t>
            </w:r>
            <w:r>
              <w:rPr>
                <w:rFonts w:hint="eastAsia" w:ascii="宋体" w:hAnsi="宋体" w:eastAsia="宋体" w:cs="宋体"/>
                <w:i w:val="0"/>
                <w:iCs w:val="0"/>
                <w:color w:val="auto"/>
                <w:kern w:val="2"/>
                <w:sz w:val="24"/>
                <w:szCs w:val="24"/>
                <w:lang w:val="en-US" w:eastAsia="zh-CN" w:bidi="ar-SA"/>
              </w:rPr>
              <w:t>根据招标文件“第四章 采购需求及要求”</w:t>
            </w:r>
            <w:r>
              <w:rPr>
                <w:rFonts w:hint="eastAsia" w:ascii="宋体" w:hAnsi="宋体" w:eastAsia="宋体" w:cs="宋体"/>
                <w:b/>
                <w:bCs/>
                <w:i w:val="0"/>
                <w:iCs w:val="0"/>
                <w:color w:val="auto"/>
                <w:sz w:val="24"/>
                <w:szCs w:val="24"/>
                <w:lang w:val="en-US" w:eastAsia="zh-CN"/>
              </w:rPr>
              <w:t>编制备件更换方案</w:t>
            </w:r>
            <w:r>
              <w:rPr>
                <w:rFonts w:hint="eastAsia" w:ascii="宋体" w:hAnsi="宋体" w:eastAsia="宋体" w:cs="宋体"/>
                <w:b/>
                <w:bCs/>
                <w:i w:val="0"/>
                <w:iCs w:val="0"/>
                <w:color w:val="auto"/>
                <w:sz w:val="24"/>
                <w:szCs w:val="24"/>
                <w:lang w:eastAsia="zh-CN"/>
              </w:rPr>
              <w:t>：</w:t>
            </w:r>
          </w:p>
          <w:p w14:paraId="5275146A">
            <w:pPr>
              <w:keepNext/>
              <w:keepLines/>
              <w:pageBreakBefore w:val="0"/>
              <w:widowControl w:val="0"/>
              <w:kinsoku/>
              <w:wordWrap w:val="0"/>
              <w:overflowPunct/>
              <w:autoSpaceDE/>
              <w:autoSpaceDN/>
              <w:bidi w:val="0"/>
              <w:adjustRightInd/>
              <w:snapToGrid/>
              <w:spacing w:line="360" w:lineRule="auto"/>
              <w:ind w:firstLine="480" w:firstLineChars="200"/>
              <w:rPr>
                <w:rFonts w:hint="eastAsia" w:ascii="宋体" w:hAnsi="宋体" w:eastAsia="宋体" w:cs="Times New Roman"/>
                <w:b w:val="0"/>
                <w:bCs/>
                <w:i w:val="0"/>
                <w:iCs w:val="0"/>
                <w:color w:val="auto"/>
                <w:sz w:val="24"/>
                <w:szCs w:val="20"/>
                <w:highlight w:val="none"/>
              </w:rPr>
            </w:pPr>
            <w:r>
              <w:rPr>
                <w:rFonts w:hint="eastAsia" w:ascii="宋体" w:hAnsi="宋体" w:eastAsia="宋体" w:cs="Times New Roman"/>
                <w:b w:val="0"/>
                <w:bCs/>
                <w:i w:val="0"/>
                <w:iCs w:val="0"/>
                <w:color w:val="auto"/>
                <w:sz w:val="24"/>
                <w:szCs w:val="20"/>
                <w:highlight w:val="none"/>
              </w:rPr>
              <w:t>方案包括：①备件供应保障；②备件采购渠道；③备件更换时效。</w:t>
            </w:r>
          </w:p>
          <w:p w14:paraId="2A327E2A">
            <w:pPr>
              <w:keepNext/>
              <w:keepLines/>
              <w:pageBreakBefore w:val="0"/>
              <w:widowControl w:val="0"/>
              <w:kinsoku/>
              <w:wordWrap w:val="0"/>
              <w:overflowPunct/>
              <w:autoSpaceDE/>
              <w:autoSpaceDN/>
              <w:bidi w:val="0"/>
              <w:adjustRightInd/>
              <w:snapToGrid/>
              <w:spacing w:line="360" w:lineRule="auto"/>
              <w:rPr>
                <w:rFonts w:hint="eastAsia" w:ascii="宋体" w:hAnsi="宋体" w:eastAsia="宋体" w:cs="Times New Roman"/>
                <w:b w:val="0"/>
                <w:bCs/>
                <w:i w:val="0"/>
                <w:iCs w:val="0"/>
                <w:color w:val="auto"/>
                <w:sz w:val="24"/>
                <w:szCs w:val="20"/>
                <w:highlight w:val="none"/>
              </w:rPr>
            </w:pPr>
            <w:r>
              <w:rPr>
                <w:rFonts w:hint="eastAsia" w:ascii="宋体" w:hAnsi="宋体" w:eastAsia="宋体" w:cs="Times New Roman"/>
                <w:b w:val="0"/>
                <w:bCs/>
                <w:i w:val="0"/>
                <w:iCs w:val="0"/>
                <w:color w:val="auto"/>
                <w:sz w:val="24"/>
                <w:szCs w:val="20"/>
                <w:highlight w:val="none"/>
              </w:rPr>
              <w:t>以上</w:t>
            </w:r>
            <w:r>
              <w:rPr>
                <w:rFonts w:hint="eastAsia" w:ascii="宋体" w:hAnsi="宋体" w:cs="Times New Roman"/>
                <w:b w:val="0"/>
                <w:bCs/>
                <w:i w:val="0"/>
                <w:iCs w:val="0"/>
                <w:color w:val="auto"/>
                <w:sz w:val="24"/>
                <w:szCs w:val="20"/>
                <w:highlight w:val="none"/>
                <w:lang w:val="en-US" w:eastAsia="zh-CN"/>
              </w:rPr>
              <w:t>3</w:t>
            </w:r>
            <w:r>
              <w:rPr>
                <w:rFonts w:hint="eastAsia" w:ascii="宋体" w:hAnsi="宋体" w:eastAsia="宋体" w:cs="Times New Roman"/>
                <w:b w:val="0"/>
                <w:bCs/>
                <w:i w:val="0"/>
                <w:iCs w:val="0"/>
                <w:color w:val="auto"/>
                <w:sz w:val="24"/>
                <w:szCs w:val="20"/>
                <w:highlight w:val="none"/>
              </w:rPr>
              <w:t>项内容每项</w:t>
            </w:r>
            <w:r>
              <w:rPr>
                <w:rFonts w:hint="eastAsia" w:ascii="宋体" w:hAnsi="宋体" w:cs="Times New Roman"/>
                <w:b/>
                <w:bCs w:val="0"/>
                <w:i w:val="0"/>
                <w:iCs w:val="0"/>
                <w:color w:val="auto"/>
                <w:sz w:val="24"/>
                <w:szCs w:val="20"/>
                <w:highlight w:val="none"/>
                <w:u w:val="single"/>
                <w:lang w:val="en-US" w:eastAsia="zh-CN"/>
              </w:rPr>
              <w:t>2</w:t>
            </w:r>
            <w:r>
              <w:rPr>
                <w:rFonts w:hint="eastAsia" w:ascii="宋体" w:hAnsi="宋体" w:eastAsia="宋体" w:cs="Times New Roman"/>
                <w:b w:val="0"/>
                <w:bCs/>
                <w:i w:val="0"/>
                <w:iCs w:val="0"/>
                <w:color w:val="auto"/>
                <w:sz w:val="24"/>
                <w:szCs w:val="20"/>
                <w:highlight w:val="none"/>
              </w:rPr>
              <w:t>分，无漏项、无缺陷得</w:t>
            </w:r>
            <w:r>
              <w:rPr>
                <w:rFonts w:hint="eastAsia" w:ascii="宋体" w:hAnsi="宋体" w:cs="Times New Roman"/>
                <w:b/>
                <w:bCs w:val="0"/>
                <w:i w:val="0"/>
                <w:iCs w:val="0"/>
                <w:color w:val="auto"/>
                <w:sz w:val="24"/>
                <w:szCs w:val="20"/>
                <w:highlight w:val="none"/>
                <w:u w:val="single"/>
                <w:lang w:val="en-US" w:eastAsia="zh-CN"/>
              </w:rPr>
              <w:t>6</w:t>
            </w:r>
            <w:r>
              <w:rPr>
                <w:rFonts w:hint="eastAsia" w:ascii="宋体" w:hAnsi="宋体" w:eastAsia="宋体" w:cs="Times New Roman"/>
                <w:b w:val="0"/>
                <w:bCs/>
                <w:i w:val="0"/>
                <w:iCs w:val="0"/>
                <w:color w:val="auto"/>
                <w:sz w:val="24"/>
                <w:szCs w:val="20"/>
                <w:highlight w:val="none"/>
              </w:rPr>
              <w:t>分，每缺少一项扣</w:t>
            </w:r>
            <w:r>
              <w:rPr>
                <w:rFonts w:hint="eastAsia" w:ascii="宋体" w:hAnsi="宋体" w:cs="Times New Roman"/>
                <w:b/>
                <w:bCs w:val="0"/>
                <w:i w:val="0"/>
                <w:iCs w:val="0"/>
                <w:color w:val="auto"/>
                <w:sz w:val="24"/>
                <w:szCs w:val="20"/>
                <w:highlight w:val="none"/>
                <w:u w:val="single"/>
                <w:lang w:val="en-US" w:eastAsia="zh-CN"/>
              </w:rPr>
              <w:t>2</w:t>
            </w:r>
            <w:r>
              <w:rPr>
                <w:rFonts w:hint="eastAsia" w:ascii="宋体" w:hAnsi="宋体" w:eastAsia="宋体" w:cs="Times New Roman"/>
                <w:b w:val="0"/>
                <w:bCs/>
                <w:i w:val="0"/>
                <w:iCs w:val="0"/>
                <w:color w:val="auto"/>
                <w:sz w:val="24"/>
                <w:szCs w:val="20"/>
                <w:highlight w:val="none"/>
              </w:rPr>
              <w:t>分；每有一项内容存在缺陷的扣</w:t>
            </w:r>
            <w:r>
              <w:rPr>
                <w:rFonts w:hint="eastAsia" w:ascii="宋体" w:hAnsi="宋体" w:cs="Times New Roman"/>
                <w:b/>
                <w:bCs w:val="0"/>
                <w:i w:val="0"/>
                <w:iCs w:val="0"/>
                <w:color w:val="auto"/>
                <w:sz w:val="24"/>
                <w:szCs w:val="20"/>
                <w:highlight w:val="none"/>
                <w:u w:val="single"/>
                <w:lang w:val="en-US" w:eastAsia="zh-CN"/>
              </w:rPr>
              <w:t>1</w:t>
            </w:r>
            <w:r>
              <w:rPr>
                <w:rFonts w:hint="eastAsia" w:ascii="宋体" w:hAnsi="宋体" w:eastAsia="宋体" w:cs="Times New Roman"/>
                <w:b w:val="0"/>
                <w:bCs/>
                <w:i w:val="0"/>
                <w:iCs w:val="0"/>
                <w:color w:val="auto"/>
                <w:sz w:val="24"/>
                <w:szCs w:val="20"/>
                <w:highlight w:val="none"/>
              </w:rPr>
              <w:t>分</w:t>
            </w:r>
            <w:r>
              <w:rPr>
                <w:rFonts w:hint="eastAsia" w:ascii="宋体" w:hAnsi="宋体" w:eastAsia="宋体" w:cs="Times New Roman"/>
                <w:b w:val="0"/>
                <w:bCs/>
                <w:i w:val="0"/>
                <w:iCs w:val="0"/>
                <w:color w:val="auto"/>
                <w:sz w:val="24"/>
                <w:szCs w:val="20"/>
                <w:highlight w:val="none"/>
                <w:lang w:val="en-US" w:eastAsia="zh-CN"/>
              </w:rPr>
              <w:t>，</w:t>
            </w:r>
            <w:r>
              <w:rPr>
                <w:rFonts w:hint="eastAsia" w:ascii="宋体" w:hAnsi="宋体" w:eastAsia="宋体" w:cs="Times New Roman"/>
                <w:b w:val="0"/>
                <w:bCs/>
                <w:i w:val="0"/>
                <w:iCs w:val="0"/>
                <w:color w:val="auto"/>
                <w:sz w:val="24"/>
                <w:szCs w:val="20"/>
                <w:highlight w:val="none"/>
              </w:rPr>
              <w:t>未提供方案的不得分。</w:t>
            </w:r>
          </w:p>
          <w:p w14:paraId="4C2AB830">
            <w:pPr>
              <w:keepNext/>
              <w:keepLines/>
              <w:pageBreakBefore w:val="0"/>
              <w:widowControl w:val="0"/>
              <w:kinsoku/>
              <w:wordWrap w:val="0"/>
              <w:overflowPunct/>
              <w:topLinePunct/>
              <w:autoSpaceDE/>
              <w:autoSpaceDN/>
              <w:bidi w:val="0"/>
              <w:adjustRightInd/>
              <w:snapToGrid/>
              <w:spacing w:line="360" w:lineRule="auto"/>
              <w:ind w:firstLine="480" w:firstLineChars="200"/>
              <w:jc w:val="left"/>
              <w:rPr>
                <w:rFonts w:hint="eastAsia" w:ascii="宋体" w:hAnsi="宋体" w:eastAsia="宋体" w:cs="宋体"/>
                <w:i w:val="0"/>
                <w:iCs w:val="0"/>
                <w:color w:val="auto"/>
                <w:sz w:val="24"/>
                <w:szCs w:val="24"/>
              </w:rPr>
            </w:pPr>
            <w:r>
              <w:rPr>
                <w:rFonts w:hint="eastAsia" w:ascii="宋体" w:hAnsi="宋体" w:eastAsia="宋体" w:cs="Times New Roman"/>
                <w:b w:val="0"/>
                <w:bCs/>
                <w:i w:val="0"/>
                <w:iCs w:val="0"/>
                <w:color w:val="auto"/>
                <w:sz w:val="24"/>
                <w:szCs w:val="20"/>
                <w:highlight w:val="none"/>
              </w:rPr>
              <w:t>（缺陷是指：非专门针对本项目或不适用项目特性的情形、套用其他项目方案、内容前后矛盾、方案内容交叉混乱、缺乏重点、生搬硬造、套用错用、存在歧义、层次粗略、仅有标题或框架缺乏具体说明阐述的情形等任意一种情形。）</w:t>
            </w:r>
          </w:p>
        </w:tc>
        <w:tc>
          <w:tcPr>
            <w:tcW w:w="1190" w:type="dxa"/>
            <w:noWrap w:val="0"/>
            <w:vAlign w:val="center"/>
          </w:tcPr>
          <w:p w14:paraId="118EB7EA">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eastAsia="宋体" w:cs="宋体"/>
                <w:i w:val="0"/>
                <w:iCs w:val="0"/>
                <w:color w:val="auto"/>
                <w:sz w:val="24"/>
                <w:szCs w:val="24"/>
                <w:lang w:val="en-US" w:eastAsia="zh-CN"/>
              </w:rPr>
            </w:pPr>
            <w:r>
              <w:rPr>
                <w:rFonts w:hint="eastAsia" w:ascii="宋体" w:hAnsi="宋体" w:cs="宋体"/>
                <w:b/>
                <w:bCs/>
                <w:i w:val="0"/>
                <w:iCs w:val="0"/>
                <w:color w:val="auto"/>
                <w:sz w:val="24"/>
                <w:szCs w:val="24"/>
                <w:lang w:val="en-US" w:eastAsia="zh-CN"/>
              </w:rPr>
              <w:t>6</w:t>
            </w:r>
            <w:r>
              <w:rPr>
                <w:rFonts w:hint="eastAsia" w:ascii="宋体" w:hAnsi="宋体" w:eastAsia="宋体" w:cs="宋体"/>
                <w:b/>
                <w:bCs/>
                <w:i w:val="0"/>
                <w:iCs w:val="0"/>
                <w:color w:val="auto"/>
                <w:sz w:val="24"/>
                <w:szCs w:val="24"/>
                <w:lang w:val="en-US" w:eastAsia="zh-CN"/>
              </w:rPr>
              <w:t>分</w:t>
            </w:r>
          </w:p>
        </w:tc>
      </w:tr>
      <w:tr w14:paraId="74C4C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4E94EDD9">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4</w:t>
            </w:r>
          </w:p>
        </w:tc>
        <w:tc>
          <w:tcPr>
            <w:tcW w:w="1515" w:type="dxa"/>
            <w:noWrap w:val="0"/>
            <w:vAlign w:val="center"/>
          </w:tcPr>
          <w:p w14:paraId="0562FF90">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cs="宋体"/>
                <w:b/>
                <w:bCs/>
                <w:i w:val="0"/>
                <w:iCs w:val="0"/>
                <w:color w:val="auto"/>
                <w:sz w:val="24"/>
                <w:szCs w:val="24"/>
                <w:lang w:val="en-US" w:eastAsia="zh-CN"/>
              </w:rPr>
            </w:pPr>
            <w:r>
              <w:rPr>
                <w:rFonts w:hint="eastAsia" w:ascii="宋体" w:hAnsi="宋体" w:cs="宋体"/>
                <w:b/>
                <w:bCs/>
                <w:i w:val="0"/>
                <w:iCs w:val="0"/>
                <w:color w:val="auto"/>
                <w:sz w:val="24"/>
                <w:szCs w:val="24"/>
                <w:lang w:val="en-US" w:eastAsia="zh-CN"/>
              </w:rPr>
              <w:t>服务质量承诺及保证措施方案评审</w:t>
            </w:r>
          </w:p>
        </w:tc>
        <w:tc>
          <w:tcPr>
            <w:tcW w:w="6904" w:type="dxa"/>
            <w:noWrap w:val="0"/>
            <w:vAlign w:val="center"/>
          </w:tcPr>
          <w:p w14:paraId="37F1E453">
            <w:pPr>
              <w:pStyle w:val="28"/>
              <w:keepNext/>
              <w:keepLines/>
              <w:pageBreakBefore w:val="0"/>
              <w:widowControl w:val="0"/>
              <w:kinsoku/>
              <w:wordWrap w:val="0"/>
              <w:overflowPunct/>
              <w:topLinePunct/>
              <w:autoSpaceDE/>
              <w:autoSpaceDN/>
              <w:bidi w:val="0"/>
              <w:adjustRightInd/>
              <w:snapToGrid/>
              <w:spacing w:line="360" w:lineRule="auto"/>
              <w:ind w:left="0" w:leftChars="0" w:right="0" w:firstLine="0" w:firstLineChars="0"/>
              <w:jc w:val="left"/>
              <w:textAlignment w:val="auto"/>
              <w:rPr>
                <w:rFonts w:hint="eastAsia" w:ascii="宋体" w:hAnsi="宋体" w:eastAsia="宋体" w:cs="宋体"/>
                <w:i w:val="0"/>
                <w:iCs w:val="0"/>
                <w:color w:val="auto"/>
                <w:sz w:val="24"/>
                <w:szCs w:val="24"/>
                <w:lang w:eastAsia="zh-CN"/>
              </w:rPr>
            </w:pPr>
            <w:r>
              <w:rPr>
                <w:rFonts w:hint="eastAsia" w:cs="宋体"/>
                <w:b/>
                <w:bCs/>
                <w:i w:val="0"/>
                <w:iCs w:val="0"/>
                <w:color w:val="auto"/>
                <w:sz w:val="24"/>
                <w:szCs w:val="24"/>
                <w:lang w:eastAsia="zh-CN"/>
              </w:rPr>
              <w:t>供应商</w:t>
            </w:r>
            <w:r>
              <w:rPr>
                <w:rFonts w:hint="eastAsia" w:ascii="宋体" w:hAnsi="宋体" w:eastAsia="宋体" w:cs="宋体"/>
                <w:i w:val="0"/>
                <w:iCs w:val="0"/>
                <w:color w:val="auto"/>
                <w:kern w:val="2"/>
                <w:sz w:val="24"/>
                <w:szCs w:val="24"/>
                <w:lang w:val="en-US" w:eastAsia="zh-CN" w:bidi="ar-SA"/>
              </w:rPr>
              <w:t>根据招标文件“第四章 采购需求及要求”</w:t>
            </w:r>
            <w:r>
              <w:rPr>
                <w:rFonts w:hint="eastAsia" w:ascii="宋体" w:hAnsi="宋体" w:eastAsia="宋体" w:cs="宋体"/>
                <w:b/>
                <w:bCs/>
                <w:i w:val="0"/>
                <w:iCs w:val="0"/>
                <w:color w:val="auto"/>
                <w:sz w:val="24"/>
                <w:szCs w:val="24"/>
                <w:lang w:val="en-US" w:eastAsia="zh-CN"/>
              </w:rPr>
              <w:t>编制服务质量承诺及保证措施方案</w:t>
            </w:r>
            <w:r>
              <w:rPr>
                <w:rFonts w:hint="eastAsia" w:ascii="宋体" w:hAnsi="宋体" w:eastAsia="宋体" w:cs="宋体"/>
                <w:b/>
                <w:bCs/>
                <w:i w:val="0"/>
                <w:iCs w:val="0"/>
                <w:color w:val="auto"/>
                <w:sz w:val="24"/>
                <w:szCs w:val="24"/>
                <w:lang w:eastAsia="zh-CN"/>
              </w:rPr>
              <w:t>：</w:t>
            </w:r>
          </w:p>
          <w:p w14:paraId="55303F89">
            <w:pPr>
              <w:keepNext/>
              <w:keepLines/>
              <w:pageBreakBefore w:val="0"/>
              <w:widowControl w:val="0"/>
              <w:kinsoku/>
              <w:wordWrap w:val="0"/>
              <w:overflowPunct/>
              <w:autoSpaceDE/>
              <w:autoSpaceDN/>
              <w:bidi w:val="0"/>
              <w:adjustRightInd/>
              <w:snapToGrid/>
              <w:spacing w:line="360" w:lineRule="auto"/>
              <w:ind w:firstLine="480" w:firstLineChars="200"/>
              <w:rPr>
                <w:rFonts w:hint="eastAsia" w:ascii="宋体" w:hAnsi="宋体" w:eastAsia="宋体" w:cs="Times New Roman"/>
                <w:b w:val="0"/>
                <w:bCs/>
                <w:i w:val="0"/>
                <w:iCs w:val="0"/>
                <w:color w:val="auto"/>
                <w:sz w:val="24"/>
                <w:szCs w:val="20"/>
                <w:highlight w:val="none"/>
              </w:rPr>
            </w:pPr>
            <w:r>
              <w:rPr>
                <w:rFonts w:hint="eastAsia" w:ascii="宋体" w:hAnsi="宋体" w:eastAsia="宋体" w:cs="Times New Roman"/>
                <w:b w:val="0"/>
                <w:bCs/>
                <w:i w:val="0"/>
                <w:iCs w:val="0"/>
                <w:color w:val="auto"/>
                <w:sz w:val="24"/>
                <w:szCs w:val="20"/>
                <w:highlight w:val="none"/>
              </w:rPr>
              <w:t>方案包括：①对项目履约过程中各工作环节的服务质量承诺；②保证措施；③违约处罚措施。</w:t>
            </w:r>
          </w:p>
          <w:p w14:paraId="00CC7BBA">
            <w:pPr>
              <w:keepNext/>
              <w:keepLines/>
              <w:pageBreakBefore w:val="0"/>
              <w:widowControl w:val="0"/>
              <w:kinsoku/>
              <w:wordWrap w:val="0"/>
              <w:overflowPunct/>
              <w:autoSpaceDE/>
              <w:autoSpaceDN/>
              <w:bidi w:val="0"/>
              <w:adjustRightInd/>
              <w:snapToGrid/>
              <w:spacing w:line="360" w:lineRule="auto"/>
              <w:rPr>
                <w:rFonts w:hint="eastAsia" w:ascii="宋体" w:hAnsi="宋体" w:eastAsia="宋体" w:cs="Times New Roman"/>
                <w:b w:val="0"/>
                <w:bCs/>
                <w:i w:val="0"/>
                <w:iCs w:val="0"/>
                <w:color w:val="auto"/>
                <w:sz w:val="24"/>
                <w:szCs w:val="20"/>
                <w:highlight w:val="none"/>
              </w:rPr>
            </w:pPr>
            <w:r>
              <w:rPr>
                <w:rFonts w:hint="eastAsia" w:ascii="宋体" w:hAnsi="宋体" w:eastAsia="宋体" w:cs="Times New Roman"/>
                <w:b w:val="0"/>
                <w:bCs/>
                <w:i w:val="0"/>
                <w:iCs w:val="0"/>
                <w:color w:val="auto"/>
                <w:sz w:val="24"/>
                <w:szCs w:val="20"/>
                <w:highlight w:val="none"/>
              </w:rPr>
              <w:t>以上</w:t>
            </w:r>
            <w:r>
              <w:rPr>
                <w:rFonts w:hint="eastAsia" w:ascii="宋体" w:hAnsi="宋体" w:cs="Times New Roman"/>
                <w:b w:val="0"/>
                <w:bCs/>
                <w:i w:val="0"/>
                <w:iCs w:val="0"/>
                <w:color w:val="auto"/>
                <w:sz w:val="24"/>
                <w:szCs w:val="20"/>
                <w:highlight w:val="none"/>
                <w:lang w:val="en-US" w:eastAsia="zh-CN"/>
              </w:rPr>
              <w:t>3</w:t>
            </w:r>
            <w:r>
              <w:rPr>
                <w:rFonts w:hint="eastAsia" w:ascii="宋体" w:hAnsi="宋体" w:eastAsia="宋体" w:cs="Times New Roman"/>
                <w:b w:val="0"/>
                <w:bCs/>
                <w:i w:val="0"/>
                <w:iCs w:val="0"/>
                <w:color w:val="auto"/>
                <w:sz w:val="24"/>
                <w:szCs w:val="20"/>
                <w:highlight w:val="none"/>
              </w:rPr>
              <w:t>项内容每项</w:t>
            </w:r>
            <w:r>
              <w:rPr>
                <w:rFonts w:hint="eastAsia" w:ascii="宋体" w:hAnsi="宋体" w:cs="Times New Roman"/>
                <w:b/>
                <w:bCs w:val="0"/>
                <w:i w:val="0"/>
                <w:iCs w:val="0"/>
                <w:color w:val="auto"/>
                <w:sz w:val="24"/>
                <w:szCs w:val="20"/>
                <w:highlight w:val="none"/>
                <w:u w:val="single"/>
                <w:lang w:val="en-US" w:eastAsia="zh-CN"/>
              </w:rPr>
              <w:t>2</w:t>
            </w:r>
            <w:r>
              <w:rPr>
                <w:rFonts w:hint="eastAsia" w:ascii="宋体" w:hAnsi="宋体" w:eastAsia="宋体" w:cs="Times New Roman"/>
                <w:b w:val="0"/>
                <w:bCs/>
                <w:i w:val="0"/>
                <w:iCs w:val="0"/>
                <w:color w:val="auto"/>
                <w:sz w:val="24"/>
                <w:szCs w:val="20"/>
                <w:highlight w:val="none"/>
              </w:rPr>
              <w:t>分，无漏项、无缺陷得</w:t>
            </w:r>
            <w:r>
              <w:rPr>
                <w:rFonts w:hint="eastAsia" w:ascii="宋体" w:hAnsi="宋体" w:cs="Times New Roman"/>
                <w:b/>
                <w:bCs w:val="0"/>
                <w:i w:val="0"/>
                <w:iCs w:val="0"/>
                <w:color w:val="auto"/>
                <w:sz w:val="24"/>
                <w:szCs w:val="20"/>
                <w:highlight w:val="none"/>
                <w:u w:val="single"/>
                <w:lang w:val="en-US" w:eastAsia="zh-CN"/>
              </w:rPr>
              <w:t>6</w:t>
            </w:r>
            <w:r>
              <w:rPr>
                <w:rFonts w:hint="eastAsia" w:ascii="宋体" w:hAnsi="宋体" w:eastAsia="宋体" w:cs="Times New Roman"/>
                <w:b w:val="0"/>
                <w:bCs/>
                <w:i w:val="0"/>
                <w:iCs w:val="0"/>
                <w:color w:val="auto"/>
                <w:sz w:val="24"/>
                <w:szCs w:val="20"/>
                <w:highlight w:val="none"/>
              </w:rPr>
              <w:t>分，每缺少一项扣</w:t>
            </w:r>
            <w:r>
              <w:rPr>
                <w:rFonts w:hint="eastAsia" w:ascii="宋体" w:hAnsi="宋体" w:cs="Times New Roman"/>
                <w:b/>
                <w:bCs w:val="0"/>
                <w:i w:val="0"/>
                <w:iCs w:val="0"/>
                <w:color w:val="auto"/>
                <w:sz w:val="24"/>
                <w:szCs w:val="20"/>
                <w:highlight w:val="none"/>
                <w:u w:val="single"/>
                <w:lang w:val="en-US" w:eastAsia="zh-CN"/>
              </w:rPr>
              <w:t>2</w:t>
            </w:r>
            <w:r>
              <w:rPr>
                <w:rFonts w:hint="eastAsia" w:ascii="宋体" w:hAnsi="宋体" w:eastAsia="宋体" w:cs="Times New Roman"/>
                <w:b w:val="0"/>
                <w:bCs/>
                <w:i w:val="0"/>
                <w:iCs w:val="0"/>
                <w:color w:val="auto"/>
                <w:sz w:val="24"/>
                <w:szCs w:val="20"/>
                <w:highlight w:val="none"/>
              </w:rPr>
              <w:t>分；每有一项内容存在缺陷的扣</w:t>
            </w:r>
            <w:r>
              <w:rPr>
                <w:rFonts w:hint="eastAsia" w:ascii="宋体" w:hAnsi="宋体" w:cs="Times New Roman"/>
                <w:b/>
                <w:bCs w:val="0"/>
                <w:i w:val="0"/>
                <w:iCs w:val="0"/>
                <w:color w:val="auto"/>
                <w:sz w:val="24"/>
                <w:szCs w:val="20"/>
                <w:highlight w:val="none"/>
                <w:u w:val="single"/>
                <w:lang w:val="en-US" w:eastAsia="zh-CN"/>
              </w:rPr>
              <w:t>1</w:t>
            </w:r>
            <w:r>
              <w:rPr>
                <w:rFonts w:hint="eastAsia" w:ascii="宋体" w:hAnsi="宋体" w:eastAsia="宋体" w:cs="Times New Roman"/>
                <w:b w:val="0"/>
                <w:bCs/>
                <w:i w:val="0"/>
                <w:iCs w:val="0"/>
                <w:color w:val="auto"/>
                <w:sz w:val="24"/>
                <w:szCs w:val="20"/>
                <w:highlight w:val="none"/>
              </w:rPr>
              <w:t>分</w:t>
            </w:r>
            <w:r>
              <w:rPr>
                <w:rFonts w:hint="eastAsia" w:ascii="宋体" w:hAnsi="宋体" w:eastAsia="宋体" w:cs="Times New Roman"/>
                <w:b w:val="0"/>
                <w:bCs/>
                <w:i w:val="0"/>
                <w:iCs w:val="0"/>
                <w:color w:val="auto"/>
                <w:sz w:val="24"/>
                <w:szCs w:val="20"/>
                <w:highlight w:val="none"/>
                <w:lang w:val="en-US" w:eastAsia="zh-CN"/>
              </w:rPr>
              <w:t>，</w:t>
            </w:r>
            <w:r>
              <w:rPr>
                <w:rFonts w:hint="eastAsia" w:ascii="宋体" w:hAnsi="宋体" w:eastAsia="宋体" w:cs="Times New Roman"/>
                <w:b w:val="0"/>
                <w:bCs/>
                <w:i w:val="0"/>
                <w:iCs w:val="0"/>
                <w:color w:val="auto"/>
                <w:sz w:val="24"/>
                <w:szCs w:val="20"/>
                <w:highlight w:val="none"/>
              </w:rPr>
              <w:t>未提供方案的不得分。</w:t>
            </w:r>
          </w:p>
          <w:p w14:paraId="308D5F8B">
            <w:pPr>
              <w:keepNext/>
              <w:keepLines/>
              <w:pageBreakBefore w:val="0"/>
              <w:widowControl w:val="0"/>
              <w:kinsoku/>
              <w:wordWrap w:val="0"/>
              <w:overflowPunct/>
              <w:topLinePunct/>
              <w:autoSpaceDE/>
              <w:autoSpaceDN/>
              <w:bidi w:val="0"/>
              <w:adjustRightInd/>
              <w:snapToGrid/>
              <w:spacing w:line="360" w:lineRule="auto"/>
              <w:ind w:firstLine="480" w:firstLineChars="200"/>
              <w:jc w:val="left"/>
              <w:rPr>
                <w:rFonts w:hint="eastAsia" w:ascii="宋体" w:hAnsi="宋体" w:eastAsia="宋体" w:cs="Times New Roman"/>
                <w:b w:val="0"/>
                <w:bCs/>
                <w:i w:val="0"/>
                <w:iCs w:val="0"/>
                <w:color w:val="auto"/>
                <w:sz w:val="24"/>
                <w:szCs w:val="20"/>
                <w:highlight w:val="none"/>
              </w:rPr>
            </w:pPr>
            <w:r>
              <w:rPr>
                <w:rFonts w:hint="eastAsia" w:ascii="宋体" w:hAnsi="宋体" w:eastAsia="宋体" w:cs="Times New Roman"/>
                <w:b w:val="0"/>
                <w:bCs/>
                <w:i w:val="0"/>
                <w:iCs w:val="0"/>
                <w:color w:val="auto"/>
                <w:sz w:val="24"/>
                <w:szCs w:val="20"/>
                <w:highlight w:val="none"/>
              </w:rPr>
              <w:t>（缺陷是指：非专门针对本项目或不适用项目特性的情形、套用其他项目方案、内容前后矛盾、方案内容交叉混乱、缺乏重点、生搬硬造、套用错用、存在歧义、层次粗略、仅有标题或框架缺乏具体说明阐述的情形等任意一种情形。）</w:t>
            </w:r>
          </w:p>
        </w:tc>
        <w:tc>
          <w:tcPr>
            <w:tcW w:w="1190" w:type="dxa"/>
            <w:noWrap w:val="0"/>
            <w:vAlign w:val="center"/>
          </w:tcPr>
          <w:p w14:paraId="68E25483">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cs="宋体"/>
                <w:b/>
                <w:bCs/>
                <w:i w:val="0"/>
                <w:iCs w:val="0"/>
                <w:color w:val="auto"/>
                <w:sz w:val="24"/>
                <w:szCs w:val="24"/>
                <w:lang w:val="en-US" w:eastAsia="zh-CN"/>
              </w:rPr>
            </w:pPr>
            <w:r>
              <w:rPr>
                <w:rFonts w:hint="eastAsia" w:ascii="宋体" w:hAnsi="宋体" w:cs="宋体"/>
                <w:b/>
                <w:bCs/>
                <w:i w:val="0"/>
                <w:iCs w:val="0"/>
                <w:color w:val="auto"/>
                <w:sz w:val="24"/>
                <w:szCs w:val="24"/>
                <w:lang w:val="en-US" w:eastAsia="zh-CN"/>
              </w:rPr>
              <w:t>6</w:t>
            </w:r>
            <w:r>
              <w:rPr>
                <w:rFonts w:hint="eastAsia" w:ascii="宋体" w:hAnsi="宋体" w:eastAsia="宋体" w:cs="宋体"/>
                <w:b/>
                <w:bCs/>
                <w:i w:val="0"/>
                <w:iCs w:val="0"/>
                <w:color w:val="auto"/>
                <w:sz w:val="24"/>
                <w:szCs w:val="24"/>
                <w:lang w:val="en-US" w:eastAsia="zh-CN"/>
              </w:rPr>
              <w:t>分</w:t>
            </w:r>
          </w:p>
        </w:tc>
      </w:tr>
      <w:tr w14:paraId="50AC4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30D6D376">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5</w:t>
            </w:r>
          </w:p>
        </w:tc>
        <w:tc>
          <w:tcPr>
            <w:tcW w:w="1515" w:type="dxa"/>
            <w:noWrap w:val="0"/>
            <w:vAlign w:val="center"/>
          </w:tcPr>
          <w:p w14:paraId="05F8EE42">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cs="宋体"/>
                <w:b/>
                <w:bCs/>
                <w:i w:val="0"/>
                <w:iCs w:val="0"/>
                <w:color w:val="auto"/>
                <w:sz w:val="24"/>
                <w:szCs w:val="24"/>
                <w:lang w:val="en-US" w:eastAsia="zh-CN"/>
              </w:rPr>
            </w:pPr>
            <w:r>
              <w:rPr>
                <w:rFonts w:hint="eastAsia" w:ascii="宋体" w:hAnsi="宋体" w:cs="宋体"/>
                <w:b/>
                <w:bCs/>
                <w:i w:val="0"/>
                <w:iCs w:val="0"/>
                <w:color w:val="auto"/>
                <w:sz w:val="24"/>
                <w:szCs w:val="24"/>
                <w:lang w:val="en-US" w:eastAsia="zh-CN"/>
              </w:rPr>
              <w:t>维保项目团队评审</w:t>
            </w:r>
          </w:p>
        </w:tc>
        <w:tc>
          <w:tcPr>
            <w:tcW w:w="6904" w:type="dxa"/>
            <w:noWrap w:val="0"/>
            <w:vAlign w:val="center"/>
          </w:tcPr>
          <w:p w14:paraId="64EDC1DB">
            <w:pPr>
              <w:pStyle w:val="28"/>
              <w:keepNext/>
              <w:keepLines/>
              <w:pageBreakBefore w:val="0"/>
              <w:widowControl w:val="0"/>
              <w:kinsoku/>
              <w:wordWrap w:val="0"/>
              <w:overflowPunct/>
              <w:topLinePunct/>
              <w:autoSpaceDE/>
              <w:autoSpaceDN/>
              <w:bidi w:val="0"/>
              <w:adjustRightInd/>
              <w:snapToGrid/>
              <w:spacing w:line="360" w:lineRule="auto"/>
              <w:ind w:left="0" w:leftChars="0" w:right="0" w:firstLine="0" w:firstLineChars="0"/>
              <w:jc w:val="left"/>
              <w:textAlignment w:val="auto"/>
              <w:rPr>
                <w:rFonts w:hint="eastAsia" w:ascii="宋体" w:hAnsi="宋体" w:eastAsia="宋体" w:cs="宋体"/>
                <w:i w:val="0"/>
                <w:iCs w:val="0"/>
                <w:color w:val="auto"/>
                <w:sz w:val="24"/>
                <w:szCs w:val="24"/>
                <w:lang w:eastAsia="zh-CN"/>
              </w:rPr>
            </w:pPr>
            <w:r>
              <w:rPr>
                <w:rFonts w:hint="eastAsia" w:ascii="宋体" w:hAnsi="宋体" w:eastAsia="宋体" w:cs="宋体"/>
                <w:b/>
                <w:bCs/>
                <w:i w:val="0"/>
                <w:iCs w:val="0"/>
                <w:color w:val="auto"/>
                <w:sz w:val="24"/>
                <w:szCs w:val="24"/>
                <w:lang w:eastAsia="zh-CN"/>
              </w:rPr>
              <w:t>根据投标人提供的项目团队人员配备进行评审：</w:t>
            </w:r>
          </w:p>
          <w:p w14:paraId="24BB0689">
            <w:pPr>
              <w:keepNext/>
              <w:keepLines/>
              <w:pageBreakBefore w:val="0"/>
              <w:widowControl w:val="0"/>
              <w:kinsoku/>
              <w:wordWrap w:val="0"/>
              <w:overflowPunct/>
              <w:autoSpaceDE/>
              <w:autoSpaceDN/>
              <w:bidi w:val="0"/>
              <w:adjustRightInd/>
              <w:snapToGrid/>
              <w:spacing w:line="360" w:lineRule="auto"/>
              <w:ind w:firstLine="480" w:firstLineChars="200"/>
              <w:rPr>
                <w:rFonts w:hint="eastAsia" w:ascii="宋体" w:hAnsi="宋体" w:eastAsia="宋体" w:cs="Times New Roman"/>
                <w:b w:val="0"/>
                <w:bCs/>
                <w:i w:val="0"/>
                <w:iCs w:val="0"/>
                <w:color w:val="auto"/>
                <w:sz w:val="24"/>
                <w:szCs w:val="20"/>
                <w:highlight w:val="none"/>
              </w:rPr>
            </w:pPr>
            <w:r>
              <w:rPr>
                <w:rFonts w:hint="eastAsia" w:ascii="宋体" w:hAnsi="宋体" w:eastAsia="宋体" w:cs="Times New Roman"/>
                <w:b w:val="0"/>
                <w:bCs/>
                <w:i w:val="0"/>
                <w:iCs w:val="0"/>
                <w:color w:val="auto"/>
                <w:sz w:val="24"/>
                <w:szCs w:val="20"/>
                <w:highlight w:val="none"/>
              </w:rPr>
              <w:t>包括：①人员岗位职责；②专业分工配置；③服务方式和响应时间。</w:t>
            </w:r>
          </w:p>
          <w:p w14:paraId="7475D61E">
            <w:pPr>
              <w:keepNext/>
              <w:keepLines/>
              <w:pageBreakBefore w:val="0"/>
              <w:widowControl w:val="0"/>
              <w:kinsoku/>
              <w:wordWrap w:val="0"/>
              <w:overflowPunct/>
              <w:autoSpaceDE/>
              <w:autoSpaceDN/>
              <w:bidi w:val="0"/>
              <w:adjustRightInd/>
              <w:snapToGrid/>
              <w:spacing w:line="360" w:lineRule="auto"/>
              <w:rPr>
                <w:rFonts w:hint="eastAsia" w:ascii="宋体" w:hAnsi="宋体" w:eastAsia="宋体" w:cs="Times New Roman"/>
                <w:b w:val="0"/>
                <w:bCs/>
                <w:i w:val="0"/>
                <w:iCs w:val="0"/>
                <w:color w:val="auto"/>
                <w:sz w:val="24"/>
                <w:szCs w:val="20"/>
                <w:highlight w:val="none"/>
              </w:rPr>
            </w:pPr>
            <w:r>
              <w:rPr>
                <w:rFonts w:hint="eastAsia" w:ascii="宋体" w:hAnsi="宋体" w:eastAsia="宋体" w:cs="Times New Roman"/>
                <w:b w:val="0"/>
                <w:bCs/>
                <w:i w:val="0"/>
                <w:iCs w:val="0"/>
                <w:color w:val="auto"/>
                <w:sz w:val="24"/>
                <w:szCs w:val="20"/>
                <w:highlight w:val="none"/>
              </w:rPr>
              <w:t>以上</w:t>
            </w:r>
            <w:r>
              <w:rPr>
                <w:rFonts w:hint="eastAsia" w:ascii="宋体" w:hAnsi="宋体" w:cs="Times New Roman"/>
                <w:b w:val="0"/>
                <w:bCs/>
                <w:i w:val="0"/>
                <w:iCs w:val="0"/>
                <w:color w:val="auto"/>
                <w:sz w:val="24"/>
                <w:szCs w:val="20"/>
                <w:highlight w:val="none"/>
                <w:lang w:val="en-US" w:eastAsia="zh-CN"/>
              </w:rPr>
              <w:t>3</w:t>
            </w:r>
            <w:r>
              <w:rPr>
                <w:rFonts w:hint="eastAsia" w:ascii="宋体" w:hAnsi="宋体" w:eastAsia="宋体" w:cs="Times New Roman"/>
                <w:b w:val="0"/>
                <w:bCs/>
                <w:i w:val="0"/>
                <w:iCs w:val="0"/>
                <w:color w:val="auto"/>
                <w:sz w:val="24"/>
                <w:szCs w:val="20"/>
                <w:highlight w:val="none"/>
              </w:rPr>
              <w:t>项内容每项</w:t>
            </w:r>
            <w:r>
              <w:rPr>
                <w:rFonts w:hint="eastAsia" w:ascii="宋体" w:hAnsi="宋体" w:cs="Times New Roman"/>
                <w:b/>
                <w:bCs w:val="0"/>
                <w:i w:val="0"/>
                <w:iCs w:val="0"/>
                <w:color w:val="auto"/>
                <w:sz w:val="24"/>
                <w:szCs w:val="20"/>
                <w:highlight w:val="none"/>
                <w:u w:val="single"/>
                <w:lang w:val="en-US" w:eastAsia="zh-CN"/>
              </w:rPr>
              <w:t>2</w:t>
            </w:r>
            <w:r>
              <w:rPr>
                <w:rFonts w:hint="eastAsia" w:ascii="宋体" w:hAnsi="宋体" w:eastAsia="宋体" w:cs="Times New Roman"/>
                <w:b w:val="0"/>
                <w:bCs/>
                <w:i w:val="0"/>
                <w:iCs w:val="0"/>
                <w:color w:val="auto"/>
                <w:sz w:val="24"/>
                <w:szCs w:val="20"/>
                <w:highlight w:val="none"/>
              </w:rPr>
              <w:t>分，无漏项、无缺陷得</w:t>
            </w:r>
            <w:r>
              <w:rPr>
                <w:rFonts w:hint="eastAsia" w:ascii="宋体" w:hAnsi="宋体" w:cs="Times New Roman"/>
                <w:b/>
                <w:bCs w:val="0"/>
                <w:i w:val="0"/>
                <w:iCs w:val="0"/>
                <w:color w:val="auto"/>
                <w:sz w:val="24"/>
                <w:szCs w:val="20"/>
                <w:highlight w:val="none"/>
                <w:u w:val="single"/>
                <w:lang w:val="en-US" w:eastAsia="zh-CN"/>
              </w:rPr>
              <w:t>6</w:t>
            </w:r>
            <w:r>
              <w:rPr>
                <w:rFonts w:hint="eastAsia" w:ascii="宋体" w:hAnsi="宋体" w:eastAsia="宋体" w:cs="Times New Roman"/>
                <w:b w:val="0"/>
                <w:bCs/>
                <w:i w:val="0"/>
                <w:iCs w:val="0"/>
                <w:color w:val="auto"/>
                <w:sz w:val="24"/>
                <w:szCs w:val="20"/>
                <w:highlight w:val="none"/>
              </w:rPr>
              <w:t>分，每缺少一项扣</w:t>
            </w:r>
            <w:r>
              <w:rPr>
                <w:rFonts w:hint="eastAsia" w:ascii="宋体" w:hAnsi="宋体" w:cs="Times New Roman"/>
                <w:b/>
                <w:bCs w:val="0"/>
                <w:i w:val="0"/>
                <w:iCs w:val="0"/>
                <w:color w:val="auto"/>
                <w:sz w:val="24"/>
                <w:szCs w:val="20"/>
                <w:highlight w:val="none"/>
                <w:u w:val="single"/>
                <w:lang w:val="en-US" w:eastAsia="zh-CN"/>
              </w:rPr>
              <w:t>2</w:t>
            </w:r>
            <w:r>
              <w:rPr>
                <w:rFonts w:hint="eastAsia" w:ascii="宋体" w:hAnsi="宋体" w:eastAsia="宋体" w:cs="Times New Roman"/>
                <w:b w:val="0"/>
                <w:bCs/>
                <w:i w:val="0"/>
                <w:iCs w:val="0"/>
                <w:color w:val="auto"/>
                <w:sz w:val="24"/>
                <w:szCs w:val="20"/>
                <w:highlight w:val="none"/>
              </w:rPr>
              <w:t>分；每有一项内容存在缺陷的扣</w:t>
            </w:r>
            <w:r>
              <w:rPr>
                <w:rFonts w:hint="eastAsia" w:ascii="宋体" w:hAnsi="宋体" w:cs="Times New Roman"/>
                <w:b/>
                <w:bCs w:val="0"/>
                <w:i w:val="0"/>
                <w:iCs w:val="0"/>
                <w:color w:val="auto"/>
                <w:sz w:val="24"/>
                <w:szCs w:val="20"/>
                <w:highlight w:val="none"/>
                <w:u w:val="single"/>
                <w:lang w:val="en-US" w:eastAsia="zh-CN"/>
              </w:rPr>
              <w:t>1</w:t>
            </w:r>
            <w:r>
              <w:rPr>
                <w:rFonts w:hint="eastAsia" w:ascii="宋体" w:hAnsi="宋体" w:eastAsia="宋体" w:cs="Times New Roman"/>
                <w:b w:val="0"/>
                <w:bCs/>
                <w:i w:val="0"/>
                <w:iCs w:val="0"/>
                <w:color w:val="auto"/>
                <w:sz w:val="24"/>
                <w:szCs w:val="20"/>
                <w:highlight w:val="none"/>
              </w:rPr>
              <w:t>分</w:t>
            </w:r>
            <w:r>
              <w:rPr>
                <w:rFonts w:hint="eastAsia" w:ascii="宋体" w:hAnsi="宋体" w:eastAsia="宋体" w:cs="Times New Roman"/>
                <w:b w:val="0"/>
                <w:bCs/>
                <w:i w:val="0"/>
                <w:iCs w:val="0"/>
                <w:color w:val="auto"/>
                <w:sz w:val="24"/>
                <w:szCs w:val="20"/>
                <w:highlight w:val="none"/>
                <w:lang w:val="en-US" w:eastAsia="zh-CN"/>
              </w:rPr>
              <w:t>，</w:t>
            </w:r>
            <w:r>
              <w:rPr>
                <w:rFonts w:hint="eastAsia" w:ascii="宋体" w:hAnsi="宋体" w:eastAsia="宋体" w:cs="Times New Roman"/>
                <w:b w:val="0"/>
                <w:bCs/>
                <w:i w:val="0"/>
                <w:iCs w:val="0"/>
                <w:color w:val="auto"/>
                <w:sz w:val="24"/>
                <w:szCs w:val="20"/>
                <w:highlight w:val="none"/>
              </w:rPr>
              <w:t>未提供方案的不得分。</w:t>
            </w:r>
          </w:p>
          <w:p w14:paraId="504361DC">
            <w:pPr>
              <w:keepNext/>
              <w:keepLines/>
              <w:pageBreakBefore w:val="0"/>
              <w:widowControl w:val="0"/>
              <w:kinsoku/>
              <w:wordWrap w:val="0"/>
              <w:overflowPunct/>
              <w:topLinePunct/>
              <w:autoSpaceDE/>
              <w:autoSpaceDN/>
              <w:bidi w:val="0"/>
              <w:adjustRightInd/>
              <w:snapToGrid/>
              <w:spacing w:line="360" w:lineRule="auto"/>
              <w:ind w:firstLine="480" w:firstLineChars="200"/>
              <w:jc w:val="left"/>
              <w:rPr>
                <w:rFonts w:hint="eastAsia" w:ascii="宋体" w:hAnsi="宋体" w:eastAsia="宋体" w:cs="Times New Roman"/>
                <w:b w:val="0"/>
                <w:bCs/>
                <w:i w:val="0"/>
                <w:iCs w:val="0"/>
                <w:color w:val="auto"/>
                <w:sz w:val="24"/>
                <w:szCs w:val="20"/>
                <w:highlight w:val="none"/>
              </w:rPr>
            </w:pPr>
            <w:r>
              <w:rPr>
                <w:rFonts w:hint="eastAsia" w:ascii="宋体" w:hAnsi="宋体" w:eastAsia="宋体" w:cs="Times New Roman"/>
                <w:b w:val="0"/>
                <w:bCs/>
                <w:i w:val="0"/>
                <w:iCs w:val="0"/>
                <w:color w:val="auto"/>
                <w:sz w:val="24"/>
                <w:szCs w:val="20"/>
                <w:highlight w:val="none"/>
              </w:rPr>
              <w:t>（缺陷是指：非专门针对本项目或不适用项目特性的情形、套用其他项目方案、内容前后矛盾、方案内容交叉混乱、缺乏重点、生搬硬造、套用错用、存在歧义、层次粗略、仅有标题或框架缺乏具体说明阐述的情形等任意一种情形。）</w:t>
            </w:r>
          </w:p>
        </w:tc>
        <w:tc>
          <w:tcPr>
            <w:tcW w:w="1190" w:type="dxa"/>
            <w:noWrap w:val="0"/>
            <w:vAlign w:val="center"/>
          </w:tcPr>
          <w:p w14:paraId="256B3BEB">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cs="宋体"/>
                <w:b/>
                <w:bCs/>
                <w:i w:val="0"/>
                <w:iCs w:val="0"/>
                <w:color w:val="auto"/>
                <w:sz w:val="24"/>
                <w:szCs w:val="24"/>
                <w:lang w:val="en-US" w:eastAsia="zh-CN"/>
              </w:rPr>
            </w:pPr>
            <w:r>
              <w:rPr>
                <w:rFonts w:hint="eastAsia" w:ascii="宋体" w:hAnsi="宋体" w:cs="宋体"/>
                <w:b/>
                <w:bCs/>
                <w:i w:val="0"/>
                <w:iCs w:val="0"/>
                <w:color w:val="auto"/>
                <w:sz w:val="24"/>
                <w:szCs w:val="24"/>
                <w:lang w:val="en-US" w:eastAsia="zh-CN"/>
              </w:rPr>
              <w:t>6分</w:t>
            </w:r>
          </w:p>
        </w:tc>
      </w:tr>
      <w:tr w14:paraId="69B1F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7D22C0CA">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6</w:t>
            </w:r>
          </w:p>
        </w:tc>
        <w:tc>
          <w:tcPr>
            <w:tcW w:w="1515" w:type="dxa"/>
            <w:noWrap w:val="0"/>
            <w:vAlign w:val="center"/>
          </w:tcPr>
          <w:p w14:paraId="42B76F4A">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eastAsia="zh-CN"/>
              </w:rPr>
              <w:t>类似业绩评审</w:t>
            </w:r>
          </w:p>
        </w:tc>
        <w:tc>
          <w:tcPr>
            <w:tcW w:w="6904" w:type="dxa"/>
            <w:noWrap w:val="0"/>
            <w:vAlign w:val="center"/>
          </w:tcPr>
          <w:p w14:paraId="67F01C39">
            <w:pPr>
              <w:pStyle w:val="28"/>
              <w:keepNext/>
              <w:keepLines/>
              <w:pageBreakBefore w:val="0"/>
              <w:widowControl w:val="0"/>
              <w:kinsoku/>
              <w:wordWrap w:val="0"/>
              <w:overflowPunct/>
              <w:topLinePunct/>
              <w:autoSpaceDE/>
              <w:autoSpaceDN/>
              <w:bidi w:val="0"/>
              <w:adjustRightInd/>
              <w:snapToGrid/>
              <w:spacing w:line="360" w:lineRule="auto"/>
              <w:ind w:left="0" w:leftChars="0" w:right="0" w:firstLine="0" w:firstLineChars="0"/>
              <w:textAlignment w:val="auto"/>
              <w:rPr>
                <w:rFonts w:hint="eastAsia" w:ascii="宋体" w:hAnsi="宋体" w:eastAsia="宋体" w:cs="宋体"/>
                <w:b/>
                <w:bCs/>
                <w:i w:val="0"/>
                <w:iCs w:val="0"/>
                <w:color w:val="auto"/>
                <w:sz w:val="24"/>
                <w:szCs w:val="24"/>
                <w:lang w:eastAsia="zh-CN"/>
              </w:rPr>
            </w:pPr>
            <w:r>
              <w:rPr>
                <w:rFonts w:hint="eastAsia" w:ascii="宋体" w:hAnsi="宋体" w:eastAsia="宋体" w:cs="宋体"/>
                <w:b/>
                <w:bCs/>
                <w:i w:val="0"/>
                <w:iCs w:val="0"/>
                <w:color w:val="auto"/>
                <w:sz w:val="24"/>
                <w:szCs w:val="24"/>
                <w:lang w:eastAsia="zh-CN"/>
              </w:rPr>
              <w:t>类似业绩评审：</w:t>
            </w:r>
          </w:p>
          <w:p w14:paraId="6E7D3D89">
            <w:pPr>
              <w:pStyle w:val="28"/>
              <w:keepNext/>
              <w:keepLines/>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lang w:eastAsia="zh-CN"/>
              </w:rPr>
            </w:pPr>
            <w:r>
              <w:rPr>
                <w:rFonts w:hint="eastAsia"/>
                <w:i w:val="0"/>
                <w:iCs w:val="0"/>
                <w:color w:val="auto"/>
                <w:sz w:val="24"/>
                <w:szCs w:val="24"/>
                <w:highlight w:val="none"/>
                <w:lang w:eastAsia="zh-CN"/>
              </w:rPr>
              <w:t>供应商202</w:t>
            </w:r>
            <w:r>
              <w:rPr>
                <w:rFonts w:hint="eastAsia"/>
                <w:i w:val="0"/>
                <w:iCs w:val="0"/>
                <w:color w:val="auto"/>
                <w:sz w:val="24"/>
                <w:szCs w:val="24"/>
                <w:highlight w:val="none"/>
                <w:lang w:val="en-US" w:eastAsia="zh-CN"/>
              </w:rPr>
              <w:t>2</w:t>
            </w:r>
            <w:r>
              <w:rPr>
                <w:rFonts w:hint="eastAsia"/>
                <w:i w:val="0"/>
                <w:iCs w:val="0"/>
                <w:color w:val="auto"/>
                <w:sz w:val="24"/>
                <w:szCs w:val="24"/>
                <w:highlight w:val="none"/>
                <w:lang w:eastAsia="zh-CN"/>
              </w:rPr>
              <w:t>年</w:t>
            </w:r>
            <w:r>
              <w:rPr>
                <w:rFonts w:hint="eastAsia"/>
                <w:i w:val="0"/>
                <w:iCs w:val="0"/>
                <w:color w:val="auto"/>
                <w:sz w:val="24"/>
                <w:szCs w:val="24"/>
                <w:highlight w:val="none"/>
                <w:lang w:val="en-US" w:eastAsia="zh-CN"/>
              </w:rPr>
              <w:t>1</w:t>
            </w:r>
            <w:r>
              <w:rPr>
                <w:rFonts w:hint="eastAsia"/>
                <w:i w:val="0"/>
                <w:iCs w:val="0"/>
                <w:color w:val="auto"/>
                <w:sz w:val="24"/>
                <w:szCs w:val="24"/>
                <w:highlight w:val="none"/>
                <w:lang w:eastAsia="zh-CN"/>
              </w:rPr>
              <w:t>月1日起至投标截止时间前</w:t>
            </w:r>
            <w:r>
              <w:rPr>
                <w:rFonts w:hint="eastAsia"/>
                <w:i w:val="0"/>
                <w:iCs w:val="0"/>
                <w:color w:val="auto"/>
                <w:sz w:val="24"/>
                <w:szCs w:val="24"/>
                <w:highlight w:val="none"/>
                <w:lang w:val="en-US" w:eastAsia="zh-CN"/>
              </w:rPr>
              <w:t>的</w:t>
            </w:r>
            <w:r>
              <w:rPr>
                <w:rFonts w:hint="eastAsia"/>
                <w:i w:val="0"/>
                <w:iCs w:val="0"/>
                <w:color w:val="auto"/>
                <w:sz w:val="24"/>
                <w:szCs w:val="24"/>
                <w:highlight w:val="none"/>
                <w:lang w:eastAsia="zh-CN"/>
              </w:rPr>
              <w:t>类似业绩</w:t>
            </w:r>
            <w:r>
              <w:rPr>
                <w:rFonts w:hint="eastAsia" w:ascii="宋体" w:hAnsi="宋体"/>
                <w:i w:val="0"/>
                <w:iCs w:val="0"/>
                <w:color w:val="auto"/>
                <w:sz w:val="24"/>
                <w:szCs w:val="24"/>
                <w:highlight w:val="none"/>
              </w:rPr>
              <w:t>，每提供一项得</w:t>
            </w:r>
            <w:r>
              <w:rPr>
                <w:rFonts w:hint="eastAsia"/>
                <w:b/>
                <w:bCs/>
                <w:i w:val="0"/>
                <w:iCs w:val="0"/>
                <w:color w:val="auto"/>
                <w:sz w:val="24"/>
                <w:szCs w:val="24"/>
                <w:highlight w:val="none"/>
                <w:u w:val="single"/>
                <w:lang w:val="en-US" w:eastAsia="zh-CN"/>
              </w:rPr>
              <w:t>1</w:t>
            </w:r>
            <w:r>
              <w:rPr>
                <w:rFonts w:hint="eastAsia" w:ascii="宋体" w:hAnsi="宋体"/>
                <w:i w:val="0"/>
                <w:iCs w:val="0"/>
                <w:color w:val="auto"/>
                <w:sz w:val="24"/>
                <w:szCs w:val="24"/>
                <w:highlight w:val="none"/>
              </w:rPr>
              <w:t>分</w:t>
            </w:r>
            <w:r>
              <w:rPr>
                <w:rFonts w:hint="eastAsia" w:ascii="宋体" w:hAnsi="宋体" w:eastAsia="宋体" w:cs="宋体"/>
                <w:i w:val="0"/>
                <w:iCs w:val="0"/>
                <w:color w:val="auto"/>
                <w:sz w:val="24"/>
                <w:szCs w:val="24"/>
                <w:lang w:eastAsia="zh-CN"/>
              </w:rPr>
              <w:t>；</w:t>
            </w:r>
          </w:p>
          <w:p w14:paraId="200C7CC0">
            <w:pPr>
              <w:keepNext/>
              <w:keepLines/>
              <w:pageBreakBefore w:val="0"/>
              <w:widowControl w:val="0"/>
              <w:kinsoku/>
              <w:wordWrap w:val="0"/>
              <w:overflowPunct/>
              <w:autoSpaceDE/>
              <w:autoSpaceDN/>
              <w:bidi w:val="0"/>
              <w:adjustRightInd/>
              <w:snapToGrid/>
              <w:spacing w:line="360" w:lineRule="auto"/>
              <w:jc w:val="left"/>
              <w:rPr>
                <w:rFonts w:ascii="宋体" w:hAnsi="宋体"/>
                <w:b/>
                <w:bCs/>
                <w:i w:val="0"/>
                <w:iCs w:val="0"/>
                <w:color w:val="auto"/>
                <w:sz w:val="24"/>
                <w:szCs w:val="24"/>
                <w:highlight w:val="none"/>
              </w:rPr>
            </w:pPr>
            <w:r>
              <w:rPr>
                <w:rFonts w:hint="eastAsia" w:ascii="宋体" w:hAnsi="宋体"/>
                <w:b/>
                <w:bCs/>
                <w:i w:val="0"/>
                <w:iCs w:val="0"/>
                <w:color w:val="auto"/>
                <w:sz w:val="24"/>
                <w:szCs w:val="24"/>
                <w:highlight w:val="none"/>
              </w:rPr>
              <w:t>注：</w:t>
            </w:r>
          </w:p>
          <w:p w14:paraId="63DAE2D2">
            <w:pPr>
              <w:keepNext/>
              <w:keepLines/>
              <w:pageBreakBefore w:val="0"/>
              <w:widowControl w:val="0"/>
              <w:kinsoku/>
              <w:wordWrap w:val="0"/>
              <w:overflowPunct/>
              <w:autoSpaceDE/>
              <w:autoSpaceDN/>
              <w:bidi w:val="0"/>
              <w:adjustRightInd/>
              <w:snapToGrid/>
              <w:spacing w:line="360" w:lineRule="auto"/>
              <w:jc w:val="left"/>
              <w:rPr>
                <w:rFonts w:ascii="宋体" w:hAnsi="宋体"/>
                <w:b/>
                <w:i w:val="0"/>
                <w:iCs w:val="0"/>
                <w:color w:val="auto"/>
                <w:sz w:val="24"/>
                <w:szCs w:val="24"/>
                <w:highlight w:val="none"/>
              </w:rPr>
            </w:pPr>
            <w:r>
              <w:rPr>
                <w:rFonts w:hint="eastAsia" w:ascii="宋体" w:hAnsi="宋体"/>
                <w:b/>
                <w:i w:val="0"/>
                <w:iCs w:val="0"/>
                <w:color w:val="auto"/>
                <w:sz w:val="24"/>
                <w:szCs w:val="24"/>
                <w:highlight w:val="none"/>
              </w:rPr>
              <w:t>（</w:t>
            </w:r>
            <w:r>
              <w:rPr>
                <w:rFonts w:ascii="宋体" w:hAnsi="宋体"/>
                <w:b/>
                <w:i w:val="0"/>
                <w:iCs w:val="0"/>
                <w:color w:val="auto"/>
                <w:sz w:val="24"/>
                <w:szCs w:val="24"/>
                <w:highlight w:val="none"/>
              </w:rPr>
              <w:t>1</w:t>
            </w:r>
            <w:r>
              <w:rPr>
                <w:rFonts w:hint="eastAsia" w:ascii="宋体" w:hAnsi="宋体"/>
                <w:b/>
                <w:i w:val="0"/>
                <w:iCs w:val="0"/>
                <w:color w:val="auto"/>
                <w:sz w:val="24"/>
                <w:szCs w:val="24"/>
                <w:highlight w:val="none"/>
              </w:rPr>
              <w:t>）业绩时间按合同签订时间为准；</w:t>
            </w:r>
          </w:p>
          <w:p w14:paraId="4D7017E4">
            <w:pPr>
              <w:keepNext/>
              <w:keepLines/>
              <w:pageBreakBefore w:val="0"/>
              <w:widowControl w:val="0"/>
              <w:kinsoku/>
              <w:wordWrap w:val="0"/>
              <w:overflowPunct/>
              <w:autoSpaceDE/>
              <w:autoSpaceDN/>
              <w:bidi w:val="0"/>
              <w:adjustRightInd/>
              <w:snapToGrid/>
              <w:spacing w:line="360" w:lineRule="auto"/>
              <w:rPr>
                <w:rFonts w:ascii="宋体" w:hAnsi="宋体"/>
                <w:b/>
                <w:bCs/>
                <w:i w:val="0"/>
                <w:iCs w:val="0"/>
                <w:color w:val="auto"/>
                <w:sz w:val="24"/>
                <w:szCs w:val="24"/>
                <w:highlight w:val="none"/>
              </w:rPr>
            </w:pPr>
            <w:r>
              <w:rPr>
                <w:rFonts w:hint="eastAsia" w:ascii="宋体" w:hAnsi="宋体"/>
                <w:b/>
                <w:bCs/>
                <w:i w:val="0"/>
                <w:iCs w:val="0"/>
                <w:color w:val="auto"/>
                <w:sz w:val="24"/>
                <w:szCs w:val="24"/>
                <w:highlight w:val="none"/>
              </w:rPr>
              <w:t>（</w:t>
            </w:r>
            <w:r>
              <w:rPr>
                <w:rFonts w:ascii="宋体" w:hAnsi="宋体"/>
                <w:b/>
                <w:bCs/>
                <w:i w:val="0"/>
                <w:iCs w:val="0"/>
                <w:color w:val="auto"/>
                <w:sz w:val="24"/>
                <w:szCs w:val="24"/>
                <w:highlight w:val="none"/>
              </w:rPr>
              <w:t>2</w:t>
            </w:r>
            <w:r>
              <w:rPr>
                <w:rFonts w:hint="eastAsia" w:ascii="宋体" w:hAnsi="宋体"/>
                <w:b/>
                <w:bCs/>
                <w:i w:val="0"/>
                <w:iCs w:val="0"/>
                <w:color w:val="auto"/>
                <w:sz w:val="24"/>
                <w:szCs w:val="24"/>
                <w:highlight w:val="none"/>
              </w:rPr>
              <w:t>）业绩证明须同时提供以下材料：</w:t>
            </w:r>
          </w:p>
          <w:p w14:paraId="1A694D89">
            <w:pPr>
              <w:keepNext/>
              <w:keepLines/>
              <w:pageBreakBefore w:val="0"/>
              <w:widowControl w:val="0"/>
              <w:kinsoku/>
              <w:wordWrap w:val="0"/>
              <w:overflowPunct/>
              <w:topLinePunct/>
              <w:autoSpaceDE/>
              <w:autoSpaceDN/>
              <w:bidi w:val="0"/>
              <w:adjustRightInd/>
              <w:snapToGrid/>
              <w:spacing w:line="360" w:lineRule="auto"/>
              <w:ind w:firstLine="482" w:firstLineChars="200"/>
              <w:jc w:val="left"/>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b/>
                <w:bCs/>
                <w:i w:val="0"/>
                <w:iCs w:val="0"/>
                <w:color w:val="auto"/>
                <w:sz w:val="24"/>
                <w:szCs w:val="24"/>
                <w:highlight w:val="none"/>
              </w:rPr>
              <w:t>合同或协议原件扫描件加盖电子公章（所提供合同证明材料须包含合同首页、合同标的物所在页及合同签字盖章页的扫描件并加盖电子公章，</w:t>
            </w:r>
            <w:r>
              <w:rPr>
                <w:rFonts w:hint="eastAsia" w:ascii="宋体" w:hAnsi="宋体"/>
                <w:b/>
                <w:bCs/>
                <w:i w:val="0"/>
                <w:iCs w:val="0"/>
                <w:color w:val="auto"/>
                <w:kern w:val="0"/>
                <w:sz w:val="24"/>
                <w:szCs w:val="24"/>
                <w:highlight w:val="none"/>
              </w:rPr>
              <w:t>如无法体现项目内容、签订日期等，须另附业主证明材料，</w:t>
            </w:r>
            <w:r>
              <w:rPr>
                <w:rFonts w:hint="eastAsia" w:ascii="宋体" w:hAnsi="宋体"/>
                <w:b/>
                <w:bCs/>
                <w:i w:val="0"/>
                <w:iCs w:val="0"/>
                <w:color w:val="auto"/>
                <w:sz w:val="24"/>
                <w:szCs w:val="24"/>
                <w:highlight w:val="none"/>
              </w:rPr>
              <w:t>否则不作为评审依据）。</w:t>
            </w:r>
          </w:p>
        </w:tc>
        <w:tc>
          <w:tcPr>
            <w:tcW w:w="1190" w:type="dxa"/>
            <w:noWrap w:val="0"/>
            <w:vAlign w:val="center"/>
          </w:tcPr>
          <w:p w14:paraId="2498ED46">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cs="宋体"/>
                <w:b/>
                <w:bCs/>
                <w:i w:val="0"/>
                <w:iCs w:val="0"/>
                <w:color w:val="auto"/>
                <w:sz w:val="24"/>
                <w:szCs w:val="24"/>
                <w:lang w:val="en-US" w:eastAsia="zh-CN"/>
              </w:rPr>
            </w:pPr>
            <w:r>
              <w:rPr>
                <w:rFonts w:hint="eastAsia" w:ascii="宋体" w:hAnsi="宋体" w:cs="宋体"/>
                <w:b/>
                <w:bCs/>
                <w:i w:val="0"/>
                <w:iCs w:val="0"/>
                <w:color w:val="auto"/>
                <w:sz w:val="24"/>
                <w:szCs w:val="24"/>
                <w:lang w:val="en-US" w:eastAsia="zh-CN"/>
              </w:rPr>
              <w:t>4分</w:t>
            </w:r>
          </w:p>
        </w:tc>
      </w:tr>
    </w:tbl>
    <w:p w14:paraId="4DF91CBA">
      <w:pPr>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br w:type="page"/>
      </w:r>
    </w:p>
    <w:p w14:paraId="41E0BF7B">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right="0" w:firstLine="482" w:firstLineChars="200"/>
        <w:textAlignment w:val="auto"/>
        <w:rPr>
          <w:rStyle w:val="90"/>
          <w:rFonts w:hint="eastAsia" w:ascii="宋体" w:hAnsi="宋体" w:eastAsia="宋体" w:cs="宋体"/>
          <w:color w:val="auto"/>
          <w:sz w:val="24"/>
          <w:szCs w:val="24"/>
          <w:lang w:eastAsia="zh-CN"/>
        </w:rPr>
      </w:pPr>
      <w:r>
        <w:rPr>
          <w:rStyle w:val="90"/>
          <w:rFonts w:hint="eastAsia" w:ascii="宋体" w:hAnsi="宋体" w:eastAsia="宋体" w:cs="宋体"/>
          <w:color w:val="auto"/>
          <w:sz w:val="24"/>
          <w:szCs w:val="24"/>
          <w:lang w:val="en-US" w:eastAsia="zh-CN"/>
        </w:rPr>
        <w:t>2</w:t>
      </w:r>
      <w:r>
        <w:rPr>
          <w:rStyle w:val="90"/>
          <w:rFonts w:hint="eastAsia" w:ascii="宋体" w:hAnsi="宋体" w:eastAsia="宋体" w:cs="宋体"/>
          <w:color w:val="auto"/>
          <w:sz w:val="24"/>
          <w:szCs w:val="24"/>
          <w:lang w:eastAsia="zh-CN"/>
        </w:rPr>
        <w:t>.</w:t>
      </w:r>
      <w:r>
        <w:rPr>
          <w:rStyle w:val="90"/>
          <w:rFonts w:hint="eastAsia" w:ascii="宋体" w:hAnsi="宋体" w:cs="宋体"/>
          <w:color w:val="auto"/>
          <w:sz w:val="24"/>
          <w:szCs w:val="24"/>
          <w:lang w:eastAsia="zh-CN"/>
        </w:rPr>
        <w:t>评审</w:t>
      </w:r>
      <w:r>
        <w:rPr>
          <w:rStyle w:val="90"/>
          <w:rFonts w:hint="eastAsia" w:ascii="宋体" w:hAnsi="宋体" w:eastAsia="宋体" w:cs="宋体"/>
          <w:color w:val="auto"/>
          <w:sz w:val="24"/>
          <w:szCs w:val="24"/>
          <w:lang w:eastAsia="zh-CN"/>
        </w:rPr>
        <w:t>方法</w:t>
      </w:r>
    </w:p>
    <w:bookmarkEnd w:id="1140"/>
    <w:p w14:paraId="49F1CBE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本次</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采用综合评分法。</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委员会对满足招标文件全部实质性要求（即通过资格性评审及符合性评审）的投标文件，按照本章前附表规定的评分标准进行打分，并按</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总得分计算公式计算</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总得分，按总得分由高到低的顺序推荐3名中标候选人；</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总得分相等时，</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将依次按技术部分得分高优先、价格部分得分高优先、商务部分得分高优先的顺序推荐；所有得分均相等的，按优先采购优质优价的可追溯产品，优先采购监狱企业、残疾人福利性单位、劳动关系和谐企业、新兴业态企业的产品和服务推荐中标候选人；所有得分均相等且政府采购政策条件也相等的，按主要技术指标高优先、质保期长优先、交货期短优先、故障到达时间短优先的顺序推荐中标候选人。</w:t>
      </w:r>
    </w:p>
    <w:p w14:paraId="6693345A">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rPr>
          <w:rFonts w:hint="eastAsia" w:ascii="宋体" w:hAnsi="宋体" w:eastAsia="宋体" w:cs="宋体"/>
          <w:color w:val="auto"/>
          <w:sz w:val="24"/>
          <w:szCs w:val="24"/>
          <w:lang w:eastAsia="zh-CN"/>
        </w:rPr>
      </w:pPr>
      <w:bookmarkStart w:id="1141" w:name="_Toc21346"/>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cs="宋体"/>
          <w:color w:val="auto"/>
          <w:sz w:val="24"/>
          <w:szCs w:val="24"/>
          <w:lang w:eastAsia="zh-CN"/>
        </w:rPr>
        <w:t>评审</w:t>
      </w:r>
      <w:r>
        <w:rPr>
          <w:rFonts w:hint="eastAsia" w:ascii="宋体" w:hAnsi="宋体" w:eastAsia="宋体" w:cs="宋体"/>
          <w:color w:val="auto"/>
          <w:sz w:val="24"/>
          <w:szCs w:val="24"/>
          <w:lang w:eastAsia="zh-CN"/>
        </w:rPr>
        <w:t>程序及标准</w:t>
      </w:r>
      <w:bookmarkEnd w:id="1141"/>
    </w:p>
    <w:p w14:paraId="63243B6A">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.1 符合性评审</w:t>
      </w:r>
    </w:p>
    <w:p w14:paraId="27D4992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依据招标文件的规定，</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委员会对符合资格的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的投标文件从有效性、完整性和对招标文件的实质性响应程度等方面进行审查，见</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方法前附表。</w:t>
      </w:r>
    </w:p>
    <w:p w14:paraId="163429A9">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rPr>
          <w:rFonts w:hint="eastAsia" w:ascii="宋体" w:hAnsi="宋体" w:eastAsia="宋体" w:cs="宋体"/>
          <w:color w:val="auto"/>
          <w:sz w:val="24"/>
          <w:szCs w:val="24"/>
          <w:lang w:eastAsia="zh-CN"/>
        </w:rPr>
      </w:pPr>
      <w:bookmarkStart w:id="1142" w:name="_Toc5788"/>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详细评审</w:t>
      </w:r>
      <w:bookmarkEnd w:id="1142"/>
    </w:p>
    <w:p w14:paraId="2E57943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.1</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委员会按照招标文件中规定的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方法和标准，对符合性审查合格的投标文件进行商务和技术评估，综合比较与评价， 见</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方法前附表。</w:t>
      </w:r>
    </w:p>
    <w:p w14:paraId="67163B0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.2</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委员会各成员要依法独立评审，并对评审意见承担个人责任。对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的客观评分项的评分应当一致，对其他需要借助专业知识评判的主观评分项，应当严格按照评分细则公正评分。</w:t>
      </w:r>
    </w:p>
    <w:p w14:paraId="4EB28BC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.3</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委员会成员对需要共同认定的事项存在争议的，按照少数服从多数的原则作出结论。持不同意见的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委员会成员应当在</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报告上签署不同意见并说明理由，否则视为同意。</w:t>
      </w:r>
    </w:p>
    <w:p w14:paraId="6EAEFA1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.4 投标文件报价出现前后不一致的，按照下列规定修正：</w:t>
      </w:r>
    </w:p>
    <w:p w14:paraId="7AD2871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（一）投标文件中开标一览表（报价表）内容与投标文件中相应内容不一致的，以开标一览表（报价表）为准；</w:t>
      </w:r>
    </w:p>
    <w:p w14:paraId="01A2E95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（二）大写金额和小写金额不一致的，以大写金额为准；</w:t>
      </w:r>
    </w:p>
    <w:p w14:paraId="7E615AB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（三）单价金额小数点或者百分比有明显错位的，以开标一览表的总价为准，并修改单价；</w:t>
      </w:r>
    </w:p>
    <w:p w14:paraId="2DB1668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（四）总价金额与按单价汇总金额不一致的，以单价金额计算结果为准。</w:t>
      </w:r>
    </w:p>
    <w:p w14:paraId="0F3C0DB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同时出现两种以上不一致的，按照前款规定的顺序修正。修正后的报价按照本章</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.2款的规定经</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确认后产生约束力，</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不确认的，其投标无效。</w:t>
      </w:r>
    </w:p>
    <w:p w14:paraId="566FACF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 xml:space="preserve">.5 </w:t>
      </w:r>
      <w:r>
        <w:rPr>
          <w:rFonts w:hint="eastAsia" w:ascii="宋体" w:hAnsi="宋体" w:eastAsia="宋体" w:cs="宋体"/>
          <w:color w:val="auto"/>
          <w:sz w:val="24"/>
          <w:szCs w:val="24"/>
          <w:lang w:val="en-US" w:eastAsia="zh-CN"/>
        </w:rPr>
        <w:t>报价</w:t>
      </w:r>
      <w:r>
        <w:rPr>
          <w:rFonts w:hint="eastAsia" w:ascii="宋体" w:hAnsi="宋体" w:eastAsia="宋体" w:cs="宋体"/>
          <w:color w:val="auto"/>
          <w:sz w:val="24"/>
          <w:szCs w:val="24"/>
          <w:lang w:eastAsia="zh-CN"/>
        </w:rPr>
        <w:t>部分按</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方法前附表规定的投标报价计算公式，计算出各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价格部分得分。商务技术部分得分由</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委员会成员独立评分，</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各项评分因素得分为该项因素各评委评分的算术平均值。所有计算结果均保留小数点后两位，小数点后第三位“四舍五入”。</w:t>
      </w:r>
    </w:p>
    <w:p w14:paraId="71BF91D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 xml:space="preserve">.6 </w:t>
      </w:r>
      <w:r>
        <w:rPr>
          <w:rFonts w:hint="eastAsia" w:ascii="宋体" w:hAnsi="宋体" w:eastAsia="宋体" w:cs="宋体"/>
          <w:color w:val="auto"/>
          <w:sz w:val="24"/>
          <w:szCs w:val="24"/>
          <w:lang w:val="en-US" w:eastAsia="zh-CN"/>
        </w:rPr>
        <w:t>根据</w:t>
      </w:r>
      <w:r>
        <w:rPr>
          <w:rFonts w:hint="eastAsia" w:ascii="宋体" w:hAnsi="宋体" w:eastAsia="宋体" w:cs="宋体"/>
          <w:color w:val="auto"/>
          <w:sz w:val="24"/>
          <w:szCs w:val="24"/>
          <w:lang w:eastAsia="zh-CN"/>
        </w:rPr>
        <w:t>《政府采购货物和服务招标投标管理办法》（财政部令第87号）第六十条规定：</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委员会认为</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的报价明显低于其他通过符合性审查的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的报价，有可能影响产品质量或者不能诚信履约的，应当要求其在</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现场合理的时间内提供书面说明，必要时提交相关证明材料；</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不能证明其报价合理性的，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委员会应当将其作为无效投标处理。</w:t>
      </w:r>
    </w:p>
    <w:p w14:paraId="0E953078">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rPr>
          <w:rFonts w:hint="eastAsia" w:ascii="宋体" w:hAnsi="宋体" w:eastAsia="宋体" w:cs="宋体"/>
          <w:color w:val="auto"/>
          <w:sz w:val="24"/>
          <w:szCs w:val="24"/>
          <w:lang w:eastAsia="zh-CN"/>
        </w:rPr>
      </w:pPr>
      <w:bookmarkStart w:id="1143" w:name="_Toc20474"/>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.投标文件的澄清</w:t>
      </w:r>
      <w:bookmarkEnd w:id="1143"/>
    </w:p>
    <w:p w14:paraId="461430E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.1在</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过程中，</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委员会可以书面形式要求</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对所提交的投标文件中含义不明确、同类问题表述不一致或者有明显文字和计算错误的内容，进行书面澄清或说明。</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委员会不接受</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主动提出的澄清、说明。</w:t>
      </w:r>
    </w:p>
    <w:p w14:paraId="2FB9A10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.2</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的澄清、说明应当采用书面形式，由法定代表人或其授权的代表签字，澄清事项不得超出投标文件的范围并不得改变投标文件的实质性内容（算术性错误修正的除外）。</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的书面澄清、说明属于投标文件的组成部分。</w:t>
      </w:r>
    </w:p>
    <w:p w14:paraId="623657D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.3</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提交的澄清、说明有疑问的，可以要求</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进一步澄清、说明。</w:t>
      </w:r>
    </w:p>
    <w:p w14:paraId="47E885BC">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rPr>
          <w:rFonts w:hint="eastAsia" w:ascii="宋体" w:hAnsi="宋体" w:eastAsia="宋体" w:cs="宋体"/>
          <w:color w:val="auto"/>
          <w:sz w:val="24"/>
          <w:szCs w:val="24"/>
          <w:lang w:eastAsia="zh-CN"/>
        </w:rPr>
      </w:pPr>
      <w:bookmarkStart w:id="1144" w:name="_Toc10415"/>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cs="宋体"/>
          <w:color w:val="auto"/>
          <w:sz w:val="24"/>
          <w:szCs w:val="24"/>
          <w:lang w:eastAsia="zh-CN"/>
        </w:rPr>
        <w:t>评审</w:t>
      </w:r>
      <w:r>
        <w:rPr>
          <w:rFonts w:hint="eastAsia" w:ascii="宋体" w:hAnsi="宋体" w:eastAsia="宋体" w:cs="宋体"/>
          <w:color w:val="auto"/>
          <w:sz w:val="24"/>
          <w:szCs w:val="24"/>
          <w:lang w:eastAsia="zh-CN"/>
        </w:rPr>
        <w:t>结果</w:t>
      </w:r>
      <w:bookmarkEnd w:id="1144"/>
    </w:p>
    <w:p w14:paraId="1A410CB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.1</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委员会按最终得分由高到低顺序推荐3名中标候选人，并提出书面</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w:t>
      </w:r>
    </w:p>
    <w:p w14:paraId="132F86F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.2采购人根据</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委员会提出的书面</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报告和推荐的中标候选人名单，确定中标人。</w:t>
      </w:r>
    </w:p>
    <w:p w14:paraId="4A63B891">
      <w:pPr>
        <w:keepNext w:val="0"/>
        <w:keepLines w:val="0"/>
        <w:pageBreakBefore w:val="0"/>
        <w:widowControl w:val="0"/>
        <w:kinsoku/>
        <w:overflowPunct/>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提供虚假材料、串通等违法违规行为的，要及时向采购人或</w:t>
      </w:r>
      <w:r>
        <w:rPr>
          <w:rFonts w:hint="eastAsia" w:ascii="宋体" w:hAnsi="宋体" w:eastAsia="宋体" w:cs="宋体"/>
          <w:color w:val="auto"/>
          <w:sz w:val="24"/>
          <w:szCs w:val="24"/>
          <w:lang w:val="en-US" w:eastAsia="zh-CN"/>
        </w:rPr>
        <w:t>政府采购主管部门</w:t>
      </w:r>
      <w:r>
        <w:rPr>
          <w:rFonts w:hint="eastAsia" w:ascii="宋体" w:hAnsi="宋体" w:eastAsia="宋体" w:cs="宋体"/>
          <w:color w:val="auto"/>
          <w:sz w:val="24"/>
          <w:szCs w:val="24"/>
          <w:lang w:eastAsia="zh-CN"/>
        </w:rPr>
        <w:t>报告。</w:t>
      </w:r>
    </w:p>
    <w:p w14:paraId="43B9409E">
      <w:pPr>
        <w:pStyle w:val="4"/>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Style w:val="685"/>
          <w:rFonts w:hint="eastAsia" w:ascii="宋体" w:hAnsi="宋体" w:eastAsia="宋体" w:cs="宋体"/>
          <w:b w:val="0"/>
          <w:bCs w:val="0"/>
          <w:color w:val="auto"/>
          <w:sz w:val="32"/>
          <w:szCs w:val="32"/>
          <w:lang w:val="en-US" w:eastAsia="zh-CN"/>
        </w:rPr>
      </w:pPr>
      <w:bookmarkStart w:id="1145" w:name="_Toc71734737"/>
      <w:r>
        <w:rPr>
          <w:rFonts w:ascii="宋体" w:hAnsi="宋体"/>
          <w:color w:val="auto"/>
          <w:highlight w:val="none"/>
        </w:rPr>
        <w:br w:type="page"/>
      </w:r>
      <w:bookmarkEnd w:id="1145"/>
    </w:p>
    <w:bookmarkEnd w:id="1115"/>
    <w:bookmarkEnd w:id="1116"/>
    <w:p w14:paraId="2E8223A4">
      <w:pPr>
        <w:pStyle w:val="2"/>
        <w:keepNext w:val="0"/>
        <w:keepLines w:val="0"/>
        <w:pageBreakBefore w:val="0"/>
        <w:widowControl w:val="0"/>
        <w:kinsoku/>
        <w:wordWrap w:val="0"/>
        <w:overflowPunct/>
        <w:topLinePunct/>
        <w:autoSpaceDE/>
        <w:autoSpaceDN/>
        <w:bidi w:val="0"/>
        <w:adjustRightInd/>
        <w:snapToGrid/>
        <w:ind w:left="0" w:leftChars="0" w:right="0"/>
        <w:jc w:val="center"/>
        <w:rPr>
          <w:rStyle w:val="250"/>
          <w:rFonts w:hint="eastAsia" w:ascii="宋体" w:hAnsi="宋体" w:eastAsia="宋体" w:cs="宋体"/>
          <w:b/>
          <w:bCs w:val="0"/>
          <w:color w:val="auto"/>
          <w:sz w:val="28"/>
          <w:szCs w:val="28"/>
          <w:lang w:eastAsia="zh-CN"/>
        </w:rPr>
      </w:pPr>
      <w:bookmarkStart w:id="1146" w:name="_Toc497486320"/>
      <w:bookmarkStart w:id="1147" w:name="_Toc9810"/>
      <w:r>
        <w:rPr>
          <w:rFonts w:hint="eastAsia" w:ascii="宋体" w:hAnsi="宋体" w:eastAsia="宋体" w:cs="宋体"/>
          <w:color w:val="auto"/>
          <w:lang w:eastAsia="zh-CN"/>
        </w:rPr>
        <w:t>第</w:t>
      </w:r>
      <w:r>
        <w:rPr>
          <w:rFonts w:hint="eastAsia" w:ascii="宋体" w:hAnsi="宋体" w:eastAsia="宋体" w:cs="宋体"/>
          <w:color w:val="auto"/>
          <w:lang w:val="en-US" w:eastAsia="zh-CN"/>
        </w:rPr>
        <w:t>四</w:t>
      </w:r>
      <w:r>
        <w:rPr>
          <w:rFonts w:hint="eastAsia" w:ascii="宋体" w:hAnsi="宋体" w:eastAsia="宋体" w:cs="宋体"/>
          <w:color w:val="auto"/>
          <w:lang w:eastAsia="zh-CN"/>
        </w:rPr>
        <w:t>章</w:t>
      </w:r>
      <w:bookmarkEnd w:id="1146"/>
      <w:r>
        <w:rPr>
          <w:rFonts w:hint="eastAsia" w:ascii="宋体" w:hAnsi="宋体" w:eastAsia="宋体" w:cs="宋体"/>
          <w:color w:val="auto"/>
          <w:lang w:val="en-US" w:eastAsia="zh-CN"/>
        </w:rPr>
        <w:t xml:space="preserve"> </w:t>
      </w:r>
      <w:bookmarkEnd w:id="1147"/>
      <w:r>
        <w:rPr>
          <w:rFonts w:hint="eastAsia" w:ascii="宋体" w:hAnsi="宋体" w:eastAsia="宋体" w:cs="宋体"/>
          <w:color w:val="auto"/>
          <w:lang w:val="en-US" w:eastAsia="zh-CN"/>
        </w:rPr>
        <w:t>采购需求及要求</w:t>
      </w:r>
    </w:p>
    <w:p w14:paraId="373D3640">
      <w:pPr>
        <w:widowControl/>
        <w:numPr>
          <w:ilvl w:val="0"/>
          <w:numId w:val="0"/>
        </w:numPr>
        <w:kinsoku w:val="0"/>
        <w:autoSpaceDE w:val="0"/>
        <w:autoSpaceDN w:val="0"/>
        <w:adjustRightInd w:val="0"/>
        <w:snapToGrid w:val="0"/>
        <w:spacing w:line="360" w:lineRule="auto"/>
        <w:jc w:val="center"/>
        <w:textAlignment w:val="baseline"/>
        <w:rPr>
          <w:rFonts w:hint="eastAsia" w:ascii="宋体" w:hAnsi="宋体" w:eastAsia="宋体" w:cs="宋体"/>
          <w:b/>
          <w:bCs/>
          <w:color w:val="auto"/>
          <w:sz w:val="28"/>
          <w:szCs w:val="28"/>
          <w:highlight w:val="none"/>
        </w:rPr>
      </w:pPr>
      <w:bookmarkStart w:id="1148" w:name="_Toc24816"/>
      <w:r>
        <w:rPr>
          <w:rFonts w:hint="eastAsia" w:ascii="宋体" w:hAnsi="宋体" w:eastAsia="宋体" w:cs="宋体"/>
          <w:b/>
          <w:bCs/>
          <w:color w:val="auto"/>
          <w:sz w:val="28"/>
          <w:szCs w:val="28"/>
          <w:highlight w:val="none"/>
        </w:rPr>
        <w:t>一、采购需求一览表</w:t>
      </w:r>
    </w:p>
    <w:tbl>
      <w:tblPr>
        <w:tblStyle w:val="67"/>
        <w:tblW w:w="496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1"/>
        <w:gridCol w:w="2503"/>
        <w:gridCol w:w="808"/>
        <w:gridCol w:w="1280"/>
        <w:gridCol w:w="2358"/>
        <w:gridCol w:w="2358"/>
      </w:tblGrid>
      <w:tr w14:paraId="728CC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591" w:type="dxa"/>
            <w:shd w:val="clear" w:color="000000" w:fill="FFFFFF"/>
            <w:noWrap/>
            <w:vAlign w:val="center"/>
          </w:tcPr>
          <w:p w14:paraId="4C6E3E11">
            <w:pPr>
              <w:spacing w:line="440" w:lineRule="exact"/>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2503" w:type="dxa"/>
            <w:shd w:val="clear" w:color="000000" w:fill="FFFFFF"/>
            <w:noWrap/>
            <w:vAlign w:val="center"/>
          </w:tcPr>
          <w:p w14:paraId="5AEAC487">
            <w:pPr>
              <w:spacing w:line="440" w:lineRule="exact"/>
              <w:ind w:left="108"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项目（产品）名称</w:t>
            </w:r>
          </w:p>
        </w:tc>
        <w:tc>
          <w:tcPr>
            <w:tcW w:w="808" w:type="dxa"/>
            <w:shd w:val="clear" w:color="000000" w:fill="FFFFFF"/>
            <w:noWrap/>
            <w:vAlign w:val="center"/>
          </w:tcPr>
          <w:p w14:paraId="4F54D8E1">
            <w:pPr>
              <w:spacing w:line="440" w:lineRule="exact"/>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p>
        </w:tc>
        <w:tc>
          <w:tcPr>
            <w:tcW w:w="1280" w:type="dxa"/>
            <w:shd w:val="clear" w:color="000000" w:fill="FFFFFF"/>
            <w:noWrap/>
            <w:vAlign w:val="center"/>
          </w:tcPr>
          <w:p w14:paraId="4690CE28">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计量</w:t>
            </w:r>
          </w:p>
          <w:p w14:paraId="43BD757B">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单位</w:t>
            </w:r>
          </w:p>
        </w:tc>
        <w:tc>
          <w:tcPr>
            <w:tcW w:w="2358" w:type="dxa"/>
            <w:shd w:val="clear" w:color="000000" w:fill="FFFFFF"/>
            <w:noWrap/>
            <w:vAlign w:val="center"/>
          </w:tcPr>
          <w:p w14:paraId="0B493B65">
            <w:pPr>
              <w:spacing w:line="440" w:lineRule="exact"/>
              <w:ind w:left="108"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型号</w:t>
            </w:r>
          </w:p>
        </w:tc>
        <w:tc>
          <w:tcPr>
            <w:tcW w:w="2358" w:type="dxa"/>
            <w:shd w:val="clear" w:color="000000" w:fill="FFFFFF"/>
            <w:noWrap/>
            <w:vAlign w:val="center"/>
          </w:tcPr>
          <w:p w14:paraId="7CEBC47D">
            <w:pPr>
              <w:spacing w:line="440" w:lineRule="exact"/>
              <w:ind w:left="108" w:firstLine="0" w:firstLineChars="0"/>
              <w:jc w:val="center"/>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维保类型</w:t>
            </w:r>
          </w:p>
        </w:tc>
      </w:tr>
      <w:tr w14:paraId="137A6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exact"/>
        </w:trPr>
        <w:tc>
          <w:tcPr>
            <w:tcW w:w="591" w:type="dxa"/>
            <w:shd w:val="clear" w:color="000000" w:fill="FFFFFF"/>
            <w:noWrap/>
            <w:vAlign w:val="center"/>
          </w:tcPr>
          <w:p w14:paraId="7C0A4F16">
            <w:pPr>
              <w:widowControl/>
              <w:spacing w:line="460" w:lineRule="exact"/>
              <w:ind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503" w:type="dxa"/>
            <w:shd w:val="clear" w:color="000000" w:fill="FFFFFF"/>
            <w:noWrap/>
            <w:vAlign w:val="center"/>
          </w:tcPr>
          <w:p w14:paraId="113791FA">
            <w:pPr>
              <w:widowControl/>
              <w:spacing w:line="440" w:lineRule="exact"/>
              <w:ind w:left="107" w:firstLine="0" w:firstLineChars="0"/>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lang w:val="en-US" w:eastAsia="zh-CN"/>
              </w:rPr>
              <w:t>64排CT</w:t>
            </w:r>
          </w:p>
        </w:tc>
        <w:tc>
          <w:tcPr>
            <w:tcW w:w="808" w:type="dxa"/>
            <w:shd w:val="clear" w:color="000000" w:fill="FFFFFF"/>
            <w:noWrap/>
            <w:vAlign w:val="center"/>
          </w:tcPr>
          <w:p w14:paraId="2F40815B">
            <w:pPr>
              <w:widowControl/>
              <w:spacing w:line="440" w:lineRule="exact"/>
              <w:ind w:left="107" w:firstLine="0" w:firstLineChars="0"/>
              <w:jc w:val="center"/>
              <w:rPr>
                <w:rFonts w:hint="eastAsia" w:ascii="宋体" w:hAnsi="宋体" w:eastAsia="宋体" w:cs="宋体"/>
                <w:color w:val="auto"/>
                <w:sz w:val="24"/>
                <w:szCs w:val="24"/>
                <w:highlight w:val="none"/>
                <w:lang w:bidi="ar"/>
              </w:rPr>
            </w:pPr>
            <w:r>
              <w:rPr>
                <w:rFonts w:hint="eastAsia" w:ascii="宋体" w:hAnsi="宋体" w:eastAsia="宋体" w:cs="宋体"/>
                <w:bCs/>
                <w:color w:val="auto"/>
                <w:sz w:val="24"/>
                <w:szCs w:val="24"/>
                <w:highlight w:val="none"/>
                <w:lang w:bidi="ar"/>
              </w:rPr>
              <w:t>1</w:t>
            </w:r>
          </w:p>
        </w:tc>
        <w:tc>
          <w:tcPr>
            <w:tcW w:w="1280" w:type="dxa"/>
            <w:shd w:val="clear" w:color="000000" w:fill="FFFFFF"/>
            <w:noWrap/>
            <w:vAlign w:val="center"/>
          </w:tcPr>
          <w:p w14:paraId="1B3DEF75">
            <w:pPr>
              <w:widowControl/>
              <w:spacing w:line="440" w:lineRule="exact"/>
              <w:ind w:left="107" w:firstLine="0" w:firstLineChars="0"/>
              <w:jc w:val="center"/>
              <w:rPr>
                <w:rFonts w:hint="eastAsia" w:ascii="宋体" w:hAnsi="宋体" w:eastAsia="宋体" w:cs="宋体"/>
                <w:color w:val="auto"/>
                <w:sz w:val="24"/>
                <w:szCs w:val="24"/>
                <w:highlight w:val="none"/>
                <w:lang w:bidi="ar"/>
              </w:rPr>
            </w:pPr>
            <w:r>
              <w:rPr>
                <w:rFonts w:hint="eastAsia" w:ascii="宋体" w:hAnsi="宋体" w:eastAsia="宋体" w:cs="宋体"/>
                <w:bCs/>
                <w:color w:val="auto"/>
                <w:sz w:val="24"/>
                <w:szCs w:val="24"/>
                <w:highlight w:val="none"/>
                <w:lang w:bidi="ar"/>
              </w:rPr>
              <w:t>台</w:t>
            </w:r>
          </w:p>
        </w:tc>
        <w:tc>
          <w:tcPr>
            <w:tcW w:w="2358" w:type="dxa"/>
            <w:shd w:val="clear" w:color="000000" w:fill="FFFFFF"/>
            <w:noWrap/>
            <w:vAlign w:val="center"/>
          </w:tcPr>
          <w:p w14:paraId="06EBFB3A">
            <w:pPr>
              <w:widowControl/>
              <w:spacing w:line="440" w:lineRule="exact"/>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西门子SOMATOM go.Top</w:t>
            </w:r>
          </w:p>
        </w:tc>
        <w:tc>
          <w:tcPr>
            <w:tcW w:w="2358" w:type="dxa"/>
            <w:shd w:val="clear" w:color="000000" w:fill="FFFFFF"/>
            <w:noWrap/>
            <w:vAlign w:val="center"/>
          </w:tcPr>
          <w:p w14:paraId="3218BE82">
            <w:pPr>
              <w:widowControl/>
              <w:spacing w:line="440" w:lineRule="exact"/>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全保</w:t>
            </w:r>
          </w:p>
        </w:tc>
      </w:tr>
      <w:tr w14:paraId="74680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exact"/>
        </w:trPr>
        <w:tc>
          <w:tcPr>
            <w:tcW w:w="591" w:type="dxa"/>
            <w:shd w:val="clear" w:color="000000" w:fill="FFFFFF"/>
            <w:noWrap/>
            <w:vAlign w:val="center"/>
          </w:tcPr>
          <w:p w14:paraId="0BC5BA33">
            <w:pPr>
              <w:widowControl/>
              <w:spacing w:line="460" w:lineRule="exact"/>
              <w:ind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br w:type="page"/>
            </w:r>
            <w:r>
              <w:rPr>
                <w:rFonts w:hint="eastAsia" w:ascii="宋体" w:hAnsi="宋体" w:eastAsia="宋体" w:cs="宋体"/>
                <w:bCs/>
                <w:color w:val="auto"/>
                <w:sz w:val="24"/>
                <w:szCs w:val="24"/>
                <w:highlight w:val="none"/>
              </w:rPr>
              <w:t>2</w:t>
            </w:r>
          </w:p>
        </w:tc>
        <w:tc>
          <w:tcPr>
            <w:tcW w:w="2503" w:type="dxa"/>
            <w:shd w:val="clear" w:color="000000" w:fill="FFFFFF"/>
            <w:noWrap/>
            <w:vAlign w:val="center"/>
          </w:tcPr>
          <w:p w14:paraId="1356D137">
            <w:pPr>
              <w:widowControl/>
              <w:spacing w:line="440" w:lineRule="exact"/>
              <w:ind w:left="107"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血管造影X射线机(DSA)</w:t>
            </w:r>
          </w:p>
        </w:tc>
        <w:tc>
          <w:tcPr>
            <w:tcW w:w="808" w:type="dxa"/>
            <w:shd w:val="clear" w:color="000000" w:fill="FFFFFF"/>
            <w:noWrap/>
            <w:vAlign w:val="center"/>
          </w:tcPr>
          <w:p w14:paraId="6E7ACE98">
            <w:pPr>
              <w:widowControl/>
              <w:spacing w:line="440" w:lineRule="exact"/>
              <w:ind w:left="107" w:firstLine="0" w:firstLineChars="0"/>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1</w:t>
            </w:r>
          </w:p>
        </w:tc>
        <w:tc>
          <w:tcPr>
            <w:tcW w:w="1280" w:type="dxa"/>
            <w:shd w:val="clear" w:color="000000" w:fill="FFFFFF"/>
            <w:noWrap/>
            <w:vAlign w:val="center"/>
          </w:tcPr>
          <w:p w14:paraId="2BE67A11">
            <w:pPr>
              <w:widowControl/>
              <w:spacing w:line="440" w:lineRule="exact"/>
              <w:ind w:left="107" w:firstLine="0" w:firstLineChars="0"/>
              <w:jc w:val="cente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套</w:t>
            </w:r>
          </w:p>
        </w:tc>
        <w:tc>
          <w:tcPr>
            <w:tcW w:w="2358" w:type="dxa"/>
            <w:shd w:val="clear" w:color="000000" w:fill="FFFFFF"/>
            <w:noWrap/>
            <w:vAlign w:val="center"/>
          </w:tcPr>
          <w:p w14:paraId="230A61F9">
            <w:pPr>
              <w:widowControl/>
              <w:spacing w:line="440" w:lineRule="exact"/>
              <w:ind w:left="107" w:firstLine="0" w:firstLineChars="0"/>
              <w:jc w:val="center"/>
              <w:rPr>
                <w:rFonts w:hint="eastAsia"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bidi="ar"/>
              </w:rPr>
              <w:t>西门子</w:t>
            </w:r>
            <w:r>
              <w:rPr>
                <w:rFonts w:hint="eastAsia" w:ascii="宋体" w:hAnsi="宋体" w:eastAsia="宋体" w:cs="宋体"/>
                <w:bCs/>
                <w:color w:val="auto"/>
                <w:sz w:val="24"/>
                <w:szCs w:val="24"/>
                <w:highlight w:val="none"/>
                <w:lang w:bidi="ar"/>
              </w:rPr>
              <w:t>Artis zee III ceiling</w:t>
            </w:r>
          </w:p>
        </w:tc>
        <w:tc>
          <w:tcPr>
            <w:tcW w:w="2358" w:type="dxa"/>
            <w:shd w:val="clear" w:color="000000" w:fill="FFFFFF"/>
            <w:noWrap/>
            <w:vAlign w:val="center"/>
          </w:tcPr>
          <w:p w14:paraId="72A11126">
            <w:pPr>
              <w:widowControl/>
              <w:spacing w:line="440" w:lineRule="exact"/>
              <w:ind w:left="107" w:firstLine="0" w:firstLineChars="0"/>
              <w:jc w:val="center"/>
              <w:rPr>
                <w:rFonts w:hint="eastAsia" w:ascii="宋体" w:hAnsi="宋体" w:eastAsia="宋体" w:cs="宋体"/>
                <w:bCs/>
                <w:color w:val="auto"/>
                <w:sz w:val="24"/>
                <w:szCs w:val="24"/>
                <w:highlight w:val="none"/>
                <w:lang w:val="en-US" w:eastAsia="zh-CN" w:bidi="ar"/>
              </w:rPr>
            </w:pPr>
            <w:r>
              <w:rPr>
                <w:rFonts w:hint="eastAsia" w:ascii="宋体" w:hAnsi="宋体" w:cs="宋体"/>
                <w:bCs/>
                <w:color w:val="auto"/>
                <w:sz w:val="24"/>
                <w:szCs w:val="24"/>
                <w:highlight w:val="none"/>
                <w:lang w:val="en-US" w:eastAsia="zh-CN" w:bidi="ar"/>
              </w:rPr>
              <w:t>有限备件保</w:t>
            </w:r>
          </w:p>
        </w:tc>
      </w:tr>
      <w:tr w14:paraId="12DF2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exact"/>
        </w:trPr>
        <w:tc>
          <w:tcPr>
            <w:tcW w:w="9898" w:type="dxa"/>
            <w:gridSpan w:val="6"/>
            <w:shd w:val="clear" w:color="000000" w:fill="FFFFFF"/>
            <w:noWrap/>
            <w:vAlign w:val="center"/>
          </w:tcPr>
          <w:p w14:paraId="3EFF333C">
            <w:pPr>
              <w:widowControl/>
              <w:spacing w:line="440" w:lineRule="exact"/>
              <w:jc w:val="left"/>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注：</w:t>
            </w:r>
            <w:r>
              <w:rPr>
                <w:rFonts w:hint="eastAsia" w:ascii="宋体" w:hAnsi="宋体" w:cs="宋体"/>
                <w:bCs/>
                <w:color w:val="auto"/>
                <w:sz w:val="24"/>
                <w:szCs w:val="24"/>
                <w:highlight w:val="none"/>
                <w:lang w:val="en-US" w:eastAsia="zh-CN" w:bidi="ar"/>
              </w:rPr>
              <w:t>本次采购的供应商</w:t>
            </w:r>
            <w:r>
              <w:rPr>
                <w:rFonts w:hint="eastAsia" w:ascii="宋体" w:hAnsi="宋体" w:eastAsia="宋体" w:cs="宋体"/>
                <w:bCs/>
                <w:color w:val="auto"/>
                <w:sz w:val="24"/>
                <w:szCs w:val="24"/>
                <w:highlight w:val="none"/>
                <w:lang w:val="en-US" w:eastAsia="zh-CN" w:bidi="ar"/>
              </w:rPr>
              <w:t>为上述设备提供维保服务</w:t>
            </w:r>
          </w:p>
        </w:tc>
      </w:tr>
    </w:tbl>
    <w:p w14:paraId="1A5102B9">
      <w:pPr>
        <w:widowControl/>
        <w:kinsoku w:val="0"/>
        <w:autoSpaceDE w:val="0"/>
        <w:autoSpaceDN w:val="0"/>
        <w:adjustRightInd w:val="0"/>
        <w:snapToGrid w:val="0"/>
        <w:ind w:firstLine="0" w:firstLineChars="0"/>
        <w:textAlignment w:val="baseline"/>
        <w:rPr>
          <w:rFonts w:hint="eastAsia" w:ascii="宋体" w:hAnsi="宋体" w:eastAsia="宋体" w:cs="宋体"/>
          <w:color w:val="auto"/>
          <w:sz w:val="24"/>
          <w:szCs w:val="24"/>
          <w:highlight w:val="none"/>
        </w:rPr>
      </w:pPr>
    </w:p>
    <w:bookmarkEnd w:id="1148"/>
    <w:p w14:paraId="65202F23">
      <w:pPr>
        <w:rPr>
          <w:rFonts w:hint="eastAsia" w:ascii="仿宋" w:hAnsi="仿宋" w:eastAsia="仿宋" w:cs="仿宋"/>
          <w:color w:val="auto"/>
          <w:sz w:val="24"/>
          <w:szCs w:val="24"/>
          <w:lang w:eastAsia="zh-CN"/>
          <w14:ligatures w14:val="none"/>
        </w:rPr>
        <w:sectPr>
          <w:pgSz w:w="11906" w:h="16838"/>
          <w:pgMar w:top="1440" w:right="1080" w:bottom="1440" w:left="1080" w:header="851" w:footer="992" w:gutter="0"/>
          <w:pgBorders>
            <w:top w:val="none" w:sz="0" w:space="0"/>
            <w:left w:val="none" w:sz="0" w:space="0"/>
            <w:bottom w:val="none" w:sz="0" w:space="0"/>
            <w:right w:val="none" w:sz="0" w:space="0"/>
          </w:pgBorders>
          <w:cols w:space="425" w:num="1"/>
          <w:rtlGutter w:val="0"/>
          <w:docGrid w:type="lines" w:linePitch="312" w:charSpace="0"/>
        </w:sectPr>
      </w:pPr>
      <w:bookmarkStart w:id="1149" w:name="_Toc26305"/>
      <w:bookmarkStart w:id="1150" w:name="_Toc497486326"/>
    </w:p>
    <w:p w14:paraId="2175C727">
      <w:pPr>
        <w:keepNext/>
        <w:keepLines w:val="0"/>
        <w:pageBreakBefore w:val="0"/>
        <w:widowControl w:val="0"/>
        <w:kinsoku w:val="0"/>
        <w:wordWrap w:val="0"/>
        <w:overflowPunct/>
        <w:topLinePunct w:val="0"/>
        <w:autoSpaceDE w:val="0"/>
        <w:autoSpaceDN w:val="0"/>
        <w:bidi w:val="0"/>
        <w:adjustRightInd w:val="0"/>
        <w:snapToGrid w:val="0"/>
        <w:ind w:firstLine="0" w:firstLineChars="0"/>
        <w:jc w:val="center"/>
        <w:textAlignment w:val="baseline"/>
        <w:rPr>
          <w:rFonts w:hint="eastAsia" w:ascii="宋体" w:hAnsi="宋体" w:eastAsia="宋体" w:cs="宋体"/>
          <w:color w:val="auto"/>
          <w:lang w:eastAsia="zh-CN"/>
        </w:rPr>
      </w:pPr>
      <w:r>
        <w:rPr>
          <w:rFonts w:hint="eastAsia" w:ascii="宋体" w:hAnsi="宋体" w:eastAsia="宋体" w:cs="宋体"/>
          <w:b/>
          <w:bCs/>
          <w:color w:val="auto"/>
          <w:sz w:val="28"/>
          <w:szCs w:val="28"/>
          <w:highlight w:val="none"/>
        </w:rPr>
        <w:t>二、技术要求</w:t>
      </w:r>
    </w:p>
    <w:tbl>
      <w:tblPr>
        <w:tblStyle w:val="68"/>
        <w:tblW w:w="14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969"/>
        <w:gridCol w:w="1724"/>
        <w:gridCol w:w="1"/>
        <w:gridCol w:w="8604"/>
        <w:gridCol w:w="1876"/>
      </w:tblGrid>
      <w:tr w14:paraId="54E9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011" w:type="dxa"/>
            <w:vAlign w:val="center"/>
          </w:tcPr>
          <w:p w14:paraId="7020B75A">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b/>
                <w:bCs/>
                <w:color w:val="auto"/>
                <w:sz w:val="24"/>
                <w:szCs w:val="24"/>
              </w:rPr>
            </w:pPr>
            <w:r>
              <w:rPr>
                <w:rFonts w:hint="eastAsia"/>
                <w:b/>
                <w:bCs/>
                <w:color w:val="auto"/>
                <w:sz w:val="24"/>
                <w:szCs w:val="24"/>
              </w:rPr>
              <w:t>序号</w:t>
            </w:r>
          </w:p>
        </w:tc>
        <w:tc>
          <w:tcPr>
            <w:tcW w:w="969" w:type="dxa"/>
            <w:vAlign w:val="center"/>
          </w:tcPr>
          <w:p w14:paraId="0A9E4674">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b/>
                <w:bCs/>
                <w:snapToGrid w:val="0"/>
                <w:color w:val="auto"/>
                <w:sz w:val="24"/>
                <w:szCs w:val="24"/>
              </w:rPr>
            </w:pPr>
            <w:r>
              <w:rPr>
                <w:rFonts w:hint="eastAsia"/>
                <w:b/>
                <w:bCs/>
                <w:color w:val="auto"/>
                <w:sz w:val="24"/>
                <w:szCs w:val="24"/>
              </w:rPr>
              <w:t>子序号</w:t>
            </w:r>
          </w:p>
        </w:tc>
        <w:tc>
          <w:tcPr>
            <w:tcW w:w="1725" w:type="dxa"/>
            <w:gridSpan w:val="2"/>
            <w:vAlign w:val="center"/>
          </w:tcPr>
          <w:p w14:paraId="0AC48856">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b/>
                <w:bCs/>
                <w:color w:val="auto"/>
                <w:sz w:val="24"/>
                <w:szCs w:val="24"/>
              </w:rPr>
            </w:pPr>
            <w:r>
              <w:rPr>
                <w:rFonts w:hint="eastAsia"/>
                <w:b/>
                <w:bCs/>
                <w:color w:val="auto"/>
                <w:sz w:val="24"/>
                <w:szCs w:val="24"/>
              </w:rPr>
              <w:t>项目</w:t>
            </w:r>
          </w:p>
        </w:tc>
        <w:tc>
          <w:tcPr>
            <w:tcW w:w="8604" w:type="dxa"/>
            <w:vAlign w:val="center"/>
          </w:tcPr>
          <w:p w14:paraId="15050C01">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b/>
                <w:bCs/>
                <w:color w:val="auto"/>
                <w:sz w:val="24"/>
                <w:szCs w:val="24"/>
              </w:rPr>
            </w:pPr>
            <w:r>
              <w:rPr>
                <w:rFonts w:hint="eastAsia"/>
                <w:b/>
                <w:bCs/>
                <w:color w:val="auto"/>
                <w:sz w:val="24"/>
                <w:szCs w:val="24"/>
              </w:rPr>
              <w:t>具体技术(服务)</w:t>
            </w:r>
            <w:r>
              <w:rPr>
                <w:rFonts w:hint="eastAsia"/>
                <w:b/>
                <w:bCs/>
                <w:color w:val="auto"/>
                <w:sz w:val="24"/>
                <w:szCs w:val="24"/>
                <w:lang w:val="en-US" w:eastAsia="zh-CN"/>
              </w:rPr>
              <w:t>参数</w:t>
            </w:r>
            <w:r>
              <w:rPr>
                <w:rFonts w:hint="eastAsia"/>
                <w:b/>
                <w:bCs/>
                <w:color w:val="auto"/>
                <w:sz w:val="24"/>
                <w:szCs w:val="24"/>
              </w:rPr>
              <w:t>要求</w:t>
            </w:r>
          </w:p>
        </w:tc>
        <w:tc>
          <w:tcPr>
            <w:tcW w:w="1876" w:type="dxa"/>
            <w:vAlign w:val="center"/>
          </w:tcPr>
          <w:p w14:paraId="44E5C2A0">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b/>
                <w:bCs/>
                <w:color w:val="auto"/>
                <w:sz w:val="24"/>
                <w:szCs w:val="24"/>
              </w:rPr>
            </w:pPr>
            <w:r>
              <w:rPr>
                <w:rFonts w:hint="eastAsia"/>
                <w:b/>
                <w:bCs/>
                <w:color w:val="auto"/>
                <w:sz w:val="24"/>
                <w:szCs w:val="24"/>
              </w:rPr>
              <w:t>备注</w:t>
            </w:r>
          </w:p>
        </w:tc>
      </w:tr>
      <w:tr w14:paraId="65A6C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1557F4A4">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eastAsia="宋体"/>
                <w:b/>
                <w:bCs/>
                <w:color w:val="auto"/>
                <w:sz w:val="24"/>
                <w:szCs w:val="24"/>
                <w:lang w:eastAsia="zh-CN"/>
              </w:rPr>
            </w:pPr>
            <w:r>
              <w:rPr>
                <w:rFonts w:hint="eastAsia"/>
                <w:b/>
                <w:bCs/>
                <w:color w:val="auto"/>
                <w:sz w:val="24"/>
                <w:szCs w:val="24"/>
                <w:lang w:val="en-US" w:eastAsia="zh-CN"/>
              </w:rPr>
              <w:t>1</w:t>
            </w:r>
          </w:p>
        </w:tc>
        <w:tc>
          <w:tcPr>
            <w:tcW w:w="13174" w:type="dxa"/>
            <w:gridSpan w:val="5"/>
            <w:vAlign w:val="center"/>
          </w:tcPr>
          <w:p w14:paraId="738EA3AA">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b/>
                <w:bCs/>
                <w:color w:val="auto"/>
                <w:kern w:val="2"/>
                <w:sz w:val="24"/>
                <w:szCs w:val="24"/>
              </w:rPr>
            </w:pPr>
            <w:r>
              <w:rPr>
                <w:rFonts w:hint="eastAsia"/>
                <w:b/>
                <w:bCs/>
                <w:color w:val="auto"/>
                <w:kern w:val="2"/>
                <w:sz w:val="24"/>
                <w:szCs w:val="24"/>
              </w:rPr>
              <w:t>服务要求</w:t>
            </w:r>
          </w:p>
        </w:tc>
      </w:tr>
      <w:tr w14:paraId="2D280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0D43C728">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eastAsia="宋体"/>
                <w:color w:val="auto"/>
                <w:sz w:val="24"/>
                <w:szCs w:val="24"/>
                <w:lang w:eastAsia="zh-CN"/>
              </w:rPr>
            </w:pPr>
            <w:r>
              <w:rPr>
                <w:rFonts w:hint="eastAsia"/>
                <w:color w:val="auto"/>
                <w:sz w:val="24"/>
                <w:szCs w:val="24"/>
                <w:lang w:val="en-US" w:eastAsia="zh-CN"/>
              </w:rPr>
              <w:t>1</w:t>
            </w:r>
            <w:r>
              <w:rPr>
                <w:rFonts w:hint="eastAsia"/>
                <w:color w:val="auto"/>
                <w:sz w:val="24"/>
                <w:szCs w:val="24"/>
              </w:rPr>
              <w:t>.</w:t>
            </w:r>
            <w:r>
              <w:rPr>
                <w:rFonts w:hint="eastAsia"/>
                <w:color w:val="auto"/>
                <w:sz w:val="24"/>
                <w:szCs w:val="24"/>
                <w:lang w:val="en-US" w:eastAsia="zh-CN"/>
              </w:rPr>
              <w:t>1</w:t>
            </w:r>
          </w:p>
        </w:tc>
        <w:tc>
          <w:tcPr>
            <w:tcW w:w="969" w:type="dxa"/>
            <w:vAlign w:val="center"/>
          </w:tcPr>
          <w:p w14:paraId="7ACF4BCE">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eastAsia="宋体"/>
                <w:color w:val="auto"/>
                <w:sz w:val="24"/>
                <w:szCs w:val="24"/>
                <w:lang w:val="en-US" w:eastAsia="zh-CN"/>
              </w:rPr>
            </w:pPr>
          </w:p>
        </w:tc>
        <w:tc>
          <w:tcPr>
            <w:tcW w:w="10329" w:type="dxa"/>
            <w:gridSpan w:val="3"/>
            <w:vAlign w:val="center"/>
          </w:tcPr>
          <w:p w14:paraId="6D550AEC">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eastAsia="宋体"/>
                <w:color w:val="auto"/>
                <w:kern w:val="2"/>
                <w:sz w:val="24"/>
                <w:szCs w:val="24"/>
                <w:lang w:eastAsia="zh-CN"/>
              </w:rPr>
            </w:pPr>
            <w:r>
              <w:rPr>
                <w:rFonts w:hint="eastAsia"/>
                <w:color w:val="auto"/>
                <w:kern w:val="2"/>
                <w:sz w:val="24"/>
                <w:szCs w:val="24"/>
              </w:rPr>
              <w:t>客户服务 400 电话支持热线，电话响应时间&lt;2小时，现场工程师到场时限: ≤48小时</w:t>
            </w:r>
            <w:r>
              <w:rPr>
                <w:rFonts w:hint="eastAsia"/>
                <w:color w:val="auto"/>
                <w:kern w:val="2"/>
                <w:sz w:val="24"/>
                <w:szCs w:val="24"/>
                <w:lang w:eastAsia="zh-CN"/>
              </w:rPr>
              <w:t>。</w:t>
            </w:r>
          </w:p>
        </w:tc>
        <w:tc>
          <w:tcPr>
            <w:tcW w:w="1876" w:type="dxa"/>
            <w:vAlign w:val="center"/>
          </w:tcPr>
          <w:p w14:paraId="7F0EA178">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18E60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7E1A8D57">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color w:val="auto"/>
                <w:sz w:val="24"/>
                <w:szCs w:val="24"/>
                <w:lang w:val="en-US" w:eastAsia="zh-CN"/>
              </w:rPr>
            </w:pPr>
            <w:r>
              <w:rPr>
                <w:rFonts w:hint="eastAsia"/>
                <w:color w:val="auto"/>
                <w:sz w:val="24"/>
                <w:szCs w:val="24"/>
                <w:lang w:val="en-US" w:eastAsia="zh-CN"/>
              </w:rPr>
              <w:t>1.2</w:t>
            </w:r>
          </w:p>
        </w:tc>
        <w:tc>
          <w:tcPr>
            <w:tcW w:w="969" w:type="dxa"/>
            <w:vAlign w:val="center"/>
          </w:tcPr>
          <w:p w14:paraId="40ACE47C">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eastAsia="宋体"/>
                <w:color w:val="auto"/>
                <w:sz w:val="24"/>
                <w:szCs w:val="24"/>
                <w:lang w:val="en-US" w:eastAsia="zh-CN"/>
              </w:rPr>
            </w:pPr>
          </w:p>
        </w:tc>
        <w:tc>
          <w:tcPr>
            <w:tcW w:w="10329" w:type="dxa"/>
            <w:gridSpan w:val="3"/>
            <w:vAlign w:val="center"/>
          </w:tcPr>
          <w:p w14:paraId="57AE92ED">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eastAsia="宋体"/>
                <w:color w:val="auto"/>
                <w:kern w:val="2"/>
                <w:sz w:val="24"/>
                <w:szCs w:val="24"/>
                <w:lang w:eastAsia="zh-CN"/>
              </w:rPr>
            </w:pPr>
            <w:r>
              <w:rPr>
                <w:rFonts w:hint="eastAsia"/>
                <w:color w:val="auto"/>
                <w:kern w:val="2"/>
                <w:sz w:val="24"/>
                <w:szCs w:val="24"/>
              </w:rPr>
              <w:t>热线支持服务时间24 小时 X 7天</w:t>
            </w:r>
            <w:r>
              <w:rPr>
                <w:rFonts w:hint="eastAsia"/>
                <w:color w:val="auto"/>
                <w:kern w:val="2"/>
                <w:sz w:val="24"/>
                <w:szCs w:val="24"/>
                <w:lang w:eastAsia="zh-CN"/>
              </w:rPr>
              <w:t>。</w:t>
            </w:r>
          </w:p>
        </w:tc>
        <w:tc>
          <w:tcPr>
            <w:tcW w:w="1876" w:type="dxa"/>
            <w:vAlign w:val="center"/>
          </w:tcPr>
          <w:p w14:paraId="63507F28">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3BB01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18A3E76C">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eastAsia="宋体"/>
                <w:color w:val="auto"/>
                <w:sz w:val="24"/>
                <w:szCs w:val="24"/>
                <w:lang w:val="en-US" w:eastAsia="zh-CN"/>
              </w:rPr>
            </w:pPr>
            <w:r>
              <w:rPr>
                <w:rFonts w:hint="eastAsia"/>
                <w:color w:val="auto"/>
                <w:sz w:val="24"/>
                <w:szCs w:val="24"/>
                <w:lang w:val="en-US" w:eastAsia="zh-CN"/>
              </w:rPr>
              <w:t>1.3</w:t>
            </w:r>
          </w:p>
        </w:tc>
        <w:tc>
          <w:tcPr>
            <w:tcW w:w="969" w:type="dxa"/>
            <w:vAlign w:val="center"/>
          </w:tcPr>
          <w:p w14:paraId="4C519E9C">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eastAsia="宋体"/>
                <w:color w:val="auto"/>
                <w:sz w:val="24"/>
                <w:szCs w:val="24"/>
                <w:lang w:val="en-US" w:eastAsia="zh-CN"/>
              </w:rPr>
            </w:pPr>
          </w:p>
        </w:tc>
        <w:tc>
          <w:tcPr>
            <w:tcW w:w="10329" w:type="dxa"/>
            <w:gridSpan w:val="3"/>
            <w:vAlign w:val="center"/>
          </w:tcPr>
          <w:p w14:paraId="1AD58EFF">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eastAsia="宋体"/>
                <w:color w:val="auto"/>
                <w:kern w:val="2"/>
                <w:sz w:val="24"/>
                <w:szCs w:val="24"/>
                <w:lang w:eastAsia="zh-CN"/>
              </w:rPr>
            </w:pPr>
            <w:r>
              <w:rPr>
                <w:rFonts w:hint="eastAsia" w:eastAsia="宋体"/>
                <w:color w:val="auto"/>
                <w:kern w:val="2"/>
                <w:sz w:val="24"/>
                <w:szCs w:val="24"/>
                <w:lang w:eastAsia="zh-CN"/>
              </w:rPr>
              <w:t>客户服务中心热线服务人员，每天值班人员：≥10 人</w:t>
            </w:r>
            <w:r>
              <w:rPr>
                <w:rFonts w:hint="eastAsia"/>
                <w:color w:val="auto"/>
                <w:kern w:val="2"/>
                <w:sz w:val="24"/>
                <w:szCs w:val="24"/>
                <w:lang w:eastAsia="zh-CN"/>
              </w:rPr>
              <w:t>。</w:t>
            </w:r>
          </w:p>
        </w:tc>
        <w:tc>
          <w:tcPr>
            <w:tcW w:w="1876" w:type="dxa"/>
            <w:vAlign w:val="center"/>
          </w:tcPr>
          <w:p w14:paraId="695F2CC5">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7B669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1" w:type="dxa"/>
            <w:vAlign w:val="center"/>
          </w:tcPr>
          <w:p w14:paraId="67CC2196">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eastAsia="宋体"/>
                <w:color w:val="auto"/>
                <w:sz w:val="24"/>
                <w:szCs w:val="24"/>
                <w:lang w:val="en-US" w:eastAsia="zh-CN"/>
              </w:rPr>
            </w:pPr>
            <w:r>
              <w:rPr>
                <w:rFonts w:hint="eastAsia"/>
                <w:color w:val="auto"/>
                <w:sz w:val="24"/>
                <w:szCs w:val="24"/>
                <w:lang w:val="en-US" w:eastAsia="zh-CN"/>
              </w:rPr>
              <w:t>1.4</w:t>
            </w:r>
          </w:p>
        </w:tc>
        <w:tc>
          <w:tcPr>
            <w:tcW w:w="969" w:type="dxa"/>
            <w:vAlign w:val="center"/>
          </w:tcPr>
          <w:p w14:paraId="7E614315">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10329" w:type="dxa"/>
            <w:gridSpan w:val="3"/>
            <w:vAlign w:val="center"/>
          </w:tcPr>
          <w:p w14:paraId="384CE8C3">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eastAsia="宋体"/>
                <w:color w:val="auto"/>
                <w:kern w:val="2"/>
                <w:sz w:val="24"/>
                <w:szCs w:val="24"/>
                <w:lang w:eastAsia="zh-CN"/>
              </w:rPr>
            </w:pPr>
            <w:r>
              <w:rPr>
                <w:rFonts w:hint="eastAsia"/>
                <w:color w:val="auto"/>
                <w:kern w:val="2"/>
                <w:sz w:val="24"/>
                <w:szCs w:val="24"/>
              </w:rPr>
              <w:t>客户服务中心技术支持专职热线，支持工程师：≥20 人</w:t>
            </w:r>
            <w:r>
              <w:rPr>
                <w:rFonts w:hint="eastAsia"/>
                <w:color w:val="auto"/>
                <w:kern w:val="2"/>
                <w:sz w:val="24"/>
                <w:szCs w:val="24"/>
                <w:lang w:eastAsia="zh-CN"/>
              </w:rPr>
              <w:t>。</w:t>
            </w:r>
          </w:p>
        </w:tc>
        <w:tc>
          <w:tcPr>
            <w:tcW w:w="1876" w:type="dxa"/>
            <w:vAlign w:val="center"/>
          </w:tcPr>
          <w:p w14:paraId="53AFA073">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7CD31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3C31E53A">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eastAsia="宋体"/>
                <w:color w:val="auto"/>
                <w:sz w:val="24"/>
                <w:szCs w:val="24"/>
                <w:lang w:val="en-US" w:eastAsia="zh-CN"/>
              </w:rPr>
            </w:pPr>
            <w:r>
              <w:rPr>
                <w:rFonts w:hint="eastAsia"/>
                <w:color w:val="auto"/>
                <w:sz w:val="24"/>
                <w:szCs w:val="24"/>
                <w:lang w:val="en-US" w:eastAsia="zh-CN"/>
              </w:rPr>
              <w:t>1.5</w:t>
            </w:r>
          </w:p>
        </w:tc>
        <w:tc>
          <w:tcPr>
            <w:tcW w:w="969" w:type="dxa"/>
            <w:vAlign w:val="center"/>
          </w:tcPr>
          <w:p w14:paraId="78DC6555">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1725" w:type="dxa"/>
            <w:gridSpan w:val="2"/>
            <w:vAlign w:val="center"/>
          </w:tcPr>
          <w:p w14:paraId="3D240D5E">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远程故障排除</w:t>
            </w:r>
          </w:p>
        </w:tc>
        <w:tc>
          <w:tcPr>
            <w:tcW w:w="8604" w:type="dxa"/>
            <w:vAlign w:val="center"/>
          </w:tcPr>
          <w:p w14:paraId="4118D0BE">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能通过互联网连接远程进行故障排除</w:t>
            </w:r>
          </w:p>
        </w:tc>
        <w:tc>
          <w:tcPr>
            <w:tcW w:w="1876" w:type="dxa"/>
            <w:vAlign w:val="center"/>
          </w:tcPr>
          <w:p w14:paraId="579A63FC">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6BAF4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497CD241">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eastAsia="宋体"/>
                <w:color w:val="auto"/>
                <w:sz w:val="24"/>
                <w:szCs w:val="24"/>
                <w:lang w:val="en-US" w:eastAsia="zh-CN"/>
              </w:rPr>
            </w:pPr>
            <w:r>
              <w:rPr>
                <w:rFonts w:hint="eastAsia"/>
                <w:color w:val="auto"/>
                <w:sz w:val="24"/>
                <w:szCs w:val="24"/>
                <w:lang w:val="en-US" w:eastAsia="zh-CN"/>
              </w:rPr>
              <w:t>1.6</w:t>
            </w:r>
          </w:p>
        </w:tc>
        <w:tc>
          <w:tcPr>
            <w:tcW w:w="969" w:type="dxa"/>
            <w:vAlign w:val="center"/>
          </w:tcPr>
          <w:p w14:paraId="24A3CF04">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1725" w:type="dxa"/>
            <w:gridSpan w:val="2"/>
            <w:vAlign w:val="center"/>
          </w:tcPr>
          <w:p w14:paraId="5E8F886A">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远程应用支持服务</w:t>
            </w:r>
          </w:p>
        </w:tc>
        <w:tc>
          <w:tcPr>
            <w:tcW w:w="8604" w:type="dxa"/>
            <w:vAlign w:val="center"/>
          </w:tcPr>
          <w:p w14:paraId="0F0C0AFB">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能通过互联网连接在线进行远程应用支持且可以实时显示操作界面</w:t>
            </w:r>
          </w:p>
        </w:tc>
        <w:tc>
          <w:tcPr>
            <w:tcW w:w="1876" w:type="dxa"/>
            <w:vAlign w:val="center"/>
          </w:tcPr>
          <w:p w14:paraId="0D0CD299">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7A8E7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399C7C6F">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eastAsia="宋体"/>
                <w:color w:val="auto"/>
                <w:sz w:val="24"/>
                <w:szCs w:val="24"/>
                <w:lang w:val="en-US" w:eastAsia="zh-CN"/>
              </w:rPr>
            </w:pPr>
            <w:r>
              <w:rPr>
                <w:rFonts w:hint="eastAsia"/>
                <w:color w:val="auto"/>
                <w:sz w:val="24"/>
                <w:szCs w:val="24"/>
                <w:lang w:val="en-US" w:eastAsia="zh-CN"/>
              </w:rPr>
              <w:t>1.7</w:t>
            </w:r>
          </w:p>
        </w:tc>
        <w:tc>
          <w:tcPr>
            <w:tcW w:w="969" w:type="dxa"/>
            <w:vAlign w:val="center"/>
          </w:tcPr>
          <w:p w14:paraId="657C5803">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color w:val="auto"/>
                <w:sz w:val="24"/>
                <w:szCs w:val="24"/>
                <w:lang w:val="en-US" w:eastAsia="zh-CN"/>
              </w:rPr>
            </w:pPr>
          </w:p>
        </w:tc>
        <w:tc>
          <w:tcPr>
            <w:tcW w:w="1725" w:type="dxa"/>
            <w:gridSpan w:val="2"/>
            <w:vAlign w:val="center"/>
          </w:tcPr>
          <w:p w14:paraId="13639FD2">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远程应用服务支持人员</w:t>
            </w:r>
          </w:p>
        </w:tc>
        <w:tc>
          <w:tcPr>
            <w:tcW w:w="8604" w:type="dxa"/>
            <w:vAlign w:val="center"/>
          </w:tcPr>
          <w:p w14:paraId="30BFF70E">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专职应用支持人员：≥6人</w:t>
            </w:r>
          </w:p>
        </w:tc>
        <w:tc>
          <w:tcPr>
            <w:tcW w:w="1876" w:type="dxa"/>
            <w:vAlign w:val="center"/>
          </w:tcPr>
          <w:p w14:paraId="41205E5B">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3F999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4218D07D">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eastAsia="宋体"/>
                <w:color w:val="auto"/>
                <w:sz w:val="24"/>
                <w:szCs w:val="24"/>
                <w:lang w:val="en-US" w:eastAsia="zh-CN"/>
              </w:rPr>
            </w:pPr>
            <w:r>
              <w:rPr>
                <w:rFonts w:hint="eastAsia"/>
                <w:color w:val="auto"/>
                <w:sz w:val="24"/>
                <w:szCs w:val="24"/>
                <w:lang w:val="en-US" w:eastAsia="zh-CN"/>
              </w:rPr>
              <w:t>1.8</w:t>
            </w:r>
          </w:p>
        </w:tc>
        <w:tc>
          <w:tcPr>
            <w:tcW w:w="969" w:type="dxa"/>
            <w:vAlign w:val="center"/>
          </w:tcPr>
          <w:p w14:paraId="49A3921C">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1725" w:type="dxa"/>
            <w:gridSpan w:val="2"/>
            <w:vAlign w:val="center"/>
          </w:tcPr>
          <w:p w14:paraId="78E82C26">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远程应用支持服务时间</w:t>
            </w:r>
          </w:p>
        </w:tc>
        <w:tc>
          <w:tcPr>
            <w:tcW w:w="8604" w:type="dxa"/>
            <w:vAlign w:val="center"/>
          </w:tcPr>
          <w:p w14:paraId="4DA91B67">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≥8小时X 5天</w:t>
            </w:r>
          </w:p>
        </w:tc>
        <w:tc>
          <w:tcPr>
            <w:tcW w:w="1876" w:type="dxa"/>
            <w:vAlign w:val="center"/>
          </w:tcPr>
          <w:p w14:paraId="47A8027F">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59653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198C18B8">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eastAsia="宋体"/>
                <w:color w:val="auto"/>
                <w:sz w:val="24"/>
                <w:szCs w:val="24"/>
                <w:lang w:val="en-US" w:eastAsia="zh-CN"/>
              </w:rPr>
            </w:pPr>
            <w:r>
              <w:rPr>
                <w:rFonts w:hint="eastAsia"/>
                <w:color w:val="auto"/>
                <w:sz w:val="24"/>
                <w:szCs w:val="24"/>
                <w:lang w:val="en-US" w:eastAsia="zh-CN"/>
              </w:rPr>
              <w:t>1.9</w:t>
            </w:r>
          </w:p>
        </w:tc>
        <w:tc>
          <w:tcPr>
            <w:tcW w:w="969" w:type="dxa"/>
            <w:vAlign w:val="center"/>
          </w:tcPr>
          <w:p w14:paraId="107E19E9">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1725" w:type="dxa"/>
            <w:gridSpan w:val="2"/>
            <w:vAlign w:val="center"/>
          </w:tcPr>
          <w:p w14:paraId="71F4E8B0">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远程应用支持响应时间</w:t>
            </w:r>
          </w:p>
        </w:tc>
        <w:tc>
          <w:tcPr>
            <w:tcW w:w="8604" w:type="dxa"/>
            <w:vAlign w:val="center"/>
          </w:tcPr>
          <w:p w14:paraId="2EC4A69A">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工作日≤4小时</w:t>
            </w:r>
          </w:p>
        </w:tc>
        <w:tc>
          <w:tcPr>
            <w:tcW w:w="1876" w:type="dxa"/>
            <w:vAlign w:val="center"/>
          </w:tcPr>
          <w:p w14:paraId="3B8D05DA">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695A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0B7F9DD9">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color w:val="auto"/>
                <w:sz w:val="24"/>
                <w:szCs w:val="24"/>
                <w:lang w:val="en-US" w:eastAsia="zh-CN"/>
              </w:rPr>
            </w:pPr>
            <w:r>
              <w:rPr>
                <w:rFonts w:hint="eastAsia"/>
                <w:color w:val="auto"/>
                <w:sz w:val="24"/>
                <w:szCs w:val="24"/>
                <w:lang w:val="en-US" w:eastAsia="zh-CN"/>
              </w:rPr>
              <w:t>1.10</w:t>
            </w:r>
          </w:p>
        </w:tc>
        <w:tc>
          <w:tcPr>
            <w:tcW w:w="969" w:type="dxa"/>
            <w:vAlign w:val="center"/>
          </w:tcPr>
          <w:p w14:paraId="416BC58A">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10329" w:type="dxa"/>
            <w:gridSpan w:val="3"/>
            <w:vAlign w:val="center"/>
          </w:tcPr>
          <w:p w14:paraId="19945FBF">
            <w:pPr>
              <w:jc w:val="both"/>
              <w:rPr>
                <w:rFonts w:hint="eastAsia"/>
                <w:color w:val="auto"/>
                <w:kern w:val="2"/>
                <w:sz w:val="24"/>
                <w:szCs w:val="24"/>
              </w:rPr>
            </w:pPr>
            <w:r>
              <w:rPr>
                <w:rFonts w:hint="eastAsia" w:ascii="宋体" w:hAnsi="宋体" w:eastAsia="宋体" w:cs="宋体"/>
                <w:color w:val="auto"/>
                <w:sz w:val="24"/>
                <w:szCs w:val="24"/>
              </w:rPr>
              <w:t>提供ISO9001、ISO13485管理体系证书，ISO27001信息安全国际标准质量管理体系证书。</w:t>
            </w:r>
          </w:p>
        </w:tc>
        <w:tc>
          <w:tcPr>
            <w:tcW w:w="1876" w:type="dxa"/>
            <w:vAlign w:val="center"/>
          </w:tcPr>
          <w:p w14:paraId="4C6CC9EA">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rPr>
            </w:pPr>
            <w:r>
              <w:rPr>
                <w:rFonts w:hint="eastAsia"/>
                <w:b/>
                <w:bCs/>
                <w:color w:val="auto"/>
                <w:sz w:val="24"/>
                <w:szCs w:val="24"/>
                <w:lang w:val="en-US" w:eastAsia="zh-CN"/>
              </w:rPr>
              <w:t>提供</w:t>
            </w:r>
            <w:r>
              <w:rPr>
                <w:rFonts w:hint="eastAsia"/>
                <w:b/>
                <w:bCs/>
                <w:color w:val="auto"/>
                <w:sz w:val="24"/>
                <w:szCs w:val="24"/>
              </w:rPr>
              <w:t>证明材料</w:t>
            </w:r>
          </w:p>
        </w:tc>
      </w:tr>
      <w:tr w14:paraId="6427F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68DA1CFA">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color w:val="auto"/>
                <w:sz w:val="24"/>
                <w:szCs w:val="24"/>
                <w:lang w:val="en-US" w:eastAsia="zh-CN"/>
              </w:rPr>
            </w:pPr>
            <w:r>
              <w:rPr>
                <w:rFonts w:hint="eastAsia"/>
                <w:color w:val="auto"/>
                <w:sz w:val="24"/>
                <w:szCs w:val="24"/>
                <w:lang w:val="en-US" w:eastAsia="zh-CN"/>
              </w:rPr>
              <w:t>1.11</w:t>
            </w:r>
          </w:p>
        </w:tc>
        <w:tc>
          <w:tcPr>
            <w:tcW w:w="969" w:type="dxa"/>
            <w:vAlign w:val="center"/>
          </w:tcPr>
          <w:p w14:paraId="14E135D9">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10329" w:type="dxa"/>
            <w:gridSpan w:val="3"/>
            <w:vAlign w:val="center"/>
          </w:tcPr>
          <w:p w14:paraId="38931B2B">
            <w:pPr>
              <w:jc w:val="both"/>
              <w:rPr>
                <w:rFonts w:hint="eastAsia"/>
                <w:color w:val="auto"/>
                <w:kern w:val="2"/>
                <w:sz w:val="24"/>
                <w:szCs w:val="24"/>
              </w:rPr>
            </w:pPr>
            <w:r>
              <w:rPr>
                <w:rFonts w:hint="eastAsia" w:ascii="宋体" w:hAnsi="宋体" w:eastAsia="宋体" w:cs="宋体"/>
                <w:color w:val="auto"/>
                <w:sz w:val="24"/>
                <w:szCs w:val="24"/>
              </w:rPr>
              <w:t>提供辐射安全证书</w:t>
            </w:r>
          </w:p>
        </w:tc>
        <w:tc>
          <w:tcPr>
            <w:tcW w:w="1876" w:type="dxa"/>
            <w:vAlign w:val="center"/>
          </w:tcPr>
          <w:p w14:paraId="13FCC9C7">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rPr>
            </w:pPr>
            <w:r>
              <w:rPr>
                <w:rFonts w:hint="eastAsia"/>
                <w:b/>
                <w:bCs/>
                <w:color w:val="auto"/>
                <w:sz w:val="24"/>
                <w:szCs w:val="24"/>
                <w:lang w:val="en-US" w:eastAsia="zh-CN"/>
              </w:rPr>
              <w:t>提供</w:t>
            </w:r>
            <w:r>
              <w:rPr>
                <w:rFonts w:hint="eastAsia"/>
                <w:b/>
                <w:bCs/>
                <w:color w:val="auto"/>
                <w:sz w:val="24"/>
                <w:szCs w:val="24"/>
              </w:rPr>
              <w:t>证明材料</w:t>
            </w:r>
          </w:p>
        </w:tc>
      </w:tr>
      <w:tr w14:paraId="5EC27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0DCBBA85">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eastAsia="宋体"/>
                <w:b/>
                <w:bCs/>
                <w:color w:val="auto"/>
                <w:sz w:val="24"/>
                <w:szCs w:val="24"/>
                <w:lang w:eastAsia="zh-CN"/>
              </w:rPr>
            </w:pPr>
            <w:r>
              <w:rPr>
                <w:rFonts w:hint="eastAsia"/>
                <w:b/>
                <w:bCs/>
                <w:color w:val="auto"/>
                <w:sz w:val="24"/>
                <w:szCs w:val="24"/>
                <w:lang w:val="en-US" w:eastAsia="zh-CN"/>
              </w:rPr>
              <w:t>2</w:t>
            </w:r>
          </w:p>
        </w:tc>
        <w:tc>
          <w:tcPr>
            <w:tcW w:w="13174" w:type="dxa"/>
            <w:gridSpan w:val="5"/>
            <w:vAlign w:val="center"/>
          </w:tcPr>
          <w:p w14:paraId="7E161EB1">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b/>
                <w:bCs/>
                <w:color w:val="auto"/>
                <w:sz w:val="24"/>
                <w:szCs w:val="24"/>
              </w:rPr>
            </w:pPr>
            <w:r>
              <w:rPr>
                <w:rFonts w:hint="eastAsia"/>
                <w:b/>
                <w:bCs/>
                <w:color w:val="auto"/>
                <w:sz w:val="24"/>
                <w:szCs w:val="24"/>
              </w:rPr>
              <w:t>现场服务</w:t>
            </w:r>
          </w:p>
        </w:tc>
      </w:tr>
      <w:tr w14:paraId="223F5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6C669A04">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rPr>
            </w:pPr>
            <w:r>
              <w:rPr>
                <w:rFonts w:hint="eastAsia"/>
                <w:color w:val="auto"/>
                <w:sz w:val="24"/>
                <w:szCs w:val="24"/>
                <w:lang w:val="en-US" w:eastAsia="zh-CN"/>
              </w:rPr>
              <w:t>2</w:t>
            </w:r>
            <w:r>
              <w:rPr>
                <w:rFonts w:hint="eastAsia"/>
                <w:color w:val="auto"/>
                <w:sz w:val="24"/>
                <w:szCs w:val="24"/>
              </w:rPr>
              <w:t>.1</w:t>
            </w:r>
          </w:p>
        </w:tc>
        <w:tc>
          <w:tcPr>
            <w:tcW w:w="969" w:type="dxa"/>
            <w:vAlign w:val="center"/>
          </w:tcPr>
          <w:p w14:paraId="0E593BAF">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1725" w:type="dxa"/>
            <w:gridSpan w:val="2"/>
            <w:vAlign w:val="center"/>
          </w:tcPr>
          <w:p w14:paraId="6207EE61">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eastAsia="宋体"/>
                <w:color w:val="auto"/>
                <w:kern w:val="2"/>
                <w:sz w:val="24"/>
                <w:szCs w:val="24"/>
                <w:lang w:eastAsia="zh-CN"/>
              </w:rPr>
            </w:pPr>
            <w:r>
              <w:rPr>
                <w:rFonts w:hint="eastAsia" w:eastAsia="宋体"/>
                <w:color w:val="auto"/>
                <w:kern w:val="2"/>
                <w:sz w:val="24"/>
                <w:szCs w:val="24"/>
                <w:lang w:eastAsia="zh-CN"/>
              </w:rPr>
              <w:t>符合资质的工程师人数</w:t>
            </w:r>
          </w:p>
        </w:tc>
        <w:tc>
          <w:tcPr>
            <w:tcW w:w="8604" w:type="dxa"/>
            <w:vAlign w:val="center"/>
          </w:tcPr>
          <w:p w14:paraId="4D14996F">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eastAsia="宋体"/>
                <w:color w:val="auto"/>
                <w:kern w:val="2"/>
                <w:sz w:val="24"/>
                <w:szCs w:val="24"/>
                <w:lang w:eastAsia="zh-CN"/>
              </w:rPr>
            </w:pPr>
            <w:r>
              <w:rPr>
                <w:rFonts w:hint="eastAsia" w:eastAsia="宋体"/>
                <w:color w:val="auto"/>
                <w:kern w:val="2"/>
                <w:sz w:val="24"/>
                <w:szCs w:val="24"/>
                <w:lang w:eastAsia="zh-CN"/>
              </w:rPr>
              <w:t>CT常驻当地工程师≥6个，DSA常驻当地工程师≥5个，提供在职证明和社保证明</w:t>
            </w:r>
            <w:r>
              <w:rPr>
                <w:rFonts w:hint="eastAsia"/>
                <w:color w:val="auto"/>
                <w:kern w:val="2"/>
                <w:sz w:val="24"/>
                <w:szCs w:val="24"/>
                <w:lang w:eastAsia="zh-CN"/>
              </w:rPr>
              <w:t>。</w:t>
            </w:r>
          </w:p>
        </w:tc>
        <w:tc>
          <w:tcPr>
            <w:tcW w:w="1876" w:type="dxa"/>
            <w:vAlign w:val="center"/>
          </w:tcPr>
          <w:p w14:paraId="2CAB23E5">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rPr>
            </w:pPr>
            <w:r>
              <w:rPr>
                <w:rFonts w:hint="eastAsia"/>
                <w:b/>
                <w:bCs/>
                <w:color w:val="auto"/>
                <w:sz w:val="24"/>
                <w:szCs w:val="24"/>
                <w:lang w:val="en-US" w:eastAsia="zh-CN"/>
              </w:rPr>
              <w:t>提供</w:t>
            </w:r>
            <w:r>
              <w:rPr>
                <w:rFonts w:hint="eastAsia"/>
                <w:b/>
                <w:bCs/>
                <w:color w:val="auto"/>
                <w:sz w:val="24"/>
                <w:szCs w:val="24"/>
              </w:rPr>
              <w:t>证明材料</w:t>
            </w:r>
          </w:p>
        </w:tc>
      </w:tr>
      <w:tr w14:paraId="7E736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44CAB1AD">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color w:val="auto"/>
                <w:sz w:val="24"/>
                <w:szCs w:val="24"/>
                <w:lang w:val="en-US" w:eastAsia="zh-CN"/>
              </w:rPr>
            </w:pPr>
            <w:r>
              <w:rPr>
                <w:rFonts w:hint="eastAsia"/>
                <w:color w:val="auto"/>
                <w:sz w:val="24"/>
                <w:szCs w:val="24"/>
                <w:lang w:val="en-US" w:eastAsia="zh-CN"/>
              </w:rPr>
              <w:t>▲2.2</w:t>
            </w:r>
          </w:p>
        </w:tc>
        <w:tc>
          <w:tcPr>
            <w:tcW w:w="969" w:type="dxa"/>
            <w:vAlign w:val="center"/>
          </w:tcPr>
          <w:p w14:paraId="0DDD40D6">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1725" w:type="dxa"/>
            <w:gridSpan w:val="2"/>
            <w:vAlign w:val="center"/>
          </w:tcPr>
          <w:p w14:paraId="550C891C">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eastAsia="宋体"/>
                <w:color w:val="auto"/>
                <w:kern w:val="2"/>
                <w:sz w:val="24"/>
                <w:szCs w:val="24"/>
                <w:lang w:eastAsia="zh-CN"/>
              </w:rPr>
            </w:pPr>
            <w:r>
              <w:rPr>
                <w:rFonts w:hint="eastAsia" w:eastAsia="宋体"/>
                <w:color w:val="auto"/>
                <w:kern w:val="2"/>
                <w:sz w:val="24"/>
                <w:szCs w:val="24"/>
                <w:lang w:eastAsia="zh-CN"/>
              </w:rPr>
              <w:t>工程师就该服务机型接受原厂培训</w:t>
            </w:r>
          </w:p>
        </w:tc>
        <w:tc>
          <w:tcPr>
            <w:tcW w:w="8604" w:type="dxa"/>
            <w:vAlign w:val="center"/>
          </w:tcPr>
          <w:p w14:paraId="1D580E61">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eastAsia="宋体"/>
                <w:color w:val="auto"/>
                <w:kern w:val="2"/>
                <w:sz w:val="24"/>
                <w:szCs w:val="24"/>
                <w:lang w:eastAsia="zh-CN"/>
              </w:rPr>
            </w:pPr>
            <w:r>
              <w:rPr>
                <w:rFonts w:hint="eastAsia" w:eastAsia="宋体"/>
                <w:color w:val="auto"/>
                <w:kern w:val="2"/>
                <w:sz w:val="24"/>
                <w:szCs w:val="24"/>
                <w:lang w:eastAsia="zh-CN"/>
              </w:rPr>
              <w:t>提供服务机型SOMATOM go.Top和Artis zee III ceiling设备原厂专业培训证书。</w:t>
            </w:r>
          </w:p>
        </w:tc>
        <w:tc>
          <w:tcPr>
            <w:tcW w:w="1876" w:type="dxa"/>
            <w:vAlign w:val="center"/>
          </w:tcPr>
          <w:p w14:paraId="5524DBE3">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b/>
                <w:bCs/>
                <w:color w:val="auto"/>
                <w:sz w:val="24"/>
                <w:szCs w:val="24"/>
                <w:lang w:val="en-US" w:eastAsia="zh-CN"/>
              </w:rPr>
            </w:pPr>
            <w:r>
              <w:rPr>
                <w:rFonts w:hint="eastAsia"/>
                <w:b/>
                <w:bCs/>
                <w:color w:val="auto"/>
                <w:sz w:val="24"/>
                <w:szCs w:val="24"/>
                <w:lang w:val="en-US" w:eastAsia="zh-CN"/>
              </w:rPr>
              <w:t>提供</w:t>
            </w:r>
            <w:r>
              <w:rPr>
                <w:rFonts w:hint="eastAsia"/>
                <w:b/>
                <w:bCs/>
                <w:color w:val="auto"/>
                <w:sz w:val="24"/>
                <w:szCs w:val="24"/>
              </w:rPr>
              <w:t>证明材料</w:t>
            </w:r>
          </w:p>
        </w:tc>
      </w:tr>
      <w:tr w14:paraId="2FD65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462B66ED">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eastAsia="宋体"/>
                <w:color w:val="auto"/>
                <w:sz w:val="24"/>
                <w:szCs w:val="24"/>
                <w:lang w:eastAsia="zh-CN"/>
              </w:rPr>
            </w:pPr>
            <w:r>
              <w:rPr>
                <w:rFonts w:hint="eastAsia"/>
                <w:color w:val="auto"/>
                <w:sz w:val="24"/>
                <w:szCs w:val="24"/>
                <w:lang w:val="en-US" w:eastAsia="zh-CN"/>
              </w:rPr>
              <w:t>2</w:t>
            </w:r>
            <w:r>
              <w:rPr>
                <w:rFonts w:hint="eastAsia"/>
                <w:color w:val="auto"/>
                <w:sz w:val="24"/>
                <w:szCs w:val="24"/>
              </w:rPr>
              <w:t>.</w:t>
            </w:r>
            <w:r>
              <w:rPr>
                <w:rFonts w:hint="eastAsia"/>
                <w:color w:val="auto"/>
                <w:sz w:val="24"/>
                <w:szCs w:val="24"/>
                <w:lang w:val="en-US" w:eastAsia="zh-CN"/>
              </w:rPr>
              <w:t>3</w:t>
            </w:r>
          </w:p>
        </w:tc>
        <w:tc>
          <w:tcPr>
            <w:tcW w:w="969" w:type="dxa"/>
            <w:vAlign w:val="center"/>
          </w:tcPr>
          <w:p w14:paraId="72FC81CE">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10329" w:type="dxa"/>
            <w:gridSpan w:val="3"/>
            <w:vAlign w:val="center"/>
          </w:tcPr>
          <w:p w14:paraId="3E8664C8">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eastAsia="宋体"/>
                <w:color w:val="auto"/>
                <w:kern w:val="2"/>
                <w:sz w:val="24"/>
                <w:szCs w:val="24"/>
                <w:lang w:eastAsia="zh-CN"/>
              </w:rPr>
            </w:pPr>
            <w:r>
              <w:rPr>
                <w:rFonts w:hint="eastAsia" w:eastAsia="宋体"/>
                <w:color w:val="auto"/>
                <w:kern w:val="2"/>
                <w:sz w:val="24"/>
                <w:szCs w:val="24"/>
                <w:lang w:eastAsia="zh-CN"/>
              </w:rPr>
              <w:t>按照原厂标准手册规定，提供一年≥2次定期上门预防性维护保养。包括机器清洁、性能测试及校准、必要的机器或电气的检查，以及非紧急性质的预防性维护，确保系统能按照制造商的产品规格运行。</w:t>
            </w:r>
          </w:p>
        </w:tc>
        <w:tc>
          <w:tcPr>
            <w:tcW w:w="1876" w:type="dxa"/>
            <w:vAlign w:val="center"/>
          </w:tcPr>
          <w:p w14:paraId="1DAECF22">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51ED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011" w:type="dxa"/>
            <w:vAlign w:val="center"/>
          </w:tcPr>
          <w:p w14:paraId="5F99561B">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b/>
                <w:bCs/>
                <w:color w:val="auto"/>
                <w:sz w:val="24"/>
                <w:szCs w:val="24"/>
              </w:rPr>
            </w:pPr>
            <w:r>
              <w:rPr>
                <w:rFonts w:hint="eastAsia"/>
                <w:b/>
                <w:bCs/>
                <w:color w:val="auto"/>
                <w:sz w:val="24"/>
                <w:szCs w:val="24"/>
                <w:lang w:val="en-US" w:eastAsia="zh-CN"/>
              </w:rPr>
              <w:t>3</w:t>
            </w:r>
          </w:p>
        </w:tc>
        <w:tc>
          <w:tcPr>
            <w:tcW w:w="13174" w:type="dxa"/>
            <w:gridSpan w:val="5"/>
            <w:vAlign w:val="center"/>
          </w:tcPr>
          <w:p w14:paraId="1F06DF0F">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b/>
                <w:bCs/>
                <w:color w:val="auto"/>
                <w:sz w:val="24"/>
                <w:szCs w:val="24"/>
              </w:rPr>
            </w:pPr>
            <w:r>
              <w:rPr>
                <w:rFonts w:hint="eastAsia"/>
                <w:b/>
                <w:bCs/>
                <w:color w:val="auto"/>
                <w:sz w:val="24"/>
                <w:szCs w:val="24"/>
              </w:rPr>
              <w:t>备件保障</w:t>
            </w:r>
          </w:p>
        </w:tc>
      </w:tr>
      <w:tr w14:paraId="5B197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2CA4ABCD">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eastAsia="宋体"/>
                <w:color w:val="auto"/>
                <w:kern w:val="2"/>
                <w:sz w:val="24"/>
                <w:szCs w:val="24"/>
                <w:lang w:val="en-US" w:eastAsia="zh-CN"/>
              </w:rPr>
            </w:pPr>
            <w:r>
              <w:rPr>
                <w:rFonts w:hint="eastAsia"/>
                <w:color w:val="auto"/>
                <w:sz w:val="24"/>
                <w:szCs w:val="24"/>
                <w:lang w:val="en-US" w:eastAsia="zh-CN"/>
              </w:rPr>
              <w:t>3.1</w:t>
            </w:r>
          </w:p>
        </w:tc>
        <w:tc>
          <w:tcPr>
            <w:tcW w:w="969" w:type="dxa"/>
            <w:vAlign w:val="center"/>
          </w:tcPr>
          <w:p w14:paraId="0B1FAEE8">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c>
          <w:tcPr>
            <w:tcW w:w="1725" w:type="dxa"/>
            <w:gridSpan w:val="2"/>
            <w:vAlign w:val="center"/>
          </w:tcPr>
          <w:p w14:paraId="26AADDDA">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国内有独立备件库</w:t>
            </w:r>
          </w:p>
        </w:tc>
        <w:tc>
          <w:tcPr>
            <w:tcW w:w="8604" w:type="dxa"/>
            <w:vAlign w:val="center"/>
          </w:tcPr>
          <w:p w14:paraId="586E4349">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提供仓储证明</w:t>
            </w:r>
          </w:p>
        </w:tc>
        <w:tc>
          <w:tcPr>
            <w:tcW w:w="1876" w:type="dxa"/>
            <w:vAlign w:val="center"/>
          </w:tcPr>
          <w:p w14:paraId="00DC1424">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b/>
                <w:bCs/>
                <w:color w:val="auto"/>
                <w:sz w:val="24"/>
                <w:szCs w:val="24"/>
              </w:rPr>
            </w:pPr>
            <w:r>
              <w:rPr>
                <w:rFonts w:hint="eastAsia"/>
                <w:b/>
                <w:bCs/>
                <w:color w:val="auto"/>
                <w:sz w:val="24"/>
                <w:szCs w:val="24"/>
                <w:lang w:val="en-US" w:eastAsia="zh-CN"/>
              </w:rPr>
              <w:t>提供</w:t>
            </w:r>
            <w:r>
              <w:rPr>
                <w:rFonts w:hint="eastAsia"/>
                <w:b/>
                <w:bCs/>
                <w:color w:val="auto"/>
                <w:sz w:val="24"/>
                <w:szCs w:val="24"/>
              </w:rPr>
              <w:t>证明材料</w:t>
            </w:r>
          </w:p>
        </w:tc>
      </w:tr>
      <w:tr w14:paraId="338E1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506B96F3">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eastAsia="宋体"/>
                <w:color w:val="auto"/>
                <w:sz w:val="24"/>
                <w:szCs w:val="24"/>
                <w:lang w:val="en-US" w:eastAsia="zh-CN"/>
              </w:rPr>
            </w:pPr>
            <w:r>
              <w:rPr>
                <w:rFonts w:hint="eastAsia"/>
                <w:color w:val="auto"/>
                <w:sz w:val="24"/>
                <w:szCs w:val="24"/>
                <w:lang w:val="en-US" w:eastAsia="zh-CN"/>
              </w:rPr>
              <w:t>▲3.2</w:t>
            </w:r>
          </w:p>
        </w:tc>
        <w:tc>
          <w:tcPr>
            <w:tcW w:w="969" w:type="dxa"/>
            <w:vAlign w:val="center"/>
          </w:tcPr>
          <w:p w14:paraId="07C8663C">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eastAsia="宋体"/>
                <w:color w:val="auto"/>
                <w:sz w:val="24"/>
                <w:szCs w:val="24"/>
                <w:lang w:val="en-US" w:eastAsia="zh-CN"/>
              </w:rPr>
            </w:pPr>
          </w:p>
        </w:tc>
        <w:tc>
          <w:tcPr>
            <w:tcW w:w="1725" w:type="dxa"/>
            <w:gridSpan w:val="2"/>
            <w:vAlign w:val="center"/>
          </w:tcPr>
          <w:p w14:paraId="3BA35967">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高值备件证书</w:t>
            </w:r>
          </w:p>
        </w:tc>
        <w:tc>
          <w:tcPr>
            <w:tcW w:w="8604" w:type="dxa"/>
            <w:vAlign w:val="center"/>
          </w:tcPr>
          <w:p w14:paraId="0B80706D">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提供原厂证书或进口证明(报关单)</w:t>
            </w:r>
          </w:p>
        </w:tc>
        <w:tc>
          <w:tcPr>
            <w:tcW w:w="1876" w:type="dxa"/>
            <w:vAlign w:val="center"/>
          </w:tcPr>
          <w:p w14:paraId="29F65ACE">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b/>
                <w:bCs/>
                <w:color w:val="auto"/>
                <w:sz w:val="24"/>
                <w:szCs w:val="24"/>
              </w:rPr>
            </w:pPr>
            <w:r>
              <w:rPr>
                <w:rFonts w:hint="eastAsia"/>
                <w:b/>
                <w:bCs/>
                <w:color w:val="auto"/>
                <w:sz w:val="24"/>
                <w:szCs w:val="24"/>
                <w:lang w:val="en-US" w:eastAsia="zh-CN"/>
              </w:rPr>
              <w:t>提供</w:t>
            </w:r>
            <w:r>
              <w:rPr>
                <w:rFonts w:hint="eastAsia"/>
                <w:b/>
                <w:bCs/>
                <w:color w:val="auto"/>
                <w:sz w:val="24"/>
                <w:szCs w:val="24"/>
              </w:rPr>
              <w:t>证明材料</w:t>
            </w:r>
          </w:p>
        </w:tc>
      </w:tr>
      <w:tr w14:paraId="316EC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4ED304EA">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b/>
                <w:bCs/>
                <w:color w:val="auto"/>
                <w:sz w:val="24"/>
                <w:szCs w:val="24"/>
              </w:rPr>
            </w:pPr>
            <w:r>
              <w:rPr>
                <w:rFonts w:hint="eastAsia"/>
                <w:b/>
                <w:bCs/>
                <w:color w:val="auto"/>
                <w:sz w:val="24"/>
                <w:szCs w:val="24"/>
                <w:lang w:val="en-US" w:eastAsia="zh-CN"/>
              </w:rPr>
              <w:t>4</w:t>
            </w:r>
          </w:p>
        </w:tc>
        <w:tc>
          <w:tcPr>
            <w:tcW w:w="13174" w:type="dxa"/>
            <w:gridSpan w:val="5"/>
            <w:vAlign w:val="center"/>
          </w:tcPr>
          <w:p w14:paraId="2FF22F91">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b/>
                <w:bCs/>
                <w:color w:val="auto"/>
                <w:sz w:val="24"/>
                <w:szCs w:val="24"/>
              </w:rPr>
            </w:pPr>
            <w:r>
              <w:rPr>
                <w:rFonts w:hint="eastAsia"/>
                <w:b/>
                <w:bCs/>
                <w:color w:val="auto"/>
                <w:sz w:val="24"/>
                <w:szCs w:val="24"/>
              </w:rPr>
              <w:t>服务范围</w:t>
            </w:r>
          </w:p>
        </w:tc>
      </w:tr>
      <w:tr w14:paraId="43851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3FD82A6B">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eastAsia="宋体"/>
                <w:color w:val="auto"/>
                <w:sz w:val="24"/>
                <w:szCs w:val="24"/>
                <w:lang w:val="en-US" w:eastAsia="zh-CN"/>
              </w:rPr>
            </w:pPr>
            <w:r>
              <w:rPr>
                <w:rFonts w:hint="eastAsia"/>
                <w:color w:val="auto"/>
                <w:sz w:val="24"/>
                <w:szCs w:val="24"/>
                <w:lang w:val="en-US" w:eastAsia="zh-CN"/>
              </w:rPr>
              <w:t>4.1</w:t>
            </w:r>
          </w:p>
        </w:tc>
        <w:tc>
          <w:tcPr>
            <w:tcW w:w="969" w:type="dxa"/>
            <w:vAlign w:val="center"/>
          </w:tcPr>
          <w:p w14:paraId="723E704D">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1725" w:type="dxa"/>
            <w:gridSpan w:val="2"/>
            <w:vAlign w:val="center"/>
          </w:tcPr>
          <w:p w14:paraId="6778EFF3">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安全检查</w:t>
            </w:r>
          </w:p>
        </w:tc>
        <w:tc>
          <w:tcPr>
            <w:tcW w:w="8604" w:type="dxa"/>
            <w:vAlign w:val="center"/>
          </w:tcPr>
          <w:p w14:paraId="6F867C93">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≥1次/年</w:t>
            </w:r>
          </w:p>
        </w:tc>
        <w:tc>
          <w:tcPr>
            <w:tcW w:w="1876" w:type="dxa"/>
            <w:vAlign w:val="center"/>
          </w:tcPr>
          <w:p w14:paraId="73DEBA6D">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10405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1A492399">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r>
              <w:rPr>
                <w:rFonts w:hint="eastAsia"/>
                <w:color w:val="auto"/>
                <w:sz w:val="24"/>
                <w:szCs w:val="24"/>
                <w:lang w:val="en-US" w:eastAsia="zh-CN"/>
              </w:rPr>
              <w:t>▲4.2</w:t>
            </w:r>
          </w:p>
        </w:tc>
        <w:tc>
          <w:tcPr>
            <w:tcW w:w="969" w:type="dxa"/>
            <w:vAlign w:val="center"/>
          </w:tcPr>
          <w:p w14:paraId="0170FE9D">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color w:val="auto"/>
                <w:sz w:val="24"/>
                <w:szCs w:val="24"/>
                <w:lang w:val="en-US" w:eastAsia="zh-CN"/>
              </w:rPr>
            </w:pPr>
          </w:p>
        </w:tc>
        <w:tc>
          <w:tcPr>
            <w:tcW w:w="1725" w:type="dxa"/>
            <w:gridSpan w:val="2"/>
            <w:vAlign w:val="center"/>
          </w:tcPr>
          <w:p w14:paraId="1FF069EC">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安全升级</w:t>
            </w:r>
          </w:p>
        </w:tc>
        <w:tc>
          <w:tcPr>
            <w:tcW w:w="8604" w:type="dxa"/>
            <w:vAlign w:val="center"/>
          </w:tcPr>
          <w:p w14:paraId="7F10C63F">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根据系统安全实际情况进行升级至原厂最新版本</w:t>
            </w:r>
          </w:p>
        </w:tc>
        <w:tc>
          <w:tcPr>
            <w:tcW w:w="1876" w:type="dxa"/>
            <w:vAlign w:val="center"/>
          </w:tcPr>
          <w:p w14:paraId="1BE8581C">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4AAF4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172880EF">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r>
              <w:rPr>
                <w:rFonts w:hint="eastAsia"/>
                <w:color w:val="auto"/>
                <w:sz w:val="24"/>
                <w:szCs w:val="24"/>
                <w:lang w:val="en-US" w:eastAsia="zh-CN"/>
              </w:rPr>
              <w:t>▲4.3</w:t>
            </w:r>
          </w:p>
        </w:tc>
        <w:tc>
          <w:tcPr>
            <w:tcW w:w="969" w:type="dxa"/>
            <w:vAlign w:val="center"/>
          </w:tcPr>
          <w:p w14:paraId="031818EB">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1725" w:type="dxa"/>
            <w:gridSpan w:val="2"/>
            <w:vAlign w:val="center"/>
          </w:tcPr>
          <w:p w14:paraId="0AE02F40">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质量保证</w:t>
            </w:r>
          </w:p>
        </w:tc>
        <w:tc>
          <w:tcPr>
            <w:tcW w:w="8604" w:type="dxa"/>
            <w:vAlign w:val="center"/>
          </w:tcPr>
          <w:p w14:paraId="47728299">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eastAsia="宋体"/>
                <w:color w:val="auto"/>
                <w:kern w:val="2"/>
                <w:sz w:val="24"/>
                <w:szCs w:val="24"/>
                <w:lang w:eastAsia="zh-CN"/>
              </w:rPr>
            </w:pPr>
            <w:r>
              <w:rPr>
                <w:rFonts w:hint="eastAsia"/>
                <w:color w:val="auto"/>
                <w:kern w:val="2"/>
                <w:sz w:val="24"/>
                <w:szCs w:val="24"/>
              </w:rPr>
              <w:t>定期对图像质量进行检查，评判参数并进行调整/校准</w:t>
            </w:r>
            <w:r>
              <w:rPr>
                <w:rFonts w:hint="eastAsia"/>
                <w:color w:val="auto"/>
                <w:kern w:val="2"/>
                <w:sz w:val="24"/>
                <w:szCs w:val="24"/>
                <w:lang w:eastAsia="zh-CN"/>
              </w:rPr>
              <w:t>。</w:t>
            </w:r>
          </w:p>
        </w:tc>
        <w:tc>
          <w:tcPr>
            <w:tcW w:w="1876" w:type="dxa"/>
            <w:vAlign w:val="center"/>
          </w:tcPr>
          <w:p w14:paraId="154CB572">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74C58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1283FB9F">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r>
              <w:rPr>
                <w:rFonts w:hint="eastAsia"/>
                <w:color w:val="auto"/>
                <w:sz w:val="24"/>
                <w:szCs w:val="24"/>
                <w:lang w:val="en-US" w:eastAsia="zh-CN"/>
              </w:rPr>
              <w:t>4.4</w:t>
            </w:r>
          </w:p>
        </w:tc>
        <w:tc>
          <w:tcPr>
            <w:tcW w:w="969" w:type="dxa"/>
            <w:vAlign w:val="center"/>
          </w:tcPr>
          <w:p w14:paraId="3D5A6610">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1725" w:type="dxa"/>
            <w:gridSpan w:val="2"/>
            <w:vAlign w:val="center"/>
          </w:tcPr>
          <w:p w14:paraId="0CACAE32">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保养</w:t>
            </w:r>
          </w:p>
        </w:tc>
        <w:tc>
          <w:tcPr>
            <w:tcW w:w="8604" w:type="dxa"/>
            <w:vAlign w:val="center"/>
          </w:tcPr>
          <w:p w14:paraId="12B91B80">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eastAsia="宋体"/>
                <w:color w:val="auto"/>
                <w:kern w:val="2"/>
                <w:sz w:val="24"/>
                <w:szCs w:val="24"/>
                <w:lang w:eastAsia="zh-CN"/>
              </w:rPr>
            </w:pPr>
            <w:r>
              <w:rPr>
                <w:rFonts w:hint="eastAsia"/>
                <w:color w:val="auto"/>
                <w:kern w:val="2"/>
                <w:sz w:val="24"/>
                <w:szCs w:val="24"/>
              </w:rPr>
              <w:t>≥2次/年，包含保养耗材</w:t>
            </w:r>
            <w:r>
              <w:rPr>
                <w:rFonts w:hint="eastAsia"/>
                <w:color w:val="auto"/>
                <w:kern w:val="2"/>
                <w:sz w:val="24"/>
                <w:szCs w:val="24"/>
                <w:lang w:eastAsia="zh-CN"/>
              </w:rPr>
              <w:t>。</w:t>
            </w:r>
          </w:p>
        </w:tc>
        <w:tc>
          <w:tcPr>
            <w:tcW w:w="1876" w:type="dxa"/>
            <w:vAlign w:val="center"/>
          </w:tcPr>
          <w:p w14:paraId="68CFB573">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262A8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5A2CAA42">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r>
              <w:rPr>
                <w:rFonts w:hint="eastAsia"/>
                <w:color w:val="auto"/>
                <w:sz w:val="24"/>
                <w:szCs w:val="24"/>
                <w:lang w:val="en-US" w:eastAsia="zh-CN"/>
              </w:rPr>
              <w:t>4.5</w:t>
            </w:r>
          </w:p>
        </w:tc>
        <w:tc>
          <w:tcPr>
            <w:tcW w:w="969" w:type="dxa"/>
            <w:vAlign w:val="center"/>
          </w:tcPr>
          <w:p w14:paraId="0976319D">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1725" w:type="dxa"/>
            <w:gridSpan w:val="2"/>
            <w:vAlign w:val="center"/>
          </w:tcPr>
          <w:p w14:paraId="0B555622">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现场维修服务</w:t>
            </w:r>
          </w:p>
        </w:tc>
        <w:tc>
          <w:tcPr>
            <w:tcW w:w="8604" w:type="dxa"/>
            <w:vAlign w:val="center"/>
          </w:tcPr>
          <w:p w14:paraId="556F4A9F">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现场响应时间&lt;48小时</w:t>
            </w:r>
          </w:p>
        </w:tc>
        <w:tc>
          <w:tcPr>
            <w:tcW w:w="1876" w:type="dxa"/>
            <w:vAlign w:val="center"/>
          </w:tcPr>
          <w:p w14:paraId="1FDCFE38">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511E9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60DFAB53">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r>
              <w:rPr>
                <w:rFonts w:hint="eastAsia"/>
                <w:color w:val="auto"/>
                <w:sz w:val="24"/>
                <w:szCs w:val="24"/>
                <w:lang w:val="en-US" w:eastAsia="zh-CN"/>
              </w:rPr>
              <w:t>▲4.6</w:t>
            </w:r>
          </w:p>
        </w:tc>
        <w:tc>
          <w:tcPr>
            <w:tcW w:w="969" w:type="dxa"/>
            <w:vAlign w:val="center"/>
          </w:tcPr>
          <w:p w14:paraId="6A98E1A2">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1725" w:type="dxa"/>
            <w:gridSpan w:val="2"/>
            <w:vAlign w:val="center"/>
          </w:tcPr>
          <w:p w14:paraId="09A6CAB0">
            <w:pPr>
              <w:keepNext w:val="0"/>
              <w:keepLines w:val="0"/>
              <w:pageBreakBefore w:val="0"/>
              <w:widowControl w:val="0"/>
              <w:kinsoku/>
              <w:wordWrap w:val="0"/>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ascii="宋体" w:hAnsi="宋体" w:eastAsia="宋体" w:cs="宋体"/>
                <w:color w:val="auto"/>
                <w:sz w:val="24"/>
                <w:szCs w:val="24"/>
                <w14:ligatures w14:val="none"/>
              </w:rPr>
              <w:t>维保范围</w:t>
            </w:r>
          </w:p>
        </w:tc>
        <w:tc>
          <w:tcPr>
            <w:tcW w:w="8604" w:type="dxa"/>
            <w:vAlign w:val="center"/>
          </w:tcPr>
          <w:p w14:paraId="36E26794">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p>
        </w:tc>
        <w:tc>
          <w:tcPr>
            <w:tcW w:w="1876" w:type="dxa"/>
            <w:vAlign w:val="center"/>
          </w:tcPr>
          <w:p w14:paraId="793DDBED">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223D7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58D61451">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969" w:type="dxa"/>
            <w:vAlign w:val="center"/>
          </w:tcPr>
          <w:p w14:paraId="49C2E81B">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.6.1</w:t>
            </w:r>
          </w:p>
        </w:tc>
        <w:tc>
          <w:tcPr>
            <w:tcW w:w="1725" w:type="dxa"/>
            <w:gridSpan w:val="2"/>
            <w:vAlign w:val="center"/>
          </w:tcPr>
          <w:p w14:paraId="63F07E25">
            <w:pPr>
              <w:jc w:val="both"/>
              <w:rPr>
                <w:rFonts w:hint="eastAsia" w:ascii="宋体" w:hAnsi="宋体" w:eastAsia="宋体" w:cs="宋体"/>
                <w:color w:val="auto"/>
                <w:kern w:val="2"/>
                <w:sz w:val="24"/>
                <w:szCs w:val="24"/>
              </w:rPr>
            </w:pPr>
            <w:r>
              <w:rPr>
                <w:rFonts w:hint="eastAsia" w:ascii="宋体" w:hAnsi="宋体" w:eastAsia="宋体" w:cs="宋体"/>
                <w:color w:val="auto"/>
                <w:sz w:val="24"/>
                <w:szCs w:val="24"/>
              </w:rPr>
              <w:t>SOMATOM go.Top</w:t>
            </w:r>
          </w:p>
        </w:tc>
        <w:tc>
          <w:tcPr>
            <w:tcW w:w="8604" w:type="dxa"/>
            <w:vAlign w:val="top"/>
          </w:tcPr>
          <w:p w14:paraId="24105ADD">
            <w:pPr>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1.保修范围包含：球管，高压油箱，探测器，滑环，常规备件，维修工时，远程诊断，每合同年</w:t>
            </w:r>
            <w:r>
              <w:rPr>
                <w:rFonts w:hint="eastAsia" w:ascii="宋体" w:hAnsi="宋体" w:eastAsia="宋体" w:cs="宋体"/>
                <w:color w:val="auto"/>
                <w:kern w:val="2"/>
                <w:sz w:val="24"/>
                <w:szCs w:val="24"/>
              </w:rPr>
              <w:t>≥</w:t>
            </w:r>
            <w:r>
              <w:rPr>
                <w:rFonts w:hint="eastAsia" w:ascii="宋体" w:hAnsi="宋体" w:eastAsia="宋体" w:cs="宋体"/>
                <w:color w:val="auto"/>
                <w:sz w:val="24"/>
                <w:szCs w:val="24"/>
              </w:rPr>
              <w:t>2次保养（包含保养耗材）；</w:t>
            </w:r>
          </w:p>
          <w:p w14:paraId="0526F0E3">
            <w:pPr>
              <w:spacing w:line="360" w:lineRule="auto"/>
              <w:jc w:val="both"/>
              <w:rPr>
                <w:rFonts w:hint="eastAsia" w:ascii="宋体" w:hAnsi="宋体" w:eastAsia="宋体" w:cs="宋体"/>
                <w:color w:val="auto"/>
                <w:kern w:val="2"/>
                <w:sz w:val="24"/>
                <w:szCs w:val="24"/>
              </w:rPr>
            </w:pPr>
            <w:r>
              <w:rPr>
                <w:rFonts w:hint="eastAsia" w:ascii="宋体" w:hAnsi="宋体" w:eastAsia="宋体" w:cs="宋体"/>
                <w:color w:val="auto"/>
                <w:sz w:val="24"/>
                <w:szCs w:val="24"/>
              </w:rPr>
              <w:t>2.保修范围不包含：移机及所需备品备件，其他厂家设备和服务。</w:t>
            </w:r>
          </w:p>
        </w:tc>
        <w:tc>
          <w:tcPr>
            <w:tcW w:w="1876" w:type="dxa"/>
            <w:vAlign w:val="center"/>
          </w:tcPr>
          <w:p w14:paraId="477B5AA9">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47272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1EC744D5">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969" w:type="dxa"/>
            <w:vAlign w:val="center"/>
          </w:tcPr>
          <w:p w14:paraId="050C9C01">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.6.2</w:t>
            </w:r>
          </w:p>
        </w:tc>
        <w:tc>
          <w:tcPr>
            <w:tcW w:w="1725" w:type="dxa"/>
            <w:gridSpan w:val="2"/>
            <w:vAlign w:val="center"/>
          </w:tcPr>
          <w:p w14:paraId="01FD6015">
            <w:pPr>
              <w:spacing w:line="360" w:lineRule="auto"/>
              <w:jc w:val="both"/>
              <w:rPr>
                <w:rFonts w:hint="eastAsia" w:ascii="宋体" w:hAnsi="宋体" w:eastAsia="宋体" w:cs="宋体"/>
                <w:color w:val="auto"/>
                <w:kern w:val="2"/>
                <w:sz w:val="24"/>
                <w:szCs w:val="24"/>
              </w:rPr>
            </w:pPr>
            <w:r>
              <w:rPr>
                <w:rFonts w:hint="eastAsia" w:ascii="宋体" w:hAnsi="宋体" w:eastAsia="宋体" w:cs="宋体"/>
                <w:color w:val="auto"/>
                <w:sz w:val="24"/>
                <w:szCs w:val="24"/>
              </w:rPr>
              <w:t>Artis zee III ceiling</w:t>
            </w:r>
          </w:p>
        </w:tc>
        <w:tc>
          <w:tcPr>
            <w:tcW w:w="8604" w:type="dxa"/>
            <w:vAlign w:val="top"/>
          </w:tcPr>
          <w:p w14:paraId="08C5C276">
            <w:pPr>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1.保修范围包含：每合同年2个常规备件（以先后顺序发生为准），不限次数人工，每合同年</w:t>
            </w:r>
            <w:r>
              <w:rPr>
                <w:rFonts w:hint="eastAsia" w:ascii="宋体" w:hAnsi="宋体" w:eastAsia="宋体" w:cs="宋体"/>
                <w:color w:val="auto"/>
                <w:kern w:val="2"/>
                <w:sz w:val="24"/>
                <w:szCs w:val="24"/>
              </w:rPr>
              <w:t>≥</w:t>
            </w:r>
            <w:r>
              <w:rPr>
                <w:rFonts w:hint="eastAsia" w:ascii="宋体" w:hAnsi="宋体" w:eastAsia="宋体" w:cs="宋体"/>
                <w:color w:val="auto"/>
                <w:sz w:val="24"/>
                <w:szCs w:val="24"/>
              </w:rPr>
              <w:t>2次保养（包含保养耗材）；</w:t>
            </w:r>
          </w:p>
          <w:p w14:paraId="2E83F6E3">
            <w:pPr>
              <w:spacing w:line="360" w:lineRule="auto"/>
              <w:jc w:val="both"/>
              <w:rPr>
                <w:rFonts w:hint="eastAsia" w:ascii="宋体" w:hAnsi="宋体" w:eastAsia="宋体" w:cs="宋体"/>
                <w:color w:val="auto"/>
                <w:kern w:val="2"/>
                <w:sz w:val="24"/>
                <w:szCs w:val="24"/>
                <w:lang w:eastAsia="zh-CN"/>
              </w:rPr>
            </w:pPr>
            <w:r>
              <w:rPr>
                <w:rFonts w:hint="eastAsia" w:ascii="宋体" w:hAnsi="宋体" w:eastAsia="宋体" w:cs="宋体"/>
                <w:color w:val="auto"/>
                <w:sz w:val="24"/>
                <w:szCs w:val="24"/>
              </w:rPr>
              <w:t>2.保修范围不包含：球管，高压油箱，探测器，2个常规备件以外的备件，移机及所需备品备件，其他厂家设备和服务。</w:t>
            </w:r>
          </w:p>
        </w:tc>
        <w:tc>
          <w:tcPr>
            <w:tcW w:w="1876" w:type="dxa"/>
            <w:vAlign w:val="center"/>
          </w:tcPr>
          <w:p w14:paraId="3B2D562E">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78A49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161E056D">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color w:val="auto"/>
                <w:sz w:val="24"/>
                <w:szCs w:val="24"/>
                <w:lang w:val="en-US" w:eastAsia="zh-CN"/>
              </w:rPr>
            </w:pPr>
            <w:r>
              <w:rPr>
                <w:rFonts w:hint="eastAsia"/>
                <w:color w:val="auto"/>
                <w:sz w:val="24"/>
                <w:szCs w:val="24"/>
                <w:lang w:val="en-US" w:eastAsia="zh-CN"/>
              </w:rPr>
              <w:t>▲4.7</w:t>
            </w:r>
          </w:p>
        </w:tc>
        <w:tc>
          <w:tcPr>
            <w:tcW w:w="969" w:type="dxa"/>
            <w:vAlign w:val="center"/>
          </w:tcPr>
          <w:p w14:paraId="7A88509B">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ascii="宋体" w:hAnsi="宋体" w:eastAsia="宋体" w:cs="宋体"/>
                <w:color w:val="auto"/>
                <w:sz w:val="24"/>
                <w:szCs w:val="24"/>
                <w:lang w:val="en-US" w:eastAsia="zh-CN"/>
              </w:rPr>
            </w:pPr>
          </w:p>
        </w:tc>
        <w:tc>
          <w:tcPr>
            <w:tcW w:w="1725" w:type="dxa"/>
            <w:gridSpan w:val="2"/>
            <w:vAlign w:val="center"/>
          </w:tcPr>
          <w:p w14:paraId="337F3F3C">
            <w:pPr>
              <w:jc w:val="both"/>
              <w:rPr>
                <w:rFonts w:hint="eastAsia" w:ascii="宋体" w:hAnsi="宋体" w:eastAsia="宋体" w:cs="宋体"/>
                <w:color w:val="auto"/>
                <w:kern w:val="2"/>
                <w:sz w:val="24"/>
                <w:szCs w:val="24"/>
              </w:rPr>
            </w:pPr>
            <w:r>
              <w:rPr>
                <w:rFonts w:hint="eastAsia" w:ascii="宋体" w:hAnsi="宋体" w:eastAsia="宋体" w:cs="宋体"/>
                <w:color w:val="auto"/>
                <w:sz w:val="24"/>
                <w:szCs w:val="24"/>
              </w:rPr>
              <w:t>备件更换</w:t>
            </w:r>
          </w:p>
        </w:tc>
        <w:tc>
          <w:tcPr>
            <w:tcW w:w="8604" w:type="dxa"/>
            <w:vAlign w:val="top"/>
          </w:tcPr>
          <w:p w14:paraId="468046D8">
            <w:pPr>
              <w:spacing w:line="360" w:lineRule="auto"/>
              <w:jc w:val="both"/>
              <w:rPr>
                <w:rFonts w:hint="eastAsia" w:ascii="宋体" w:hAnsi="宋体" w:eastAsia="宋体" w:cs="宋体"/>
                <w:color w:val="auto"/>
                <w:kern w:val="2"/>
                <w:sz w:val="24"/>
                <w:szCs w:val="24"/>
              </w:rPr>
            </w:pPr>
            <w:r>
              <w:rPr>
                <w:rFonts w:hint="eastAsia" w:ascii="宋体" w:hAnsi="宋体" w:eastAsia="宋体" w:cs="宋体"/>
                <w:color w:val="auto"/>
                <w:sz w:val="24"/>
                <w:szCs w:val="24"/>
              </w:rPr>
              <w:t>提供原厂备件，所更换备件与服务机型完全匹配，且必须保证供货渠道合法合规，可以溯源。</w:t>
            </w:r>
          </w:p>
        </w:tc>
        <w:tc>
          <w:tcPr>
            <w:tcW w:w="1876" w:type="dxa"/>
            <w:vAlign w:val="center"/>
          </w:tcPr>
          <w:p w14:paraId="75FF9626">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1E9BE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52FE8720">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color w:val="auto"/>
                <w:sz w:val="24"/>
                <w:szCs w:val="24"/>
                <w:lang w:val="en-US" w:eastAsia="zh-CN"/>
              </w:rPr>
            </w:pPr>
            <w:r>
              <w:rPr>
                <w:rFonts w:hint="eastAsia"/>
                <w:color w:val="auto"/>
                <w:sz w:val="24"/>
                <w:szCs w:val="24"/>
                <w:lang w:val="en-US" w:eastAsia="zh-CN"/>
              </w:rPr>
              <w:t>5</w:t>
            </w:r>
          </w:p>
        </w:tc>
        <w:tc>
          <w:tcPr>
            <w:tcW w:w="13174" w:type="dxa"/>
            <w:gridSpan w:val="5"/>
            <w:vAlign w:val="center"/>
          </w:tcPr>
          <w:p w14:paraId="42E85D75">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r>
              <w:rPr>
                <w:rFonts w:hint="eastAsia" w:ascii="宋体" w:hAnsi="宋体" w:eastAsia="宋体" w:cs="宋体"/>
                <w:b/>
                <w:bCs/>
                <w:color w:val="auto"/>
                <w:sz w:val="24"/>
                <w:szCs w:val="24"/>
                <w14:ligatures w14:val="none"/>
              </w:rPr>
              <w:t>实时在线查询设备信息和状态</w:t>
            </w:r>
          </w:p>
        </w:tc>
      </w:tr>
      <w:tr w14:paraId="44D88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4EAA101E">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color w:val="auto"/>
                <w:sz w:val="24"/>
                <w:szCs w:val="24"/>
                <w:lang w:val="en-US" w:eastAsia="zh-CN"/>
              </w:rPr>
            </w:pPr>
            <w:r>
              <w:rPr>
                <w:rFonts w:hint="eastAsia"/>
                <w:color w:val="auto"/>
                <w:sz w:val="24"/>
                <w:szCs w:val="24"/>
                <w:lang w:val="en-US" w:eastAsia="zh-CN"/>
              </w:rPr>
              <w:t>5.1</w:t>
            </w:r>
          </w:p>
        </w:tc>
        <w:tc>
          <w:tcPr>
            <w:tcW w:w="969" w:type="dxa"/>
            <w:vAlign w:val="center"/>
          </w:tcPr>
          <w:p w14:paraId="1FCF88C6">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color w:val="auto"/>
                <w:sz w:val="24"/>
                <w:szCs w:val="24"/>
                <w:lang w:val="en-US" w:eastAsia="zh-CN"/>
              </w:rPr>
            </w:pPr>
          </w:p>
        </w:tc>
        <w:tc>
          <w:tcPr>
            <w:tcW w:w="10329" w:type="dxa"/>
            <w:gridSpan w:val="3"/>
            <w:vAlign w:val="center"/>
          </w:tcPr>
          <w:p w14:paraId="13B94CA2">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提供在线报修</w:t>
            </w:r>
          </w:p>
        </w:tc>
        <w:tc>
          <w:tcPr>
            <w:tcW w:w="1876" w:type="dxa"/>
            <w:vAlign w:val="center"/>
          </w:tcPr>
          <w:p w14:paraId="4DC99B13">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3AD11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4B3E3549">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color w:val="auto"/>
                <w:sz w:val="24"/>
                <w:szCs w:val="24"/>
                <w:lang w:val="en-US" w:eastAsia="zh-CN"/>
              </w:rPr>
            </w:pPr>
            <w:r>
              <w:rPr>
                <w:rFonts w:hint="eastAsia"/>
                <w:color w:val="auto"/>
                <w:sz w:val="24"/>
                <w:szCs w:val="24"/>
                <w:lang w:val="en-US" w:eastAsia="zh-CN"/>
              </w:rPr>
              <w:t>5.2</w:t>
            </w:r>
          </w:p>
        </w:tc>
        <w:tc>
          <w:tcPr>
            <w:tcW w:w="969" w:type="dxa"/>
            <w:vAlign w:val="center"/>
          </w:tcPr>
          <w:p w14:paraId="04EA1B3F">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color w:val="auto"/>
                <w:sz w:val="24"/>
                <w:szCs w:val="24"/>
                <w:lang w:val="en-US" w:eastAsia="zh-CN"/>
              </w:rPr>
            </w:pPr>
          </w:p>
        </w:tc>
        <w:tc>
          <w:tcPr>
            <w:tcW w:w="10329" w:type="dxa"/>
            <w:gridSpan w:val="3"/>
            <w:vAlign w:val="center"/>
          </w:tcPr>
          <w:p w14:paraId="4EFC49E6">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kern w:val="2"/>
                <w:sz w:val="24"/>
                <w:szCs w:val="24"/>
              </w:rPr>
            </w:pPr>
            <w:r>
              <w:rPr>
                <w:rFonts w:hint="eastAsia"/>
                <w:color w:val="auto"/>
                <w:kern w:val="2"/>
                <w:sz w:val="24"/>
                <w:szCs w:val="24"/>
              </w:rPr>
              <w:t>提供在线查询近期保养计划</w:t>
            </w:r>
          </w:p>
        </w:tc>
        <w:tc>
          <w:tcPr>
            <w:tcW w:w="1876" w:type="dxa"/>
            <w:vAlign w:val="center"/>
          </w:tcPr>
          <w:p w14:paraId="45781654">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0537F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4074389F">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eastAsia="宋体"/>
                <w:b/>
                <w:bCs/>
                <w:color w:val="auto"/>
                <w:sz w:val="24"/>
                <w:szCs w:val="24"/>
                <w:lang w:val="en-US" w:eastAsia="zh-CN"/>
              </w:rPr>
            </w:pPr>
            <w:r>
              <w:rPr>
                <w:rFonts w:hint="eastAsia"/>
                <w:b/>
                <w:bCs/>
                <w:color w:val="auto"/>
                <w:sz w:val="24"/>
                <w:szCs w:val="24"/>
                <w:lang w:val="en-US" w:eastAsia="zh-CN"/>
              </w:rPr>
              <w:t>6</w:t>
            </w:r>
          </w:p>
        </w:tc>
        <w:tc>
          <w:tcPr>
            <w:tcW w:w="13174" w:type="dxa"/>
            <w:gridSpan w:val="5"/>
            <w:vAlign w:val="center"/>
          </w:tcPr>
          <w:p w14:paraId="5408DBF6">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b/>
                <w:bCs/>
                <w:color w:val="auto"/>
                <w:kern w:val="2"/>
                <w:sz w:val="24"/>
                <w:szCs w:val="24"/>
              </w:rPr>
            </w:pPr>
            <w:r>
              <w:rPr>
                <w:rFonts w:hint="eastAsia"/>
                <w:b/>
                <w:bCs/>
                <w:color w:val="auto"/>
                <w:kern w:val="2"/>
                <w:sz w:val="24"/>
                <w:szCs w:val="24"/>
              </w:rPr>
              <w:t>图像质量的检测和校准</w:t>
            </w:r>
          </w:p>
        </w:tc>
      </w:tr>
      <w:tr w14:paraId="3C81E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292D504A">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eastAsia="宋体"/>
                <w:color w:val="auto"/>
                <w:kern w:val="2"/>
                <w:sz w:val="24"/>
                <w:szCs w:val="24"/>
                <w:lang w:val="en-US" w:eastAsia="zh-CN"/>
              </w:rPr>
            </w:pPr>
            <w:r>
              <w:rPr>
                <w:rFonts w:hint="eastAsia"/>
                <w:color w:val="auto"/>
                <w:sz w:val="24"/>
                <w:szCs w:val="24"/>
                <w:lang w:val="en-US" w:eastAsia="zh-CN"/>
              </w:rPr>
              <w:t>6.1</w:t>
            </w:r>
          </w:p>
        </w:tc>
        <w:tc>
          <w:tcPr>
            <w:tcW w:w="969" w:type="dxa"/>
            <w:vAlign w:val="center"/>
          </w:tcPr>
          <w:p w14:paraId="470F5871">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c>
          <w:tcPr>
            <w:tcW w:w="10329" w:type="dxa"/>
            <w:gridSpan w:val="3"/>
            <w:vAlign w:val="center"/>
          </w:tcPr>
          <w:p w14:paraId="2C1F18AE">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eastAsia="宋体"/>
                <w:color w:val="auto"/>
                <w:kern w:val="2"/>
                <w:sz w:val="24"/>
                <w:szCs w:val="24"/>
                <w:lang w:eastAsia="zh-CN"/>
              </w:rPr>
            </w:pPr>
            <w:r>
              <w:rPr>
                <w:rFonts w:hint="eastAsia" w:eastAsia="宋体"/>
                <w:color w:val="auto"/>
                <w:kern w:val="2"/>
                <w:sz w:val="24"/>
                <w:szCs w:val="24"/>
                <w:lang w:eastAsia="zh-CN"/>
              </w:rPr>
              <w:t>维保服务期间，用图像质控模体进行检测和校准，保证图像达到出厂标准,并提供含有各项数据指标的保养报告。</w:t>
            </w:r>
          </w:p>
        </w:tc>
        <w:tc>
          <w:tcPr>
            <w:tcW w:w="1876" w:type="dxa"/>
            <w:vAlign w:val="center"/>
          </w:tcPr>
          <w:p w14:paraId="12345D1A">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r w14:paraId="27902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shd w:val="clear" w:color="auto" w:fill="auto"/>
            <w:vAlign w:val="center"/>
          </w:tcPr>
          <w:p w14:paraId="2C359B2F">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color w:val="auto"/>
                <w:sz w:val="24"/>
                <w:szCs w:val="24"/>
                <w:lang w:val="en-US" w:eastAsia="zh-CN"/>
              </w:rPr>
            </w:pPr>
            <w:r>
              <w:rPr>
                <w:rFonts w:hint="eastAsia"/>
                <w:b/>
                <w:bCs/>
                <w:color w:val="auto"/>
                <w:sz w:val="24"/>
                <w:szCs w:val="24"/>
                <w:lang w:val="en-US" w:eastAsia="zh-CN"/>
              </w:rPr>
              <w:t>★7</w:t>
            </w:r>
          </w:p>
        </w:tc>
        <w:tc>
          <w:tcPr>
            <w:tcW w:w="13174" w:type="dxa"/>
            <w:gridSpan w:val="5"/>
            <w:shd w:val="clear" w:color="auto" w:fill="auto"/>
            <w:vAlign w:val="center"/>
          </w:tcPr>
          <w:p w14:paraId="21BC9750">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r>
              <w:rPr>
                <w:rFonts w:hint="eastAsia"/>
                <w:b/>
                <w:bCs/>
                <w:color w:val="auto"/>
                <w:sz w:val="24"/>
                <w:szCs w:val="24"/>
              </w:rPr>
              <w:t>实质性技术要求</w:t>
            </w:r>
            <w:r>
              <w:rPr>
                <w:rFonts w:hint="eastAsia"/>
                <w:b/>
                <w:bCs/>
                <w:color w:val="auto"/>
                <w:sz w:val="24"/>
                <w:szCs w:val="24"/>
                <w:lang w:eastAsia="zh-CN"/>
              </w:rPr>
              <w:t>（</w:t>
            </w:r>
            <w:r>
              <w:rPr>
                <w:rFonts w:hint="eastAsia"/>
                <w:b/>
                <w:bCs/>
                <w:color w:val="auto"/>
                <w:sz w:val="24"/>
                <w:szCs w:val="24"/>
                <w:lang w:val="en-US" w:eastAsia="zh-CN"/>
              </w:rPr>
              <w:t>下列参数为</w:t>
            </w:r>
            <w:r>
              <w:rPr>
                <w:rFonts w:hint="eastAsia"/>
                <w:b/>
                <w:bCs/>
                <w:color w:val="auto"/>
                <w:sz w:val="24"/>
                <w:szCs w:val="24"/>
                <w:lang w:eastAsia="zh-CN"/>
              </w:rPr>
              <w:t>采购人实质性要求，必须</w:t>
            </w:r>
            <w:r>
              <w:rPr>
                <w:rFonts w:hint="eastAsia"/>
                <w:b/>
                <w:bCs/>
                <w:color w:val="auto"/>
                <w:sz w:val="24"/>
                <w:szCs w:val="24"/>
                <w:lang w:val="en-US" w:eastAsia="zh-CN"/>
              </w:rPr>
              <w:t>全部</w:t>
            </w:r>
            <w:r>
              <w:rPr>
                <w:rFonts w:hint="eastAsia"/>
                <w:b/>
                <w:bCs/>
                <w:color w:val="auto"/>
                <w:sz w:val="24"/>
                <w:szCs w:val="24"/>
                <w:lang w:eastAsia="zh-CN"/>
              </w:rPr>
              <w:t>响应）</w:t>
            </w:r>
          </w:p>
        </w:tc>
      </w:tr>
      <w:tr w14:paraId="69186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011" w:type="dxa"/>
            <w:vAlign w:val="center"/>
          </w:tcPr>
          <w:p w14:paraId="2033C032">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color w:val="auto"/>
                <w:sz w:val="24"/>
                <w:szCs w:val="24"/>
                <w:lang w:val="en-US" w:eastAsia="zh-CN"/>
              </w:rPr>
            </w:pPr>
            <w:r>
              <w:rPr>
                <w:rFonts w:hint="eastAsia"/>
                <w:b/>
                <w:bCs/>
                <w:color w:val="auto"/>
                <w:sz w:val="24"/>
                <w:szCs w:val="24"/>
                <w:lang w:val="en-US" w:eastAsia="zh-CN"/>
              </w:rPr>
              <w:t>★7</w:t>
            </w:r>
            <w:r>
              <w:rPr>
                <w:rFonts w:hint="eastAsia"/>
                <w:color w:val="auto"/>
                <w:sz w:val="24"/>
                <w:szCs w:val="24"/>
                <w:lang w:val="en-US" w:eastAsia="zh-CN"/>
              </w:rPr>
              <w:t>.1</w:t>
            </w:r>
          </w:p>
        </w:tc>
        <w:tc>
          <w:tcPr>
            <w:tcW w:w="969" w:type="dxa"/>
            <w:vAlign w:val="center"/>
          </w:tcPr>
          <w:p w14:paraId="08E7FC07">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c>
          <w:tcPr>
            <w:tcW w:w="1724" w:type="dxa"/>
            <w:vAlign w:val="center"/>
          </w:tcPr>
          <w:p w14:paraId="18CEE36E">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eastAsia="宋体"/>
                <w:b/>
                <w:bCs/>
                <w:color w:val="auto"/>
                <w:kern w:val="2"/>
                <w:sz w:val="24"/>
                <w:szCs w:val="24"/>
                <w:lang w:eastAsia="zh-CN"/>
              </w:rPr>
            </w:pPr>
            <w:r>
              <w:rPr>
                <w:rFonts w:hint="eastAsia" w:eastAsia="宋体"/>
                <w:b/>
                <w:bCs/>
                <w:color w:val="auto"/>
                <w:kern w:val="2"/>
                <w:sz w:val="24"/>
                <w:szCs w:val="24"/>
                <w:lang w:eastAsia="zh-CN"/>
              </w:rPr>
              <w:t>服务要求</w:t>
            </w:r>
          </w:p>
        </w:tc>
        <w:tc>
          <w:tcPr>
            <w:tcW w:w="8605" w:type="dxa"/>
            <w:gridSpan w:val="2"/>
            <w:shd w:val="clear" w:color="auto" w:fill="auto"/>
            <w:vAlign w:val="center"/>
          </w:tcPr>
          <w:p w14:paraId="429FF5DA">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西门子SOMATOM go.Top</w:t>
            </w:r>
            <w:r>
              <w:rPr>
                <w:rFonts w:hint="eastAsia" w:ascii="宋体" w:hAnsi="宋体" w:cs="宋体"/>
                <w:b/>
                <w:bCs/>
                <w:color w:val="auto"/>
                <w:sz w:val="24"/>
                <w:szCs w:val="24"/>
                <w:lang w:val="en-US" w:eastAsia="zh-CN" w:bidi="ar-SA"/>
              </w:rPr>
              <w:t>一年全保、</w:t>
            </w:r>
            <w:r>
              <w:rPr>
                <w:rFonts w:hint="eastAsia" w:ascii="宋体" w:hAnsi="宋体" w:eastAsia="宋体" w:cs="宋体"/>
                <w:b/>
                <w:bCs/>
                <w:color w:val="auto"/>
                <w:sz w:val="24"/>
                <w:szCs w:val="24"/>
                <w:lang w:val="en-US" w:eastAsia="zh-CN" w:bidi="ar-SA"/>
              </w:rPr>
              <w:t>Artis zee III ceiling有限备件保</w:t>
            </w:r>
          </w:p>
        </w:tc>
        <w:tc>
          <w:tcPr>
            <w:tcW w:w="1876" w:type="dxa"/>
            <w:vAlign w:val="center"/>
          </w:tcPr>
          <w:p w14:paraId="746C5A95">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b/>
                <w:bCs/>
                <w:color w:val="auto"/>
                <w:sz w:val="24"/>
                <w:szCs w:val="24"/>
              </w:rPr>
            </w:pPr>
          </w:p>
        </w:tc>
      </w:tr>
      <w:tr w14:paraId="10A9E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11" w:type="dxa"/>
            <w:vAlign w:val="center"/>
          </w:tcPr>
          <w:p w14:paraId="0D4D3164">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default"/>
                <w:color w:val="auto"/>
                <w:sz w:val="24"/>
                <w:szCs w:val="24"/>
                <w:lang w:val="en-US" w:eastAsia="zh-CN"/>
              </w:rPr>
            </w:pPr>
            <w:r>
              <w:rPr>
                <w:rFonts w:hint="eastAsia"/>
                <w:b/>
                <w:bCs/>
                <w:color w:val="auto"/>
                <w:sz w:val="24"/>
                <w:szCs w:val="24"/>
                <w:lang w:val="en-US" w:eastAsia="zh-CN"/>
              </w:rPr>
              <w:t>★7</w:t>
            </w:r>
            <w:r>
              <w:rPr>
                <w:rFonts w:hint="eastAsia"/>
                <w:color w:val="auto"/>
                <w:sz w:val="24"/>
                <w:szCs w:val="24"/>
                <w:lang w:val="en-US" w:eastAsia="zh-CN"/>
              </w:rPr>
              <w:t>.2</w:t>
            </w:r>
          </w:p>
        </w:tc>
        <w:tc>
          <w:tcPr>
            <w:tcW w:w="969" w:type="dxa"/>
            <w:vAlign w:val="center"/>
          </w:tcPr>
          <w:p w14:paraId="00C451AF">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c>
          <w:tcPr>
            <w:tcW w:w="1724" w:type="dxa"/>
            <w:vAlign w:val="center"/>
          </w:tcPr>
          <w:p w14:paraId="2C1A574B">
            <w:pPr>
              <w:keepNext w:val="0"/>
              <w:keepLines w:val="0"/>
              <w:pageBreakBefore w:val="0"/>
              <w:widowControl w:val="0"/>
              <w:kinsoku/>
              <w:wordWrap/>
              <w:overflowPunct/>
              <w:topLinePunct w:val="0"/>
              <w:autoSpaceDE/>
              <w:autoSpaceDN/>
              <w:bidi w:val="0"/>
              <w:adjustRightInd/>
              <w:snapToGrid/>
              <w:spacing w:line="490" w:lineRule="exact"/>
              <w:jc w:val="center"/>
              <w:textAlignment w:val="auto"/>
              <w:rPr>
                <w:rFonts w:hint="eastAsia" w:eastAsia="宋体"/>
                <w:b/>
                <w:bCs/>
                <w:color w:val="auto"/>
                <w:kern w:val="2"/>
                <w:sz w:val="24"/>
                <w:szCs w:val="24"/>
                <w:lang w:eastAsia="zh-CN"/>
              </w:rPr>
            </w:pPr>
            <w:r>
              <w:rPr>
                <w:rFonts w:hint="eastAsia" w:eastAsia="宋体"/>
                <w:b/>
                <w:bCs/>
                <w:color w:val="auto"/>
                <w:kern w:val="2"/>
                <w:sz w:val="24"/>
                <w:szCs w:val="24"/>
                <w:lang w:eastAsia="zh-CN"/>
              </w:rPr>
              <w:t>保证开机率</w:t>
            </w:r>
          </w:p>
        </w:tc>
        <w:tc>
          <w:tcPr>
            <w:tcW w:w="8605" w:type="dxa"/>
            <w:gridSpan w:val="2"/>
            <w:shd w:val="clear" w:color="auto" w:fill="auto"/>
            <w:vAlign w:val="center"/>
          </w:tcPr>
          <w:p w14:paraId="1A2D6179">
            <w:pPr>
              <w:keepNext w:val="0"/>
              <w:keepLines w:val="0"/>
              <w:pageBreakBefore w:val="0"/>
              <w:widowControl w:val="0"/>
              <w:tabs>
                <w:tab w:val="left" w:pos="351"/>
                <w:tab w:val="left" w:pos="690"/>
              </w:tabs>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bCs/>
                <w:color w:val="auto"/>
                <w:sz w:val="24"/>
                <w:szCs w:val="24"/>
                <w:lang w:val="en-US" w:eastAsia="zh-CN" w:bidi="ar-SA"/>
              </w:rPr>
            </w:pPr>
            <w:r>
              <w:rPr>
                <w:rFonts w:hint="eastAsia"/>
                <w:b/>
                <w:bCs/>
                <w:color w:val="auto"/>
                <w:kern w:val="2"/>
                <w:sz w:val="24"/>
                <w:szCs w:val="24"/>
              </w:rPr>
              <w:t>≥95%(按一年365天算)，对于开机率低于95%的每一个百分点，维保服务合同期相应延长</w:t>
            </w:r>
            <w:r>
              <w:rPr>
                <w:rFonts w:hint="eastAsia"/>
                <w:b/>
                <w:bCs/>
                <w:color w:val="auto"/>
                <w:kern w:val="2"/>
                <w:sz w:val="24"/>
                <w:szCs w:val="24"/>
                <w:lang w:val="en-US" w:eastAsia="zh-CN"/>
              </w:rPr>
              <w:t>7</w:t>
            </w:r>
            <w:r>
              <w:rPr>
                <w:rFonts w:hint="eastAsia"/>
                <w:b/>
                <w:bCs/>
                <w:color w:val="auto"/>
                <w:kern w:val="2"/>
                <w:sz w:val="24"/>
                <w:szCs w:val="24"/>
              </w:rPr>
              <w:t>个日历日。</w:t>
            </w:r>
          </w:p>
        </w:tc>
        <w:tc>
          <w:tcPr>
            <w:tcW w:w="1876" w:type="dxa"/>
            <w:vAlign w:val="center"/>
          </w:tcPr>
          <w:p w14:paraId="147C87BD">
            <w:pPr>
              <w:keepNext w:val="0"/>
              <w:keepLines w:val="0"/>
              <w:pageBreakBefore w:val="0"/>
              <w:widowControl w:val="0"/>
              <w:kinsoku/>
              <w:wordWrap/>
              <w:overflowPunct/>
              <w:topLinePunct w:val="0"/>
              <w:autoSpaceDE/>
              <w:autoSpaceDN/>
              <w:bidi w:val="0"/>
              <w:adjustRightInd/>
              <w:snapToGrid/>
              <w:spacing w:line="490" w:lineRule="exact"/>
              <w:jc w:val="both"/>
              <w:textAlignment w:val="auto"/>
              <w:rPr>
                <w:rFonts w:hint="eastAsia"/>
                <w:color w:val="auto"/>
                <w:sz w:val="24"/>
                <w:szCs w:val="24"/>
              </w:rPr>
            </w:pPr>
          </w:p>
        </w:tc>
      </w:tr>
    </w:tbl>
    <w:p w14:paraId="5AD0F282">
      <w:pPr>
        <w:ind w:firstLine="0" w:firstLineChars="0"/>
        <w:rPr>
          <w:rFonts w:hint="eastAsia" w:ascii="宋体" w:hAnsi="宋体"/>
          <w:b/>
          <w:bCs/>
          <w:color w:val="auto"/>
          <w:szCs w:val="21"/>
          <w:highlight w:val="none"/>
        </w:rPr>
      </w:pPr>
    </w:p>
    <w:p w14:paraId="0CFAB34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val="0"/>
          <w:bCs w:val="0"/>
          <w:color w:val="auto"/>
          <w:sz w:val="24"/>
          <w:szCs w:val="24"/>
          <w:highlight w:val="none"/>
        </w:rPr>
      </w:pPr>
      <w:r>
        <w:rPr>
          <w:rFonts w:hint="eastAsia" w:ascii="宋体" w:hAnsi="宋体"/>
          <w:b/>
          <w:bCs/>
          <w:color w:val="auto"/>
          <w:sz w:val="24"/>
          <w:szCs w:val="24"/>
          <w:highlight w:val="none"/>
          <w:lang w:val="en-US" w:eastAsia="zh-CN"/>
        </w:rPr>
        <w:t>注：</w:t>
      </w:r>
      <w:r>
        <w:rPr>
          <w:rFonts w:hint="eastAsia" w:ascii="宋体" w:hAnsi="宋体"/>
          <w:b w:val="0"/>
          <w:bCs w:val="0"/>
          <w:color w:val="auto"/>
          <w:sz w:val="24"/>
          <w:szCs w:val="24"/>
          <w:highlight w:val="none"/>
          <w:lang w:val="en-US" w:eastAsia="zh-CN"/>
        </w:rPr>
        <w:t>1.</w:t>
      </w:r>
      <w:r>
        <w:rPr>
          <w:rFonts w:hint="eastAsia" w:ascii="宋体" w:hAnsi="宋体"/>
          <w:b w:val="0"/>
          <w:bCs w:val="0"/>
          <w:color w:val="auto"/>
          <w:sz w:val="24"/>
          <w:szCs w:val="24"/>
          <w:highlight w:val="none"/>
        </w:rPr>
        <w:t>采购标的需实现的功能或者目标</w:t>
      </w:r>
      <w:r>
        <w:rPr>
          <w:rFonts w:hint="eastAsia" w:ascii="宋体" w:hAnsi="宋体"/>
          <w:b w:val="0"/>
          <w:bCs w:val="0"/>
          <w:color w:val="auto"/>
          <w:sz w:val="24"/>
          <w:szCs w:val="24"/>
          <w:highlight w:val="none"/>
          <w:lang w:eastAsia="zh-CN"/>
        </w:rPr>
        <w:t>：</w:t>
      </w:r>
      <w:r>
        <w:rPr>
          <w:rFonts w:hint="eastAsia"/>
          <w:b w:val="0"/>
          <w:bCs w:val="0"/>
          <w:color w:val="auto"/>
          <w:sz w:val="24"/>
          <w:szCs w:val="24"/>
          <w:highlight w:val="none"/>
        </w:rPr>
        <w:t>遵循中华人民共和国有关法律规定，保障医院正常开展相关医务工作，</w:t>
      </w:r>
      <w:r>
        <w:rPr>
          <w:rFonts w:hint="eastAsia"/>
          <w:b w:val="0"/>
          <w:bCs w:val="0"/>
          <w:color w:val="auto"/>
          <w:sz w:val="24"/>
          <w:szCs w:val="24"/>
          <w:highlight w:val="none"/>
          <w:lang w:val="en-AU"/>
        </w:rPr>
        <w:t>保证医院的设备处于优良的运行状态。</w:t>
      </w:r>
      <w:r>
        <w:rPr>
          <w:rFonts w:hint="eastAsia"/>
          <w:b w:val="0"/>
          <w:bCs w:val="0"/>
          <w:color w:val="auto"/>
          <w:sz w:val="24"/>
          <w:szCs w:val="24"/>
          <w:highlight w:val="none"/>
        </w:rPr>
        <w:t>保证设备的质量和安全性。</w:t>
      </w:r>
    </w:p>
    <w:p w14:paraId="3582A8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b w:val="0"/>
          <w:bCs w:val="0"/>
          <w:color w:val="auto"/>
          <w:sz w:val="24"/>
          <w:szCs w:val="24"/>
          <w:highlight w:val="none"/>
        </w:rPr>
      </w:pPr>
      <w:r>
        <w:rPr>
          <w:rFonts w:hint="eastAsia" w:cs="Times New Roman"/>
          <w:b w:val="0"/>
          <w:bCs w:val="0"/>
          <w:color w:val="auto"/>
          <w:sz w:val="24"/>
          <w:szCs w:val="24"/>
          <w:lang w:val="en-US" w:eastAsia="zh-CN" w:bidi="ar-SA"/>
        </w:rPr>
        <w:t>2.</w:t>
      </w:r>
      <w:r>
        <w:rPr>
          <w:rFonts w:hint="eastAsia" w:ascii="宋体" w:hAnsi="宋体"/>
          <w:b w:val="0"/>
          <w:bCs w:val="0"/>
          <w:color w:val="auto"/>
          <w:sz w:val="24"/>
          <w:szCs w:val="24"/>
          <w:highlight w:val="none"/>
        </w:rPr>
        <w:t>采购标的需执行的国家相关标准、行业标准、地方标准或者其他标准、规范</w:t>
      </w:r>
      <w:r>
        <w:rPr>
          <w:rFonts w:hint="eastAsia" w:ascii="宋体" w:hAnsi="宋体"/>
          <w:b w:val="0"/>
          <w:bCs w:val="0"/>
          <w:color w:val="auto"/>
          <w:sz w:val="24"/>
          <w:szCs w:val="24"/>
          <w:highlight w:val="none"/>
          <w:lang w:eastAsia="zh-CN"/>
        </w:rPr>
        <w:t>：</w:t>
      </w:r>
      <w:r>
        <w:rPr>
          <w:rFonts w:hint="eastAsia"/>
          <w:b w:val="0"/>
          <w:bCs w:val="0"/>
          <w:color w:val="auto"/>
          <w:sz w:val="24"/>
          <w:szCs w:val="24"/>
          <w:highlight w:val="none"/>
        </w:rPr>
        <w:t>满足国家、地方、行业等相关标准。</w:t>
      </w:r>
    </w:p>
    <w:p w14:paraId="7850975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b w:val="0"/>
          <w:bCs w:val="0"/>
          <w:color w:val="auto"/>
          <w:sz w:val="24"/>
          <w:szCs w:val="24"/>
          <w:highlight w:val="none"/>
        </w:rPr>
      </w:pPr>
      <w:r>
        <w:rPr>
          <w:rFonts w:hint="eastAsia" w:ascii="宋体" w:hAnsi="宋体" w:cs="Times New Roman"/>
          <w:b w:val="0"/>
          <w:bCs w:val="0"/>
          <w:color w:val="auto"/>
          <w:sz w:val="24"/>
          <w:szCs w:val="24"/>
          <w:lang w:val="en-US" w:eastAsia="zh-CN" w:bidi="ar-SA"/>
        </w:rPr>
        <w:t>3.</w:t>
      </w:r>
      <w:r>
        <w:rPr>
          <w:rFonts w:hint="eastAsia" w:ascii="宋体" w:hAnsi="宋体"/>
          <w:b w:val="0"/>
          <w:bCs w:val="0"/>
          <w:color w:val="auto"/>
          <w:sz w:val="24"/>
          <w:szCs w:val="24"/>
          <w:highlight w:val="none"/>
        </w:rPr>
        <w:t>采购标的需满足的质量、安全、技术规格、物理特性等要求</w:t>
      </w:r>
      <w:r>
        <w:rPr>
          <w:rFonts w:hint="eastAsia" w:ascii="宋体" w:hAnsi="宋体"/>
          <w:b w:val="0"/>
          <w:bCs w:val="0"/>
          <w:color w:val="auto"/>
          <w:sz w:val="24"/>
          <w:szCs w:val="24"/>
          <w:highlight w:val="none"/>
          <w:lang w:eastAsia="zh-CN"/>
        </w:rPr>
        <w:t>：</w:t>
      </w:r>
      <w:r>
        <w:rPr>
          <w:rFonts w:hint="eastAsia"/>
          <w:b w:val="0"/>
          <w:bCs w:val="0"/>
          <w:color w:val="auto"/>
          <w:sz w:val="24"/>
          <w:szCs w:val="24"/>
          <w:highlight w:val="none"/>
        </w:rPr>
        <w:t>投标人除如实填写</w:t>
      </w:r>
      <w:r>
        <w:rPr>
          <w:rFonts w:hint="eastAsia"/>
          <w:b w:val="0"/>
          <w:bCs w:val="0"/>
          <w:color w:val="auto"/>
          <w:sz w:val="24"/>
          <w:szCs w:val="24"/>
          <w:highlight w:val="none"/>
          <w:lang w:eastAsia="zh-CN"/>
        </w:rPr>
        <w:t>技术规格偏离表</w:t>
      </w:r>
      <w:r>
        <w:rPr>
          <w:rFonts w:hint="eastAsia"/>
          <w:b w:val="0"/>
          <w:bCs w:val="0"/>
          <w:color w:val="auto"/>
          <w:sz w:val="24"/>
          <w:szCs w:val="24"/>
          <w:highlight w:val="none"/>
        </w:rPr>
        <w:t>外</w:t>
      </w:r>
      <w:r>
        <w:rPr>
          <w:rFonts w:hint="eastAsia"/>
          <w:b w:val="0"/>
          <w:bCs w:val="0"/>
          <w:color w:val="auto"/>
          <w:sz w:val="24"/>
          <w:szCs w:val="24"/>
          <w:highlight w:val="none"/>
          <w:lang w:eastAsia="zh-CN"/>
        </w:rPr>
        <w:t>，</w:t>
      </w:r>
      <w:r>
        <w:rPr>
          <w:rFonts w:hint="eastAsia" w:ascii="宋体" w:hAnsi="宋体"/>
          <w:b w:val="0"/>
          <w:bCs w:val="0"/>
          <w:color w:val="auto"/>
          <w:sz w:val="24"/>
          <w:szCs w:val="24"/>
          <w:highlight w:val="none"/>
          <w:lang w:val="en-US" w:eastAsia="zh-CN"/>
        </w:rPr>
        <w:t>上</w:t>
      </w:r>
      <w:r>
        <w:rPr>
          <w:rFonts w:hint="eastAsia"/>
          <w:b w:val="0"/>
          <w:bCs w:val="0"/>
          <w:color w:val="auto"/>
          <w:sz w:val="24"/>
          <w:szCs w:val="24"/>
          <w:highlight w:val="none"/>
        </w:rPr>
        <w:t>表中具体技术(服务)</w:t>
      </w:r>
      <w:r>
        <w:rPr>
          <w:rFonts w:hint="eastAsia"/>
          <w:b w:val="0"/>
          <w:bCs w:val="0"/>
          <w:color w:val="auto"/>
          <w:sz w:val="24"/>
          <w:szCs w:val="24"/>
          <w:highlight w:val="none"/>
          <w:lang w:val="en-US" w:eastAsia="zh-CN"/>
        </w:rPr>
        <w:t>要求提供证明材料的，投标人在</w:t>
      </w:r>
      <w:r>
        <w:rPr>
          <w:rFonts w:hint="eastAsia"/>
          <w:b w:val="0"/>
          <w:bCs w:val="0"/>
          <w:color w:val="auto"/>
          <w:sz w:val="24"/>
          <w:szCs w:val="24"/>
          <w:highlight w:val="none"/>
        </w:rPr>
        <w:t>投标文件中应提供明确要求提供的证明材料。</w:t>
      </w:r>
    </w:p>
    <w:p w14:paraId="6EBB79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color w:val="auto"/>
          <w:sz w:val="24"/>
          <w:szCs w:val="24"/>
          <w:lang w:val="en-US" w:eastAsia="zh-CN" w:bidi="ar-SA"/>
        </w:rPr>
      </w:pPr>
      <w:r>
        <w:rPr>
          <w:rFonts w:hint="eastAsia" w:ascii="宋体" w:hAnsi="宋体" w:eastAsia="宋体" w:cs="Times New Roman"/>
          <w:b/>
          <w:bCs/>
          <w:color w:val="auto"/>
          <w:sz w:val="24"/>
          <w:szCs w:val="24"/>
          <w:lang w:val="en-US" w:eastAsia="zh-CN" w:bidi="ar-SA"/>
        </w:rPr>
        <w:t>4.</w:t>
      </w:r>
      <w:r>
        <w:rPr>
          <w:rFonts w:hint="eastAsia" w:ascii="宋体" w:hAnsi="宋体" w:cs="Times New Roman"/>
          <w:b/>
          <w:bCs/>
          <w:color w:val="auto"/>
          <w:sz w:val="24"/>
          <w:szCs w:val="24"/>
          <w:lang w:val="en-US" w:eastAsia="zh-CN" w:bidi="ar-SA"/>
        </w:rPr>
        <w:t>上表中</w:t>
      </w:r>
      <w:r>
        <w:rPr>
          <w:rFonts w:hint="eastAsia" w:ascii="宋体" w:hAnsi="宋体" w:eastAsia="宋体" w:cs="Times New Roman"/>
          <w:b/>
          <w:bCs/>
          <w:color w:val="auto"/>
          <w:sz w:val="24"/>
          <w:szCs w:val="24"/>
          <w:lang w:val="en-US" w:eastAsia="zh-CN" w:bidi="ar-SA"/>
        </w:rPr>
        <w:t>标注“★”号的为</w:t>
      </w:r>
      <w:r>
        <w:rPr>
          <w:rFonts w:hint="eastAsia" w:ascii="宋体" w:hAnsi="宋体" w:cs="Times New Roman"/>
          <w:b/>
          <w:bCs/>
          <w:color w:val="auto"/>
          <w:sz w:val="24"/>
          <w:szCs w:val="24"/>
          <w:lang w:val="en-US" w:eastAsia="zh-CN" w:bidi="ar-SA"/>
        </w:rPr>
        <w:t>实质性</w:t>
      </w:r>
      <w:r>
        <w:rPr>
          <w:rFonts w:hint="eastAsia" w:ascii="宋体" w:hAnsi="宋体" w:eastAsia="宋体" w:cs="Times New Roman"/>
          <w:b/>
          <w:bCs/>
          <w:color w:val="auto"/>
          <w:sz w:val="24"/>
          <w:szCs w:val="24"/>
          <w:lang w:val="en-US" w:eastAsia="zh-CN" w:bidi="ar-SA"/>
        </w:rPr>
        <w:t>技术(服务)参数，投标人</w:t>
      </w:r>
      <w:r>
        <w:rPr>
          <w:rFonts w:hint="eastAsia" w:ascii="宋体" w:hAnsi="宋体" w:cs="Times New Roman"/>
          <w:b/>
          <w:bCs/>
          <w:color w:val="auto"/>
          <w:sz w:val="24"/>
          <w:szCs w:val="24"/>
          <w:lang w:val="en-US" w:eastAsia="zh-CN" w:bidi="ar-SA"/>
        </w:rPr>
        <w:t>必须全部响应，实质性技术(服务)参数要求提供证明材料的投标人须按招标文件要求提供证明材料，实质性技术(服务)参数不符合招标文件要求或未按招标文件要求提供证明材料的均视为不响应招标文件要求，作废标处理</w:t>
      </w:r>
      <w:r>
        <w:rPr>
          <w:rFonts w:hint="eastAsia" w:ascii="宋体" w:hAnsi="宋体" w:eastAsia="宋体" w:cs="Times New Roman"/>
          <w:b/>
          <w:bCs/>
          <w:color w:val="auto"/>
          <w:sz w:val="24"/>
          <w:szCs w:val="24"/>
          <w:lang w:val="en-US" w:eastAsia="zh-CN" w:bidi="ar-SA"/>
        </w:rPr>
        <w:t>。</w:t>
      </w:r>
    </w:p>
    <w:p w14:paraId="3A0A904D">
      <w:pPr>
        <w:ind w:firstLine="480" w:firstLineChars="200"/>
        <w:rPr>
          <w:color w:val="auto"/>
        </w:rPr>
      </w:pPr>
      <w:r>
        <w:rPr>
          <w:rFonts w:hint="eastAsia" w:ascii="宋体" w:hAnsi="宋体" w:cs="Times New Roman"/>
          <w:b w:val="0"/>
          <w:bCs w:val="0"/>
          <w:color w:val="auto"/>
          <w:sz w:val="24"/>
          <w:szCs w:val="24"/>
          <w:lang w:val="en-US" w:eastAsia="zh-CN" w:bidi="ar-SA"/>
        </w:rPr>
        <w:t>5.上表中</w:t>
      </w:r>
      <w:r>
        <w:rPr>
          <w:rFonts w:hint="eastAsia" w:ascii="宋体" w:hAnsi="宋体" w:eastAsia="宋体" w:cs="Times New Roman"/>
          <w:b w:val="0"/>
          <w:bCs w:val="0"/>
          <w:color w:val="auto"/>
          <w:sz w:val="24"/>
          <w:szCs w:val="24"/>
          <w:lang w:val="en-US" w:eastAsia="zh-CN" w:bidi="ar-SA"/>
        </w:rPr>
        <w:t>标注“▲”号的为</w:t>
      </w:r>
      <w:r>
        <w:rPr>
          <w:rFonts w:hint="eastAsia" w:ascii="宋体" w:hAnsi="宋体" w:cs="Times New Roman"/>
          <w:b w:val="0"/>
          <w:bCs w:val="0"/>
          <w:color w:val="auto"/>
          <w:sz w:val="24"/>
          <w:szCs w:val="24"/>
          <w:lang w:val="en-US" w:eastAsia="zh-CN" w:bidi="ar-SA"/>
        </w:rPr>
        <w:t>重要</w:t>
      </w:r>
      <w:r>
        <w:rPr>
          <w:rFonts w:hint="eastAsia" w:ascii="宋体" w:hAnsi="宋体" w:eastAsia="宋体" w:cs="Times New Roman"/>
          <w:b w:val="0"/>
          <w:bCs w:val="0"/>
          <w:color w:val="auto"/>
          <w:sz w:val="24"/>
          <w:szCs w:val="24"/>
          <w:lang w:val="en-US" w:eastAsia="zh-CN" w:bidi="ar-SA"/>
        </w:rPr>
        <w:t>技术(服务)参数，不满足将导致严重扣分。</w:t>
      </w:r>
    </w:p>
    <w:p w14:paraId="1711BC8C">
      <w:pPr>
        <w:rPr>
          <w:rFonts w:hint="eastAsia" w:ascii="宋体" w:hAnsi="宋体" w:eastAsia="宋体" w:cs="Times New Roman"/>
          <w:b/>
          <w:bCs/>
          <w:color w:val="auto"/>
          <w:sz w:val="24"/>
          <w:szCs w:val="24"/>
          <w:lang w:val="en-US" w:eastAsia="zh-CN" w:bidi="ar-SA"/>
        </w:rPr>
      </w:pPr>
    </w:p>
    <w:p w14:paraId="61CA9F95">
      <w:pPr>
        <w:pStyle w:val="2"/>
        <w:rPr>
          <w:rFonts w:hint="default"/>
          <w:color w:val="auto"/>
          <w:lang w:val="en-US" w:eastAsia="zh-CN"/>
        </w:rPr>
        <w:sectPr>
          <w:pgSz w:w="16838" w:h="11906" w:orient="landscape"/>
          <w:pgMar w:top="1080" w:right="1440" w:bottom="1080" w:left="1440" w:header="851" w:footer="992" w:gutter="0"/>
          <w:pgBorders>
            <w:top w:val="none" w:sz="0" w:space="0"/>
            <w:left w:val="none" w:sz="0" w:space="0"/>
            <w:bottom w:val="none" w:sz="0" w:space="0"/>
            <w:right w:val="none" w:sz="0" w:space="0"/>
          </w:pgBorders>
          <w:cols w:space="425" w:num="1"/>
          <w:rtlGutter w:val="0"/>
          <w:docGrid w:type="lines" w:linePitch="312" w:charSpace="0"/>
        </w:sectPr>
      </w:pPr>
    </w:p>
    <w:p w14:paraId="0968473E">
      <w:pPr>
        <w:rPr>
          <w:rFonts w:hint="eastAsia" w:ascii="宋体" w:hAnsi="宋体" w:eastAsia="宋体" w:cs="宋体"/>
          <w:color w:val="auto"/>
          <w:lang w:eastAsia="zh-CN"/>
        </w:rPr>
      </w:pPr>
    </w:p>
    <w:p w14:paraId="4446F0BC">
      <w:pPr>
        <w:pStyle w:val="2"/>
        <w:keepNext w:val="0"/>
        <w:keepLines w:val="0"/>
        <w:pageBreakBefore w:val="0"/>
        <w:widowControl w:val="0"/>
        <w:kinsoku/>
        <w:wordWrap w:val="0"/>
        <w:overflowPunct/>
        <w:topLinePunct/>
        <w:autoSpaceDE/>
        <w:autoSpaceDN/>
        <w:bidi w:val="0"/>
        <w:adjustRightInd/>
        <w:snapToGrid/>
        <w:ind w:left="0" w:leftChars="0" w:right="0"/>
        <w:jc w:val="center"/>
        <w:rPr>
          <w:rStyle w:val="89"/>
          <w:rFonts w:hint="eastAsia" w:ascii="宋体" w:hAnsi="宋体" w:eastAsia="宋体" w:cs="宋体"/>
          <w:b/>
          <w:bCs/>
          <w:color w:val="auto"/>
          <w:lang w:eastAsia="zh-CN"/>
        </w:rPr>
      </w:pPr>
      <w:r>
        <w:rPr>
          <w:rFonts w:hint="eastAsia" w:ascii="宋体" w:hAnsi="宋体" w:eastAsia="宋体" w:cs="宋体"/>
          <w:color w:val="auto"/>
          <w:lang w:eastAsia="zh-CN"/>
        </w:rPr>
        <w:t>第</w:t>
      </w:r>
      <w:r>
        <w:rPr>
          <w:rFonts w:hint="eastAsia" w:ascii="宋体" w:hAnsi="宋体" w:eastAsia="宋体" w:cs="宋体"/>
          <w:color w:val="auto"/>
          <w:lang w:val="en-US" w:eastAsia="zh-CN"/>
        </w:rPr>
        <w:t>五</w:t>
      </w:r>
      <w:r>
        <w:rPr>
          <w:rFonts w:hint="eastAsia" w:ascii="宋体" w:hAnsi="宋体" w:eastAsia="宋体" w:cs="宋体"/>
          <w:color w:val="auto"/>
          <w:lang w:eastAsia="zh-CN"/>
        </w:rPr>
        <w:t>章</w:t>
      </w:r>
      <w:r>
        <w:rPr>
          <w:rFonts w:hint="eastAsia" w:ascii="宋体" w:hAnsi="宋体" w:eastAsia="宋体" w:cs="宋体"/>
          <w:color w:val="auto"/>
          <w:lang w:val="en-US" w:eastAsia="zh-CN"/>
        </w:rPr>
        <w:t xml:space="preserve"> </w:t>
      </w:r>
      <w:r>
        <w:rPr>
          <w:rFonts w:hint="eastAsia" w:ascii="宋体" w:hAnsi="宋体" w:eastAsia="宋体" w:cs="宋体"/>
          <w:color w:val="auto"/>
          <w:lang w:eastAsia="zh-CN"/>
        </w:rPr>
        <w:t>合同条款及格式</w:t>
      </w:r>
      <w:bookmarkEnd w:id="1149"/>
    </w:p>
    <w:p w14:paraId="7EC3FBBC">
      <w:pPr>
        <w:pStyle w:val="16"/>
        <w:keepNext w:val="0"/>
        <w:keepLines w:val="0"/>
        <w:pageBreakBefore w:val="0"/>
        <w:widowControl w:val="0"/>
        <w:kinsoku/>
        <w:wordWrap w:val="0"/>
        <w:overflowPunct/>
        <w:topLinePunct/>
        <w:autoSpaceDE/>
        <w:autoSpaceDN/>
        <w:bidi w:val="0"/>
        <w:adjustRightInd/>
        <w:snapToGrid/>
        <w:ind w:left="0" w:leftChars="0" w:right="0" w:firstLine="0" w:firstLineChars="0"/>
        <w:jc w:val="both"/>
        <w:rPr>
          <w:rFonts w:hint="eastAsia" w:ascii="宋体" w:hAnsi="宋体" w:eastAsia="宋体" w:cs="宋体"/>
          <w:b/>
          <w:bCs/>
          <w:color w:val="auto"/>
          <w:kern w:val="2"/>
          <w:sz w:val="24"/>
          <w:lang w:eastAsia="zh-CN"/>
        </w:rPr>
      </w:pPr>
      <w:bookmarkStart w:id="1151" w:name="_Hlk133595334"/>
      <w:r>
        <w:rPr>
          <w:rFonts w:hint="eastAsia" w:ascii="宋体" w:hAnsi="宋体" w:eastAsia="宋体" w:cs="宋体"/>
          <w:b/>
          <w:bCs/>
          <w:color w:val="auto"/>
          <w:kern w:val="2"/>
          <w:sz w:val="24"/>
          <w:szCs w:val="24"/>
          <w:lang w:eastAsia="zh-CN"/>
        </w:rPr>
        <w:t>说明：合同基本格式及主要条款以中标人和采购人最终协商确定的内容为准，但</w:t>
      </w:r>
      <w:r>
        <w:rPr>
          <w:rFonts w:hint="eastAsia" w:ascii="宋体" w:hAnsi="宋体" w:eastAsia="宋体" w:cs="宋体"/>
          <w:b/>
          <w:bCs/>
          <w:color w:val="auto"/>
          <w:kern w:val="2"/>
          <w:sz w:val="24"/>
          <w:lang w:eastAsia="zh-CN"/>
        </w:rPr>
        <w:t>所签订的合同不得对招标文件确定的事项和中标人的投标文件作实质性修改。</w:t>
      </w:r>
    </w:p>
    <w:p w14:paraId="3A58542F">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宋体" w:hAnsi="宋体" w:eastAsia="宋体" w:cs="宋体"/>
          <w:color w:val="auto"/>
          <w:sz w:val="24"/>
          <w:lang w:val="en-US" w:eastAsia="zh-CN"/>
        </w:rPr>
      </w:pPr>
    </w:p>
    <w:p w14:paraId="50BCA964">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宋体" w:hAnsi="宋体" w:eastAsia="宋体" w:cs="宋体"/>
          <w:color w:val="auto"/>
          <w:sz w:val="24"/>
          <w:lang w:eastAsia="zh-CN"/>
        </w:rPr>
      </w:pPr>
    </w:p>
    <w:p w14:paraId="3631F894">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宋体" w:hAnsi="宋体" w:eastAsia="宋体" w:cs="宋体"/>
          <w:color w:val="auto"/>
          <w:sz w:val="24"/>
          <w:lang w:eastAsia="zh-CN"/>
        </w:rPr>
      </w:pPr>
      <w:r>
        <w:rPr>
          <w:rFonts w:hint="eastAsia" w:ascii="宋体" w:hAnsi="宋体" w:eastAsia="宋体" w:cs="宋体"/>
          <w:color w:val="auto"/>
          <w:sz w:val="24"/>
          <w:lang w:eastAsia="zh-CN"/>
        </w:rPr>
        <w:t>●本合同须加盖甲乙双方骑缝章有效</w:t>
      </w:r>
    </w:p>
    <w:p w14:paraId="09B3A74C">
      <w:pPr>
        <w:keepNext w:val="0"/>
        <w:keepLines w:val="0"/>
        <w:pageBreakBefore w:val="0"/>
        <w:widowControl w:val="0"/>
        <w:kinsoku/>
        <w:wordWrap w:val="0"/>
        <w:overflowPunct/>
        <w:topLinePunct/>
        <w:autoSpaceDE/>
        <w:autoSpaceDN/>
        <w:bidi w:val="0"/>
        <w:adjustRightInd/>
        <w:snapToGrid/>
        <w:ind w:left="0" w:leftChars="0" w:right="0" w:hanging="425"/>
        <w:jc w:val="both"/>
        <w:textAlignment w:val="baseline"/>
        <w:rPr>
          <w:rFonts w:hint="eastAsia" w:ascii="宋体" w:hAnsi="宋体" w:eastAsia="宋体" w:cs="宋体"/>
          <w:color w:val="auto"/>
          <w:sz w:val="21"/>
          <w:szCs w:val="21"/>
          <w:lang w:eastAsia="zh-CN"/>
        </w:rPr>
      </w:pPr>
    </w:p>
    <w:p w14:paraId="6934ACCC">
      <w:pPr>
        <w:keepNext w:val="0"/>
        <w:keepLines w:val="0"/>
        <w:pageBreakBefore w:val="0"/>
        <w:widowControl w:val="0"/>
        <w:kinsoku/>
        <w:wordWrap w:val="0"/>
        <w:overflowPunct/>
        <w:topLinePunct/>
        <w:autoSpaceDE/>
        <w:autoSpaceDN/>
        <w:bidi w:val="0"/>
        <w:adjustRightInd/>
        <w:snapToGrid/>
        <w:ind w:right="0"/>
        <w:jc w:val="both"/>
        <w:textAlignment w:val="baseline"/>
        <w:rPr>
          <w:rFonts w:hint="eastAsia" w:ascii="宋体" w:hAnsi="宋体" w:eastAsia="宋体" w:cs="宋体"/>
          <w:color w:val="auto"/>
          <w:sz w:val="48"/>
          <w:szCs w:val="48"/>
          <w:lang w:val="zh-CN" w:eastAsia="zh-CN"/>
        </w:rPr>
      </w:pPr>
      <w:r>
        <w:rPr>
          <w:rFonts w:hint="eastAsia" w:ascii="宋体" w:hAnsi="宋体" w:eastAsia="宋体" w:cs="宋体"/>
          <w:color w:val="auto"/>
          <w:sz w:val="21"/>
          <w:szCs w:val="21"/>
          <w:lang w:eastAsia="zh-CN"/>
        </w:rPr>
        <w:t>合同编号：</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合同自编号：</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项目编号：</w:t>
      </w:r>
      <w:r>
        <w:rPr>
          <w:rFonts w:hint="eastAsia" w:ascii="宋体" w:hAnsi="宋体" w:eastAsia="宋体" w:cs="宋体"/>
          <w:color w:val="auto"/>
          <w:sz w:val="21"/>
          <w:szCs w:val="21"/>
          <w:u w:val="single"/>
          <w:lang w:val="en-US" w:eastAsia="zh-CN"/>
        </w:rPr>
        <w:t xml:space="preserve">               </w:t>
      </w:r>
    </w:p>
    <w:p w14:paraId="78BB6DFF">
      <w:pPr>
        <w:keepNext w:val="0"/>
        <w:keepLines w:val="0"/>
        <w:pageBreakBefore w:val="0"/>
        <w:widowControl w:val="0"/>
        <w:kinsoku/>
        <w:wordWrap w:val="0"/>
        <w:overflowPunct/>
        <w:topLinePunct/>
        <w:autoSpaceDE/>
        <w:autoSpaceDN/>
        <w:bidi w:val="0"/>
        <w:adjustRightInd/>
        <w:snapToGrid/>
        <w:spacing w:line="800" w:lineRule="exact"/>
        <w:ind w:left="0" w:leftChars="0" w:right="0"/>
        <w:jc w:val="center"/>
        <w:rPr>
          <w:rFonts w:hint="eastAsia" w:ascii="宋体" w:hAnsi="宋体" w:eastAsia="宋体" w:cs="宋体"/>
          <w:color w:val="auto"/>
          <w:sz w:val="72"/>
          <w:szCs w:val="56"/>
          <w:lang w:val="zh-CN" w:eastAsia="zh-CN"/>
        </w:rPr>
      </w:pPr>
      <w:r>
        <w:rPr>
          <w:rFonts w:hint="eastAsia" w:ascii="宋体" w:hAnsi="宋体" w:cs="宋体"/>
          <w:color w:val="auto"/>
          <w:sz w:val="48"/>
          <w:szCs w:val="48"/>
          <w:lang w:val="zh-CN" w:eastAsia="zh-CN"/>
        </w:rPr>
        <w:t>南华县人民医院</w:t>
      </w:r>
    </w:p>
    <w:p w14:paraId="2EF9CFB1">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sz w:val="72"/>
          <w:szCs w:val="56"/>
          <w:lang w:val="zh-CN" w:eastAsia="zh-CN"/>
        </w:rPr>
      </w:pPr>
      <w:r>
        <w:rPr>
          <w:rFonts w:hint="eastAsia" w:ascii="宋体" w:hAnsi="宋体" w:eastAsia="宋体" w:cs="宋体"/>
          <w:color w:val="auto"/>
          <w:sz w:val="72"/>
          <w:szCs w:val="56"/>
          <w:lang w:val="zh-CN" w:eastAsia="zh-CN"/>
        </w:rPr>
        <w:t>合</w:t>
      </w:r>
    </w:p>
    <w:p w14:paraId="3EEC518A">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sz w:val="72"/>
          <w:szCs w:val="56"/>
          <w:lang w:val="zh-CN" w:eastAsia="zh-CN"/>
        </w:rPr>
      </w:pPr>
      <w:r>
        <w:rPr>
          <w:rFonts w:hint="eastAsia" w:ascii="宋体" w:hAnsi="宋体" w:eastAsia="宋体" w:cs="宋体"/>
          <w:color w:val="auto"/>
          <w:sz w:val="72"/>
          <w:szCs w:val="56"/>
          <w:lang w:val="zh-CN" w:eastAsia="zh-CN"/>
        </w:rPr>
        <w:t>同</w:t>
      </w:r>
    </w:p>
    <w:p w14:paraId="0CA4BB5D">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sz w:val="72"/>
          <w:szCs w:val="56"/>
          <w:lang w:val="zh-CN" w:eastAsia="zh-CN"/>
        </w:rPr>
      </w:pPr>
      <w:r>
        <w:rPr>
          <w:rFonts w:hint="eastAsia" w:ascii="宋体" w:hAnsi="宋体" w:eastAsia="宋体" w:cs="宋体"/>
          <w:color w:val="auto"/>
          <w:sz w:val="72"/>
          <w:szCs w:val="56"/>
          <w:lang w:val="zh-CN" w:eastAsia="zh-CN"/>
        </w:rPr>
        <w:t>书</w:t>
      </w:r>
    </w:p>
    <w:p w14:paraId="1CF7B44D">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lang w:val="zh-CN" w:eastAsia="zh-CN"/>
        </w:rPr>
      </w:pPr>
    </w:p>
    <w:p w14:paraId="41D794D6">
      <w:pPr>
        <w:keepNext w:val="0"/>
        <w:keepLines w:val="0"/>
        <w:pageBreakBefore w:val="0"/>
        <w:widowControl w:val="0"/>
        <w:kinsoku/>
        <w:wordWrap w:val="0"/>
        <w:overflowPunct/>
        <w:topLinePunct/>
        <w:autoSpaceDE/>
        <w:autoSpaceDN/>
        <w:bidi w:val="0"/>
        <w:adjustRightInd/>
        <w:snapToGrid/>
        <w:spacing w:line="840" w:lineRule="exact"/>
        <w:ind w:left="0" w:leftChars="0" w:right="0"/>
        <w:rPr>
          <w:rFonts w:hint="eastAsia" w:ascii="宋体" w:hAnsi="宋体" w:eastAsia="宋体" w:cs="宋体"/>
          <w:color w:val="auto"/>
          <w:sz w:val="32"/>
          <w:lang w:val="zh-CN" w:eastAsia="zh-CN"/>
        </w:rPr>
      </w:pPr>
    </w:p>
    <w:p w14:paraId="5B5E140C">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cs="宋体"/>
          <w:color w:val="auto"/>
          <w:sz w:val="32"/>
          <w:u w:val="single"/>
          <w:lang w:val="zh-CN" w:eastAsia="zh-CN"/>
        </w:rPr>
      </w:pPr>
      <w:r>
        <w:rPr>
          <w:rFonts w:hint="eastAsia" w:ascii="宋体" w:hAnsi="宋体" w:eastAsia="宋体" w:cs="宋体"/>
          <w:color w:val="auto"/>
          <w:sz w:val="32"/>
          <w:lang w:val="zh-CN" w:eastAsia="zh-CN"/>
        </w:rPr>
        <w:t>采</w:t>
      </w:r>
      <w:r>
        <w:rPr>
          <w:rFonts w:hint="eastAsia" w:ascii="宋体" w:hAnsi="宋体" w:eastAsia="宋体" w:cs="宋体"/>
          <w:color w:val="auto"/>
          <w:sz w:val="32"/>
          <w:lang w:eastAsia="zh-CN"/>
        </w:rPr>
        <w:t xml:space="preserve"> </w:t>
      </w:r>
      <w:r>
        <w:rPr>
          <w:rFonts w:hint="eastAsia" w:ascii="宋体" w:hAnsi="宋体" w:eastAsia="宋体" w:cs="宋体"/>
          <w:color w:val="auto"/>
          <w:sz w:val="32"/>
          <w:lang w:val="zh-CN" w:eastAsia="zh-CN"/>
        </w:rPr>
        <w:t>购 人（甲方）：</w:t>
      </w:r>
      <w:r>
        <w:rPr>
          <w:rFonts w:hint="eastAsia" w:ascii="宋体" w:hAnsi="宋体" w:cs="宋体"/>
          <w:color w:val="auto"/>
          <w:sz w:val="32"/>
          <w:u w:val="single"/>
          <w:lang w:val="zh-CN" w:eastAsia="zh-CN"/>
        </w:rPr>
        <w:t>南华县人民医院</w:t>
      </w:r>
    </w:p>
    <w:p w14:paraId="2C6FBFDD">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eastAsia="宋体" w:cs="宋体"/>
          <w:color w:val="auto"/>
          <w:sz w:val="32"/>
          <w:u w:val="single"/>
          <w:lang w:eastAsia="zh-CN"/>
        </w:rPr>
      </w:pPr>
      <w:r>
        <w:rPr>
          <w:rFonts w:hint="eastAsia" w:ascii="宋体" w:hAnsi="宋体" w:eastAsia="宋体" w:cs="宋体"/>
          <w:color w:val="auto"/>
          <w:sz w:val="32"/>
          <w:lang w:eastAsia="zh-CN"/>
        </w:rPr>
        <w:t>供 应 商（乙方）：</w:t>
      </w:r>
      <w:r>
        <w:rPr>
          <w:rFonts w:hint="eastAsia" w:ascii="宋体" w:hAnsi="宋体" w:eastAsia="宋体" w:cs="宋体"/>
          <w:color w:val="auto"/>
          <w:sz w:val="32"/>
          <w:u w:val="single"/>
          <w:lang w:eastAsia="zh-CN"/>
        </w:rPr>
        <w:t xml:space="preserve">                      </w:t>
      </w:r>
    </w:p>
    <w:p w14:paraId="51C5EFC6">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eastAsia="宋体" w:cs="宋体"/>
          <w:color w:val="auto"/>
          <w:sz w:val="32"/>
          <w:u w:val="single"/>
          <w:lang w:val="en-US" w:eastAsia="zh-CN"/>
        </w:rPr>
      </w:pPr>
      <w:r>
        <w:rPr>
          <w:rFonts w:hint="eastAsia" w:ascii="宋体" w:hAnsi="宋体" w:eastAsia="宋体" w:cs="宋体"/>
          <w:color w:val="auto"/>
          <w:sz w:val="32"/>
          <w:lang w:eastAsia="zh-CN"/>
        </w:rPr>
        <w:t>项目名称：</w:t>
      </w:r>
      <w:r>
        <w:rPr>
          <w:rFonts w:hint="eastAsia" w:ascii="宋体" w:hAnsi="宋体" w:eastAsia="宋体" w:cs="宋体"/>
          <w:color w:val="auto"/>
          <w:sz w:val="32"/>
          <w:u w:val="single"/>
          <w:lang w:eastAsia="zh-CN"/>
        </w:rPr>
        <w:t xml:space="preserve">                       </w:t>
      </w:r>
      <w:r>
        <w:rPr>
          <w:rFonts w:hint="eastAsia" w:ascii="宋体" w:hAnsi="宋体" w:eastAsia="宋体" w:cs="宋体"/>
          <w:color w:val="auto"/>
          <w:sz w:val="32"/>
          <w:u w:val="single"/>
          <w:lang w:val="en-US" w:eastAsia="zh-CN"/>
        </w:rPr>
        <w:t xml:space="preserve">       </w:t>
      </w:r>
    </w:p>
    <w:p w14:paraId="62D56081">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eastAsia="宋体" w:cs="宋体"/>
          <w:color w:val="auto"/>
          <w:sz w:val="28"/>
          <w:szCs w:val="18"/>
          <w:u w:val="single"/>
          <w:lang w:eastAsia="zh-CN"/>
        </w:rPr>
      </w:pPr>
      <w:r>
        <w:rPr>
          <w:rFonts w:hint="eastAsia" w:ascii="宋体" w:hAnsi="宋体" w:eastAsia="宋体" w:cs="宋体"/>
          <w:color w:val="auto"/>
          <w:sz w:val="32"/>
          <w:lang w:eastAsia="zh-CN"/>
        </w:rPr>
        <w:t>代理机构（</w:t>
      </w:r>
      <w:r>
        <w:rPr>
          <w:rFonts w:hint="eastAsia" w:ascii="宋体" w:hAnsi="宋体" w:eastAsia="宋体" w:cs="宋体"/>
          <w:color w:val="auto"/>
          <w:sz w:val="32"/>
          <w:lang w:val="en-US" w:eastAsia="zh-CN"/>
        </w:rPr>
        <w:t>见证方</w:t>
      </w:r>
      <w:r>
        <w:rPr>
          <w:rFonts w:hint="eastAsia" w:ascii="宋体" w:hAnsi="宋体" w:eastAsia="宋体" w:cs="宋体"/>
          <w:color w:val="auto"/>
          <w:sz w:val="32"/>
          <w:lang w:eastAsia="zh-CN"/>
        </w:rPr>
        <w:t>）</w:t>
      </w:r>
      <w:r>
        <w:rPr>
          <w:rFonts w:hint="eastAsia" w:ascii="宋体" w:hAnsi="宋体" w:eastAsia="宋体" w:cs="宋体"/>
          <w:color w:val="auto"/>
          <w:sz w:val="32"/>
          <w:lang w:val="zh-CN" w:eastAsia="zh-CN"/>
        </w:rPr>
        <w:t>：</w:t>
      </w:r>
      <w:r>
        <w:rPr>
          <w:rFonts w:hint="eastAsia" w:ascii="宋体" w:hAnsi="宋体" w:cs="宋体"/>
          <w:color w:val="auto"/>
          <w:sz w:val="32"/>
          <w:u w:val="single"/>
          <w:lang w:eastAsia="zh-CN"/>
        </w:rPr>
        <w:t xml:space="preserve">楚雄腾凯工程项目管理有限公司 </w:t>
      </w:r>
    </w:p>
    <w:p w14:paraId="4424F072">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eastAsia="宋体" w:cs="宋体"/>
          <w:color w:val="auto"/>
          <w:sz w:val="32"/>
          <w:lang w:eastAsia="zh-CN"/>
        </w:rPr>
      </w:pPr>
      <w:r>
        <w:rPr>
          <w:rFonts w:hint="eastAsia" w:ascii="宋体" w:hAnsi="宋体" w:eastAsia="宋体" w:cs="宋体"/>
          <w:color w:val="auto"/>
          <w:sz w:val="32"/>
          <w:lang w:eastAsia="zh-CN"/>
        </w:rPr>
        <w:t>合同签订地点：</w:t>
      </w:r>
      <w:r>
        <w:rPr>
          <w:rFonts w:hint="eastAsia" w:ascii="宋体" w:hAnsi="宋体" w:eastAsia="宋体" w:cs="宋体"/>
          <w:color w:val="auto"/>
          <w:sz w:val="32"/>
          <w:u w:val="single"/>
          <w:lang w:eastAsia="zh-CN"/>
        </w:rPr>
        <w:t>云南省</w:t>
      </w:r>
      <w:r>
        <w:rPr>
          <w:rFonts w:hint="eastAsia" w:ascii="宋体" w:hAnsi="宋体" w:cs="宋体"/>
          <w:color w:val="auto"/>
          <w:sz w:val="32"/>
          <w:u w:val="single"/>
          <w:lang w:val="en-US" w:eastAsia="zh-CN"/>
        </w:rPr>
        <w:t>南华县</w:t>
      </w:r>
    </w:p>
    <w:p w14:paraId="3F0D6445">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eastAsia="宋体" w:cs="宋体"/>
          <w:color w:val="auto"/>
          <w:sz w:val="32"/>
          <w:u w:val="none"/>
          <w:lang w:eastAsia="zh-CN"/>
        </w:rPr>
      </w:pPr>
      <w:r>
        <w:rPr>
          <w:rFonts w:hint="eastAsia" w:ascii="宋体" w:hAnsi="宋体" w:eastAsia="宋体" w:cs="宋体"/>
          <w:color w:val="auto"/>
          <w:sz w:val="32"/>
          <w:lang w:eastAsia="zh-CN"/>
        </w:rPr>
        <w:t>合同签订时间：</w:t>
      </w:r>
      <w:r>
        <w:rPr>
          <w:rFonts w:hint="eastAsia" w:ascii="宋体" w:hAnsi="宋体" w:eastAsia="宋体" w:cs="宋体"/>
          <w:color w:val="auto"/>
          <w:sz w:val="32"/>
          <w:u w:val="single"/>
          <w:lang w:eastAsia="zh-CN"/>
        </w:rPr>
        <w:t>202</w:t>
      </w:r>
      <w:r>
        <w:rPr>
          <w:rFonts w:hint="eastAsia" w:ascii="宋体" w:hAnsi="宋体" w:cs="宋体"/>
          <w:color w:val="auto"/>
          <w:sz w:val="32"/>
          <w:u w:val="single"/>
          <w:lang w:val="en-US" w:eastAsia="zh-CN"/>
        </w:rPr>
        <w:t xml:space="preserve"> </w:t>
      </w:r>
      <w:r>
        <w:rPr>
          <w:rFonts w:hint="eastAsia" w:ascii="宋体" w:hAnsi="宋体" w:eastAsia="宋体" w:cs="宋体"/>
          <w:color w:val="auto"/>
          <w:sz w:val="32"/>
          <w:u w:val="none"/>
          <w:lang w:eastAsia="zh-CN"/>
        </w:rPr>
        <w:t>年</w:t>
      </w:r>
      <w:r>
        <w:rPr>
          <w:rFonts w:hint="eastAsia" w:ascii="宋体" w:hAnsi="宋体" w:eastAsia="宋体" w:cs="宋体"/>
          <w:color w:val="auto"/>
          <w:sz w:val="32"/>
          <w:u w:val="single"/>
          <w:lang w:eastAsia="zh-CN"/>
        </w:rPr>
        <w:t xml:space="preserve">   </w:t>
      </w:r>
      <w:r>
        <w:rPr>
          <w:rFonts w:hint="eastAsia" w:ascii="宋体" w:hAnsi="宋体" w:eastAsia="宋体" w:cs="宋体"/>
          <w:color w:val="auto"/>
          <w:sz w:val="32"/>
          <w:u w:val="none"/>
          <w:lang w:eastAsia="zh-CN"/>
        </w:rPr>
        <w:t>月</w:t>
      </w:r>
      <w:r>
        <w:rPr>
          <w:rFonts w:hint="eastAsia" w:ascii="宋体" w:hAnsi="宋体" w:eastAsia="宋体" w:cs="宋体"/>
          <w:color w:val="auto"/>
          <w:sz w:val="32"/>
          <w:u w:val="single"/>
          <w:lang w:eastAsia="zh-CN"/>
        </w:rPr>
        <w:t xml:space="preserve">   </w:t>
      </w:r>
      <w:r>
        <w:rPr>
          <w:rFonts w:hint="eastAsia" w:ascii="宋体" w:hAnsi="宋体" w:eastAsia="宋体" w:cs="宋体"/>
          <w:color w:val="auto"/>
          <w:sz w:val="32"/>
          <w:u w:val="none"/>
          <w:lang w:eastAsia="zh-CN"/>
        </w:rPr>
        <w:t>日</w:t>
      </w:r>
      <w:bookmarkEnd w:id="1151"/>
    </w:p>
    <w:p w14:paraId="203063FD">
      <w:pPr>
        <w:keepNext w:val="0"/>
        <w:keepLines w:val="0"/>
        <w:pageBreakBefore w:val="0"/>
        <w:widowControl w:val="0"/>
        <w:kinsoku/>
        <w:wordWrap w:val="0"/>
        <w:overflowPunct/>
        <w:topLinePunct/>
        <w:autoSpaceDE/>
        <w:autoSpaceDN/>
        <w:bidi w:val="0"/>
        <w:adjustRightInd/>
        <w:snapToGrid/>
        <w:spacing w:line="480" w:lineRule="auto"/>
        <w:ind w:left="0" w:leftChars="0" w:right="0"/>
        <w:jc w:val="center"/>
        <w:textAlignment w:val="auto"/>
        <w:rPr>
          <w:rStyle w:val="685"/>
          <w:rFonts w:hint="eastAsia" w:ascii="宋体" w:hAnsi="宋体" w:eastAsia="宋体" w:cs="宋体"/>
          <w:color w:val="auto"/>
          <w:sz w:val="32"/>
          <w:szCs w:val="32"/>
        </w:rPr>
        <w:sectPr>
          <w:pgSz w:w="11906" w:h="16838"/>
          <w:pgMar w:top="1440" w:right="1080" w:bottom="1440" w:left="1080" w:header="567" w:footer="907" w:gutter="0"/>
          <w:pgBorders>
            <w:top w:val="none" w:sz="0" w:space="0"/>
            <w:left w:val="none" w:sz="0" w:space="0"/>
            <w:bottom w:val="none" w:sz="0" w:space="0"/>
            <w:right w:val="none" w:sz="0" w:space="0"/>
          </w:pgBorders>
          <w:pgNumType w:fmt="decimal"/>
          <w:cols w:space="720" w:num="1"/>
          <w:titlePg/>
          <w:rtlGutter w:val="0"/>
          <w:docGrid w:linePitch="299" w:charSpace="0"/>
        </w:sectPr>
      </w:pPr>
      <w:bookmarkStart w:id="1152" w:name="_Toc12284"/>
    </w:p>
    <w:bookmarkEnd w:id="1152"/>
    <w:p w14:paraId="59558955">
      <w:pPr>
        <w:pStyle w:val="5"/>
        <w:spacing w:line="443" w:lineRule="exact"/>
        <w:ind w:left="2973" w:firstLine="301" w:firstLineChars="100"/>
        <w:rPr>
          <w:rFonts w:hint="eastAsia" w:ascii="Microsoft JhengHei" w:hAnsi="Microsoft JhengHei" w:eastAsia="宋体"/>
          <w:color w:val="auto"/>
          <w:kern w:val="0"/>
          <w:sz w:val="30"/>
          <w:szCs w:val="32"/>
          <w:highlight w:val="none"/>
        </w:rPr>
      </w:pPr>
      <w:bookmarkStart w:id="1153" w:name="_Toc27999"/>
      <w:r>
        <w:rPr>
          <w:rFonts w:hint="eastAsia" w:ascii="Microsoft JhengHei" w:hAnsi="Microsoft JhengHei" w:eastAsia="宋体"/>
          <w:b/>
          <w:bCs/>
          <w:color w:val="auto"/>
          <w:kern w:val="0"/>
          <w:sz w:val="30"/>
          <w:szCs w:val="32"/>
          <w:highlight w:val="none"/>
        </w:rPr>
        <w:t>第</w:t>
      </w:r>
      <w:r>
        <w:rPr>
          <w:rFonts w:hint="eastAsia" w:ascii="Microsoft JhengHei" w:hAnsi="Microsoft JhengHei"/>
          <w:b/>
          <w:bCs/>
          <w:color w:val="auto"/>
          <w:sz w:val="30"/>
          <w:highlight w:val="none"/>
        </w:rPr>
        <w:t>一部分</w:t>
      </w:r>
      <w:r>
        <w:rPr>
          <w:rFonts w:hint="eastAsia" w:ascii="Microsoft JhengHei" w:hAnsi="Microsoft JhengHei" w:eastAsia="宋体"/>
          <w:b/>
          <w:bCs/>
          <w:color w:val="auto"/>
          <w:kern w:val="0"/>
          <w:sz w:val="30"/>
          <w:szCs w:val="32"/>
          <w:highlight w:val="none"/>
        </w:rPr>
        <w:t xml:space="preserve"> 政府采购合同协议书</w:t>
      </w:r>
      <w:bookmarkEnd w:id="1153"/>
    </w:p>
    <w:p w14:paraId="79A4CA78">
      <w:pPr>
        <w:wordWrap w:val="0"/>
        <w:topLinePunct/>
        <w:spacing w:line="360" w:lineRule="auto"/>
        <w:ind w:firstLine="480" w:firstLineChars="200"/>
        <w:jc w:val="left"/>
        <w:rPr>
          <w:rFonts w:hint="eastAsia" w:ascii="宋体" w:hAnsi="宋体" w:cs="宋体"/>
          <w:color w:val="auto"/>
          <w:sz w:val="24"/>
          <w:szCs w:val="24"/>
          <w:highlight w:val="none"/>
        </w:rPr>
      </w:pPr>
    </w:p>
    <w:p w14:paraId="336B2530">
      <w:pPr>
        <w:wordWrap w:val="0"/>
        <w:topLinePunct/>
        <w:spacing w:line="360" w:lineRule="auto"/>
        <w:ind w:left="4560" w:hanging="4560" w:hangingChars="19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甲方（全称）：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（采购人、受采购人委托签订合同的单位或采购文件约定的合同甲方）</w:t>
      </w:r>
    </w:p>
    <w:p w14:paraId="16D20826">
      <w:pPr>
        <w:wordWrap w:val="0"/>
        <w:topLinePunct/>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乙方1（全称）：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w:t>
      </w:r>
    </w:p>
    <w:p w14:paraId="30B9AF46">
      <w:pPr>
        <w:wordWrap w:val="0"/>
        <w:topLinePunct/>
        <w:spacing w:line="360" w:lineRule="auto"/>
        <w:ind w:left="4800" w:hanging="4800" w:hangingChars="20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乙方2（全称）：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（联合体成员</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或其他合同主体）（如有）</w:t>
      </w:r>
    </w:p>
    <w:p w14:paraId="1238408F">
      <w:pPr>
        <w:wordWrap w:val="0"/>
        <w:topLinePunct/>
        <w:spacing w:line="360" w:lineRule="auto"/>
        <w:ind w:left="4800" w:hanging="4800" w:hangingChars="20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乙方3（全称）：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（联合体成员</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或其他合同主体）（如有）</w:t>
      </w:r>
    </w:p>
    <w:p w14:paraId="2132A436">
      <w:pPr>
        <w:wordWrap w:val="0"/>
        <w:topLinePunct/>
        <w:spacing w:line="360" w:lineRule="auto"/>
        <w:ind w:firstLine="480" w:firstLineChars="200"/>
        <w:jc w:val="left"/>
        <w:rPr>
          <w:rFonts w:hint="eastAsia" w:ascii="宋体" w:hAnsi="宋体" w:cs="宋体"/>
          <w:color w:val="auto"/>
          <w:sz w:val="24"/>
          <w:szCs w:val="24"/>
          <w:highlight w:val="none"/>
        </w:rPr>
      </w:pPr>
    </w:p>
    <w:p w14:paraId="6CC9C961">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27C750C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eastAsiaTheme="minorEastAsia"/>
          <w:b/>
          <w:bCs/>
          <w:color w:val="auto"/>
          <w:sz w:val="24"/>
          <w:szCs w:val="24"/>
          <w:highlight w:val="none"/>
          <w:lang w:eastAsia="zh-CN"/>
        </w:rPr>
      </w:pPr>
      <w:r>
        <w:rPr>
          <w:rFonts w:hint="eastAsia"/>
          <w:b/>
          <w:bCs/>
          <w:color w:val="auto"/>
          <w:sz w:val="24"/>
          <w:szCs w:val="24"/>
          <w:highlight w:val="none"/>
          <w:lang w:val="en-US" w:eastAsia="zh-CN"/>
        </w:rPr>
        <w:t>1.</w:t>
      </w:r>
      <w:r>
        <w:rPr>
          <w:rFonts w:hint="eastAsia"/>
          <w:b/>
          <w:bCs/>
          <w:color w:val="auto"/>
          <w:sz w:val="24"/>
          <w:szCs w:val="24"/>
          <w:highlight w:val="none"/>
        </w:rPr>
        <w:t>合同有效期</w:t>
      </w:r>
      <w:r>
        <w:rPr>
          <w:rFonts w:hint="eastAsia"/>
          <w:b/>
          <w:bCs/>
          <w:color w:val="auto"/>
          <w:sz w:val="24"/>
          <w:szCs w:val="24"/>
          <w:highlight w:val="none"/>
          <w:lang w:eastAsia="zh-CN"/>
        </w:rPr>
        <w:t>：</w:t>
      </w:r>
    </w:p>
    <w:p w14:paraId="5A0E089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eastAsiaTheme="minorEastAsia"/>
          <w:color w:val="auto"/>
          <w:sz w:val="24"/>
          <w:szCs w:val="24"/>
          <w:highlight w:val="none"/>
          <w:lang w:eastAsia="zh-CN"/>
        </w:rPr>
      </w:pPr>
      <w:r>
        <w:rPr>
          <w:rFonts w:hint="eastAsia"/>
          <w:color w:val="auto"/>
          <w:sz w:val="24"/>
          <w:szCs w:val="24"/>
          <w:highlight w:val="none"/>
        </w:rPr>
        <w:t>合同期为</w:t>
      </w:r>
      <w:r>
        <w:rPr>
          <w:rFonts w:hint="eastAsia"/>
          <w:i w:val="0"/>
          <w:iCs w:val="0"/>
          <w:color w:val="auto"/>
          <w:sz w:val="24"/>
          <w:szCs w:val="24"/>
          <w:highlight w:val="none"/>
          <w:u w:val="single"/>
          <w:lang w:val="en-US" w:eastAsia="zh-CN"/>
        </w:rPr>
        <w:t xml:space="preserve">      </w:t>
      </w:r>
      <w:r>
        <w:rPr>
          <w:rFonts w:hint="eastAsia"/>
          <w:color w:val="auto"/>
          <w:sz w:val="24"/>
          <w:szCs w:val="24"/>
          <w:highlight w:val="none"/>
        </w:rPr>
        <w:t>年，自</w:t>
      </w:r>
      <w:r>
        <w:rPr>
          <w:rFonts w:hint="eastAsia"/>
          <w:i w:val="0"/>
          <w:iCs w:val="0"/>
          <w:color w:val="auto"/>
          <w:sz w:val="24"/>
          <w:szCs w:val="24"/>
          <w:highlight w:val="none"/>
          <w:u w:val="single"/>
          <w:lang w:val="en-US" w:eastAsia="zh-CN"/>
        </w:rPr>
        <w:t xml:space="preserve">      </w:t>
      </w:r>
      <w:r>
        <w:rPr>
          <w:rFonts w:hint="eastAsia"/>
          <w:color w:val="auto"/>
          <w:sz w:val="24"/>
          <w:szCs w:val="24"/>
          <w:highlight w:val="none"/>
        </w:rPr>
        <w:t>年</w:t>
      </w:r>
      <w:r>
        <w:rPr>
          <w:rFonts w:hint="eastAsia"/>
          <w:color w:val="auto"/>
          <w:sz w:val="24"/>
          <w:szCs w:val="24"/>
          <w:highlight w:val="none"/>
          <w:u w:val="single"/>
          <w:lang w:val="en-US" w:eastAsia="zh-CN"/>
        </w:rPr>
        <w:t xml:space="preserve">    </w:t>
      </w:r>
      <w:r>
        <w:rPr>
          <w:rFonts w:hint="eastAsia"/>
          <w:color w:val="auto"/>
          <w:sz w:val="24"/>
          <w:szCs w:val="24"/>
          <w:highlight w:val="none"/>
        </w:rPr>
        <w:t>月</w:t>
      </w:r>
      <w:r>
        <w:rPr>
          <w:rFonts w:hint="eastAsia"/>
          <w:color w:val="auto"/>
          <w:sz w:val="24"/>
          <w:szCs w:val="24"/>
          <w:highlight w:val="none"/>
          <w:u w:val="single"/>
          <w:lang w:val="en-US" w:eastAsia="zh-CN"/>
        </w:rPr>
        <w:t xml:space="preserve">    </w:t>
      </w:r>
      <w:r>
        <w:rPr>
          <w:rFonts w:hint="eastAsia"/>
          <w:color w:val="auto"/>
          <w:sz w:val="24"/>
          <w:szCs w:val="24"/>
          <w:highlight w:val="none"/>
        </w:rPr>
        <w:t>日至</w:t>
      </w:r>
      <w:r>
        <w:rPr>
          <w:rFonts w:hint="eastAsia"/>
          <w:i w:val="0"/>
          <w:iCs w:val="0"/>
          <w:color w:val="auto"/>
          <w:sz w:val="24"/>
          <w:szCs w:val="24"/>
          <w:highlight w:val="none"/>
          <w:u w:val="single"/>
          <w:lang w:val="en-US" w:eastAsia="zh-CN"/>
        </w:rPr>
        <w:t xml:space="preserve">      </w:t>
      </w:r>
      <w:r>
        <w:rPr>
          <w:rFonts w:hint="eastAsia"/>
          <w:color w:val="auto"/>
          <w:sz w:val="24"/>
          <w:szCs w:val="24"/>
          <w:highlight w:val="none"/>
        </w:rPr>
        <w:t>年</w:t>
      </w:r>
      <w:r>
        <w:rPr>
          <w:rFonts w:hint="eastAsia"/>
          <w:color w:val="auto"/>
          <w:sz w:val="24"/>
          <w:szCs w:val="24"/>
          <w:highlight w:val="none"/>
          <w:u w:val="single"/>
          <w:lang w:val="en-US" w:eastAsia="zh-CN"/>
        </w:rPr>
        <w:t xml:space="preserve">    </w:t>
      </w:r>
      <w:r>
        <w:rPr>
          <w:rFonts w:hint="eastAsia"/>
          <w:color w:val="auto"/>
          <w:sz w:val="24"/>
          <w:szCs w:val="24"/>
          <w:highlight w:val="none"/>
        </w:rPr>
        <w:t>月</w:t>
      </w:r>
      <w:r>
        <w:rPr>
          <w:rFonts w:hint="eastAsia"/>
          <w:color w:val="auto"/>
          <w:sz w:val="24"/>
          <w:szCs w:val="24"/>
          <w:highlight w:val="none"/>
          <w:u w:val="single"/>
          <w:lang w:val="en-US" w:eastAsia="zh-CN"/>
        </w:rPr>
        <w:t xml:space="preserve">    </w:t>
      </w:r>
      <w:r>
        <w:rPr>
          <w:rFonts w:hint="eastAsia"/>
          <w:color w:val="auto"/>
          <w:sz w:val="24"/>
          <w:szCs w:val="24"/>
          <w:highlight w:val="none"/>
        </w:rPr>
        <w:t>日</w:t>
      </w:r>
      <w:r>
        <w:rPr>
          <w:rFonts w:hint="eastAsia"/>
          <w:color w:val="auto"/>
          <w:sz w:val="24"/>
          <w:szCs w:val="24"/>
          <w:highlight w:val="none"/>
          <w:lang w:eastAsia="zh-CN"/>
        </w:rPr>
        <w:t>。</w:t>
      </w:r>
    </w:p>
    <w:p w14:paraId="4121BF5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eastAsiaTheme="minorEastAsia"/>
          <w:b/>
          <w:bCs/>
          <w:color w:val="auto"/>
          <w:sz w:val="24"/>
          <w:szCs w:val="24"/>
          <w:highlight w:val="none"/>
          <w:lang w:eastAsia="zh-CN"/>
        </w:rPr>
      </w:pPr>
      <w:r>
        <w:rPr>
          <w:rFonts w:hint="eastAsia"/>
          <w:b/>
          <w:bCs/>
          <w:color w:val="auto"/>
          <w:sz w:val="24"/>
          <w:szCs w:val="24"/>
          <w:highlight w:val="none"/>
          <w:lang w:val="en-US" w:eastAsia="zh-CN"/>
        </w:rPr>
        <w:t>2.</w:t>
      </w:r>
      <w:r>
        <w:rPr>
          <w:rFonts w:hint="eastAsia"/>
          <w:b/>
          <w:bCs/>
          <w:color w:val="auto"/>
          <w:sz w:val="24"/>
          <w:szCs w:val="24"/>
          <w:highlight w:val="none"/>
        </w:rPr>
        <w:t>维保服务设备清单及价格</w:t>
      </w:r>
      <w:r>
        <w:rPr>
          <w:rFonts w:hint="eastAsia"/>
          <w:b/>
          <w:bCs/>
          <w:color w:val="auto"/>
          <w:sz w:val="24"/>
          <w:szCs w:val="24"/>
          <w:highlight w:val="none"/>
          <w:lang w:eastAsia="zh-CN"/>
        </w:rPr>
        <w:t>：</w:t>
      </w:r>
    </w:p>
    <w:p w14:paraId="5B0CF9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乙方提供服务的设备名称、型号、数量等详细情况见附件1《设备清单》，非《设备清单》中的设备不在本合同服务范围，如设备后续发生增减，由甲乙双方协商修改，签订补充协议。</w:t>
      </w:r>
    </w:p>
    <w:p w14:paraId="502539F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lang w:eastAsia="zh-CN"/>
        </w:rPr>
      </w:pPr>
      <w:r>
        <w:rPr>
          <w:rFonts w:hint="eastAsia"/>
          <w:b/>
          <w:bCs/>
          <w:color w:val="auto"/>
          <w:sz w:val="24"/>
          <w:szCs w:val="24"/>
          <w:highlight w:val="none"/>
          <w:lang w:val="en-US" w:eastAsia="zh-CN"/>
        </w:rPr>
        <w:t>3.</w:t>
      </w:r>
      <w:r>
        <w:rPr>
          <w:rFonts w:hint="eastAsia"/>
          <w:b/>
          <w:bCs/>
          <w:color w:val="auto"/>
          <w:sz w:val="24"/>
          <w:szCs w:val="24"/>
          <w:highlight w:val="none"/>
        </w:rPr>
        <w:t>服务内容</w:t>
      </w:r>
      <w:r>
        <w:rPr>
          <w:rFonts w:hint="eastAsia"/>
          <w:b/>
          <w:bCs/>
          <w:color w:val="auto"/>
          <w:sz w:val="24"/>
          <w:szCs w:val="24"/>
          <w:highlight w:val="none"/>
          <w:lang w:eastAsia="zh-CN"/>
        </w:rPr>
        <w:t>：</w:t>
      </w:r>
    </w:p>
    <w:p w14:paraId="264AD5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eastAsia="zh-CN"/>
        </w:rPr>
      </w:pPr>
    </w:p>
    <w:p w14:paraId="19ECBBF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eastAsiaTheme="minorEastAsia"/>
          <w:b/>
          <w:bCs/>
          <w:color w:val="auto"/>
          <w:sz w:val="24"/>
          <w:szCs w:val="24"/>
          <w:highlight w:val="none"/>
          <w:lang w:eastAsia="zh-CN"/>
        </w:rPr>
      </w:pPr>
      <w:r>
        <w:rPr>
          <w:rFonts w:hint="eastAsia"/>
          <w:b/>
          <w:bCs/>
          <w:color w:val="auto"/>
          <w:sz w:val="24"/>
          <w:szCs w:val="24"/>
          <w:highlight w:val="none"/>
        </w:rPr>
        <w:t>4.乙方</w:t>
      </w:r>
      <w:r>
        <w:rPr>
          <w:rFonts w:hint="eastAsia"/>
          <w:b/>
          <w:bCs/>
          <w:color w:val="auto"/>
          <w:sz w:val="24"/>
          <w:szCs w:val="24"/>
          <w:highlight w:val="none"/>
          <w:lang w:val="en-US" w:eastAsia="zh-CN"/>
        </w:rPr>
        <w:t>的</w:t>
      </w:r>
      <w:r>
        <w:rPr>
          <w:rFonts w:hint="eastAsia"/>
          <w:b/>
          <w:bCs/>
          <w:color w:val="auto"/>
          <w:sz w:val="24"/>
          <w:szCs w:val="24"/>
          <w:highlight w:val="none"/>
        </w:rPr>
        <w:t>责任</w:t>
      </w:r>
      <w:r>
        <w:rPr>
          <w:rFonts w:hint="eastAsia"/>
          <w:b/>
          <w:bCs/>
          <w:color w:val="auto"/>
          <w:sz w:val="24"/>
          <w:szCs w:val="24"/>
          <w:highlight w:val="none"/>
          <w:lang w:eastAsia="zh-CN"/>
        </w:rPr>
        <w:t>：</w:t>
      </w:r>
    </w:p>
    <w:p w14:paraId="6E1714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4.1在合同期内保证全年开机率</w:t>
      </w:r>
      <w:r>
        <w:rPr>
          <w:rFonts w:hint="eastAsia"/>
          <w:color w:val="auto"/>
          <w:sz w:val="24"/>
          <w:szCs w:val="24"/>
          <w:highlight w:val="none"/>
          <w:lang w:val="en-US" w:eastAsia="zh-CN"/>
        </w:rPr>
        <w:t>至少</w:t>
      </w:r>
      <w:r>
        <w:rPr>
          <w:rFonts w:hint="eastAsia"/>
          <w:color w:val="auto"/>
          <w:sz w:val="24"/>
          <w:szCs w:val="24"/>
          <w:highlight w:val="none"/>
          <w:u w:val="single"/>
          <w:lang w:val="en-US" w:eastAsia="zh-CN"/>
        </w:rPr>
        <w:t xml:space="preserve">    </w:t>
      </w:r>
      <w:r>
        <w:rPr>
          <w:rFonts w:hint="eastAsia"/>
          <w:color w:val="auto"/>
          <w:sz w:val="24"/>
          <w:szCs w:val="24"/>
          <w:highlight w:val="none"/>
        </w:rPr>
        <w:t>%，按全年365天计算。</w:t>
      </w:r>
    </w:p>
    <w:p w14:paraId="57EDE7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4.2乙方在接到甲方维修需求后24小时</w:t>
      </w:r>
      <w:r>
        <w:rPr>
          <w:rFonts w:hint="eastAsia"/>
          <w:color w:val="auto"/>
          <w:sz w:val="24"/>
          <w:szCs w:val="24"/>
          <w:highlight w:val="none"/>
          <w:lang w:eastAsia="zh-CN"/>
        </w:rPr>
        <w:t>（</w:t>
      </w:r>
      <w:r>
        <w:rPr>
          <w:rFonts w:hint="eastAsia"/>
          <w:color w:val="auto"/>
          <w:sz w:val="24"/>
          <w:szCs w:val="24"/>
          <w:highlight w:val="none"/>
        </w:rPr>
        <w:t>不包含订购备件时间</w:t>
      </w:r>
      <w:r>
        <w:rPr>
          <w:rFonts w:hint="eastAsia"/>
          <w:color w:val="auto"/>
          <w:sz w:val="24"/>
          <w:szCs w:val="24"/>
          <w:highlight w:val="none"/>
          <w:lang w:eastAsia="zh-CN"/>
        </w:rPr>
        <w:t>）</w:t>
      </w:r>
      <w:r>
        <w:rPr>
          <w:rFonts w:hint="eastAsia"/>
          <w:color w:val="auto"/>
          <w:sz w:val="24"/>
          <w:szCs w:val="24"/>
          <w:highlight w:val="none"/>
        </w:rPr>
        <w:t>后无法完成维修，应及时向相关使用科室和设备科说明并提出进一步解决方案，必要时申请原厂维修，相关费用由乙方承担。</w:t>
      </w:r>
    </w:p>
    <w:p w14:paraId="54FAAA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4.3乙方保证在提供维修服务过程中所更换的备件，是原厂或合法正规渠道产品，维修后设备达到正常运转标准。</w:t>
      </w:r>
    </w:p>
    <w:p w14:paraId="733D0F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4.4当甲方所保设备出现故障时，乙方应以合理的方式为甲方提供技术服务，因为乙方工程师的技术原因导致的故障及故障扩大，应由乙方承担责任。</w:t>
      </w:r>
    </w:p>
    <w:p w14:paraId="368FB7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4.5乙方按照应急预案，在突发紧急事件时协助甲方做好设备保障工作，最大限度的避免因紧急事件对医疗设备的正常运行造成不利影响。</w:t>
      </w:r>
    </w:p>
    <w:p w14:paraId="3402946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eastAsiaTheme="minorEastAsia"/>
          <w:b/>
          <w:bCs/>
          <w:color w:val="auto"/>
          <w:sz w:val="24"/>
          <w:szCs w:val="24"/>
          <w:highlight w:val="none"/>
          <w:lang w:val="en-US" w:eastAsia="zh-CN"/>
        </w:rPr>
      </w:pPr>
      <w:r>
        <w:rPr>
          <w:rFonts w:hint="eastAsia"/>
          <w:b/>
          <w:bCs/>
          <w:color w:val="auto"/>
          <w:sz w:val="24"/>
          <w:szCs w:val="24"/>
          <w:highlight w:val="none"/>
          <w:lang w:val="en-US" w:eastAsia="zh-CN"/>
        </w:rPr>
        <w:t>5.甲方的责任和义务：</w:t>
      </w:r>
    </w:p>
    <w:p w14:paraId="7604D6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5.1甲方为乙方提供适当的办公场所和维修场所，这些场所应接通必要的水、电和网络，允许乙方人员自费在甲方食堂就餐，提供进入相关办公及维修场所的门禁卡。</w:t>
      </w:r>
    </w:p>
    <w:p w14:paraId="0E1310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5.2甲方应按机器操作手册的要求进行操作及日常维护，保证机器的电气环境(电源质量、接地、温湿度、电磁干扰、腐蚀性气体等符合设备安装手册中的要求，保证机器所需电源、水源的正常供应及开启和关闭。由于甲方原因造成设备不能正常运转或无法提供维修，乙方并不承担维修责任。</w:t>
      </w:r>
    </w:p>
    <w:p w14:paraId="35901C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5.3甲方应按合同约定的方式按时向乙方支付维修服务费用。若甲方延迟付款，乙方有权暂停对甲方提供服务直至甲方支付对应款项。</w:t>
      </w:r>
    </w:p>
    <w:p w14:paraId="2254EB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5.4甲方应无条件退还更换下来的坏、旧备件，不能以任何理由予以扣留。</w:t>
      </w:r>
    </w:p>
    <w:p w14:paraId="12E029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5.5本次合同服务相关的化学品</w:t>
      </w:r>
      <w:r>
        <w:rPr>
          <w:rFonts w:hint="eastAsia"/>
          <w:color w:val="auto"/>
          <w:sz w:val="24"/>
          <w:szCs w:val="24"/>
          <w:highlight w:val="none"/>
          <w:lang w:val="en-US" w:eastAsia="zh-CN"/>
        </w:rPr>
        <w:t>（</w:t>
      </w:r>
      <w:r>
        <w:rPr>
          <w:rFonts w:hint="eastAsia"/>
          <w:color w:val="auto"/>
          <w:sz w:val="24"/>
          <w:szCs w:val="24"/>
          <w:highlight w:val="none"/>
        </w:rPr>
        <w:t>如酒精、高压油等</w:t>
      </w:r>
      <w:r>
        <w:rPr>
          <w:rFonts w:hint="eastAsia"/>
          <w:color w:val="auto"/>
          <w:sz w:val="24"/>
          <w:szCs w:val="24"/>
          <w:highlight w:val="none"/>
          <w:lang w:val="en-US" w:eastAsia="zh-CN"/>
        </w:rPr>
        <w:t>）</w:t>
      </w:r>
      <w:r>
        <w:rPr>
          <w:rFonts w:hint="eastAsia"/>
          <w:color w:val="auto"/>
          <w:sz w:val="24"/>
          <w:szCs w:val="24"/>
          <w:highlight w:val="none"/>
        </w:rPr>
        <w:t>以及产生的相关废物，甲方应按照国家相关法律法规要求进行管理和处置。</w:t>
      </w:r>
    </w:p>
    <w:p w14:paraId="6EB30D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5.6若续签保修合同，或暂停服务时间已超过上一次报修结束日期的，该机器须重新进行状态检测后方可进保。</w:t>
      </w:r>
    </w:p>
    <w:p w14:paraId="0B981B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5.7如连续续保，具体续保金额由甲乙双方进一步沟通协商而定。</w:t>
      </w:r>
    </w:p>
    <w:p w14:paraId="5A041A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b/>
          <w:bCs/>
          <w:color w:val="auto"/>
          <w:sz w:val="24"/>
          <w:szCs w:val="24"/>
          <w:highlight w:val="none"/>
          <w:lang w:eastAsia="zh-CN"/>
        </w:rPr>
      </w:pPr>
      <w:r>
        <w:rPr>
          <w:rFonts w:hint="eastAsia" w:asciiTheme="minorHAnsi" w:hAnsiTheme="minorHAnsi" w:eastAsiaTheme="minorEastAsia" w:cstheme="minorBidi"/>
          <w:b/>
          <w:bCs/>
          <w:color w:val="auto"/>
          <w:kern w:val="2"/>
          <w:sz w:val="24"/>
          <w:szCs w:val="24"/>
          <w:highlight w:val="none"/>
          <w:lang w:val="en-US" w:eastAsia="zh-CN" w:bidi="ar-SA"/>
        </w:rPr>
        <w:t>6.</w:t>
      </w:r>
      <w:r>
        <w:rPr>
          <w:rFonts w:hint="eastAsia"/>
          <w:b/>
          <w:bCs/>
          <w:color w:val="auto"/>
          <w:sz w:val="24"/>
          <w:szCs w:val="24"/>
          <w:highlight w:val="none"/>
        </w:rPr>
        <w:t>合同金额及付款方式</w:t>
      </w:r>
      <w:r>
        <w:rPr>
          <w:rFonts w:hint="eastAsia"/>
          <w:b/>
          <w:bCs/>
          <w:color w:val="auto"/>
          <w:sz w:val="24"/>
          <w:szCs w:val="24"/>
          <w:highlight w:val="none"/>
          <w:lang w:eastAsia="zh-CN"/>
        </w:rPr>
        <w:t>：</w:t>
      </w:r>
    </w:p>
    <w:p w14:paraId="799EFE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u w:val="none"/>
          <w:lang w:val="en-US" w:eastAsia="zh-CN"/>
        </w:rPr>
      </w:pPr>
      <w:r>
        <w:rPr>
          <w:rFonts w:hint="eastAsia"/>
          <w:color w:val="auto"/>
          <w:sz w:val="24"/>
          <w:szCs w:val="24"/>
          <w:highlight w:val="none"/>
          <w:lang w:val="en-US" w:eastAsia="zh-CN"/>
        </w:rPr>
        <w:t>6.1合同金额：小写：</w:t>
      </w:r>
      <w:r>
        <w:rPr>
          <w:rFonts w:hint="eastAsia" w:ascii="宋体" w:hAnsi="宋体" w:cs="宋体"/>
          <w:color w:val="auto"/>
          <w:sz w:val="24"/>
          <w:szCs w:val="24"/>
          <w:highlight w:val="none"/>
        </w:rPr>
        <w:t>¥</w:t>
      </w:r>
      <w:r>
        <w:rPr>
          <w:rFonts w:hint="eastAsia"/>
          <w:color w:val="auto"/>
          <w:sz w:val="24"/>
          <w:szCs w:val="24"/>
          <w:highlight w:val="none"/>
          <w:u w:val="single"/>
          <w:lang w:val="en-US" w:eastAsia="zh-CN"/>
        </w:rPr>
        <w:t xml:space="preserve">          （元/年）</w:t>
      </w:r>
      <w:r>
        <w:rPr>
          <w:rFonts w:hint="eastAsia"/>
          <w:color w:val="auto"/>
          <w:sz w:val="24"/>
          <w:szCs w:val="24"/>
          <w:highlight w:val="none"/>
          <w:lang w:val="en-US" w:eastAsia="zh-CN"/>
        </w:rPr>
        <w:t xml:space="preserve"> 大写：人民币</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元整</w:t>
      </w:r>
    </w:p>
    <w:p w14:paraId="4D7BC2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6.2乙方银行账户信息</w:t>
      </w:r>
    </w:p>
    <w:p w14:paraId="220434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户名：</w:t>
      </w:r>
    </w:p>
    <w:p w14:paraId="10398A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统一社会信用代码：</w:t>
      </w:r>
    </w:p>
    <w:p w14:paraId="401499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开户行：</w:t>
      </w:r>
    </w:p>
    <w:p w14:paraId="2F8150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u w:val="none"/>
          <w:lang w:val="en-US" w:eastAsia="zh-CN"/>
        </w:rPr>
      </w:pPr>
      <w:r>
        <w:rPr>
          <w:rFonts w:hint="eastAsia"/>
          <w:color w:val="auto"/>
          <w:sz w:val="24"/>
          <w:szCs w:val="24"/>
          <w:highlight w:val="none"/>
          <w:lang w:val="en-US" w:eastAsia="zh-CN"/>
        </w:rPr>
        <w:t>账号：</w:t>
      </w:r>
    </w:p>
    <w:p w14:paraId="184A85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6.3付款方式：</w:t>
      </w:r>
    </w:p>
    <w:p w14:paraId="4CD650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eastAsia" w:ascii="宋体" w:hAnsi="宋体" w:cs="宋体"/>
          <w:color w:val="auto"/>
          <w:sz w:val="24"/>
          <w:szCs w:val="24"/>
          <w:highlight w:val="none"/>
          <w:lang w:val="en-US" w:eastAsia="zh-CN"/>
        </w:rPr>
        <w:t>合同签订后，甲方收到乙方开具的增值税发票后30天内向乙方支付合同金额的100%</w:t>
      </w:r>
      <w:r>
        <w:rPr>
          <w:rFonts w:hint="eastAsia"/>
          <w:color w:val="auto"/>
          <w:sz w:val="24"/>
          <w:szCs w:val="24"/>
          <w:highlight w:val="none"/>
          <w:lang w:val="en-US" w:eastAsia="zh-CN"/>
        </w:rPr>
        <w:t>。</w:t>
      </w:r>
    </w:p>
    <w:p w14:paraId="086B3B5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eastAsiaTheme="minorEastAsia"/>
          <w:b/>
          <w:bCs/>
          <w:color w:val="auto"/>
          <w:sz w:val="24"/>
          <w:szCs w:val="24"/>
          <w:highlight w:val="none"/>
          <w:lang w:eastAsia="zh-CN"/>
        </w:rPr>
      </w:pPr>
      <w:r>
        <w:rPr>
          <w:rFonts w:hint="eastAsia"/>
          <w:b/>
          <w:bCs/>
          <w:color w:val="auto"/>
          <w:sz w:val="24"/>
          <w:szCs w:val="24"/>
          <w:highlight w:val="none"/>
        </w:rPr>
        <w:t>7.合同的变更和转让</w:t>
      </w:r>
      <w:r>
        <w:rPr>
          <w:rFonts w:hint="eastAsia"/>
          <w:b/>
          <w:bCs/>
          <w:color w:val="auto"/>
          <w:sz w:val="24"/>
          <w:szCs w:val="24"/>
          <w:highlight w:val="none"/>
          <w:lang w:eastAsia="zh-CN"/>
        </w:rPr>
        <w:t>：</w:t>
      </w:r>
    </w:p>
    <w:p w14:paraId="15BA36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合同有效期内，任何一方均不得擅自变更合同的权利和义务，除非双方的授权代表以书面的方式确认。</w:t>
      </w:r>
    </w:p>
    <w:p w14:paraId="59F4F91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eastAsiaTheme="minorEastAsia"/>
          <w:b/>
          <w:bCs/>
          <w:color w:val="auto"/>
          <w:sz w:val="24"/>
          <w:szCs w:val="24"/>
          <w:highlight w:val="none"/>
          <w:lang w:eastAsia="zh-CN"/>
        </w:rPr>
      </w:pPr>
      <w:r>
        <w:rPr>
          <w:rFonts w:hint="eastAsia"/>
          <w:b/>
          <w:bCs/>
          <w:color w:val="auto"/>
          <w:sz w:val="24"/>
          <w:szCs w:val="24"/>
          <w:highlight w:val="none"/>
        </w:rPr>
        <w:t>8.信息保密</w:t>
      </w:r>
      <w:r>
        <w:rPr>
          <w:rFonts w:hint="eastAsia"/>
          <w:b/>
          <w:bCs/>
          <w:color w:val="auto"/>
          <w:sz w:val="24"/>
          <w:szCs w:val="24"/>
          <w:highlight w:val="none"/>
          <w:lang w:eastAsia="zh-CN"/>
        </w:rPr>
        <w:t>：</w:t>
      </w:r>
    </w:p>
    <w:p w14:paraId="63378D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甲乙双方对本合同，与本合同相关的其它信息，涉及乙方知识产权的相关信息均负有保密义务。未经另一方事先书面同意，任何一方不得将该信息的任何部分向任何第三方或社会公众披露。如最终用户或政府部门要求甲方或乙方提供保密信息，该方应将此要求及时通知另一方。该保密义务在本合同终止或解除后仍然有效。</w:t>
      </w:r>
    </w:p>
    <w:p w14:paraId="563C7CD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eastAsiaTheme="minorEastAsia"/>
          <w:b/>
          <w:bCs/>
          <w:color w:val="auto"/>
          <w:sz w:val="24"/>
          <w:szCs w:val="24"/>
          <w:highlight w:val="none"/>
          <w:lang w:eastAsia="zh-CN"/>
        </w:rPr>
      </w:pPr>
      <w:r>
        <w:rPr>
          <w:rFonts w:hint="eastAsia"/>
          <w:b/>
          <w:bCs/>
          <w:color w:val="auto"/>
          <w:sz w:val="24"/>
          <w:szCs w:val="24"/>
          <w:highlight w:val="none"/>
        </w:rPr>
        <w:t>9.豁免及违约责任</w:t>
      </w:r>
      <w:r>
        <w:rPr>
          <w:rFonts w:hint="eastAsia"/>
          <w:b/>
          <w:bCs/>
          <w:color w:val="auto"/>
          <w:sz w:val="24"/>
          <w:szCs w:val="24"/>
          <w:highlight w:val="none"/>
          <w:lang w:eastAsia="zh-CN"/>
        </w:rPr>
        <w:t>：</w:t>
      </w:r>
    </w:p>
    <w:p w14:paraId="58B40C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9.1由于公认的不可抗力事件造成的损坏</w:t>
      </w:r>
      <w:r>
        <w:rPr>
          <w:rFonts w:hint="eastAsia"/>
          <w:color w:val="auto"/>
          <w:sz w:val="24"/>
          <w:szCs w:val="24"/>
          <w:highlight w:val="none"/>
          <w:lang w:eastAsia="zh-CN"/>
        </w:rPr>
        <w:t>（</w:t>
      </w:r>
      <w:r>
        <w:rPr>
          <w:rFonts w:hint="eastAsia"/>
          <w:color w:val="auto"/>
          <w:sz w:val="24"/>
          <w:szCs w:val="24"/>
          <w:highlight w:val="none"/>
        </w:rPr>
        <w:t>如自然灾害、爆炸、房屋倒塌、暴乱、坠机及蓄意破坏、缺乏燃料或水电、劳资纠纷、罢工、战争等</w:t>
      </w:r>
      <w:r>
        <w:rPr>
          <w:rFonts w:hint="eastAsia"/>
          <w:color w:val="auto"/>
          <w:sz w:val="24"/>
          <w:szCs w:val="24"/>
          <w:highlight w:val="none"/>
          <w:lang w:eastAsia="zh-CN"/>
        </w:rPr>
        <w:t>）</w:t>
      </w:r>
      <w:r>
        <w:rPr>
          <w:rFonts w:hint="eastAsia"/>
          <w:color w:val="auto"/>
          <w:sz w:val="24"/>
          <w:szCs w:val="24"/>
          <w:highlight w:val="none"/>
        </w:rPr>
        <w:t>，乙方根据实际情况部分或全部免除责任，并及时通知甲方。</w:t>
      </w:r>
    </w:p>
    <w:p w14:paraId="2114CD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9.2乙方应甲方要求进行技术服务前，若发生甲方隐瞒其机器曾自行或请第三方修理调整换装零件、改装机器及备件的，乙方不承担相关责任。</w:t>
      </w:r>
    </w:p>
    <w:p w14:paraId="2D147B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9.3甲方或其代表未遵照保养及操作手册上的程序所进行操作所引起的设备故障，乙方不承担相关责任。</w:t>
      </w:r>
    </w:p>
    <w:p w14:paraId="53AB7A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9.4在合同有效期内，未经乙方认可，甲方擅自维修、移机、保养或更换零备件，乙方有权解除合同。</w:t>
      </w:r>
    </w:p>
    <w:p w14:paraId="5860AA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color w:val="auto"/>
          <w:sz w:val="24"/>
          <w:szCs w:val="24"/>
          <w:highlight w:val="none"/>
        </w:rPr>
        <w:t>9.5除不可抗力或乙方不可能控制的因素导致的情形外，因为乙方过错无故不履行合同或者履行合同不符合约定给甲方造成损失的，乙方负责赔偿直接损失，该损失赔偿额最高不超过本合同签署时双方约定的甲方应支付给乙方的设备当期服务合同价款。</w:t>
      </w:r>
      <w:r>
        <w:rPr>
          <w:rFonts w:hint="eastAsia" w:ascii="宋体" w:hAnsi="宋体" w:cs="宋体"/>
          <w:color w:val="auto"/>
          <w:sz w:val="24"/>
          <w:szCs w:val="24"/>
          <w:highlight w:val="none"/>
        </w:rPr>
        <w:t xml:space="preserve">          </w:t>
      </w:r>
    </w:p>
    <w:p w14:paraId="3A1713AE">
      <w:pPr>
        <w:pStyle w:val="6"/>
        <w:spacing w:line="360" w:lineRule="auto"/>
        <w:rPr>
          <w:rFonts w:hint="eastAsia" w:ascii="宋体" w:hAnsi="宋体" w:cs="宋体"/>
          <w:color w:val="auto"/>
          <w:sz w:val="24"/>
          <w:szCs w:val="24"/>
          <w:highlight w:val="none"/>
        </w:rPr>
      </w:pPr>
      <w:bookmarkStart w:id="1154" w:name="_Toc8421"/>
      <w:r>
        <w:rPr>
          <w:rFonts w:hint="eastAsia" w:ascii="宋体" w:hAnsi="宋体" w:eastAsia="宋体" w:cs="宋体"/>
          <w:color w:val="auto"/>
          <w:sz w:val="24"/>
          <w:szCs w:val="24"/>
          <w:highlight w:val="none"/>
          <w:lang w:val="en-US" w:eastAsia="zh-CN"/>
        </w:rPr>
        <w:t>10</w:t>
      </w:r>
      <w:r>
        <w:rPr>
          <w:rFonts w:hint="eastAsia" w:ascii="宋体" w:hAnsi="宋体" w:cs="宋体"/>
          <w:color w:val="auto"/>
          <w:sz w:val="24"/>
          <w:szCs w:val="24"/>
          <w:highlight w:val="none"/>
        </w:rPr>
        <w:t>.组成合同的文件</w:t>
      </w:r>
      <w:bookmarkEnd w:id="1154"/>
    </w:p>
    <w:p w14:paraId="12278729">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本协议书与下列文件一起构成合同文件，如下述文件之间有任何抵触、矛盾或歧义，应按以下顺序解释：</w:t>
      </w:r>
    </w:p>
    <w:p w14:paraId="527F969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（1）政府采购合同协议书及其变更、补充协议</w:t>
      </w:r>
    </w:p>
    <w:p w14:paraId="7D7D357D">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（2）政府采购合同专用条款</w:t>
      </w:r>
    </w:p>
    <w:p w14:paraId="68987BC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（3）政府采购合同通用条款</w:t>
      </w:r>
    </w:p>
    <w:p w14:paraId="27BBCFA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（4）中标（成交）通知书</w:t>
      </w:r>
    </w:p>
    <w:p w14:paraId="5987526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（5）投标（响应）文件</w:t>
      </w:r>
    </w:p>
    <w:p w14:paraId="036F5FC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（6）采购文件</w:t>
      </w:r>
    </w:p>
    <w:p w14:paraId="21FF1D1F">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（7）有关技术文件，图纸</w:t>
      </w:r>
    </w:p>
    <w:p w14:paraId="1A82594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（8）国家法律、行政法规和规章制度规定或合同约定的作为合同组成部分的其他文件</w:t>
      </w:r>
    </w:p>
    <w:p w14:paraId="3C91479D">
      <w:pPr>
        <w:pStyle w:val="6"/>
        <w:spacing w:line="360" w:lineRule="auto"/>
        <w:rPr>
          <w:rFonts w:hint="eastAsia" w:ascii="宋体" w:hAnsi="宋体" w:cs="宋体"/>
          <w:color w:val="auto"/>
          <w:sz w:val="24"/>
          <w:szCs w:val="24"/>
          <w:highlight w:val="none"/>
        </w:rPr>
      </w:pPr>
      <w:bookmarkStart w:id="1155" w:name="_Toc19459"/>
      <w:r>
        <w:rPr>
          <w:rFonts w:hint="eastAsia" w:ascii="宋体" w:hAnsi="宋体" w:cs="宋体"/>
          <w:color w:val="auto"/>
          <w:sz w:val="24"/>
          <w:szCs w:val="24"/>
          <w:highlight w:val="none"/>
        </w:rPr>
        <w:t>6.合同生效</w:t>
      </w:r>
      <w:bookmarkEnd w:id="1155"/>
    </w:p>
    <w:p w14:paraId="7B9B6079">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本合同自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生效。</w:t>
      </w:r>
    </w:p>
    <w:p w14:paraId="06E8B9DC">
      <w:pPr>
        <w:pStyle w:val="6"/>
        <w:spacing w:line="360" w:lineRule="auto"/>
        <w:rPr>
          <w:rFonts w:hint="eastAsia" w:ascii="宋体" w:hAnsi="宋体" w:cs="宋体"/>
          <w:color w:val="auto"/>
          <w:sz w:val="24"/>
          <w:szCs w:val="24"/>
          <w:highlight w:val="none"/>
        </w:rPr>
      </w:pPr>
      <w:bookmarkStart w:id="1156" w:name="_Toc26328"/>
      <w:r>
        <w:rPr>
          <w:rFonts w:hint="eastAsia" w:ascii="宋体" w:hAnsi="宋体" w:cs="宋体"/>
          <w:color w:val="auto"/>
          <w:sz w:val="24"/>
          <w:szCs w:val="24"/>
          <w:highlight w:val="none"/>
        </w:rPr>
        <w:t>7.合同份数</w:t>
      </w:r>
      <w:bookmarkEnd w:id="1156"/>
    </w:p>
    <w:p w14:paraId="36F1ECC3">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本合同一式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份，甲方执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份，乙方执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份，均具有同等法律效力。</w:t>
      </w:r>
    </w:p>
    <w:p w14:paraId="41E8E09F">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合同订立时间：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48A450EA">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合同订立地点：</w:t>
      </w:r>
      <w:r>
        <w:rPr>
          <w:rFonts w:hint="eastAsia" w:ascii="宋体" w:hAnsi="宋体" w:cs="宋体"/>
          <w:color w:val="auto"/>
          <w:sz w:val="24"/>
          <w:szCs w:val="24"/>
          <w:highlight w:val="none"/>
          <w:u w:val="single"/>
        </w:rPr>
        <w:t xml:space="preserve">                                                    </w:t>
      </w:r>
    </w:p>
    <w:p w14:paraId="2CDC4FE0">
      <w:pPr>
        <w:wordWrap w:val="0"/>
        <w:topLinePunct/>
        <w:spacing w:line="360" w:lineRule="auto"/>
        <w:ind w:firstLine="480" w:firstLineChars="200"/>
        <w:rPr>
          <w:rFonts w:hint="eastAsia" w:ascii="宋体" w:hAnsi="宋体" w:cs="宋体"/>
          <w:bCs/>
          <w:color w:val="auto"/>
          <w:sz w:val="24"/>
          <w:szCs w:val="24"/>
          <w:highlight w:val="none"/>
        </w:rPr>
      </w:pPr>
      <w:r>
        <w:rPr>
          <w:rFonts w:hint="eastAsia" w:ascii="宋体" w:hAnsi="宋体" w:cs="宋体"/>
          <w:color w:val="auto"/>
          <w:sz w:val="24"/>
          <w:szCs w:val="24"/>
          <w:highlight w:val="none"/>
        </w:rPr>
        <w:t>附件：具体标的及其技术要求和商务要求、联合协议、分包意向协议等</w:t>
      </w:r>
      <w:r>
        <w:rPr>
          <w:rFonts w:hint="eastAsia" w:ascii="宋体" w:hAnsi="宋体" w:cs="宋体"/>
          <w:bCs/>
          <w:color w:val="auto"/>
          <w:sz w:val="24"/>
          <w:szCs w:val="24"/>
          <w:highlight w:val="none"/>
        </w:rPr>
        <w:t>。</w:t>
      </w:r>
    </w:p>
    <w:p w14:paraId="67349F1E">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【以下无正文，为签署页】</w:t>
      </w:r>
    </w:p>
    <w:p w14:paraId="6B3020D0">
      <w:pPr>
        <w:wordWrap w:val="0"/>
        <w:topLinePunct/>
        <w:spacing w:line="360" w:lineRule="auto"/>
        <w:ind w:firstLine="480" w:firstLineChars="200"/>
        <w:rPr>
          <w:rFonts w:hint="eastAsia" w:ascii="宋体" w:hAnsi="宋体" w:cs="宋体"/>
          <w:color w:val="auto"/>
          <w:sz w:val="24"/>
          <w:szCs w:val="24"/>
          <w:highlight w:val="none"/>
        </w:rPr>
        <w:sectPr>
          <w:pgSz w:w="11906" w:h="16838"/>
          <w:pgMar w:top="1440" w:right="1080" w:bottom="1440" w:left="1080" w:header="567" w:footer="596" w:gutter="0"/>
          <w:pgBorders>
            <w:top w:val="none" w:sz="0" w:space="0"/>
            <w:left w:val="none" w:sz="0" w:space="0"/>
            <w:bottom w:val="none" w:sz="0" w:space="0"/>
            <w:right w:val="none" w:sz="0" w:space="0"/>
          </w:pgBorders>
          <w:pgNumType w:fmt="decimal"/>
          <w:cols w:space="720" w:num="1"/>
          <w:titlePg/>
          <w:docGrid w:linePitch="299" w:charSpace="0"/>
        </w:sectPr>
      </w:pPr>
    </w:p>
    <w:p w14:paraId="47B413F2">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甲方（采购人单位章）名称：</w:t>
      </w:r>
      <w:r>
        <w:rPr>
          <w:rFonts w:hint="eastAsia" w:ascii="宋体" w:hAnsi="宋体" w:cs="宋体"/>
          <w:color w:val="auto"/>
          <w:sz w:val="24"/>
          <w:szCs w:val="24"/>
          <w:highlight w:val="none"/>
          <w:lang w:eastAsia="zh-CN"/>
        </w:rPr>
        <w:t>南华县人民医院</w:t>
      </w:r>
      <w:r>
        <w:rPr>
          <w:rFonts w:hint="eastAsia" w:ascii="宋体" w:hAnsi="宋体" w:cs="宋体"/>
          <w:color w:val="auto"/>
          <w:sz w:val="24"/>
          <w:szCs w:val="24"/>
          <w:highlight w:val="none"/>
        </w:rPr>
        <w:t xml:space="preserve"> </w:t>
      </w:r>
    </w:p>
    <w:p w14:paraId="2E7A4B7C">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    址：南华县龙川镇华强路</w:t>
      </w:r>
    </w:p>
    <w:p w14:paraId="4FF85CC3">
      <w:pPr>
        <w:wordWrap w:val="0"/>
        <w:topLinePunct/>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邮    编：675</w:t>
      </w:r>
      <w:r>
        <w:rPr>
          <w:rFonts w:hint="eastAsia" w:ascii="宋体" w:hAnsi="宋体" w:cs="宋体"/>
          <w:color w:val="auto"/>
          <w:sz w:val="24"/>
          <w:szCs w:val="24"/>
          <w:highlight w:val="none"/>
          <w:lang w:val="en-US" w:eastAsia="zh-CN"/>
        </w:rPr>
        <w:t>200</w:t>
      </w:r>
    </w:p>
    <w:p w14:paraId="472B7037">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法定代表人或委托代理人：</w:t>
      </w:r>
    </w:p>
    <w:p w14:paraId="1BEF1834">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项目（技术）负责人：</w:t>
      </w:r>
    </w:p>
    <w:p w14:paraId="29161A4B">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电    话：</w:t>
      </w:r>
    </w:p>
    <w:p w14:paraId="1619454A">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签 订 日 期：</w:t>
      </w:r>
    </w:p>
    <w:p w14:paraId="2620A255">
      <w:pPr>
        <w:wordWrap w:val="0"/>
        <w:topLinePunct/>
        <w:spacing w:line="360" w:lineRule="auto"/>
        <w:ind w:firstLine="480" w:firstLineChars="200"/>
        <w:rPr>
          <w:rFonts w:hint="eastAsia" w:ascii="宋体" w:hAnsi="宋体" w:cs="宋体"/>
          <w:color w:val="auto"/>
          <w:sz w:val="24"/>
          <w:szCs w:val="24"/>
          <w:highlight w:val="none"/>
        </w:rPr>
      </w:pPr>
    </w:p>
    <w:p w14:paraId="44E1CDA3">
      <w:pPr>
        <w:wordWrap w:val="0"/>
        <w:topLinePunct/>
        <w:spacing w:line="360" w:lineRule="auto"/>
        <w:ind w:firstLine="480" w:firstLineChars="200"/>
        <w:rPr>
          <w:rFonts w:hint="eastAsia" w:ascii="宋体" w:hAnsi="宋体" w:cs="宋体"/>
          <w:color w:val="auto"/>
          <w:sz w:val="24"/>
          <w:szCs w:val="24"/>
          <w:highlight w:val="none"/>
        </w:rPr>
      </w:pPr>
    </w:p>
    <w:p w14:paraId="5FC15253">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乙方（</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单位章）名称：</w:t>
      </w:r>
    </w:p>
    <w:p w14:paraId="170155E7">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    址：</w:t>
      </w:r>
    </w:p>
    <w:p w14:paraId="7CB41EAC">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邮    编：</w:t>
      </w:r>
    </w:p>
    <w:p w14:paraId="6CAFE9A3">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法定代表人或委托代理人：    </w:t>
      </w:r>
    </w:p>
    <w:p w14:paraId="1B7B47B4">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经   办   人：</w:t>
      </w:r>
    </w:p>
    <w:p w14:paraId="50C977BE">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电        话：</w:t>
      </w:r>
    </w:p>
    <w:p w14:paraId="29254C5A">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签 订 日 期 ：</w:t>
      </w:r>
    </w:p>
    <w:p w14:paraId="15D03703">
      <w:pPr>
        <w:wordWrap w:val="0"/>
        <w:topLinePunct/>
        <w:spacing w:line="360" w:lineRule="auto"/>
        <w:ind w:firstLine="480" w:firstLineChars="200"/>
        <w:rPr>
          <w:rFonts w:hint="eastAsia" w:ascii="宋体" w:hAnsi="宋体" w:cs="宋体"/>
          <w:color w:val="auto"/>
          <w:sz w:val="24"/>
          <w:szCs w:val="24"/>
          <w:highlight w:val="none"/>
        </w:rPr>
      </w:pPr>
    </w:p>
    <w:p w14:paraId="54A00CEA">
      <w:pPr>
        <w:wordWrap w:val="0"/>
        <w:topLinePunct/>
        <w:spacing w:line="360" w:lineRule="auto"/>
        <w:ind w:firstLine="480" w:firstLineChars="200"/>
        <w:rPr>
          <w:rFonts w:hint="eastAsia" w:ascii="宋体" w:hAnsi="宋体" w:cs="宋体"/>
          <w:color w:val="auto"/>
          <w:sz w:val="24"/>
          <w:szCs w:val="24"/>
          <w:highlight w:val="none"/>
        </w:rPr>
      </w:pPr>
    </w:p>
    <w:p w14:paraId="59E018E7">
      <w:pPr>
        <w:wordWrap w:val="0"/>
        <w:topLinePunct/>
        <w:spacing w:line="360" w:lineRule="auto"/>
        <w:ind w:firstLine="480" w:firstLineChars="200"/>
        <w:rPr>
          <w:rFonts w:hint="eastAsia" w:ascii="宋体" w:hAnsi="宋体" w:cs="宋体"/>
          <w:vanish/>
          <w:color w:val="auto"/>
          <w:sz w:val="24"/>
          <w:szCs w:val="24"/>
          <w:highlight w:val="none"/>
        </w:rPr>
      </w:pPr>
    </w:p>
    <w:p w14:paraId="5C3F5E78">
      <w:pPr>
        <w:wordWrap w:val="0"/>
        <w:topLinePunct/>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丙方（鉴证方单位章）名称：</w:t>
      </w:r>
      <w:r>
        <w:rPr>
          <w:rFonts w:hint="eastAsia" w:ascii="宋体" w:hAnsi="宋体" w:cs="宋体"/>
          <w:color w:val="auto"/>
          <w:sz w:val="24"/>
          <w:szCs w:val="24"/>
          <w:highlight w:val="none"/>
          <w:lang w:eastAsia="zh-CN"/>
        </w:rPr>
        <w:t xml:space="preserve">楚雄腾凯工程项目管理有限公司 </w:t>
      </w:r>
    </w:p>
    <w:p w14:paraId="5B8619E4">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    址：南华县龙川镇两旗书苑52号</w:t>
      </w:r>
    </w:p>
    <w:p w14:paraId="21EB8FF8">
      <w:pPr>
        <w:wordWrap w:val="0"/>
        <w:topLinePunct/>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邮    编：</w:t>
      </w:r>
      <w:r>
        <w:rPr>
          <w:rFonts w:hint="eastAsia" w:ascii="宋体" w:hAnsi="宋体" w:cs="宋体"/>
          <w:color w:val="auto"/>
          <w:sz w:val="24"/>
          <w:szCs w:val="24"/>
          <w:highlight w:val="none"/>
          <w:lang w:val="en-US" w:eastAsia="zh-CN"/>
        </w:rPr>
        <w:t>675200</w:t>
      </w:r>
    </w:p>
    <w:p w14:paraId="4AFB7770">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法定代表人或委托代理人：</w:t>
      </w:r>
    </w:p>
    <w:p w14:paraId="7A2EFCD2">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经　办　人：</w:t>
      </w:r>
    </w:p>
    <w:p w14:paraId="71D80429">
      <w:pPr>
        <w:wordWrap w:val="0"/>
        <w:topLinePunct/>
        <w:spacing w:line="360" w:lineRule="auto"/>
        <w:ind w:firstLine="480" w:firstLineChars="200"/>
        <w:rPr>
          <w:rFonts w:hint="eastAsia" w:ascii="宋体" w:hAnsi="宋体" w:cs="宋体"/>
          <w:color w:val="auto"/>
          <w:sz w:val="24"/>
          <w:szCs w:val="24"/>
          <w:highlight w:val="none"/>
        </w:rPr>
        <w:sectPr>
          <w:pgSz w:w="11906" w:h="16838"/>
          <w:pgMar w:top="1440" w:right="1080" w:bottom="1440" w:left="1080" w:header="340" w:footer="596" w:gutter="0"/>
          <w:pgBorders>
            <w:top w:val="none" w:sz="0" w:space="0"/>
            <w:left w:val="none" w:sz="0" w:space="0"/>
            <w:bottom w:val="none" w:sz="0" w:space="0"/>
            <w:right w:val="none" w:sz="0" w:space="0"/>
          </w:pgBorders>
          <w:pgNumType w:fmt="decimal"/>
          <w:cols w:space="720" w:num="1"/>
          <w:titlePg/>
          <w:docGrid w:linePitch="299" w:charSpace="0"/>
        </w:sectPr>
      </w:pPr>
      <w:r>
        <w:rPr>
          <w:rFonts w:hint="eastAsia" w:ascii="宋体" w:hAnsi="宋体" w:cs="宋体"/>
          <w:color w:val="auto"/>
          <w:sz w:val="24"/>
          <w:szCs w:val="24"/>
          <w:highlight w:val="none"/>
        </w:rPr>
        <w:t>电   话：</w:t>
      </w:r>
    </w:p>
    <w:p w14:paraId="07982E1D">
      <w:pPr>
        <w:pStyle w:val="5"/>
        <w:spacing w:line="443" w:lineRule="exact"/>
        <w:jc w:val="center"/>
        <w:rPr>
          <w:rFonts w:hint="eastAsia" w:ascii="Microsoft JhengHei" w:hAnsi="Microsoft JhengHei" w:eastAsia="宋体"/>
          <w:b/>
          <w:bCs/>
          <w:color w:val="auto"/>
          <w:sz w:val="30"/>
          <w:szCs w:val="32"/>
          <w:highlight w:val="none"/>
        </w:rPr>
      </w:pPr>
      <w:bookmarkStart w:id="1157" w:name="_Toc3129"/>
      <w:bookmarkStart w:id="1158" w:name="_Toc27624"/>
      <w:r>
        <w:rPr>
          <w:rFonts w:hint="eastAsia" w:ascii="Microsoft JhengHei" w:hAnsi="Microsoft JhengHei"/>
          <w:b/>
          <w:bCs/>
          <w:color w:val="auto"/>
          <w:sz w:val="30"/>
          <w:szCs w:val="32"/>
          <w:highlight w:val="none"/>
        </w:rPr>
        <w:t>第二</w:t>
      </w:r>
      <w:r>
        <w:rPr>
          <w:rFonts w:hint="eastAsia" w:ascii="Microsoft JhengHei" w:hAnsi="Microsoft JhengHei"/>
          <w:b/>
          <w:bCs/>
          <w:color w:val="auto"/>
          <w:sz w:val="30"/>
          <w:highlight w:val="none"/>
        </w:rPr>
        <w:t>部分</w:t>
      </w:r>
      <w:r>
        <w:rPr>
          <w:rFonts w:hint="eastAsia" w:ascii="Microsoft JhengHei" w:hAnsi="Microsoft JhengHei"/>
          <w:b/>
          <w:bCs/>
          <w:color w:val="auto"/>
          <w:sz w:val="30"/>
          <w:szCs w:val="32"/>
          <w:highlight w:val="none"/>
        </w:rPr>
        <w:t xml:space="preserve"> 政府采购合同通用条款</w:t>
      </w:r>
      <w:bookmarkEnd w:id="1157"/>
      <w:bookmarkEnd w:id="1158"/>
    </w:p>
    <w:p w14:paraId="334F42FB">
      <w:pPr>
        <w:pStyle w:val="6"/>
        <w:rPr>
          <w:rFonts w:hint="eastAsia" w:ascii="宋体" w:hAnsi="宋体" w:cs="宋体"/>
          <w:color w:val="auto"/>
          <w:sz w:val="24"/>
          <w:szCs w:val="24"/>
          <w:highlight w:val="none"/>
        </w:rPr>
      </w:pPr>
      <w:bookmarkStart w:id="1159" w:name="_Toc6950"/>
      <w:r>
        <w:rPr>
          <w:rFonts w:hint="eastAsia" w:ascii="宋体" w:hAnsi="宋体" w:cs="宋体"/>
          <w:color w:val="auto"/>
          <w:sz w:val="24"/>
          <w:szCs w:val="24"/>
          <w:highlight w:val="none"/>
        </w:rPr>
        <w:t>1.定义</w:t>
      </w:r>
      <w:bookmarkEnd w:id="1159"/>
    </w:p>
    <w:p w14:paraId="5FAE2CB4">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1.1合同当事人</w:t>
      </w:r>
    </w:p>
    <w:p w14:paraId="51947B5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（1）采购人（以下称甲方）是指使用财政性资金，通过政府采购方式向</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购买货物及其相关服务的国家机关、事业单位、团体组织。</w:t>
      </w:r>
    </w:p>
    <w:p w14:paraId="2EAAA1D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（以下称乙方）是指参加政府采购活动并且中标（成交），向采购人提供合同约定的货物及其相关服务的法人、非法人组织或者自然人。</w:t>
      </w:r>
    </w:p>
    <w:p w14:paraId="64B74CB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（3）其他合同主体是指除采购人和</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以外，</w:t>
      </w:r>
      <w:r>
        <w:rPr>
          <w:rFonts w:hint="eastAsia" w:ascii="宋体" w:hAnsi="宋体" w:cs="宋体"/>
          <w:bCs/>
          <w:color w:val="auto"/>
          <w:sz w:val="24"/>
          <w:szCs w:val="24"/>
          <w:highlight w:val="none"/>
        </w:rPr>
        <w:t>依法参与合同缔结或履行，享有权利、承担义务的合同当事人</w:t>
      </w:r>
      <w:r>
        <w:rPr>
          <w:rFonts w:hint="eastAsia" w:ascii="宋体" w:hAnsi="宋体" w:cs="宋体"/>
          <w:color w:val="auto"/>
          <w:sz w:val="24"/>
          <w:szCs w:val="24"/>
          <w:highlight w:val="none"/>
        </w:rPr>
        <w:t>。</w:t>
      </w:r>
    </w:p>
    <w:p w14:paraId="41A71F85">
      <w:pPr>
        <w:tabs>
          <w:tab w:val="left" w:pos="570"/>
          <w:tab w:val="left" w:pos="9240"/>
          <w:tab w:val="left" w:pos="9555"/>
        </w:tabs>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1.2本合同下列术语应解释为：</w:t>
      </w:r>
    </w:p>
    <w:p w14:paraId="138A1BC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（1）“合同”系指</w:t>
      </w:r>
      <w:r>
        <w:rPr>
          <w:rFonts w:hint="eastAsia" w:ascii="宋体" w:hAnsi="宋体" w:cs="宋体"/>
          <w:bCs/>
          <w:color w:val="auto"/>
          <w:sz w:val="24"/>
          <w:szCs w:val="24"/>
          <w:highlight w:val="none"/>
        </w:rPr>
        <w:t>合同当事人意思表示达成一致的任何协议，包括签署的</w:t>
      </w:r>
      <w:r>
        <w:rPr>
          <w:rFonts w:hint="eastAsia" w:ascii="宋体" w:hAnsi="宋体" w:cs="宋体"/>
          <w:color w:val="auto"/>
          <w:sz w:val="24"/>
          <w:szCs w:val="24"/>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3241B366">
      <w:pPr>
        <w:tabs>
          <w:tab w:val="left" w:pos="570"/>
          <w:tab w:val="left" w:pos="9240"/>
          <w:tab w:val="left" w:pos="9555"/>
        </w:tabs>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（2）“合同价款”系指根据本合同规定乙方在全面履行合同义务后甲方应支付给乙方的价款。</w:t>
      </w:r>
    </w:p>
    <w:p w14:paraId="1E3F65A4">
      <w:pPr>
        <w:tabs>
          <w:tab w:val="left" w:pos="570"/>
          <w:tab w:val="left" w:pos="9240"/>
          <w:tab w:val="left" w:pos="9555"/>
        </w:tabs>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（3）“货物”系指乙方根据本合同规定须向甲方提供的各种形态和种类的物品，包括原材料、设备、产品（包括软件）及相关的其备品备件、工具、手册及</w:t>
      </w:r>
      <w:r>
        <w:rPr>
          <w:rFonts w:hint="eastAsia" w:ascii="宋体" w:hAnsi="宋体" w:cs="宋体"/>
          <w:color w:val="auto"/>
          <w:sz w:val="24"/>
          <w:szCs w:val="24"/>
          <w:highlight w:val="none"/>
          <w:lang w:val="en"/>
        </w:rPr>
        <w:t>其他</w:t>
      </w:r>
      <w:r>
        <w:rPr>
          <w:rFonts w:hint="eastAsia" w:ascii="宋体" w:hAnsi="宋体" w:cs="宋体"/>
          <w:color w:val="auto"/>
          <w:sz w:val="24"/>
          <w:szCs w:val="24"/>
          <w:highlight w:val="none"/>
        </w:rPr>
        <w:t>技术资料和材料等。</w:t>
      </w:r>
    </w:p>
    <w:p w14:paraId="511453B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（4）“相关服务”系指根据合同规定，乙方应提供的与货物有关的技术、管理和</w:t>
      </w:r>
      <w:r>
        <w:rPr>
          <w:rFonts w:hint="eastAsia" w:ascii="宋体" w:hAnsi="宋体" w:cs="宋体"/>
          <w:color w:val="auto"/>
          <w:sz w:val="24"/>
          <w:szCs w:val="24"/>
          <w:highlight w:val="none"/>
          <w:lang w:val="en"/>
        </w:rPr>
        <w:t>其他</w:t>
      </w:r>
      <w:r>
        <w:rPr>
          <w:rFonts w:hint="eastAsia" w:ascii="宋体" w:hAnsi="宋体" w:cs="宋体"/>
          <w:color w:val="auto"/>
          <w:sz w:val="24"/>
          <w:szCs w:val="24"/>
          <w:highlight w:val="none"/>
        </w:rPr>
        <w:t>服务，包括但不限于：管理和质量保证、运输、保险、检验、现场准备、安装、集成、调试、培训、维修、废弃处置、技术支持等以及合同中规定乙方应承担的</w:t>
      </w:r>
      <w:r>
        <w:rPr>
          <w:rFonts w:hint="eastAsia" w:ascii="宋体" w:hAnsi="宋体" w:cs="宋体"/>
          <w:color w:val="auto"/>
          <w:sz w:val="24"/>
          <w:szCs w:val="24"/>
          <w:highlight w:val="none"/>
          <w:lang w:val="en"/>
        </w:rPr>
        <w:t>其他</w:t>
      </w:r>
      <w:r>
        <w:rPr>
          <w:rFonts w:hint="eastAsia" w:ascii="宋体" w:hAnsi="宋体" w:cs="宋体"/>
          <w:color w:val="auto"/>
          <w:sz w:val="24"/>
          <w:szCs w:val="24"/>
          <w:highlight w:val="none"/>
        </w:rPr>
        <w:t>义务。</w:t>
      </w:r>
    </w:p>
    <w:p w14:paraId="65D2B98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（5）“分包”系指中标（成交）</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按采购文件、投标（响应）文件的规定，根据分包意向协议，将中标（成交）项目中的部分履约内容，分给具有相应资质条件的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履行合同的行为。</w:t>
      </w:r>
    </w:p>
    <w:p w14:paraId="7A94E9FD">
      <w:pPr>
        <w:tabs>
          <w:tab w:val="left" w:pos="570"/>
          <w:tab w:val="left" w:pos="9240"/>
          <w:tab w:val="left" w:pos="9555"/>
        </w:tabs>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（6）“联合体”系指由两个以上的自然人、法人或者非法人组织组成，以一个</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w:t>
      </w:r>
    </w:p>
    <w:p w14:paraId="75A22D0F">
      <w:pPr>
        <w:tabs>
          <w:tab w:val="left" w:pos="570"/>
          <w:tab w:val="left" w:pos="9240"/>
          <w:tab w:val="left" w:pos="9555"/>
        </w:tabs>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（7）其他术语解释，见【</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w:t>
      </w:r>
    </w:p>
    <w:p w14:paraId="0A79F162">
      <w:pPr>
        <w:pStyle w:val="6"/>
        <w:rPr>
          <w:rFonts w:hint="eastAsia" w:ascii="宋体" w:hAnsi="宋体" w:cs="宋体"/>
          <w:color w:val="auto"/>
          <w:sz w:val="24"/>
          <w:szCs w:val="24"/>
          <w:highlight w:val="none"/>
        </w:rPr>
      </w:pPr>
      <w:bookmarkStart w:id="1160" w:name="_Toc3875"/>
      <w:r>
        <w:rPr>
          <w:rFonts w:hint="eastAsia" w:ascii="宋体" w:hAnsi="宋体" w:cs="宋体"/>
          <w:color w:val="auto"/>
          <w:sz w:val="24"/>
          <w:szCs w:val="24"/>
          <w:highlight w:val="none"/>
        </w:rPr>
        <w:t>2.合同标的及金额</w:t>
      </w:r>
      <w:bookmarkEnd w:id="1160"/>
    </w:p>
    <w:p w14:paraId="0B712DC0">
      <w:pPr>
        <w:wordWrap w:val="0"/>
        <w:topLinePunct/>
        <w:spacing w:line="360" w:lineRule="auto"/>
        <w:ind w:firstLine="480" w:firstLineChars="200"/>
        <w:jc w:val="left"/>
        <w:rPr>
          <w:rFonts w:hint="eastAsia" w:ascii="宋体" w:hAnsi="宋体" w:cs="宋体"/>
          <w:b/>
          <w:bCs/>
          <w:i/>
          <w:iCs/>
          <w:color w:val="auto"/>
          <w:sz w:val="24"/>
          <w:szCs w:val="24"/>
          <w:highlight w:val="none"/>
        </w:rPr>
      </w:pPr>
      <w:r>
        <w:rPr>
          <w:rFonts w:hint="eastAsia" w:ascii="宋体" w:hAnsi="宋体" w:cs="宋体"/>
          <w:color w:val="auto"/>
          <w:sz w:val="24"/>
          <w:szCs w:val="24"/>
          <w:highlight w:val="none"/>
        </w:rPr>
        <w:t>2.1 合同标的及金额应与中标（成交）结果一致。乙方为履行本合同而发生的所有费用均应包含在合同价款中，甲方不再另行支付</w:t>
      </w:r>
      <w:r>
        <w:rPr>
          <w:rFonts w:hint="eastAsia" w:ascii="宋体" w:hAnsi="宋体" w:cs="宋体"/>
          <w:color w:val="auto"/>
          <w:sz w:val="24"/>
          <w:szCs w:val="24"/>
          <w:highlight w:val="none"/>
          <w:lang w:val="en"/>
        </w:rPr>
        <w:t>其他</w:t>
      </w:r>
      <w:r>
        <w:rPr>
          <w:rFonts w:hint="eastAsia" w:ascii="宋体" w:hAnsi="宋体" w:cs="宋体"/>
          <w:color w:val="auto"/>
          <w:sz w:val="24"/>
          <w:szCs w:val="24"/>
          <w:highlight w:val="none"/>
        </w:rPr>
        <w:t>任何费用。</w:t>
      </w:r>
    </w:p>
    <w:p w14:paraId="1662A3E0">
      <w:pPr>
        <w:pStyle w:val="6"/>
        <w:rPr>
          <w:rFonts w:hint="eastAsia" w:ascii="宋体" w:hAnsi="宋体" w:cs="宋体"/>
          <w:color w:val="auto"/>
          <w:sz w:val="24"/>
          <w:szCs w:val="24"/>
          <w:highlight w:val="none"/>
        </w:rPr>
      </w:pPr>
      <w:bookmarkStart w:id="1161" w:name="_Toc16651"/>
      <w:r>
        <w:rPr>
          <w:rFonts w:hint="eastAsia" w:ascii="宋体" w:hAnsi="宋体" w:cs="宋体"/>
          <w:color w:val="auto"/>
          <w:sz w:val="24"/>
          <w:szCs w:val="24"/>
          <w:highlight w:val="none"/>
        </w:rPr>
        <w:t>3.履行合同的时间、地点和方式</w:t>
      </w:r>
      <w:bookmarkEnd w:id="1161"/>
    </w:p>
    <w:p w14:paraId="34A303B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3.1 乙方应当在约定的时间、地点，按照约定方式履行合同。</w:t>
      </w:r>
    </w:p>
    <w:p w14:paraId="40529EDF">
      <w:pPr>
        <w:pStyle w:val="6"/>
        <w:rPr>
          <w:rFonts w:hint="eastAsia" w:ascii="宋体" w:hAnsi="宋体" w:cs="宋体"/>
          <w:color w:val="auto"/>
          <w:sz w:val="24"/>
          <w:szCs w:val="24"/>
          <w:highlight w:val="none"/>
        </w:rPr>
      </w:pPr>
      <w:bookmarkStart w:id="1162" w:name="_Toc13701"/>
      <w:r>
        <w:rPr>
          <w:rFonts w:hint="eastAsia" w:ascii="宋体" w:hAnsi="宋体" w:cs="宋体"/>
          <w:color w:val="auto"/>
          <w:sz w:val="24"/>
          <w:szCs w:val="24"/>
          <w:highlight w:val="none"/>
        </w:rPr>
        <w:t>4.甲方的权利和义务</w:t>
      </w:r>
      <w:bookmarkEnd w:id="1162"/>
    </w:p>
    <w:p w14:paraId="58EFF46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4B53154A">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4.2 甲方有权要求乙方按时提交各阶段有关安排计划，并有权定期核对乙方提供货物数量、规格、质量等内容。甲方有权督促乙方工作并要求乙方更换不符合要求的货物。</w:t>
      </w:r>
    </w:p>
    <w:p w14:paraId="24E38E7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4.3 甲方有权要求乙方对缺陷部分予以修复，并按合同约定享有货物保修及其他合同约定的权利。</w:t>
      </w:r>
    </w:p>
    <w:p w14:paraId="094680C4">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4.4 甲方应当按照合同约定及时对交付的货物进行验收，未在</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约定的期限内对乙方履约提出任何异议或者向乙方作出任何说明的，视为验收通过。</w:t>
      </w:r>
    </w:p>
    <w:p w14:paraId="24CBF5C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4.5 甲方应当根据合同约定及时向乙方支付合同价款，不得以内部人员变更、履行内部付款流程等为由，拒绝或迟延支付。</w:t>
      </w:r>
    </w:p>
    <w:p w14:paraId="1E9F507A">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4.6 国家法律法规规定及</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约定应由甲方承担的其他义务和责任。</w:t>
      </w:r>
    </w:p>
    <w:p w14:paraId="68FE7A1B">
      <w:pPr>
        <w:pStyle w:val="6"/>
        <w:rPr>
          <w:rFonts w:hint="eastAsia" w:ascii="宋体" w:hAnsi="宋体" w:cs="宋体"/>
          <w:color w:val="auto"/>
          <w:sz w:val="24"/>
          <w:szCs w:val="24"/>
          <w:highlight w:val="none"/>
        </w:rPr>
      </w:pPr>
      <w:bookmarkStart w:id="1163" w:name="_Toc6600"/>
      <w:r>
        <w:rPr>
          <w:rFonts w:hint="eastAsia" w:ascii="宋体" w:hAnsi="宋体" w:cs="宋体"/>
          <w:color w:val="auto"/>
          <w:sz w:val="24"/>
          <w:szCs w:val="24"/>
          <w:highlight w:val="none"/>
        </w:rPr>
        <w:t>5.乙方的权利和义务</w:t>
      </w:r>
      <w:bookmarkEnd w:id="1163"/>
    </w:p>
    <w:p w14:paraId="4F2C4559">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5.1 签署合同后，乙方应确定项目负责人（或项目联系人），负责与本合同有关的事务。</w:t>
      </w:r>
    </w:p>
    <w:p w14:paraId="2244ADA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64332AA4">
      <w:pPr>
        <w:pStyle w:val="28"/>
        <w:wordWrap w:val="0"/>
        <w:topLinePunct/>
        <w:spacing w:line="360" w:lineRule="auto"/>
        <w:ind w:firstLine="422" w:firstLineChars="17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5.3乙方有权根据合同约定向甲方收取合同价款。</w:t>
      </w:r>
    </w:p>
    <w:p w14:paraId="526B1A28">
      <w:pPr>
        <w:pStyle w:val="28"/>
        <w:wordWrap w:val="0"/>
        <w:topLinePunct/>
        <w:spacing w:line="360" w:lineRule="auto"/>
        <w:ind w:firstLine="422" w:firstLineChars="17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5.4国家法律法规规定及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约定应由乙方承担的其他义务和责任。</w:t>
      </w:r>
    </w:p>
    <w:p w14:paraId="13CC4E04">
      <w:pPr>
        <w:pStyle w:val="6"/>
        <w:rPr>
          <w:rFonts w:hint="eastAsia" w:ascii="宋体" w:hAnsi="宋体" w:cs="宋体"/>
          <w:color w:val="auto"/>
          <w:sz w:val="24"/>
          <w:szCs w:val="24"/>
          <w:highlight w:val="none"/>
        </w:rPr>
      </w:pPr>
      <w:bookmarkStart w:id="1164" w:name="_Toc32021"/>
      <w:r>
        <w:rPr>
          <w:rFonts w:hint="eastAsia" w:ascii="宋体" w:hAnsi="宋体" w:cs="宋体"/>
          <w:color w:val="auto"/>
          <w:sz w:val="24"/>
          <w:szCs w:val="24"/>
          <w:highlight w:val="none"/>
        </w:rPr>
        <w:t>6.合同履行</w:t>
      </w:r>
      <w:bookmarkEnd w:id="1164"/>
    </w:p>
    <w:p w14:paraId="30E14A7F">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6.1 甲乙双方应当按照</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约定顺序履行合同义务；如果没有先后顺序的，应当同时履行。</w:t>
      </w:r>
    </w:p>
    <w:p w14:paraId="0A2DD1E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6.2 甲乙双方按照合同约定顺序履行合同义务时，应当先履行一方未履行的，后履行一方有权拒绝其履行请求。先履行一方履行不符合约定的，后履行一方有权拒绝其相应的履行请求。</w:t>
      </w:r>
    </w:p>
    <w:p w14:paraId="518C0B4C">
      <w:pPr>
        <w:pStyle w:val="6"/>
        <w:rPr>
          <w:rFonts w:hint="eastAsia" w:ascii="宋体" w:hAnsi="宋体" w:cs="宋体"/>
          <w:color w:val="auto"/>
          <w:sz w:val="24"/>
          <w:szCs w:val="24"/>
          <w:highlight w:val="none"/>
        </w:rPr>
      </w:pPr>
      <w:bookmarkStart w:id="1165" w:name="_Toc32417"/>
      <w:r>
        <w:rPr>
          <w:rFonts w:hint="eastAsia" w:ascii="宋体" w:hAnsi="宋体" w:cs="宋体"/>
          <w:color w:val="auto"/>
          <w:sz w:val="24"/>
          <w:szCs w:val="24"/>
          <w:highlight w:val="none"/>
        </w:rPr>
        <w:t>7.货物包装、运输、保险和交付要求</w:t>
      </w:r>
      <w:bookmarkEnd w:id="1165"/>
    </w:p>
    <w:p w14:paraId="67CA2E88">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7.1 本合同</w:t>
      </w:r>
      <w:r>
        <w:rPr>
          <w:rFonts w:hint="eastAsia" w:ascii="宋体" w:hAnsi="宋体" w:cs="宋体"/>
          <w:bCs/>
          <w:color w:val="auto"/>
          <w:sz w:val="24"/>
          <w:szCs w:val="24"/>
          <w:highlight w:val="none"/>
        </w:rPr>
        <w:t>涉及商品包装、快递包装的，</w:t>
      </w:r>
      <w:r>
        <w:rPr>
          <w:rFonts w:hint="eastAsia" w:ascii="宋体" w:hAnsi="宋体" w:cs="宋体"/>
          <w:color w:val="auto"/>
          <w:sz w:val="24"/>
          <w:szCs w:val="24"/>
          <w:highlight w:val="none"/>
        </w:rPr>
        <w:t>除</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另有约定外，</w:t>
      </w:r>
      <w:r>
        <w:rPr>
          <w:rFonts w:hint="eastAsia" w:ascii="宋体" w:hAnsi="宋体" w:cs="宋体"/>
          <w:color w:val="auto"/>
          <w:sz w:val="24"/>
          <w:szCs w:val="24"/>
          <w:highlight w:val="none"/>
        </w:rPr>
        <w:t>包装应适应远距离运输、防潮、防震、防锈和防野蛮装卸等要求，确保货物安全无损地运抵</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约定的</w:t>
      </w:r>
      <w:r>
        <w:rPr>
          <w:rFonts w:hint="eastAsia" w:ascii="宋体" w:hAnsi="宋体" w:cs="宋体"/>
          <w:color w:val="auto"/>
          <w:sz w:val="24"/>
          <w:szCs w:val="24"/>
          <w:highlight w:val="none"/>
        </w:rPr>
        <w:t>指定现场。</w:t>
      </w:r>
    </w:p>
    <w:p w14:paraId="662BCB63">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7.2 除</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另有约定外，</w:t>
      </w:r>
      <w:r>
        <w:rPr>
          <w:rFonts w:hint="eastAsia" w:ascii="宋体" w:hAnsi="宋体" w:cs="宋体"/>
          <w:color w:val="auto"/>
          <w:sz w:val="24"/>
          <w:szCs w:val="24"/>
          <w:highlight w:val="none"/>
        </w:rPr>
        <w:t>乙方负责办理将货物运抵本合同规定的</w:t>
      </w:r>
      <w:r>
        <w:rPr>
          <w:rFonts w:hint="eastAsia" w:ascii="宋体" w:hAnsi="宋体" w:cs="宋体"/>
          <w:color w:val="auto"/>
          <w:sz w:val="24"/>
          <w:szCs w:val="24"/>
          <w:highlight w:val="none"/>
          <w:lang w:eastAsia="zh-CN"/>
        </w:rPr>
        <w:t>服务地点</w:t>
      </w:r>
      <w:r>
        <w:rPr>
          <w:rFonts w:hint="eastAsia" w:ascii="宋体" w:hAnsi="宋体" w:cs="宋体"/>
          <w:color w:val="auto"/>
          <w:sz w:val="24"/>
          <w:szCs w:val="24"/>
          <w:highlight w:val="none"/>
        </w:rPr>
        <w:t>，并装卸、交付至甲方的一切运输事项，相关费用应包含在合同价款中。</w:t>
      </w:r>
    </w:p>
    <w:p w14:paraId="01C40A3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7.3 货物保险要求按</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规定执行</w:t>
      </w:r>
      <w:r>
        <w:rPr>
          <w:rFonts w:hint="eastAsia" w:ascii="宋体" w:hAnsi="宋体" w:cs="宋体"/>
          <w:color w:val="auto"/>
          <w:sz w:val="24"/>
          <w:szCs w:val="24"/>
          <w:highlight w:val="none"/>
        </w:rPr>
        <w:t>。</w:t>
      </w:r>
    </w:p>
    <w:p w14:paraId="0EFDC8E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7.4 除采购活动对商品包装、快递包装达成具体约定外，乙方提供产品及相关快递服务涉及具体包装要求的，应不低于《商品包装政府采购需求标准（试行）》《快递包装政府采购需求标准（试行）</w:t>
      </w:r>
      <w:r>
        <w:rPr>
          <w:rFonts w:hint="eastAsia" w:ascii="宋体" w:hAnsi="宋体" w:cs="宋体"/>
          <w:color w:val="auto"/>
          <w:sz w:val="24"/>
          <w:szCs w:val="24"/>
          <w:highlight w:val="none"/>
          <w:lang w:eastAsia="zh-CN"/>
        </w:rPr>
        <w:t>》等</w:t>
      </w:r>
      <w:r>
        <w:rPr>
          <w:rFonts w:hint="eastAsia" w:ascii="宋体" w:hAnsi="宋体" w:cs="宋体"/>
          <w:color w:val="auto"/>
          <w:sz w:val="24"/>
          <w:szCs w:val="24"/>
          <w:highlight w:val="none"/>
        </w:rPr>
        <w:t>标准，并作为履约验收的内容，必要时甲方可以要求乙方在履约验收环节出具检测报告。</w:t>
      </w:r>
    </w:p>
    <w:p w14:paraId="6238AAE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7.5 乙方在运输到达之前应提前通知甲方，并提示货物运输装卸的注意事项，甲方配合乙方做好货物的接收工作。</w:t>
      </w:r>
    </w:p>
    <w:p w14:paraId="430F714E">
      <w:pPr>
        <w:pStyle w:val="86"/>
        <w:widowControl w:val="0"/>
        <w:wordWrap w:val="0"/>
        <w:topLinePunct/>
        <w:autoSpaceDE/>
        <w:autoSpaceDN/>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7.6 如因包装、运输问题导致货物损毁、丢失或者品质下降，甲方有权要求降价、换货、拒收部分或整批货物，由此产生的费用和损失，均由乙方承担。</w:t>
      </w:r>
    </w:p>
    <w:p w14:paraId="7F4B64DA">
      <w:pPr>
        <w:pStyle w:val="6"/>
        <w:rPr>
          <w:rFonts w:hint="eastAsia" w:ascii="宋体" w:hAnsi="宋体" w:cs="宋体"/>
          <w:color w:val="auto"/>
          <w:sz w:val="24"/>
          <w:szCs w:val="24"/>
          <w:highlight w:val="none"/>
        </w:rPr>
      </w:pPr>
      <w:bookmarkStart w:id="1166" w:name="_Toc1643"/>
      <w:r>
        <w:rPr>
          <w:rFonts w:hint="eastAsia" w:ascii="宋体" w:hAnsi="宋体" w:cs="宋体"/>
          <w:color w:val="auto"/>
          <w:sz w:val="24"/>
          <w:szCs w:val="24"/>
          <w:highlight w:val="none"/>
        </w:rPr>
        <w:t>8.质量标准和保证</w:t>
      </w:r>
      <w:bookmarkEnd w:id="1166"/>
    </w:p>
    <w:p w14:paraId="784807EC">
      <w:pPr>
        <w:pStyle w:val="36"/>
        <w:wordWrap w:val="0"/>
        <w:topLinePunct/>
        <w:spacing w:line="360" w:lineRule="auto"/>
        <w:ind w:firstLine="480" w:firstLineChars="200"/>
        <w:jc w:val="left"/>
        <w:rPr>
          <w:rFonts w:hint="eastAsia" w:ascii="宋体" w:hAnsi="宋体" w:cs="宋体"/>
          <w:b/>
          <w:color w:val="auto"/>
          <w:sz w:val="24"/>
          <w:szCs w:val="24"/>
          <w:highlight w:val="none"/>
        </w:rPr>
      </w:pPr>
      <w:r>
        <w:rPr>
          <w:rFonts w:hint="eastAsia" w:ascii="宋体" w:hAnsi="宋体" w:cs="宋体"/>
          <w:color w:val="auto"/>
          <w:sz w:val="24"/>
          <w:szCs w:val="24"/>
          <w:highlight w:val="none"/>
        </w:rPr>
        <w:t>8.1 质量标准</w:t>
      </w:r>
    </w:p>
    <w:p w14:paraId="09189519">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1B9C67C">
      <w:pPr>
        <w:pStyle w:val="36"/>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（2）采用中华人民共和国法定计量单位。</w:t>
      </w:r>
    </w:p>
    <w:p w14:paraId="5B40214D">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（3）乙方所提供的货物应符合国家有关安全、环保、卫生的规定。</w:t>
      </w:r>
    </w:p>
    <w:p w14:paraId="2EFD8E4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（4）乙方应向甲方提交所提供货物的技术文件，包括相应的中文技术文件，如：产品目录、图纸、操作手册、使用说明、维护手册或服务指南等。上述文件应包装好随货物一同发运。</w:t>
      </w:r>
    </w:p>
    <w:p w14:paraId="7A21F38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8.2 保证</w:t>
      </w:r>
    </w:p>
    <w:p w14:paraId="0D1E1F8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规定或乙方书面承诺（两者以较长的为准）的质量保证期内，本保证保持有效。</w:t>
      </w:r>
    </w:p>
    <w:p w14:paraId="4B75F52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（2）在质量保证期内所发现的缺陷，甲方应尽快以书面形式通知乙方。</w:t>
      </w:r>
    </w:p>
    <w:p w14:paraId="080F7A9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（3）乙方收到通知后，应在</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规定的响应时间内以合理的速度免费维修或更换有缺陷的货物或部件。</w:t>
      </w:r>
    </w:p>
    <w:p w14:paraId="72F27B4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1AC13E8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（5）乙方在约定的时间内未能弥补缺陷，甲方可采取必要的补救措施，但其风险和费用将由乙方承担，甲方根据合同约定对乙方行使的其他权利不受影响。</w:t>
      </w:r>
    </w:p>
    <w:p w14:paraId="0D54F876">
      <w:pPr>
        <w:pStyle w:val="6"/>
        <w:rPr>
          <w:rFonts w:hint="eastAsia" w:ascii="宋体" w:hAnsi="宋体" w:cs="宋体"/>
          <w:color w:val="auto"/>
          <w:sz w:val="24"/>
          <w:szCs w:val="24"/>
          <w:highlight w:val="none"/>
        </w:rPr>
      </w:pPr>
      <w:bookmarkStart w:id="1167" w:name="_Toc22158"/>
      <w:r>
        <w:rPr>
          <w:rFonts w:hint="eastAsia" w:ascii="宋体" w:hAnsi="宋体" w:cs="宋体"/>
          <w:color w:val="auto"/>
          <w:sz w:val="24"/>
          <w:szCs w:val="24"/>
          <w:highlight w:val="none"/>
        </w:rPr>
        <w:t>9.权利瑕疵担保</w:t>
      </w:r>
      <w:bookmarkEnd w:id="1167"/>
    </w:p>
    <w:p w14:paraId="1F639724">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9.1 乙方保证对其出售的货物享有合法的权利。</w:t>
      </w:r>
    </w:p>
    <w:p w14:paraId="183851B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9.2 乙方保证在交付的货物上不存在抵押权等担保物权。</w:t>
      </w:r>
    </w:p>
    <w:p w14:paraId="28079301">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9.3 如甲方使用上述货物构成对第三人侵权的，则由乙方承担全部责任。</w:t>
      </w:r>
    </w:p>
    <w:p w14:paraId="37831F84">
      <w:pPr>
        <w:pStyle w:val="6"/>
        <w:rPr>
          <w:rFonts w:hint="eastAsia" w:ascii="宋体" w:hAnsi="宋体" w:cs="宋体"/>
          <w:color w:val="auto"/>
          <w:sz w:val="24"/>
          <w:szCs w:val="24"/>
          <w:highlight w:val="none"/>
        </w:rPr>
      </w:pPr>
      <w:r>
        <w:rPr>
          <w:rFonts w:hint="eastAsia" w:ascii="宋体" w:hAnsi="宋体" w:cs="宋体"/>
          <w:color w:val="auto"/>
          <w:sz w:val="24"/>
          <w:szCs w:val="24"/>
          <w:highlight w:val="none"/>
        </w:rPr>
        <w:t>10.知识产权保护</w:t>
      </w:r>
    </w:p>
    <w:p w14:paraId="1FE24F29">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10.1 乙方对其所销售的货物应当享有知识产权或经权利人合法授权，保证没有侵犯任何第三人的知识产权等权利。</w:t>
      </w:r>
      <w:bookmarkStart w:id="1168" w:name="_Hlk163047038"/>
      <w:r>
        <w:rPr>
          <w:rFonts w:hint="eastAsia" w:ascii="宋体" w:hAnsi="宋体" w:cs="宋体"/>
          <w:color w:val="auto"/>
          <w:sz w:val="24"/>
          <w:szCs w:val="24"/>
          <w:highlight w:val="none"/>
        </w:rPr>
        <w:t>因违反前述约定对第三人构成侵权的，应当由乙方向第三人承担法律责任；甲方依法向第三人赔偿后，有权向乙方追偿。甲方有其他损失的，乙方应当赔偿</w:t>
      </w:r>
      <w:bookmarkEnd w:id="1168"/>
      <w:r>
        <w:rPr>
          <w:rFonts w:hint="eastAsia" w:ascii="宋体" w:hAnsi="宋体" w:cs="宋体"/>
          <w:color w:val="auto"/>
          <w:sz w:val="24"/>
          <w:szCs w:val="24"/>
          <w:highlight w:val="none"/>
        </w:rPr>
        <w:t>。</w:t>
      </w:r>
    </w:p>
    <w:p w14:paraId="73C248F4">
      <w:pPr>
        <w:pStyle w:val="6"/>
        <w:rPr>
          <w:rFonts w:hint="eastAsia" w:ascii="宋体" w:hAnsi="宋体" w:cs="宋体"/>
          <w:color w:val="auto"/>
          <w:sz w:val="24"/>
          <w:szCs w:val="24"/>
          <w:highlight w:val="none"/>
        </w:rPr>
      </w:pPr>
      <w:bookmarkStart w:id="1169" w:name="_Toc27775"/>
      <w:r>
        <w:rPr>
          <w:rFonts w:hint="eastAsia" w:ascii="宋体" w:hAnsi="宋体" w:cs="宋体"/>
          <w:color w:val="auto"/>
          <w:sz w:val="24"/>
          <w:szCs w:val="24"/>
          <w:highlight w:val="none"/>
        </w:rPr>
        <w:t>11.保密义务</w:t>
      </w:r>
      <w:bookmarkEnd w:id="1169"/>
    </w:p>
    <w:p w14:paraId="19C59DC4">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中约定。</w:t>
      </w:r>
    </w:p>
    <w:p w14:paraId="592598CA">
      <w:pPr>
        <w:pStyle w:val="6"/>
        <w:rPr>
          <w:rFonts w:hint="eastAsia" w:ascii="宋体" w:hAnsi="宋体" w:cs="宋体"/>
          <w:color w:val="auto"/>
          <w:sz w:val="24"/>
          <w:szCs w:val="24"/>
          <w:highlight w:val="none"/>
        </w:rPr>
      </w:pPr>
      <w:bookmarkStart w:id="1170" w:name="_Toc12869"/>
      <w:r>
        <w:rPr>
          <w:rFonts w:hint="eastAsia" w:ascii="宋体" w:hAnsi="宋体" w:cs="宋体"/>
          <w:color w:val="auto"/>
          <w:sz w:val="24"/>
          <w:szCs w:val="24"/>
          <w:highlight w:val="none"/>
        </w:rPr>
        <w:t>12.合同价款支付</w:t>
      </w:r>
      <w:bookmarkEnd w:id="1170"/>
    </w:p>
    <w:p w14:paraId="7D8ADF2A">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12.1 合同价款支付按照国库集中支付制度及财政管理相关规定执行。</w:t>
      </w:r>
    </w:p>
    <w:p w14:paraId="2165B4DE">
      <w:pPr>
        <w:wordWrap w:val="0"/>
        <w:topLinePunct/>
        <w:spacing w:line="360" w:lineRule="auto"/>
        <w:ind w:firstLine="480" w:firstLineChars="200"/>
        <w:jc w:val="left"/>
        <w:rPr>
          <w:rFonts w:hint="eastAsia" w:ascii="宋体" w:hAnsi="宋体" w:cs="宋体"/>
          <w:color w:val="auto"/>
          <w:sz w:val="24"/>
          <w:szCs w:val="24"/>
          <w:highlight w:val="none"/>
        </w:rPr>
      </w:pPr>
      <w:bookmarkStart w:id="1171" w:name="_Toc16240"/>
      <w:bookmarkStart w:id="1172" w:name="_Toc20583"/>
      <w:bookmarkStart w:id="1173" w:name="_Toc11744"/>
      <w:r>
        <w:rPr>
          <w:rFonts w:hint="eastAsia" w:ascii="宋体" w:hAnsi="宋体" w:cs="宋体"/>
          <w:color w:val="auto"/>
          <w:sz w:val="24"/>
          <w:szCs w:val="24"/>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中约定。</w:t>
      </w:r>
      <w:bookmarkEnd w:id="1171"/>
      <w:bookmarkEnd w:id="1172"/>
      <w:bookmarkEnd w:id="1173"/>
    </w:p>
    <w:p w14:paraId="25E321F0">
      <w:pPr>
        <w:pStyle w:val="6"/>
        <w:rPr>
          <w:rFonts w:hint="eastAsia" w:ascii="宋体" w:hAnsi="宋体" w:cs="宋体"/>
          <w:color w:val="auto"/>
          <w:sz w:val="24"/>
          <w:szCs w:val="24"/>
          <w:highlight w:val="none"/>
        </w:rPr>
      </w:pPr>
      <w:bookmarkStart w:id="1174" w:name="_Toc19133"/>
      <w:r>
        <w:rPr>
          <w:rFonts w:hint="eastAsia" w:ascii="宋体" w:hAnsi="宋体" w:cs="宋体"/>
          <w:color w:val="auto"/>
          <w:sz w:val="24"/>
          <w:szCs w:val="24"/>
          <w:highlight w:val="none"/>
        </w:rPr>
        <w:t>13.履约保证金</w:t>
      </w:r>
      <w:bookmarkEnd w:id="1174"/>
    </w:p>
    <w:p w14:paraId="48A804C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13.1 乙方应当以支票、汇票、本票或者金融机构、担保机构出具的保函等非现金形式提交。</w:t>
      </w:r>
    </w:p>
    <w:p w14:paraId="79FD4B2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13.2 如果乙方出现</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0A45ACF7">
      <w:pPr>
        <w:wordWrap w:val="0"/>
        <w:topLinePunct/>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13.3 甲方在项目通过验收后按照</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规定的时间内将履约保证金退还乙方；逾期退还的，乙方可要求甲方支付违约金，违约金按照</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规定支付。</w:t>
      </w:r>
    </w:p>
    <w:p w14:paraId="5160AF59">
      <w:pPr>
        <w:pStyle w:val="6"/>
        <w:rPr>
          <w:rFonts w:hint="eastAsia" w:ascii="宋体" w:hAnsi="宋体" w:cs="宋体"/>
          <w:color w:val="auto"/>
          <w:sz w:val="24"/>
          <w:szCs w:val="24"/>
          <w:highlight w:val="none"/>
        </w:rPr>
      </w:pPr>
      <w:bookmarkStart w:id="1175" w:name="_Toc8648"/>
      <w:r>
        <w:rPr>
          <w:rFonts w:hint="eastAsia" w:ascii="宋体" w:hAnsi="宋体" w:cs="宋体"/>
          <w:color w:val="auto"/>
          <w:sz w:val="24"/>
          <w:szCs w:val="24"/>
          <w:highlight w:val="none"/>
        </w:rPr>
        <w:t>14.售后服务</w:t>
      </w:r>
      <w:bookmarkEnd w:id="1175"/>
    </w:p>
    <w:p w14:paraId="684B1C4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14.1 除项目不涉及或采购活动中明确约定无须承担外，乙方还应提供下列服务：</w:t>
      </w:r>
    </w:p>
    <w:p w14:paraId="1C8A1CD8">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（1）货物的现场移动、安装、调试、启动监督及技术支持；</w:t>
      </w:r>
    </w:p>
    <w:p w14:paraId="4ECA843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（2）提供货物组装和维修所需的专用工具和辅助材料；</w:t>
      </w:r>
    </w:p>
    <w:p w14:paraId="2835173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（3）在</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约定的期限内对所有的货物实施运行监督、维修，但前提条件是该服务并不能免除乙方在质量保证期内所承担的义务；</w:t>
      </w:r>
    </w:p>
    <w:p w14:paraId="0FA4FFC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（4）在制造商所在地或指定现场就货物的安装、启动、运营、维护、废弃处置等对甲方操作人员进行培训；</w:t>
      </w:r>
    </w:p>
    <w:p w14:paraId="5BC691CA">
      <w:pPr>
        <w:pStyle w:val="86"/>
        <w:widowControl w:val="0"/>
        <w:wordWrap w:val="0"/>
        <w:topLinePunct/>
        <w:autoSpaceDE/>
        <w:autoSpaceDN/>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（5）依照法律、行政法规的规定或者按照</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约定，货物在有效使用年限届满后应予回收的，乙方负有自行或者委托第三人对货物予以回收的义务；</w:t>
      </w:r>
    </w:p>
    <w:p w14:paraId="19D9AD9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规定由乙方提供的其他服务。</w:t>
      </w:r>
    </w:p>
    <w:p w14:paraId="745A10F4">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14.2 乙方提供的售后服务的费用已包含在合同价款中，甲方不再另行支付。</w:t>
      </w:r>
    </w:p>
    <w:p w14:paraId="0ECE62AB">
      <w:pPr>
        <w:pStyle w:val="6"/>
        <w:rPr>
          <w:rFonts w:hint="eastAsia" w:ascii="宋体" w:hAnsi="宋体" w:cs="宋体"/>
          <w:color w:val="auto"/>
          <w:sz w:val="24"/>
          <w:szCs w:val="24"/>
          <w:highlight w:val="none"/>
        </w:rPr>
      </w:pPr>
      <w:bookmarkStart w:id="1176" w:name="_Toc15795"/>
      <w:r>
        <w:rPr>
          <w:rFonts w:hint="eastAsia" w:ascii="宋体" w:hAnsi="宋体" w:cs="宋体"/>
          <w:color w:val="auto"/>
          <w:sz w:val="24"/>
          <w:szCs w:val="24"/>
          <w:highlight w:val="none"/>
        </w:rPr>
        <w:t>15.违约责任</w:t>
      </w:r>
      <w:bookmarkEnd w:id="1176"/>
    </w:p>
    <w:p w14:paraId="31524835">
      <w:pPr>
        <w:wordWrap w:val="0"/>
        <w:topLinePunct/>
        <w:spacing w:line="360" w:lineRule="auto"/>
        <w:ind w:firstLine="480" w:firstLineChars="20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15.1质量瑕疵的违约责任</w:t>
      </w:r>
    </w:p>
    <w:p w14:paraId="0B984A28">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乙方提供的产品不符合合同约定的质量标准或存在产品质量缺陷，甲方有权要求乙方根据</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要求</w:t>
      </w:r>
      <w:r>
        <w:rPr>
          <w:rFonts w:hint="eastAsia" w:ascii="宋体" w:hAnsi="宋体" w:cs="宋体"/>
          <w:color w:val="auto"/>
          <w:sz w:val="24"/>
          <w:szCs w:val="24"/>
          <w:highlight w:val="none"/>
        </w:rPr>
        <w:t>及时修理、重作、更换，并承担由此给甲方造成的损失。</w:t>
      </w:r>
    </w:p>
    <w:p w14:paraId="45AE6548">
      <w:pPr>
        <w:wordWrap w:val="0"/>
        <w:topLinePunct/>
        <w:spacing w:line="360" w:lineRule="auto"/>
        <w:ind w:firstLine="480" w:firstLineChars="20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15.2 迟延交货的违约责任</w:t>
      </w:r>
    </w:p>
    <w:p w14:paraId="1E969BF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E0F303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（2）如果乙方没有按照合同规定的时间交货和提供相关服务，甲方有权从货款中扣除误期赔偿费而不影响合同项下的其他补救方法，赔偿费按</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规定执行。如果涉及公共利益，且赔偿金额无法弥补公共利益损失，甲方可要求继续履行或者采取其他补救措施。</w:t>
      </w:r>
    </w:p>
    <w:p w14:paraId="090CEBF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15.3 迟延支付的违约责任</w:t>
      </w:r>
    </w:p>
    <w:p w14:paraId="0F25150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甲方存在迟延支付乙方合同款项的，应当承担</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规定的逾期付款利息。</w:t>
      </w:r>
    </w:p>
    <w:p w14:paraId="386E4E6F">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15.4其他违约责任根据项目实际需要按</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规定执行。</w:t>
      </w:r>
    </w:p>
    <w:p w14:paraId="53B3B937">
      <w:pPr>
        <w:pStyle w:val="6"/>
        <w:rPr>
          <w:rFonts w:hint="eastAsia" w:ascii="宋体" w:hAnsi="宋体" w:cs="宋体"/>
          <w:color w:val="auto"/>
          <w:sz w:val="24"/>
          <w:szCs w:val="24"/>
          <w:highlight w:val="none"/>
        </w:rPr>
      </w:pPr>
      <w:bookmarkStart w:id="1177" w:name="_Toc18687"/>
      <w:r>
        <w:rPr>
          <w:rFonts w:hint="eastAsia" w:ascii="宋体" w:hAnsi="宋体" w:cs="宋体"/>
          <w:color w:val="auto"/>
          <w:sz w:val="24"/>
          <w:szCs w:val="24"/>
          <w:highlight w:val="none"/>
        </w:rPr>
        <w:t>16.合同变更、中止与终止</w:t>
      </w:r>
      <w:bookmarkEnd w:id="1177"/>
    </w:p>
    <w:p w14:paraId="3A3287AA">
      <w:pPr>
        <w:wordWrap w:val="0"/>
        <w:topLinePunct/>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16.1合同的变更</w:t>
      </w:r>
    </w:p>
    <w:p w14:paraId="1CF44783">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政府采购合同履行中，在不改变合同其他条款的前提下，甲方可以在合同价款10%的范围内追加与合同标的相同的货物，并就此与乙方协商一致后签订补充协议。</w:t>
      </w:r>
    </w:p>
    <w:p w14:paraId="386FECAD">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16.2合同的终止</w:t>
      </w:r>
    </w:p>
    <w:p w14:paraId="492CECF4">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（1）合同履行过程中因</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就采购文件、采购过程或结果提起投诉的，甲方认为有必要的，可以中止合同的履行。</w:t>
      </w:r>
    </w:p>
    <w:p w14:paraId="7931EA8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C8BE43B">
      <w:pPr>
        <w:pStyle w:val="86"/>
        <w:widowControl w:val="0"/>
        <w:wordWrap w:val="0"/>
        <w:topLinePunct/>
        <w:autoSpaceDE/>
        <w:autoSpaceDN/>
        <w:adjustRightInd/>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25CA80D4">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（4）甲方不得以行政区划调整、政府换届、机构或者职能调整以及相关责任人更替为由终止合同。</w:t>
      </w:r>
    </w:p>
    <w:p w14:paraId="47DA21E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16.3合同的终止</w:t>
      </w:r>
    </w:p>
    <w:p w14:paraId="41205568">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（1）合同因有效期限届满而终止；</w:t>
      </w:r>
    </w:p>
    <w:p w14:paraId="6BAF79E9">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（2）乙方未按合同约定履行，构成根本性违约的，甲方有权终止合同，并追究乙方的违约责任。</w:t>
      </w:r>
    </w:p>
    <w:p w14:paraId="06FA97DE">
      <w:pPr>
        <w:pStyle w:val="86"/>
        <w:widowControl w:val="0"/>
        <w:wordWrap w:val="0"/>
        <w:topLinePunct/>
        <w:autoSpaceDE/>
        <w:autoSpaceDN/>
        <w:adjustRightIn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w:t>
      </w:r>
      <w:r>
        <w:rPr>
          <w:rFonts w:hint="eastAsia" w:ascii="宋体" w:hAnsi="宋体" w:eastAsia="宋体" w:cs="宋体"/>
          <w:color w:val="auto"/>
          <w:kern w:val="2"/>
          <w:sz w:val="24"/>
          <w:szCs w:val="24"/>
          <w:highlight w:val="none"/>
        </w:rPr>
        <w:t>涉及国家利益、社会公共利益的情形</w:t>
      </w:r>
    </w:p>
    <w:p w14:paraId="044C92EF">
      <w:pPr>
        <w:pStyle w:val="86"/>
        <w:widowControl w:val="0"/>
        <w:wordWrap w:val="0"/>
        <w:topLinePunct/>
        <w:autoSpaceDE/>
        <w:autoSpaceDN/>
        <w:adjustRightInd/>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792B24EC">
      <w:pPr>
        <w:pStyle w:val="6"/>
        <w:rPr>
          <w:rFonts w:hint="eastAsia" w:ascii="宋体" w:hAnsi="宋体" w:cs="宋体"/>
          <w:color w:val="auto"/>
          <w:sz w:val="24"/>
          <w:szCs w:val="24"/>
          <w:highlight w:val="none"/>
        </w:rPr>
      </w:pPr>
      <w:bookmarkStart w:id="1178" w:name="_Toc861"/>
      <w:r>
        <w:rPr>
          <w:rFonts w:hint="eastAsia" w:ascii="宋体" w:hAnsi="宋体" w:cs="宋体"/>
          <w:color w:val="auto"/>
          <w:sz w:val="24"/>
          <w:szCs w:val="24"/>
          <w:highlight w:val="none"/>
        </w:rPr>
        <w:t>17.合同分包</w:t>
      </w:r>
      <w:bookmarkEnd w:id="1178"/>
    </w:p>
    <w:p w14:paraId="27C05A3F">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17.1 乙方不得将合同转包给其他</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。涉及合同分包的，乙方应根据采购文件和投标（响应）文件规定进行合同分包。</w:t>
      </w:r>
    </w:p>
    <w:p w14:paraId="65C2AF6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17.2 乙方执行政府采购政策向中小企业依法分包的，乙方应当按采购文件和投标（响应）文件签订分包意向协议，分包意向协议属于本合同组成部分。</w:t>
      </w:r>
    </w:p>
    <w:p w14:paraId="5646A9EF">
      <w:pPr>
        <w:pStyle w:val="6"/>
        <w:rPr>
          <w:rFonts w:hint="eastAsia" w:ascii="宋体" w:hAnsi="宋体" w:cs="宋体"/>
          <w:color w:val="auto"/>
          <w:sz w:val="24"/>
          <w:szCs w:val="24"/>
          <w:highlight w:val="none"/>
        </w:rPr>
      </w:pPr>
      <w:bookmarkStart w:id="1179" w:name="_Toc4913"/>
      <w:r>
        <w:rPr>
          <w:rFonts w:hint="eastAsia" w:ascii="宋体" w:hAnsi="宋体" w:cs="宋体"/>
          <w:color w:val="auto"/>
          <w:sz w:val="24"/>
          <w:szCs w:val="24"/>
          <w:highlight w:val="none"/>
        </w:rPr>
        <w:t>18.不可抗力</w:t>
      </w:r>
      <w:bookmarkEnd w:id="1179"/>
    </w:p>
    <w:p w14:paraId="30D76C35">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18.1 不可抗力是指合同双方不能预见、不能避免且不能克服的客观情况。</w:t>
      </w:r>
    </w:p>
    <w:p w14:paraId="6D75FA5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18.2 任何一方对由于不可抗力造成的部分或全部不能履行合同不承担违约责任。但迟延履行后发生不可抗力的，不能免除责任。</w:t>
      </w:r>
    </w:p>
    <w:p w14:paraId="1C1F315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B4E2D5C">
      <w:pPr>
        <w:pStyle w:val="6"/>
        <w:rPr>
          <w:rFonts w:hint="eastAsia" w:ascii="宋体" w:hAnsi="宋体" w:cs="宋体"/>
          <w:color w:val="auto"/>
          <w:sz w:val="24"/>
          <w:szCs w:val="24"/>
          <w:highlight w:val="none"/>
        </w:rPr>
      </w:pPr>
      <w:bookmarkStart w:id="1180" w:name="_Toc27615"/>
      <w:r>
        <w:rPr>
          <w:rFonts w:hint="eastAsia" w:ascii="宋体" w:hAnsi="宋体" w:cs="宋体"/>
          <w:color w:val="auto"/>
          <w:sz w:val="24"/>
          <w:szCs w:val="24"/>
          <w:highlight w:val="none"/>
        </w:rPr>
        <w:t>19.解决争议的方法</w:t>
      </w:r>
      <w:bookmarkEnd w:id="1180"/>
    </w:p>
    <w:p w14:paraId="12B886DD">
      <w:pPr>
        <w:pStyle w:val="86"/>
        <w:widowControl w:val="0"/>
        <w:wordWrap w:val="0"/>
        <w:topLinePunct/>
        <w:autoSpaceDE/>
        <w:autoSpaceDN/>
        <w:adjustRightInd/>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646B0603">
      <w:pPr>
        <w:pStyle w:val="86"/>
        <w:widowControl w:val="0"/>
        <w:wordWrap w:val="0"/>
        <w:topLinePunct/>
        <w:autoSpaceDE/>
        <w:autoSpaceDN/>
        <w:adjustRightInd/>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选择仲裁的，应在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中明确仲裁机构及仲裁地；通过诉讼方式解决的，可以在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中进一步约定选择与争议有实际联系的地点的人民法院管辖，但管辖法院的约定不得违反级别管辖和专属管辖的规定。</w:t>
      </w:r>
    </w:p>
    <w:p w14:paraId="4D7D60DB">
      <w:pPr>
        <w:pStyle w:val="86"/>
        <w:widowControl w:val="0"/>
        <w:wordWrap w:val="0"/>
        <w:topLinePunct/>
        <w:autoSpaceDE/>
        <w:autoSpaceDN/>
        <w:adjustRightInd/>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 如甲乙双方有争议的事项不影响合同其他部分的履行，在争议解决期间，合同其他部分应当继续履行。</w:t>
      </w:r>
    </w:p>
    <w:p w14:paraId="52D20DC9">
      <w:pPr>
        <w:pStyle w:val="6"/>
        <w:rPr>
          <w:rFonts w:hint="eastAsia" w:ascii="宋体" w:hAnsi="宋体" w:cs="宋体"/>
          <w:color w:val="auto"/>
          <w:sz w:val="24"/>
          <w:szCs w:val="24"/>
          <w:highlight w:val="none"/>
        </w:rPr>
      </w:pPr>
      <w:bookmarkStart w:id="1181" w:name="_Toc14981"/>
      <w:r>
        <w:rPr>
          <w:rFonts w:hint="eastAsia" w:ascii="宋体" w:hAnsi="宋体" w:cs="宋体"/>
          <w:color w:val="auto"/>
          <w:sz w:val="24"/>
          <w:szCs w:val="24"/>
          <w:highlight w:val="none"/>
        </w:rPr>
        <w:t>20.政府采购政策</w:t>
      </w:r>
      <w:bookmarkEnd w:id="1181"/>
    </w:p>
    <w:p w14:paraId="1D6D5AF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 </w:t>
      </w:r>
      <w:r>
        <w:rPr>
          <w:rFonts w:hint="eastAsia" w:ascii="宋体" w:hAnsi="宋体" w:cs="宋体"/>
          <w:color w:val="auto"/>
          <w:sz w:val="24"/>
          <w:szCs w:val="24"/>
          <w:highlight w:val="none"/>
          <w:lang w:val="en-GB"/>
        </w:rPr>
        <w:t>本合同应当按照规定执行政府采购政策。</w:t>
      </w:r>
    </w:p>
    <w:p w14:paraId="6874EA4D">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20.2 本合同依法执行政府采购政策的方式和内容，属于合同履约验收的范围。甲乙双方</w:t>
      </w:r>
      <w:r>
        <w:rPr>
          <w:rFonts w:hint="eastAsia" w:ascii="宋体" w:hAnsi="宋体" w:cs="宋体"/>
          <w:color w:val="auto"/>
          <w:sz w:val="24"/>
          <w:szCs w:val="24"/>
          <w:highlight w:val="none"/>
          <w:lang w:val="en-GB"/>
        </w:rPr>
        <w:t>未按规定要求执行政府采购政策造成损失的</w:t>
      </w:r>
      <w:r>
        <w:rPr>
          <w:rFonts w:hint="eastAsia" w:ascii="宋体" w:hAnsi="宋体" w:cs="宋体"/>
          <w:color w:val="auto"/>
          <w:sz w:val="24"/>
          <w:szCs w:val="24"/>
          <w:highlight w:val="none"/>
        </w:rPr>
        <w:t>，有过错的一方应当承担赔偿责任，双方都有过错的，各自承担相应的责任。</w:t>
      </w:r>
    </w:p>
    <w:p w14:paraId="494E3D7D">
      <w:pPr>
        <w:pStyle w:val="28"/>
        <w:wordWrap w:val="0"/>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97C880F">
      <w:pPr>
        <w:pStyle w:val="6"/>
        <w:rPr>
          <w:rFonts w:hint="eastAsia" w:ascii="宋体" w:hAnsi="宋体" w:cs="宋体"/>
          <w:color w:val="auto"/>
          <w:sz w:val="24"/>
          <w:szCs w:val="24"/>
          <w:highlight w:val="none"/>
        </w:rPr>
      </w:pPr>
      <w:bookmarkStart w:id="1182" w:name="_Toc12531"/>
      <w:r>
        <w:rPr>
          <w:rFonts w:hint="eastAsia" w:ascii="宋体" w:hAnsi="宋体" w:cs="宋体"/>
          <w:color w:val="auto"/>
          <w:sz w:val="24"/>
          <w:szCs w:val="24"/>
          <w:highlight w:val="none"/>
        </w:rPr>
        <w:t>21.法律适用</w:t>
      </w:r>
      <w:bookmarkEnd w:id="1182"/>
    </w:p>
    <w:p w14:paraId="37B05A26">
      <w:pPr>
        <w:pStyle w:val="86"/>
        <w:widowControl w:val="0"/>
        <w:wordWrap w:val="0"/>
        <w:topLinePunct/>
        <w:autoSpaceDE/>
        <w:autoSpaceDN/>
        <w:adjustRightInd/>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本合同的订立、生效、解释、履行及与本合同有关的争议解决，均适用法律、行政法规。</w:t>
      </w:r>
    </w:p>
    <w:p w14:paraId="2C2D41F2">
      <w:pPr>
        <w:pStyle w:val="86"/>
        <w:widowControl w:val="0"/>
        <w:wordWrap w:val="0"/>
        <w:topLinePunct/>
        <w:autoSpaceDE/>
        <w:autoSpaceDN/>
        <w:adjustRightInd/>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本合同条款与法律、行政法规的强制性规定不一致的，双方当事人应按照法律、行政法规的强制性规定修改本合同的相关条款。</w:t>
      </w:r>
    </w:p>
    <w:p w14:paraId="6B66B636">
      <w:pPr>
        <w:pStyle w:val="6"/>
        <w:rPr>
          <w:rFonts w:hint="eastAsia" w:ascii="宋体" w:hAnsi="宋体" w:cs="宋体"/>
          <w:color w:val="auto"/>
          <w:sz w:val="24"/>
          <w:szCs w:val="24"/>
          <w:highlight w:val="none"/>
        </w:rPr>
      </w:pPr>
      <w:bookmarkStart w:id="1183" w:name="_Toc8506"/>
      <w:r>
        <w:rPr>
          <w:rFonts w:hint="eastAsia" w:ascii="宋体" w:hAnsi="宋体" w:cs="宋体"/>
          <w:color w:val="auto"/>
          <w:sz w:val="24"/>
          <w:szCs w:val="24"/>
          <w:highlight w:val="none"/>
        </w:rPr>
        <w:t>22.通知</w:t>
      </w:r>
      <w:bookmarkEnd w:id="1183"/>
    </w:p>
    <w:p w14:paraId="2A407DF5">
      <w:pPr>
        <w:pStyle w:val="86"/>
        <w:widowControl w:val="0"/>
        <w:wordWrap w:val="0"/>
        <w:topLinePunct/>
        <w:autoSpaceDE/>
        <w:autoSpaceDN/>
        <w:adjustRightInd/>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本合同任何一方向对方发出的通知、信件、数据电文等，应当发送至本合同第一部分《政府采购合同协议书》所约定的通讯地址、联系人、联系电话或电子邮箱。</w:t>
      </w:r>
    </w:p>
    <w:p w14:paraId="64F78824">
      <w:pPr>
        <w:pStyle w:val="86"/>
        <w:widowControl w:val="0"/>
        <w:wordWrap w:val="0"/>
        <w:topLinePunct/>
        <w:autoSpaceDE/>
        <w:autoSpaceDN/>
        <w:adjustRightInd/>
        <w:spacing w:line="360" w:lineRule="auto"/>
        <w:ind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p>
    <w:p w14:paraId="6AB3B2D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22.3本合同一方给另一方的通知均应采用书面形式，传真或快递送到本合同中规定的对方的地址和办理签收手续。</w:t>
      </w:r>
    </w:p>
    <w:p w14:paraId="69F788D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22.4通知以送达之日或通知书中规定的生效之日起生效，两者中以较迟之日为准。</w:t>
      </w:r>
    </w:p>
    <w:p w14:paraId="05B4CCDC">
      <w:pPr>
        <w:pStyle w:val="6"/>
        <w:rPr>
          <w:rFonts w:hint="eastAsia" w:ascii="宋体" w:hAnsi="宋体" w:cs="宋体"/>
          <w:color w:val="auto"/>
          <w:sz w:val="24"/>
          <w:szCs w:val="24"/>
          <w:highlight w:val="none"/>
        </w:rPr>
      </w:pPr>
      <w:bookmarkStart w:id="1184" w:name="_Toc9629"/>
      <w:r>
        <w:rPr>
          <w:rFonts w:hint="eastAsia" w:ascii="宋体" w:hAnsi="宋体" w:cs="宋体"/>
          <w:color w:val="auto"/>
          <w:sz w:val="24"/>
          <w:szCs w:val="24"/>
          <w:highlight w:val="none"/>
        </w:rPr>
        <w:t>23.合同未尽事项</w:t>
      </w:r>
      <w:bookmarkEnd w:id="1184"/>
    </w:p>
    <w:p w14:paraId="0B40FDCD">
      <w:pPr>
        <w:wordWrap w:val="0"/>
        <w:topLinePunct/>
        <w:spacing w:line="360" w:lineRule="auto"/>
        <w:ind w:firstLine="480" w:firstLineChars="20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23.1合同未尽事项见</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w:t>
      </w:r>
    </w:p>
    <w:p w14:paraId="246D3918">
      <w:pPr>
        <w:wordWrap w:val="0"/>
        <w:topLinePunct/>
        <w:spacing w:line="360" w:lineRule="auto"/>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23.2 合同附件与合同正文具有同等的法律效力。</w:t>
      </w:r>
    </w:p>
    <w:p w14:paraId="06C543C9">
      <w:pPr>
        <w:wordWrap w:val="0"/>
        <w:topLinePunct/>
        <w:spacing w:line="360" w:lineRule="auto"/>
        <w:rPr>
          <w:rFonts w:hint="eastAsia" w:ascii="宋体" w:hAnsi="宋体" w:cs="宋体"/>
          <w:color w:val="auto"/>
          <w:sz w:val="24"/>
          <w:szCs w:val="24"/>
          <w:highlight w:val="none"/>
        </w:rPr>
      </w:pPr>
    </w:p>
    <w:p w14:paraId="0FDDF379">
      <w:pPr>
        <w:adjustRightInd w:val="0"/>
        <w:snapToGrid w:val="0"/>
        <w:spacing w:line="360" w:lineRule="auto"/>
        <w:rPr>
          <w:rFonts w:hint="eastAsia" w:ascii="宋体" w:hAnsi="宋体" w:cs="宋体"/>
          <w:b/>
          <w:bCs/>
          <w:color w:val="auto"/>
          <w:sz w:val="24"/>
          <w:szCs w:val="24"/>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720" w:num="1"/>
          <w:docGrid w:type="lines" w:linePitch="312" w:charSpace="0"/>
        </w:sectPr>
      </w:pPr>
    </w:p>
    <w:p w14:paraId="6B2790F5">
      <w:pPr>
        <w:pStyle w:val="5"/>
        <w:spacing w:line="443" w:lineRule="exact"/>
        <w:jc w:val="center"/>
        <w:rPr>
          <w:rFonts w:hint="eastAsia" w:ascii="Microsoft JhengHei" w:hAnsi="Microsoft JhengHei"/>
          <w:b/>
          <w:bCs/>
          <w:color w:val="auto"/>
          <w:sz w:val="30"/>
          <w:szCs w:val="32"/>
          <w:highlight w:val="none"/>
        </w:rPr>
      </w:pPr>
      <w:bookmarkStart w:id="1185" w:name="_Toc31902"/>
      <w:r>
        <w:rPr>
          <w:rFonts w:hint="eastAsia" w:ascii="Microsoft JhengHei" w:hAnsi="Microsoft JhengHei"/>
          <w:b/>
          <w:bCs/>
          <w:color w:val="auto"/>
          <w:sz w:val="30"/>
          <w:szCs w:val="32"/>
          <w:highlight w:val="none"/>
        </w:rPr>
        <w:t>第三部分 政府采购合同专用条款</w:t>
      </w:r>
      <w:bookmarkEnd w:id="1185"/>
    </w:p>
    <w:tbl>
      <w:tblPr>
        <w:tblStyle w:val="67"/>
        <w:tblW w:w="10318"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156"/>
        <w:gridCol w:w="1416"/>
        <w:gridCol w:w="7746"/>
      </w:tblGrid>
      <w:tr w14:paraId="33E705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72021A4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3D9A1C8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第1.2（6）项</w:t>
            </w:r>
          </w:p>
        </w:tc>
        <w:tc>
          <w:tcPr>
            <w:tcW w:w="1416" w:type="dxa"/>
            <w:noWrap w:val="0"/>
            <w:vAlign w:val="center"/>
          </w:tcPr>
          <w:p w14:paraId="32677E2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联合体具体要求</w:t>
            </w:r>
          </w:p>
        </w:tc>
        <w:tc>
          <w:tcPr>
            <w:tcW w:w="7746" w:type="dxa"/>
            <w:noWrap w:val="0"/>
            <w:vAlign w:val="center"/>
          </w:tcPr>
          <w:p w14:paraId="0DAD424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无（本项目不接受联合体投标）</w:t>
            </w:r>
          </w:p>
        </w:tc>
      </w:tr>
      <w:tr w14:paraId="4A2C1B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56" w:type="dxa"/>
            <w:noWrap w:val="0"/>
            <w:vAlign w:val="center"/>
          </w:tcPr>
          <w:p w14:paraId="7677FF5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45A649A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第1.2（7）项</w:t>
            </w:r>
          </w:p>
        </w:tc>
        <w:tc>
          <w:tcPr>
            <w:tcW w:w="1416" w:type="dxa"/>
            <w:noWrap w:val="0"/>
            <w:vAlign w:val="center"/>
          </w:tcPr>
          <w:p w14:paraId="599A2BC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其他术语解释</w:t>
            </w:r>
          </w:p>
        </w:tc>
        <w:tc>
          <w:tcPr>
            <w:tcW w:w="7746" w:type="dxa"/>
            <w:noWrap w:val="0"/>
            <w:vAlign w:val="center"/>
          </w:tcPr>
          <w:p w14:paraId="4E2B65A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r>
      <w:tr w14:paraId="035376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78D9DDA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2AABD75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第4.4款</w:t>
            </w:r>
          </w:p>
        </w:tc>
        <w:tc>
          <w:tcPr>
            <w:tcW w:w="1416" w:type="dxa"/>
            <w:noWrap w:val="0"/>
            <w:vAlign w:val="center"/>
          </w:tcPr>
          <w:p w14:paraId="1D6615BB">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履约验收中甲方提出异议或作出说明的期限</w:t>
            </w:r>
          </w:p>
        </w:tc>
        <w:tc>
          <w:tcPr>
            <w:tcW w:w="7746" w:type="dxa"/>
            <w:noWrap w:val="0"/>
            <w:vAlign w:val="center"/>
          </w:tcPr>
          <w:p w14:paraId="4FC792A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如有质量异议，甲方在货到一个月内向乙方提出，乙方应在接到甲方异议的7天内做出书面答复，逾期则视为乙方同意甲方提出的异议和处理意见。</w:t>
            </w:r>
          </w:p>
        </w:tc>
      </w:tr>
      <w:tr w14:paraId="62085F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0771A4F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341A011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第4.6款</w:t>
            </w:r>
          </w:p>
        </w:tc>
        <w:tc>
          <w:tcPr>
            <w:tcW w:w="1416" w:type="dxa"/>
            <w:noWrap w:val="0"/>
            <w:vAlign w:val="center"/>
          </w:tcPr>
          <w:p w14:paraId="1AC296F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约定甲方承担的其他义务和责任</w:t>
            </w:r>
          </w:p>
        </w:tc>
        <w:tc>
          <w:tcPr>
            <w:tcW w:w="7746" w:type="dxa"/>
            <w:noWrap w:val="0"/>
            <w:vAlign w:val="center"/>
          </w:tcPr>
          <w:p w14:paraId="3DBE1105">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甲方无正当理由拒绝接货的，</w:t>
            </w:r>
            <w:r>
              <w:rPr>
                <w:rFonts w:hint="eastAsia" w:ascii="宋体" w:hAnsi="宋体" w:cs="宋体"/>
                <w:i w:val="0"/>
                <w:iCs w:val="0"/>
                <w:color w:val="auto"/>
                <w:sz w:val="24"/>
                <w:szCs w:val="24"/>
                <w:highlight w:val="none"/>
                <w:lang w:eastAsia="zh-CN"/>
              </w:rPr>
              <w:t>经乙方书面催告后</w:t>
            </w:r>
            <w:r>
              <w:rPr>
                <w:rFonts w:hint="eastAsia" w:ascii="宋体" w:hAnsi="宋体" w:cs="宋体"/>
                <w:i w:val="0"/>
                <w:iCs w:val="0"/>
                <w:color w:val="auto"/>
                <w:sz w:val="24"/>
                <w:szCs w:val="24"/>
                <w:highlight w:val="none"/>
                <w:u w:val="single"/>
                <w:lang w:val="en-US" w:eastAsia="zh-CN"/>
              </w:rPr>
              <w:t xml:space="preserve"> 30 </w:t>
            </w:r>
            <w:r>
              <w:rPr>
                <w:rFonts w:hint="eastAsia" w:ascii="宋体" w:hAnsi="宋体" w:cs="宋体"/>
                <w:i w:val="0"/>
                <w:iCs w:val="0"/>
                <w:color w:val="auto"/>
                <w:sz w:val="24"/>
                <w:szCs w:val="24"/>
                <w:highlight w:val="none"/>
                <w:lang w:val="en-US" w:eastAsia="zh-CN"/>
              </w:rPr>
              <w:t>日，</w:t>
            </w:r>
            <w:r>
              <w:rPr>
                <w:rFonts w:hint="eastAsia" w:ascii="宋体" w:hAnsi="宋体" w:cs="宋体"/>
                <w:i w:val="0"/>
                <w:iCs w:val="0"/>
                <w:color w:val="auto"/>
                <w:sz w:val="24"/>
                <w:szCs w:val="24"/>
                <w:highlight w:val="none"/>
              </w:rPr>
              <w:t>应当承担由此对乙方造成的损失，并向乙方偿付拒绝接收部分货款的</w:t>
            </w:r>
            <w:r>
              <w:rPr>
                <w:rFonts w:hint="eastAsia" w:ascii="宋体" w:hAnsi="宋体" w:cs="宋体"/>
                <w:i w:val="0"/>
                <w:iCs w:val="0"/>
                <w:color w:val="auto"/>
                <w:sz w:val="24"/>
                <w:szCs w:val="24"/>
                <w:highlight w:val="none"/>
                <w:u w:val="single"/>
              </w:rPr>
              <w:t xml:space="preserve"> 20</w:t>
            </w:r>
            <w:r>
              <w:rPr>
                <w:rFonts w:hint="eastAsia" w:ascii="宋体" w:hAnsi="宋体" w:cs="宋体"/>
                <w:i w:val="0"/>
                <w:iCs w:val="0"/>
                <w:color w:val="auto"/>
                <w:sz w:val="24"/>
                <w:szCs w:val="24"/>
                <w:highlight w:val="none"/>
                <w:u w:val="single"/>
                <w:lang w:val="en-US" w:eastAsia="zh-CN"/>
              </w:rPr>
              <w:t>‰</w:t>
            </w:r>
            <w:r>
              <w:rPr>
                <w:rFonts w:hint="eastAsia" w:ascii="宋体" w:hAnsi="宋体" w:cs="宋体"/>
                <w:i w:val="0"/>
                <w:iCs w:val="0"/>
                <w:color w:val="auto"/>
                <w:sz w:val="24"/>
                <w:szCs w:val="24"/>
                <w:highlight w:val="none"/>
              </w:rPr>
              <w:t>的违约金。</w:t>
            </w:r>
          </w:p>
          <w:p w14:paraId="14DEC29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outlineLvl w:val="2"/>
              <w:rPr>
                <w:rFonts w:hint="eastAsia" w:ascii="宋体" w:hAnsi="宋体" w:cs="宋体"/>
                <w:i w:val="0"/>
                <w:iCs w:val="0"/>
                <w:color w:val="auto"/>
                <w:sz w:val="24"/>
                <w:szCs w:val="24"/>
                <w:highlight w:val="none"/>
              </w:rPr>
            </w:pPr>
            <w:bookmarkStart w:id="1186" w:name="_Toc873"/>
            <w:bookmarkStart w:id="1187" w:name="_Toc31259"/>
            <w:bookmarkStart w:id="1188" w:name="_Toc13053"/>
            <w:bookmarkStart w:id="1189" w:name="_Toc6073"/>
            <w:bookmarkStart w:id="1190" w:name="_Toc26881"/>
            <w:r>
              <w:rPr>
                <w:rFonts w:hint="eastAsia" w:ascii="宋体" w:hAnsi="宋体" w:cs="宋体"/>
                <w:i w:val="0"/>
                <w:iCs w:val="0"/>
                <w:color w:val="auto"/>
                <w:sz w:val="24"/>
                <w:szCs w:val="24"/>
                <w:highlight w:val="none"/>
              </w:rPr>
              <w:t>（三）双方的违约责任：</w:t>
            </w:r>
            <w:bookmarkEnd w:id="1186"/>
            <w:bookmarkEnd w:id="1187"/>
            <w:bookmarkEnd w:id="1188"/>
            <w:bookmarkEnd w:id="1189"/>
            <w:bookmarkEnd w:id="1190"/>
          </w:p>
          <w:p w14:paraId="30F03A9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除明确约定的违约情形和违约责任外，任何一方违反本合同约定内容的，守约方可视情况追究违约责任，根据违反约定的程度确定违约方偿付相当于货款</w:t>
            </w:r>
            <w:r>
              <w:rPr>
                <w:rFonts w:hint="eastAsia" w:ascii="宋体" w:hAnsi="宋体" w:cs="宋体"/>
                <w:i w:val="0"/>
                <w:iCs w:val="0"/>
                <w:color w:val="auto"/>
                <w:sz w:val="24"/>
                <w:szCs w:val="24"/>
                <w:highlight w:val="none"/>
                <w:u w:val="single"/>
              </w:rPr>
              <w:t>3</w:t>
            </w:r>
            <w:r>
              <w:rPr>
                <w:rFonts w:hint="eastAsia" w:ascii="宋体" w:hAnsi="宋体" w:cs="宋体"/>
                <w:i w:val="0"/>
                <w:iCs w:val="0"/>
                <w:color w:val="auto"/>
                <w:sz w:val="24"/>
                <w:szCs w:val="24"/>
                <w:highlight w:val="none"/>
                <w:u w:val="single"/>
                <w:lang w:val="en-US" w:eastAsia="zh-CN"/>
              </w:rPr>
              <w:t>‰</w:t>
            </w:r>
            <w:r>
              <w:rPr>
                <w:rFonts w:hint="eastAsia" w:ascii="宋体" w:hAnsi="宋体" w:cs="宋体"/>
                <w:i w:val="0"/>
                <w:iCs w:val="0"/>
                <w:color w:val="auto"/>
                <w:sz w:val="24"/>
                <w:szCs w:val="24"/>
                <w:highlight w:val="none"/>
                <w:u w:val="single"/>
              </w:rPr>
              <w:t>至20</w:t>
            </w:r>
            <w:r>
              <w:rPr>
                <w:rFonts w:hint="eastAsia" w:ascii="宋体" w:hAnsi="宋体" w:cs="宋体"/>
                <w:i w:val="0"/>
                <w:iCs w:val="0"/>
                <w:color w:val="auto"/>
                <w:sz w:val="24"/>
                <w:szCs w:val="24"/>
                <w:highlight w:val="none"/>
                <w:u w:val="single"/>
                <w:lang w:val="en-US" w:eastAsia="zh-CN"/>
              </w:rPr>
              <w:t>‰</w:t>
            </w:r>
            <w:r>
              <w:rPr>
                <w:rFonts w:hint="eastAsia" w:ascii="宋体" w:hAnsi="宋体" w:cs="宋体"/>
                <w:i w:val="0"/>
                <w:iCs w:val="0"/>
                <w:color w:val="auto"/>
                <w:sz w:val="24"/>
                <w:szCs w:val="24"/>
                <w:highlight w:val="none"/>
              </w:rPr>
              <w:t>的违约金。</w:t>
            </w:r>
          </w:p>
        </w:tc>
      </w:tr>
      <w:tr w14:paraId="252620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05ADD21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34CEFD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第5.4款</w:t>
            </w:r>
          </w:p>
        </w:tc>
        <w:tc>
          <w:tcPr>
            <w:tcW w:w="1416" w:type="dxa"/>
            <w:noWrap w:val="0"/>
            <w:vAlign w:val="center"/>
          </w:tcPr>
          <w:p w14:paraId="6AE26DB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约定乙方承担的其他义务和责任</w:t>
            </w:r>
          </w:p>
        </w:tc>
        <w:tc>
          <w:tcPr>
            <w:tcW w:w="7746" w:type="dxa"/>
            <w:noWrap w:val="0"/>
            <w:vAlign w:val="center"/>
          </w:tcPr>
          <w:p w14:paraId="67E1B10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1.乙方逾期交货（包括零部件）的，按总货款计算，向甲方偿付每日千分之五的违约金，并承担甲方因此所受的损失费用；乙方逾期交货超过</w:t>
            </w:r>
            <w:r>
              <w:rPr>
                <w:rFonts w:hint="eastAsia" w:ascii="宋体" w:hAnsi="宋体" w:cs="宋体"/>
                <w:i w:val="0"/>
                <w:iCs w:val="0"/>
                <w:color w:val="auto"/>
                <w:sz w:val="24"/>
                <w:szCs w:val="24"/>
                <w:highlight w:val="none"/>
                <w:u w:val="single"/>
              </w:rPr>
              <w:t>20</w:t>
            </w:r>
            <w:r>
              <w:rPr>
                <w:rFonts w:hint="eastAsia" w:ascii="宋体" w:hAnsi="宋体" w:cs="宋体"/>
                <w:i w:val="0"/>
                <w:iCs w:val="0"/>
                <w:color w:val="auto"/>
                <w:sz w:val="24"/>
                <w:szCs w:val="24"/>
                <w:highlight w:val="none"/>
              </w:rPr>
              <w:t>天，乙方经甲方书面通知后仍未交货，视为乙方不能交货；乙方不能交货的，甲方有权拒付乙方剩余货款，乙方应向甲方偿付相当于货款的</w:t>
            </w:r>
            <w:r>
              <w:rPr>
                <w:rFonts w:hint="eastAsia" w:ascii="宋体" w:hAnsi="宋体" w:cs="宋体"/>
                <w:i w:val="0"/>
                <w:iCs w:val="0"/>
                <w:color w:val="auto"/>
                <w:sz w:val="24"/>
                <w:szCs w:val="24"/>
                <w:highlight w:val="none"/>
                <w:u w:val="single"/>
              </w:rPr>
              <w:t xml:space="preserve"> 20%</w:t>
            </w:r>
            <w:r>
              <w:rPr>
                <w:rFonts w:hint="eastAsia" w:ascii="宋体" w:hAnsi="宋体" w:cs="宋体"/>
                <w:i w:val="0"/>
                <w:iCs w:val="0"/>
                <w:color w:val="auto"/>
                <w:sz w:val="24"/>
                <w:szCs w:val="24"/>
                <w:highlight w:val="none"/>
              </w:rPr>
              <w:t>的违约金，且甲方有权解除合同，乙方还应当退回甲方已经支付的所有款项</w:t>
            </w:r>
            <w:r>
              <w:rPr>
                <w:rFonts w:hint="eastAsia" w:ascii="宋体" w:hAnsi="宋体" w:cs="宋体"/>
                <w:i w:val="0"/>
                <w:iCs w:val="0"/>
                <w:color w:val="auto"/>
                <w:sz w:val="24"/>
                <w:szCs w:val="24"/>
                <w:highlight w:val="none"/>
                <w:lang w:eastAsia="zh-CN"/>
              </w:rPr>
              <w:t>，并由乙方赔偿甲方受到的损失。</w:t>
            </w:r>
            <w:r>
              <w:rPr>
                <w:rFonts w:hint="eastAsia" w:ascii="宋体" w:hAnsi="宋体" w:cs="宋体"/>
                <w:i w:val="0"/>
                <w:iCs w:val="0"/>
                <w:color w:val="auto"/>
                <w:sz w:val="24"/>
                <w:szCs w:val="24"/>
                <w:highlight w:val="none"/>
              </w:rPr>
              <w:t>乙方因特殊原因无法按时交货的，经甲方同意后方可延迟送货，并与甲方确定新的交货期，</w:t>
            </w:r>
            <w:r>
              <w:rPr>
                <w:rFonts w:hint="eastAsia" w:ascii="宋体" w:hAnsi="宋体" w:cs="宋体"/>
                <w:i w:val="0"/>
                <w:iCs w:val="0"/>
                <w:color w:val="auto"/>
                <w:sz w:val="24"/>
                <w:szCs w:val="24"/>
                <w:highlight w:val="none"/>
                <w:lang w:eastAsia="zh-CN"/>
              </w:rPr>
              <w:t>并不</w:t>
            </w:r>
            <w:r>
              <w:rPr>
                <w:rFonts w:hint="eastAsia" w:ascii="宋体" w:hAnsi="宋体" w:cs="宋体"/>
                <w:i w:val="0"/>
                <w:iCs w:val="0"/>
                <w:color w:val="auto"/>
                <w:sz w:val="24"/>
                <w:szCs w:val="24"/>
                <w:highlight w:val="none"/>
              </w:rPr>
              <w:t>免除此条违约责任。</w:t>
            </w:r>
          </w:p>
          <w:p w14:paraId="3D4CEE7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2.乙方所交产品（包括零部件）品种、数量、规格、型号、质量、技术参数及配置不符合国家法律法规和合同规定的，甲方有权拒绝收货，由乙方负责包换或退货，并承担由此而支付的实际费用。换货的交货期超过合同履约期的视为逾期交货，退货的视为不能交货，并承担逾期交货、不能交货的违约责任。</w:t>
            </w:r>
          </w:p>
          <w:p w14:paraId="120D5BB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3.产品验收不合格导致逾期交货（包括零部件）的，乙方应承担逾期交货的违约责任；验收不合格的次数达到</w:t>
            </w:r>
            <w:r>
              <w:rPr>
                <w:rFonts w:hint="eastAsia" w:ascii="宋体" w:hAnsi="宋体" w:cs="宋体"/>
                <w:i w:val="0"/>
                <w:iCs w:val="0"/>
                <w:color w:val="auto"/>
                <w:sz w:val="24"/>
                <w:szCs w:val="24"/>
                <w:highlight w:val="none"/>
                <w:u w:val="single"/>
              </w:rPr>
              <w:t xml:space="preserve"> 3 </w:t>
            </w:r>
            <w:r>
              <w:rPr>
                <w:rFonts w:hint="eastAsia" w:ascii="宋体" w:hAnsi="宋体" w:cs="宋体"/>
                <w:i w:val="0"/>
                <w:iCs w:val="0"/>
                <w:color w:val="auto"/>
                <w:sz w:val="24"/>
                <w:szCs w:val="24"/>
                <w:highlight w:val="none"/>
              </w:rPr>
              <w:t>次以上的，乙方应承担不能交货的违约责任，向甲方偿付相当于货款20%的违约金及退回甲方已经支付的所有款项，</w:t>
            </w:r>
            <w:r>
              <w:rPr>
                <w:rFonts w:hint="eastAsia" w:ascii="宋体" w:hAnsi="宋体" w:cs="宋体"/>
                <w:i w:val="0"/>
                <w:iCs w:val="0"/>
                <w:color w:val="auto"/>
                <w:sz w:val="24"/>
                <w:szCs w:val="24"/>
                <w:highlight w:val="none"/>
                <w:lang w:eastAsia="zh-CN"/>
              </w:rPr>
              <w:t>并由乙方赔偿甲方受到的损失，</w:t>
            </w:r>
            <w:r>
              <w:rPr>
                <w:rFonts w:hint="eastAsia" w:ascii="宋体" w:hAnsi="宋体" w:cs="宋体"/>
                <w:i w:val="0"/>
                <w:iCs w:val="0"/>
                <w:color w:val="auto"/>
                <w:sz w:val="24"/>
                <w:szCs w:val="24"/>
                <w:highlight w:val="none"/>
              </w:rPr>
              <w:t>且甲方有权解除合同。</w:t>
            </w:r>
          </w:p>
          <w:p w14:paraId="12C541C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4.损失指直接损失和间接损失，包括但不限于：违约金、诉讼费、保全费、律师费、保函费、鉴定费、公告费。</w:t>
            </w:r>
          </w:p>
        </w:tc>
      </w:tr>
      <w:tr w14:paraId="195AD3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6FE595D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381B312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第6.1款</w:t>
            </w:r>
          </w:p>
        </w:tc>
        <w:tc>
          <w:tcPr>
            <w:tcW w:w="1416" w:type="dxa"/>
            <w:noWrap w:val="0"/>
            <w:vAlign w:val="center"/>
          </w:tcPr>
          <w:p w14:paraId="13B0719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履行合同义务的顺序</w:t>
            </w:r>
          </w:p>
        </w:tc>
        <w:tc>
          <w:tcPr>
            <w:tcW w:w="7746" w:type="dxa"/>
            <w:noWrap w:val="0"/>
            <w:vAlign w:val="center"/>
          </w:tcPr>
          <w:p w14:paraId="2E27F30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FE"/>
            </w:r>
            <w:r>
              <w:rPr>
                <w:rFonts w:hint="eastAsia" w:ascii="宋体" w:hAnsi="宋体" w:cs="宋体"/>
                <w:color w:val="auto"/>
                <w:sz w:val="24"/>
                <w:szCs w:val="24"/>
                <w:highlight w:val="none"/>
              </w:rPr>
              <w:t>同时履行。当事人双方在合同中没有约定履行顺序的，应当同时履行。一方在对方履行之前有权拒绝其履行请求，一方在对方履行债务不符合约定时，有权拒绝其相应的履行请求</w:t>
            </w:r>
          </w:p>
          <w:p w14:paraId="1B0EE9B5">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先履行。当事人互负债务，有先后履行顺序，应当先履行债务一方未履行的，后履行一方有权拒绝其履行请求。先履行一方履行债务不符合约定的，后履行一方有权</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拒绝其相应的履行请求。</w:t>
            </w:r>
          </w:p>
          <w:p w14:paraId="27489E8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后履行。当事人互负债务，有先后履行顺序，应当先履行债务一方未履行的，后履行一方有权留置其财物以担保其债权的实现。</w:t>
            </w:r>
          </w:p>
        </w:tc>
      </w:tr>
      <w:tr w14:paraId="6F45BF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156" w:type="dxa"/>
            <w:vMerge w:val="restart"/>
            <w:noWrap w:val="0"/>
            <w:vAlign w:val="center"/>
          </w:tcPr>
          <w:p w14:paraId="3EA2268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1C5C660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第7.1款</w:t>
            </w:r>
          </w:p>
        </w:tc>
        <w:tc>
          <w:tcPr>
            <w:tcW w:w="1416" w:type="dxa"/>
            <w:noWrap w:val="0"/>
            <w:vAlign w:val="center"/>
          </w:tcPr>
          <w:p w14:paraId="5B6F2AF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包装特殊要求</w:t>
            </w:r>
          </w:p>
        </w:tc>
        <w:tc>
          <w:tcPr>
            <w:tcW w:w="7746" w:type="dxa"/>
            <w:noWrap w:val="0"/>
            <w:vAlign w:val="center"/>
          </w:tcPr>
          <w:p w14:paraId="27DF36C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r>
      <w:tr w14:paraId="654D89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156" w:type="dxa"/>
            <w:vMerge w:val="continue"/>
            <w:noWrap w:val="0"/>
            <w:vAlign w:val="center"/>
          </w:tcPr>
          <w:p w14:paraId="2DFADF0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p>
        </w:tc>
        <w:tc>
          <w:tcPr>
            <w:tcW w:w="1416" w:type="dxa"/>
            <w:noWrap w:val="0"/>
            <w:vAlign w:val="center"/>
          </w:tcPr>
          <w:p w14:paraId="75AC6B7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指定现场</w:t>
            </w:r>
          </w:p>
        </w:tc>
        <w:tc>
          <w:tcPr>
            <w:tcW w:w="7746" w:type="dxa"/>
            <w:noWrap w:val="0"/>
            <w:vAlign w:val="center"/>
          </w:tcPr>
          <w:p w14:paraId="29D08B1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南华县人民医院</w:t>
            </w:r>
          </w:p>
        </w:tc>
      </w:tr>
      <w:tr w14:paraId="696C96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156" w:type="dxa"/>
            <w:noWrap w:val="0"/>
            <w:vAlign w:val="center"/>
          </w:tcPr>
          <w:p w14:paraId="5617037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40E4DF1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第7.2款</w:t>
            </w:r>
          </w:p>
        </w:tc>
        <w:tc>
          <w:tcPr>
            <w:tcW w:w="1416" w:type="dxa"/>
            <w:noWrap w:val="0"/>
            <w:vAlign w:val="center"/>
          </w:tcPr>
          <w:p w14:paraId="3381FFB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运输特殊要求</w:t>
            </w:r>
          </w:p>
        </w:tc>
        <w:tc>
          <w:tcPr>
            <w:tcW w:w="7746" w:type="dxa"/>
            <w:noWrap w:val="0"/>
            <w:vAlign w:val="center"/>
          </w:tcPr>
          <w:p w14:paraId="3BC3B39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r>
      <w:tr w14:paraId="4DB38E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156" w:type="dxa"/>
            <w:noWrap w:val="0"/>
            <w:vAlign w:val="center"/>
          </w:tcPr>
          <w:p w14:paraId="1907EB5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D89AFD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第7.3款</w:t>
            </w:r>
          </w:p>
        </w:tc>
        <w:tc>
          <w:tcPr>
            <w:tcW w:w="1416" w:type="dxa"/>
            <w:noWrap w:val="0"/>
            <w:vAlign w:val="center"/>
          </w:tcPr>
          <w:p w14:paraId="3FFB84D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保险要求</w:t>
            </w:r>
          </w:p>
        </w:tc>
        <w:tc>
          <w:tcPr>
            <w:tcW w:w="7746" w:type="dxa"/>
            <w:noWrap w:val="0"/>
            <w:vAlign w:val="center"/>
          </w:tcPr>
          <w:p w14:paraId="39DC375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r>
      <w:tr w14:paraId="5D6A56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3135837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8261C7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第8.2（1）项</w:t>
            </w:r>
          </w:p>
        </w:tc>
        <w:tc>
          <w:tcPr>
            <w:tcW w:w="1416" w:type="dxa"/>
            <w:noWrap w:val="0"/>
            <w:vAlign w:val="center"/>
          </w:tcPr>
          <w:p w14:paraId="4819A8C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质量保证期</w:t>
            </w:r>
          </w:p>
        </w:tc>
        <w:tc>
          <w:tcPr>
            <w:tcW w:w="7746" w:type="dxa"/>
            <w:noWrap w:val="0"/>
            <w:vAlign w:val="center"/>
          </w:tcPr>
          <w:p w14:paraId="7F19003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  </w:t>
            </w:r>
            <w:r>
              <w:rPr>
                <w:rFonts w:hint="eastAsia" w:ascii="宋体" w:hAnsi="宋体" w:cs="宋体"/>
                <w:color w:val="auto"/>
                <w:sz w:val="24"/>
                <w:szCs w:val="24"/>
                <w:highlight w:val="none"/>
                <w:lang w:val="en-US" w:eastAsia="zh-CN"/>
              </w:rPr>
              <w:t>采购需求及要求</w:t>
            </w:r>
            <w:r>
              <w:rPr>
                <w:rFonts w:hint="eastAsia" w:ascii="宋体" w:hAnsi="宋体" w:cs="宋体"/>
                <w:color w:val="auto"/>
                <w:sz w:val="24"/>
                <w:szCs w:val="24"/>
                <w:highlight w:val="none"/>
              </w:rPr>
              <w:t>。</w:t>
            </w:r>
          </w:p>
        </w:tc>
      </w:tr>
      <w:tr w14:paraId="01B82B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14942CB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0A03020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第8.2（3）项</w:t>
            </w:r>
          </w:p>
        </w:tc>
        <w:tc>
          <w:tcPr>
            <w:tcW w:w="1416" w:type="dxa"/>
            <w:noWrap w:val="0"/>
            <w:vAlign w:val="center"/>
          </w:tcPr>
          <w:p w14:paraId="6F57FDA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货物质量缺陷</w:t>
            </w:r>
          </w:p>
          <w:p w14:paraId="0CBFBC0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响应时间</w:t>
            </w:r>
          </w:p>
        </w:tc>
        <w:tc>
          <w:tcPr>
            <w:tcW w:w="7746" w:type="dxa"/>
            <w:noWrap w:val="0"/>
            <w:vAlign w:val="center"/>
          </w:tcPr>
          <w:p w14:paraId="6320B07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1、质保期内的维修维护服务</w:t>
            </w:r>
          </w:p>
          <w:p w14:paraId="015EC148">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1.1质保期内设备运行发生故障或出现质量问题，</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接到采购人故障通知后，响应时间≤2小时；若电话指导无法排除故障，</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技术员应在24小时内到场进行检查、维修、排除故障并出具维修维护报告，若机件损坏，</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应免费更换损坏的零部件，修理费用由</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负责，其差旅费用（包含住宿、交通、生活补助等）由</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承担。保修期内因故障停机，按停机时间双倍顺延保修期。</w:t>
            </w:r>
          </w:p>
          <w:p w14:paraId="4762B10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 质保期内出现质量问题：指设备无法正常运行，或同一类故障累计发生3次，或设备故障在15日内无法修复等情况，</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应立即无条件更换相同品牌规格型号的新机，其质保期顺延。维修超过72小时，提供备用机。</w:t>
            </w:r>
          </w:p>
          <w:p w14:paraId="3DFAA6D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2、保修期满后的维修维护服务：</w:t>
            </w:r>
          </w:p>
          <w:p w14:paraId="3A8D94C9">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2.1保修期满后，提供终身维修、维护服务。</w:t>
            </w:r>
          </w:p>
          <w:p w14:paraId="61D1A6E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2.2保修期满后，如遇设备故障，</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应及时处理设备故障等质量问题，接到采购人故障通知，响应时间≤2小时；若电话指导无法排除故障，</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技术员应在48小时内到场进行检查、维修并排除故障，仅收取零配件费用，免收修理费及差旅费等费用。</w:t>
            </w:r>
          </w:p>
        </w:tc>
      </w:tr>
      <w:tr w14:paraId="6D7004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48C39B5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539BB2B6">
            <w:pPr>
              <w:pStyle w:val="86"/>
              <w:keepNext w:val="0"/>
              <w:keepLines w:val="0"/>
              <w:pageBreakBefore w:val="0"/>
              <w:widowControl w:val="0"/>
              <w:kinsoku/>
              <w:wordWrap w:val="0"/>
              <w:overflowPunct/>
              <w:topLinePunct/>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第11.1款</w:t>
            </w:r>
          </w:p>
        </w:tc>
        <w:tc>
          <w:tcPr>
            <w:tcW w:w="1416" w:type="dxa"/>
            <w:noWrap w:val="0"/>
            <w:vAlign w:val="center"/>
          </w:tcPr>
          <w:p w14:paraId="6CA6133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其他应当保密的信息</w:t>
            </w:r>
          </w:p>
        </w:tc>
        <w:tc>
          <w:tcPr>
            <w:tcW w:w="7746" w:type="dxa"/>
            <w:noWrap w:val="0"/>
            <w:vAlign w:val="center"/>
          </w:tcPr>
          <w:p w14:paraId="5186337F">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根据《</w:t>
            </w:r>
            <w:r>
              <w:rPr>
                <w:rFonts w:hint="eastAsia" w:ascii="宋体" w:hAnsi="宋体" w:cs="宋体"/>
                <w:color w:val="auto"/>
                <w:sz w:val="24"/>
                <w:szCs w:val="24"/>
                <w:highlight w:val="none"/>
                <w:lang w:eastAsia="zh-CN"/>
              </w:rPr>
              <w:t>中华人民共和国反不正当竞争法</w:t>
            </w:r>
            <w:r>
              <w:rPr>
                <w:rFonts w:hint="eastAsia" w:ascii="宋体" w:hAnsi="宋体" w:cs="宋体"/>
                <w:color w:val="auto"/>
                <w:sz w:val="24"/>
                <w:szCs w:val="24"/>
                <w:highlight w:val="none"/>
              </w:rPr>
              <w:t>》，商业秘密，是指不为公众所知悉、能为权利人带来经济利益、具有实用性并经权利人采取保密措施的技术信息和经营信息。</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的投标文件和响应性文件可能会涉及商业秘密，采购人、采购代理机构、评审专家在政府采购活动中知悉的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的商业秘密应当予以保密。泄露商业秘密将依法承担法律责任。</w:t>
            </w:r>
          </w:p>
        </w:tc>
      </w:tr>
      <w:tr w14:paraId="044A4D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156" w:type="dxa"/>
            <w:noWrap w:val="0"/>
            <w:vAlign w:val="center"/>
          </w:tcPr>
          <w:p w14:paraId="3817436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2DC6B69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第12.2款</w:t>
            </w:r>
          </w:p>
        </w:tc>
        <w:tc>
          <w:tcPr>
            <w:tcW w:w="1416" w:type="dxa"/>
            <w:noWrap w:val="0"/>
            <w:vAlign w:val="center"/>
          </w:tcPr>
          <w:p w14:paraId="12D43AE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合同价款支付时间</w:t>
            </w:r>
          </w:p>
        </w:tc>
        <w:tc>
          <w:tcPr>
            <w:tcW w:w="7746" w:type="dxa"/>
            <w:noWrap w:val="0"/>
            <w:vAlign w:val="center"/>
          </w:tcPr>
          <w:p w14:paraId="3758F5D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按先票后款原则，自货物交付验收合格之后收到符合甲方要求的发票60日内支付响应款项。</w:t>
            </w:r>
          </w:p>
        </w:tc>
      </w:tr>
      <w:tr w14:paraId="307190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156" w:type="dxa"/>
            <w:noWrap w:val="0"/>
            <w:vAlign w:val="center"/>
          </w:tcPr>
          <w:p w14:paraId="69EEDCC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1BD43AB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第13.2款</w:t>
            </w:r>
          </w:p>
        </w:tc>
        <w:tc>
          <w:tcPr>
            <w:tcW w:w="1416" w:type="dxa"/>
            <w:noWrap w:val="0"/>
            <w:vAlign w:val="center"/>
          </w:tcPr>
          <w:p w14:paraId="332E7A6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履约保证金不予退还的情形</w:t>
            </w:r>
          </w:p>
        </w:tc>
        <w:tc>
          <w:tcPr>
            <w:tcW w:w="7746" w:type="dxa"/>
            <w:noWrap w:val="0"/>
            <w:vAlign w:val="center"/>
          </w:tcPr>
          <w:p w14:paraId="58CE5B06">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一、采用招标采购方式不予退还保证金的情形1.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在提交投标文件截止时间之后撤销投标文件的；2.中标人无正当理由不与采购人订立合同，在签订合同时向采购人提出附加条件，或者不按照招标文件要求提交履约保证金的</w:t>
            </w:r>
            <w:r>
              <w:rPr>
                <w:rFonts w:hint="eastAsia" w:ascii="宋体" w:hAnsi="宋体" w:cs="宋体"/>
                <w:color w:val="auto"/>
                <w:sz w:val="24"/>
                <w:szCs w:val="24"/>
                <w:highlight w:val="none"/>
                <w:lang w:eastAsia="zh-CN"/>
              </w:rPr>
              <w:t>或者其他导致采购无法进行的。</w:t>
            </w:r>
          </w:p>
          <w:p w14:paraId="31ECCFA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二、非招标采购方式中不予退还保证金的情形1.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在提交响应文件截止时间后撤回响应文件的；2.</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在响应文件中提供虚假材料的；3.除因不可抗力或谈判文件、询价通知书认可的情形以外，成交</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不与采购人签订合同的；4.</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与采购人、其他</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或者采购代理机构恶意串通的；5.采购文件规定的其他情形。</w:t>
            </w:r>
          </w:p>
        </w:tc>
      </w:tr>
      <w:tr w14:paraId="4BBE08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353102D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616CBC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第13.3款</w:t>
            </w:r>
          </w:p>
        </w:tc>
        <w:tc>
          <w:tcPr>
            <w:tcW w:w="1416" w:type="dxa"/>
            <w:noWrap w:val="0"/>
            <w:vAlign w:val="center"/>
          </w:tcPr>
          <w:p w14:paraId="32EABA8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履约保证金退还时间及逾期退还的违约金</w:t>
            </w:r>
          </w:p>
        </w:tc>
        <w:tc>
          <w:tcPr>
            <w:tcW w:w="7746" w:type="dxa"/>
            <w:noWrap w:val="0"/>
            <w:vAlign w:val="center"/>
          </w:tcPr>
          <w:p w14:paraId="046C9C4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货物交付验收合格之后收到乙方退还履约保证金的申请之日起60日内退还履约保证金</w:t>
            </w:r>
            <w:r>
              <w:rPr>
                <w:rFonts w:hint="eastAsia" w:ascii="宋体" w:hAnsi="宋体" w:cs="宋体"/>
                <w:color w:val="auto"/>
                <w:sz w:val="24"/>
                <w:szCs w:val="24"/>
                <w:highlight w:val="none"/>
              </w:rPr>
              <w:t>。</w:t>
            </w:r>
          </w:p>
        </w:tc>
      </w:tr>
      <w:tr w14:paraId="776499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156" w:type="dxa"/>
            <w:noWrap w:val="0"/>
            <w:vAlign w:val="center"/>
          </w:tcPr>
          <w:p w14:paraId="1EC068B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0369F4BA">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第14.1（3）项</w:t>
            </w:r>
          </w:p>
        </w:tc>
        <w:tc>
          <w:tcPr>
            <w:tcW w:w="1416" w:type="dxa"/>
            <w:noWrap w:val="0"/>
            <w:vAlign w:val="center"/>
          </w:tcPr>
          <w:p w14:paraId="2783867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运行监督、维修期限</w:t>
            </w:r>
          </w:p>
        </w:tc>
        <w:tc>
          <w:tcPr>
            <w:tcW w:w="7746" w:type="dxa"/>
            <w:noWrap w:val="0"/>
            <w:vAlign w:val="center"/>
          </w:tcPr>
          <w:p w14:paraId="2222AA33">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详见 </w:t>
            </w:r>
            <w:r>
              <w:rPr>
                <w:rFonts w:hint="eastAsia" w:ascii="宋体" w:hAnsi="宋体" w:cs="宋体"/>
                <w:color w:val="auto"/>
                <w:sz w:val="24"/>
                <w:szCs w:val="24"/>
                <w:highlight w:val="none"/>
                <w:lang w:val="en-US" w:eastAsia="zh-CN"/>
              </w:rPr>
              <w:t>采购需求及要求</w:t>
            </w:r>
            <w:r>
              <w:rPr>
                <w:rFonts w:hint="eastAsia" w:ascii="宋体" w:hAnsi="宋体" w:cs="宋体"/>
                <w:color w:val="auto"/>
                <w:sz w:val="24"/>
                <w:szCs w:val="24"/>
                <w:highlight w:val="none"/>
              </w:rPr>
              <w:t>。</w:t>
            </w:r>
          </w:p>
        </w:tc>
      </w:tr>
      <w:tr w14:paraId="6963ED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156" w:type="dxa"/>
            <w:noWrap w:val="0"/>
            <w:vAlign w:val="center"/>
          </w:tcPr>
          <w:p w14:paraId="6AB3AB2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2A585D0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第14.1（5）项</w:t>
            </w:r>
          </w:p>
        </w:tc>
        <w:tc>
          <w:tcPr>
            <w:tcW w:w="1416" w:type="dxa"/>
            <w:noWrap w:val="0"/>
            <w:vAlign w:val="center"/>
          </w:tcPr>
          <w:p w14:paraId="33F7F04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货物回收的约定</w:t>
            </w:r>
          </w:p>
        </w:tc>
        <w:tc>
          <w:tcPr>
            <w:tcW w:w="7746" w:type="dxa"/>
            <w:noWrap w:val="0"/>
            <w:vAlign w:val="center"/>
          </w:tcPr>
          <w:p w14:paraId="07023C8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r>
      <w:tr w14:paraId="1D319D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512458F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2BE33B1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第14.1（6）项</w:t>
            </w:r>
          </w:p>
        </w:tc>
        <w:tc>
          <w:tcPr>
            <w:tcW w:w="1416" w:type="dxa"/>
            <w:noWrap w:val="0"/>
            <w:vAlign w:val="center"/>
          </w:tcPr>
          <w:p w14:paraId="6DBC10E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乙方提供的其他服务</w:t>
            </w:r>
          </w:p>
        </w:tc>
        <w:tc>
          <w:tcPr>
            <w:tcW w:w="7746" w:type="dxa"/>
            <w:noWrap w:val="0"/>
            <w:vAlign w:val="center"/>
          </w:tcPr>
          <w:p w14:paraId="36A4E33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 </w:t>
            </w:r>
            <w:r>
              <w:rPr>
                <w:rFonts w:hint="eastAsia" w:ascii="宋体" w:hAnsi="宋体" w:cs="宋体"/>
                <w:color w:val="auto"/>
                <w:sz w:val="24"/>
                <w:szCs w:val="24"/>
                <w:highlight w:val="none"/>
                <w:lang w:val="en-US" w:eastAsia="zh-CN"/>
              </w:rPr>
              <w:t>采购需求及要求</w:t>
            </w:r>
            <w:r>
              <w:rPr>
                <w:rFonts w:hint="eastAsia" w:ascii="宋体" w:hAnsi="宋体" w:cs="宋体"/>
                <w:color w:val="auto"/>
                <w:sz w:val="24"/>
                <w:szCs w:val="24"/>
                <w:highlight w:val="none"/>
              </w:rPr>
              <w:t>。</w:t>
            </w:r>
          </w:p>
        </w:tc>
      </w:tr>
      <w:tr w14:paraId="73AE7B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35EFE26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195FEFA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第15.1款</w:t>
            </w:r>
          </w:p>
        </w:tc>
        <w:tc>
          <w:tcPr>
            <w:tcW w:w="1416" w:type="dxa"/>
            <w:noWrap w:val="0"/>
            <w:vAlign w:val="center"/>
          </w:tcPr>
          <w:p w14:paraId="7902F30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修理、重作、更换相关具体规定</w:t>
            </w:r>
          </w:p>
        </w:tc>
        <w:tc>
          <w:tcPr>
            <w:tcW w:w="7746" w:type="dxa"/>
            <w:noWrap w:val="0"/>
            <w:vAlign w:val="center"/>
          </w:tcPr>
          <w:p w14:paraId="3EEEF04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根据《中华人民共和国产品质量法》《中华人民共和国消费者权益保护法》及有关规定执行。</w:t>
            </w:r>
          </w:p>
        </w:tc>
      </w:tr>
      <w:tr w14:paraId="2FC742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36" w:hRule="atLeast"/>
          <w:jc w:val="center"/>
        </w:trPr>
        <w:tc>
          <w:tcPr>
            <w:tcW w:w="1156" w:type="dxa"/>
            <w:noWrap w:val="0"/>
            <w:vAlign w:val="center"/>
          </w:tcPr>
          <w:p w14:paraId="0BBE483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6E97A9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第15.2（2）项</w:t>
            </w:r>
          </w:p>
        </w:tc>
        <w:tc>
          <w:tcPr>
            <w:tcW w:w="1416" w:type="dxa"/>
            <w:noWrap w:val="0"/>
            <w:vAlign w:val="center"/>
          </w:tcPr>
          <w:p w14:paraId="40694E2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迟延交货赔偿费</w:t>
            </w:r>
          </w:p>
        </w:tc>
        <w:tc>
          <w:tcPr>
            <w:tcW w:w="7746" w:type="dxa"/>
            <w:noWrap w:val="0"/>
            <w:vAlign w:val="center"/>
          </w:tcPr>
          <w:p w14:paraId="4BE70CC6">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（一）每延误一周</w:t>
            </w:r>
            <w:r>
              <w:rPr>
                <w:rFonts w:hint="eastAsia" w:ascii="宋体" w:hAnsi="宋体" w:cs="宋体"/>
                <w:color w:val="auto"/>
                <w:sz w:val="24"/>
                <w:szCs w:val="24"/>
                <w:highlight w:val="none"/>
                <w:lang w:eastAsia="zh-CN"/>
              </w:rPr>
              <w:t>的、每周</w:t>
            </w:r>
            <w:r>
              <w:rPr>
                <w:rFonts w:hint="eastAsia" w:ascii="宋体" w:hAnsi="宋体" w:cs="宋体"/>
                <w:color w:val="auto"/>
                <w:sz w:val="24"/>
                <w:szCs w:val="24"/>
                <w:highlight w:val="none"/>
              </w:rPr>
              <w:t>的赔偿费按迟交货物交货价或未提供服务的服务费用的</w:t>
            </w:r>
            <w:r>
              <w:rPr>
                <w:rFonts w:hint="eastAsia" w:ascii="宋体" w:hAnsi="宋体" w:cs="宋体"/>
                <w:i/>
                <w:iCs/>
                <w:color w:val="auto"/>
                <w:sz w:val="24"/>
                <w:szCs w:val="24"/>
                <w:highlight w:val="none"/>
              </w:rPr>
              <w:t>0.5%</w:t>
            </w:r>
            <w:r>
              <w:rPr>
                <w:rFonts w:hint="eastAsia" w:ascii="宋体" w:hAnsi="宋体" w:cs="宋体"/>
                <w:color w:val="auto"/>
                <w:sz w:val="24"/>
                <w:szCs w:val="24"/>
                <w:highlight w:val="none"/>
              </w:rPr>
              <w:t>计收，直至交货或提供服务为止。如果因供货方原因导致不能全部或部分交货，应依照合同约定的违约金比例乘以不能交货的部分货款计算违约金。若违约金不足以偿付采购方所受到的实际损失，可以修改违约金，使实际受到的损失得到合理的补偿。</w:t>
            </w:r>
          </w:p>
          <w:p w14:paraId="51D5B7E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二）供货方不能如期交货的行为又可以进一步区分为逾期交货和提前交货两种情况。只要发生供货方逾期交货的情况，即不论合同内规定由它将设备送到指定地点交接，还是采购方去自提，均要按照合同约定依据逾期交货部分货款总价计算违约金。发生逾期交货事件后，供货方还应在发货前与采购方就发货的有关事宜进行协商。采购方仍需要时，可继续发货照数补齐，并承担逾期付货责任；如果采购方认为已经不再需要，有权在接到发货商通知后的15天内，通知供货方办理解除合同手续。</w:t>
            </w:r>
            <w:r>
              <w:rPr>
                <w:rFonts w:hint="eastAsia" w:ascii="宋体" w:hAnsi="宋体" w:cs="宋体"/>
                <w:b w:val="0"/>
                <w:bCs w:val="0"/>
                <w:color w:val="auto"/>
                <w:sz w:val="24"/>
                <w:szCs w:val="24"/>
                <w:highlight w:val="none"/>
                <w:lang w:eastAsia="zh-CN"/>
              </w:rPr>
              <w:t>甲方可书面通知乙方解除合同，甲方不支付乙方剩余款项，乙方</w:t>
            </w:r>
            <w:r>
              <w:rPr>
                <w:rFonts w:hint="eastAsia" w:ascii="宋体" w:hAnsi="宋体" w:cs="宋体"/>
                <w:b w:val="0"/>
                <w:bCs w:val="0"/>
                <w:color w:val="auto"/>
                <w:sz w:val="24"/>
                <w:szCs w:val="24"/>
                <w:highlight w:val="none"/>
              </w:rPr>
              <w:t>向甲方偿付相当于</w:t>
            </w:r>
            <w:r>
              <w:rPr>
                <w:rFonts w:hint="eastAsia" w:ascii="宋体" w:hAnsi="宋体" w:cs="宋体"/>
                <w:b w:val="0"/>
                <w:bCs w:val="0"/>
                <w:i w:val="0"/>
                <w:iCs w:val="0"/>
                <w:color w:val="auto"/>
                <w:sz w:val="24"/>
                <w:szCs w:val="24"/>
                <w:highlight w:val="none"/>
              </w:rPr>
              <w:t>货款20%的违约金</w:t>
            </w:r>
            <w:r>
              <w:rPr>
                <w:rFonts w:hint="eastAsia" w:ascii="宋体" w:hAnsi="宋体" w:cs="宋体"/>
                <w:b w:val="0"/>
                <w:bCs w:val="0"/>
                <w:color w:val="auto"/>
                <w:sz w:val="24"/>
                <w:szCs w:val="24"/>
                <w:highlight w:val="none"/>
              </w:rPr>
              <w:t>及退回甲方已经支付的所有款项，</w:t>
            </w:r>
            <w:r>
              <w:rPr>
                <w:rFonts w:hint="eastAsia" w:ascii="宋体" w:hAnsi="宋体" w:cs="宋体"/>
                <w:b w:val="0"/>
                <w:bCs w:val="0"/>
                <w:color w:val="auto"/>
                <w:sz w:val="24"/>
                <w:szCs w:val="24"/>
                <w:highlight w:val="none"/>
                <w:lang w:eastAsia="zh-CN"/>
              </w:rPr>
              <w:t>并由乙方赔偿甲方受到的损失</w:t>
            </w:r>
            <w:r>
              <w:rPr>
                <w:rFonts w:hint="eastAsia" w:ascii="宋体" w:hAnsi="宋体" w:cs="宋体"/>
                <w:b w:val="0"/>
                <w:bCs w:val="0"/>
                <w:color w:val="auto"/>
                <w:sz w:val="24"/>
                <w:szCs w:val="24"/>
                <w:highlight w:val="none"/>
              </w:rPr>
              <w:t>。</w:t>
            </w:r>
          </w:p>
        </w:tc>
      </w:tr>
      <w:tr w14:paraId="0DE836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56" w:type="dxa"/>
            <w:noWrap w:val="0"/>
            <w:vAlign w:val="center"/>
          </w:tcPr>
          <w:p w14:paraId="374F9B0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209B339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第15.3款</w:t>
            </w:r>
          </w:p>
        </w:tc>
        <w:tc>
          <w:tcPr>
            <w:tcW w:w="1416" w:type="dxa"/>
            <w:noWrap w:val="0"/>
            <w:vAlign w:val="center"/>
          </w:tcPr>
          <w:p w14:paraId="5E741DF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逾期付款利息</w:t>
            </w:r>
          </w:p>
        </w:tc>
        <w:tc>
          <w:tcPr>
            <w:tcW w:w="7746" w:type="dxa"/>
            <w:noWrap w:val="0"/>
            <w:vAlign w:val="center"/>
          </w:tcPr>
          <w:p w14:paraId="650DD6B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val="en-US" w:eastAsia="zh-CN"/>
              </w:rPr>
              <w:t>按照合同订立时1年期贷款市场支付逾期付款履约金。</w:t>
            </w:r>
          </w:p>
        </w:tc>
      </w:tr>
      <w:tr w14:paraId="43F3BA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156" w:type="dxa"/>
            <w:tcBorders>
              <w:bottom w:val="single" w:color="auto" w:sz="2" w:space="0"/>
              <w:right w:val="single" w:color="auto" w:sz="2" w:space="0"/>
            </w:tcBorders>
            <w:noWrap w:val="0"/>
            <w:vAlign w:val="center"/>
          </w:tcPr>
          <w:p w14:paraId="404CDF8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DDD4DF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第15.4款</w:t>
            </w:r>
          </w:p>
        </w:tc>
        <w:tc>
          <w:tcPr>
            <w:tcW w:w="1416" w:type="dxa"/>
            <w:tcBorders>
              <w:left w:val="single" w:color="auto" w:sz="2" w:space="0"/>
              <w:bottom w:val="single" w:color="auto" w:sz="2" w:space="0"/>
              <w:right w:val="single" w:color="auto" w:sz="2" w:space="0"/>
            </w:tcBorders>
            <w:noWrap w:val="0"/>
            <w:vAlign w:val="center"/>
          </w:tcPr>
          <w:p w14:paraId="20460C7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其他违约责任</w:t>
            </w:r>
          </w:p>
        </w:tc>
        <w:tc>
          <w:tcPr>
            <w:tcW w:w="7746" w:type="dxa"/>
            <w:tcBorders>
              <w:left w:val="single" w:color="auto" w:sz="2" w:space="0"/>
              <w:bottom w:val="single" w:color="auto" w:sz="2" w:space="0"/>
            </w:tcBorders>
            <w:noWrap w:val="0"/>
            <w:vAlign w:val="center"/>
          </w:tcPr>
          <w:p w14:paraId="5C94E4D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由于乙方产品自身的质量问题，造成甲方的损失，如患者、陪护人员及其他人员的人身或财产损害的，由乙方承担赔偿责任。若甲方因此承担了责任的，有权向乙方追偿。同时，乙方还应当赔偿甲方受到的损失以及维护自身权益而产生的支出（如：</w:t>
            </w:r>
            <w:r>
              <w:rPr>
                <w:rFonts w:hint="eastAsia" w:ascii="宋体" w:hAnsi="宋体" w:cs="宋体"/>
                <w:color w:val="auto"/>
                <w:sz w:val="24"/>
                <w:szCs w:val="24"/>
                <w:highlight w:val="none"/>
                <w:lang w:val="en-US" w:eastAsia="zh-CN"/>
              </w:rPr>
              <w:t>违约金、诉讼费、保全费、律师费、保函费、鉴定费、公告费</w:t>
            </w:r>
            <w:r>
              <w:rPr>
                <w:rFonts w:hint="eastAsia" w:ascii="宋体" w:hAnsi="宋体" w:cs="宋体"/>
                <w:color w:val="auto"/>
                <w:sz w:val="24"/>
                <w:szCs w:val="24"/>
                <w:highlight w:val="none"/>
              </w:rPr>
              <w:t>等）。</w:t>
            </w:r>
          </w:p>
        </w:tc>
      </w:tr>
      <w:tr w14:paraId="1F2BBC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7" w:hRule="atLeast"/>
          <w:jc w:val="center"/>
        </w:trPr>
        <w:tc>
          <w:tcPr>
            <w:tcW w:w="1156" w:type="dxa"/>
            <w:tcBorders>
              <w:top w:val="single" w:color="auto" w:sz="2" w:space="0"/>
              <w:right w:val="single" w:color="auto" w:sz="2" w:space="0"/>
            </w:tcBorders>
            <w:noWrap w:val="0"/>
            <w:vAlign w:val="center"/>
          </w:tcPr>
          <w:p w14:paraId="1AA208C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4057C21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第19.2款</w:t>
            </w:r>
          </w:p>
        </w:tc>
        <w:tc>
          <w:tcPr>
            <w:tcW w:w="1416" w:type="dxa"/>
            <w:tcBorders>
              <w:top w:val="single" w:color="auto" w:sz="2" w:space="0"/>
              <w:left w:val="single" w:color="auto" w:sz="2" w:space="0"/>
              <w:right w:val="single" w:color="auto" w:sz="2" w:space="0"/>
            </w:tcBorders>
            <w:noWrap w:val="0"/>
            <w:vAlign w:val="center"/>
          </w:tcPr>
          <w:p w14:paraId="1EFC50C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解决争议的方法</w:t>
            </w:r>
          </w:p>
        </w:tc>
        <w:tc>
          <w:tcPr>
            <w:tcW w:w="7746" w:type="dxa"/>
            <w:tcBorders>
              <w:top w:val="single" w:color="auto" w:sz="2" w:space="0"/>
              <w:left w:val="single" w:color="auto" w:sz="2" w:space="0"/>
            </w:tcBorders>
            <w:noWrap w:val="0"/>
            <w:vAlign w:val="center"/>
          </w:tcPr>
          <w:p w14:paraId="5EFE02B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t>因本合同及合同有关事项发生的争议，按下列第</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lang w:val="en-US" w:eastAsia="zh-CN"/>
              </w:rPr>
              <w:t>2</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种方式解决：</w:t>
            </w:r>
          </w:p>
          <w:p w14:paraId="6BFEBCF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t>（1）向</w:t>
            </w:r>
            <w:r>
              <w:rPr>
                <w:rFonts w:hint="eastAsia" w:ascii="宋体" w:hAnsi="宋体" w:cs="宋体"/>
                <w:iCs/>
                <w:color w:val="auto"/>
                <w:sz w:val="24"/>
                <w:szCs w:val="24"/>
                <w:highlight w:val="none"/>
                <w:u w:val="single"/>
              </w:rPr>
              <w:t xml:space="preserve"> 甲方所在地 </w:t>
            </w:r>
            <w:r>
              <w:rPr>
                <w:rFonts w:hint="eastAsia" w:ascii="宋体" w:hAnsi="宋体" w:cs="宋体"/>
                <w:iCs/>
                <w:color w:val="auto"/>
                <w:sz w:val="24"/>
                <w:szCs w:val="24"/>
                <w:highlight w:val="none"/>
              </w:rPr>
              <w:t>仲裁委员会申请仲裁，仲裁地点为</w:t>
            </w:r>
            <w:r>
              <w:rPr>
                <w:rFonts w:hint="eastAsia" w:ascii="宋体" w:hAnsi="宋体" w:cs="宋体"/>
                <w:iCs/>
                <w:color w:val="auto"/>
                <w:sz w:val="24"/>
                <w:szCs w:val="24"/>
                <w:highlight w:val="none"/>
                <w:u w:val="single"/>
              </w:rPr>
              <w:t xml:space="preserve"> 云南省</w:t>
            </w:r>
            <w:r>
              <w:rPr>
                <w:rFonts w:hint="eastAsia" w:ascii="宋体" w:hAnsi="宋体" w:cs="宋体"/>
                <w:iCs/>
                <w:color w:val="auto"/>
                <w:sz w:val="24"/>
                <w:szCs w:val="24"/>
                <w:highlight w:val="none"/>
                <w:u w:val="single"/>
                <w:lang w:val="en-US" w:eastAsia="zh-CN"/>
              </w:rPr>
              <w:t>南华县</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w:t>
            </w:r>
          </w:p>
          <w:p w14:paraId="13E7FF0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u w:val="single"/>
              </w:rPr>
            </w:pPr>
            <w:r>
              <w:rPr>
                <w:rFonts w:hint="eastAsia" w:ascii="宋体" w:hAnsi="宋体" w:cs="宋体"/>
                <w:iCs/>
                <w:color w:val="auto"/>
                <w:sz w:val="24"/>
                <w:szCs w:val="24"/>
                <w:highlight w:val="none"/>
              </w:rPr>
              <w:t>（2）向</w:t>
            </w:r>
            <w:r>
              <w:rPr>
                <w:rFonts w:hint="eastAsia" w:ascii="宋体" w:hAnsi="宋体" w:cs="宋体"/>
                <w:iCs/>
                <w:color w:val="auto"/>
                <w:sz w:val="24"/>
                <w:szCs w:val="24"/>
                <w:highlight w:val="none"/>
                <w:u w:val="single"/>
              </w:rPr>
              <w:t xml:space="preserve"> 甲方所在地 </w:t>
            </w:r>
            <w:r>
              <w:rPr>
                <w:rFonts w:hint="eastAsia" w:ascii="宋体" w:hAnsi="宋体" w:cs="宋体"/>
                <w:iCs/>
                <w:color w:val="auto"/>
                <w:sz w:val="24"/>
                <w:szCs w:val="24"/>
                <w:highlight w:val="none"/>
                <w:u w:val="none"/>
                <w:lang w:eastAsia="zh-CN"/>
              </w:rPr>
              <w:t>有管辖权的</w:t>
            </w:r>
            <w:r>
              <w:rPr>
                <w:rFonts w:hint="eastAsia" w:ascii="宋体" w:hAnsi="宋体" w:cs="宋体"/>
                <w:iCs/>
                <w:color w:val="auto"/>
                <w:sz w:val="24"/>
                <w:szCs w:val="24"/>
                <w:highlight w:val="none"/>
              </w:rPr>
              <w:t>人民法院起诉。</w:t>
            </w:r>
          </w:p>
        </w:tc>
      </w:tr>
      <w:tr w14:paraId="327D6B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3" w:hRule="atLeast"/>
          <w:jc w:val="center"/>
        </w:trPr>
        <w:tc>
          <w:tcPr>
            <w:tcW w:w="1156" w:type="dxa"/>
            <w:noWrap w:val="0"/>
            <w:vAlign w:val="center"/>
          </w:tcPr>
          <w:p w14:paraId="7EFEB7F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5D7F6CB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第23.1</w:t>
            </w:r>
          </w:p>
        </w:tc>
        <w:tc>
          <w:tcPr>
            <w:tcW w:w="1416" w:type="dxa"/>
            <w:noWrap w:val="0"/>
            <w:vAlign w:val="center"/>
          </w:tcPr>
          <w:p w14:paraId="57B1898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其他专用条款</w:t>
            </w:r>
          </w:p>
        </w:tc>
        <w:tc>
          <w:tcPr>
            <w:tcW w:w="7746" w:type="dxa"/>
            <w:noWrap w:val="0"/>
            <w:vAlign w:val="center"/>
          </w:tcPr>
          <w:p w14:paraId="10DA6E6F">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w:t>
            </w:r>
          </w:p>
        </w:tc>
      </w:tr>
    </w:tbl>
    <w:p w14:paraId="7A469AB0">
      <w:pPr>
        <w:rPr>
          <w:rFonts w:hint="eastAsia"/>
          <w:color w:val="auto"/>
          <w:highlight w:val="none"/>
        </w:rPr>
      </w:pPr>
    </w:p>
    <w:p w14:paraId="245D8F66">
      <w:pPr>
        <w:adjustRightInd w:val="0"/>
        <w:snapToGrid w:val="0"/>
        <w:spacing w:line="360" w:lineRule="auto"/>
        <w:rPr>
          <w:rFonts w:hint="eastAsia" w:ascii="宋体" w:hAnsi="宋体" w:cs="宋体"/>
          <w:b/>
          <w:bCs/>
          <w:color w:val="auto"/>
          <w:sz w:val="24"/>
          <w:szCs w:val="24"/>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28C551AC">
      <w:pPr>
        <w:keepNext w:val="0"/>
        <w:keepLines w:val="0"/>
        <w:pageBreakBefore w:val="0"/>
        <w:widowControl w:val="0"/>
        <w:kinsoku/>
        <w:wordWrap w:val="0"/>
        <w:overflowPunct/>
        <w:topLinePunct/>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w:t>
      </w:r>
    </w:p>
    <w:p w14:paraId="78BD98A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bCs/>
          <w:color w:val="auto"/>
          <w:sz w:val="32"/>
          <w:szCs w:val="32"/>
        </w:rPr>
      </w:pPr>
      <w:r>
        <w:rPr>
          <w:rFonts w:hint="eastAsia" w:ascii="宋体" w:hAnsi="宋体" w:eastAsia="宋体" w:cs="宋体"/>
          <w:b/>
          <w:bCs/>
          <w:color w:val="auto"/>
          <w:sz w:val="32"/>
          <w:szCs w:val="32"/>
        </w:rPr>
        <w:t>保密协议</w:t>
      </w:r>
    </w:p>
    <w:p w14:paraId="4F2A9AB5">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cs="宋体"/>
          <w:color w:val="auto"/>
          <w:sz w:val="24"/>
          <w:szCs w:val="24"/>
          <w:u w:val="single"/>
          <w:lang w:val="en-US" w:eastAsia="zh-CN"/>
        </w:rPr>
      </w:pPr>
      <w:r>
        <w:rPr>
          <w:rFonts w:hint="eastAsia" w:ascii="宋体" w:hAnsi="宋体" w:eastAsia="宋体" w:cs="宋体"/>
          <w:color w:val="auto"/>
          <w:sz w:val="24"/>
          <w:szCs w:val="24"/>
        </w:rPr>
        <w:t>甲方</w:t>
      </w:r>
      <w:r>
        <w:rPr>
          <w:rFonts w:hint="eastAsia" w:ascii="宋体" w:hAnsi="宋体" w:eastAsia="宋体" w:cs="宋体"/>
          <w:color w:val="auto"/>
          <w:sz w:val="24"/>
          <w:szCs w:val="24"/>
          <w:lang w:eastAsia="zh-CN"/>
        </w:rPr>
        <w:t>：</w:t>
      </w:r>
      <w:r>
        <w:rPr>
          <w:rFonts w:hint="eastAsia" w:ascii="宋体" w:hAnsi="宋体" w:cs="宋体"/>
          <w:color w:val="auto"/>
          <w:sz w:val="24"/>
          <w:szCs w:val="24"/>
          <w:u w:val="single"/>
          <w:lang w:val="en-US" w:eastAsia="zh-CN"/>
        </w:rPr>
        <w:t>南华县人民医院</w:t>
      </w:r>
    </w:p>
    <w:p w14:paraId="30F75748">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乙方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p w14:paraId="28E00A4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因乙方为甲方提供服务和履行职务，已经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或将要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知悉甲方的工作秘密。为了明确乙方的保密义务，有效保护甲方的工作秘密，防止该工作秘密被公开披露或以任何形式泄漏，根据《中华人民共和国民法典</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中华人民共和国国家安全法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中华人民共和国知识产权法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中华人民共和国保守国家秘密法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中华人民共和国反不正当竞争法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中华人民共和国劳动合同法》及国务院有关部委和云南省的相关规定，甲乙双方本着平等、自愿、公平和诚实信用的原则签订本保密协议。</w:t>
      </w:r>
    </w:p>
    <w:p w14:paraId="7E8C252E">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一、工作秘密</w:t>
      </w:r>
    </w:p>
    <w:p w14:paraId="76C704D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1.本协议所称工作秘密包括但不限于</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甲方信息系统中的用户数据、业务数据、网络拓扑、设备配置、信息化项目、人力资源及其他技术信息的各类文档。乙方对此工作秘密承担保密义务；未经甲方同意不得对外转让或泄漏任何内容。双方确认，甲方已对上述工作秘密采取了合理的保密措施。乙方有责任对本协议的内容进行保密。</w:t>
      </w:r>
    </w:p>
    <w:p w14:paraId="39117730">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2.甲方依照法律规定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如在缔约过程中知悉其他相对人的工作秘密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和在有关协议的约定（如技术合同）中对外承担保密义务的事项，也属本保密协议所称的工作秘密。</w:t>
      </w:r>
    </w:p>
    <w:p w14:paraId="1161BFB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甲方为完成项目提供的任何其他信息资料并且在提供时未说明是公开信息；乙方应当视为保密的口头和书面信息，而不论该等信息是否被指定为保密的：未经甲方书面许可乙方无权单方面对第三方公开的信息均属本保密协议所称的工作秘密。</w:t>
      </w:r>
    </w:p>
    <w:p w14:paraId="3E9CAD9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4.在乙方履行项目过程中，某一信息的泄露会造成下列后果之一的，也属于甲方秘密</w:t>
      </w:r>
      <w:r>
        <w:rPr>
          <w:rFonts w:hint="eastAsia" w:ascii="宋体" w:hAnsi="宋体" w:eastAsia="宋体" w:cs="宋体"/>
          <w:color w:val="auto"/>
          <w:sz w:val="24"/>
          <w:szCs w:val="24"/>
          <w:lang w:eastAsia="zh-CN"/>
        </w:rPr>
        <w:t>：</w:t>
      </w:r>
    </w:p>
    <w:p w14:paraId="7102548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4.1使甲方利益受到损害的事项；</w:t>
      </w:r>
    </w:p>
    <w:p w14:paraId="061397B1">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4.2影响甲方对外交流顺利进行的事项；</w:t>
      </w:r>
    </w:p>
    <w:p w14:paraId="55DFCA66">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4.3影响甲方对外承担保密义务的事项。</w:t>
      </w:r>
    </w:p>
    <w:p w14:paraId="1642EE0B">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二、保密义务人</w:t>
      </w:r>
    </w:p>
    <w:p w14:paraId="10B45A4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乙方为本协议所称的保密义务人，包括但不限于乙方雇员、代理人、顾问等。</w:t>
      </w:r>
    </w:p>
    <w:p w14:paraId="7308A2CB">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三、保密义务人的保密义务</w:t>
      </w:r>
    </w:p>
    <w:p w14:paraId="74E4871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1.乙方应保证保密义务人对甲方工作秘密严格保守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保证甲方工作秘密不被披露或使用，无论保密义务人有无过错，无论意外或过失。即使这些信息甚至可能是全部地由保密义务人本人因工作而构思或取得的。</w:t>
      </w:r>
    </w:p>
    <w:p w14:paraId="6D5AF07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2.在服务关系存续期间，乙方保证保密义务人未经授权，不得以竞争为目的</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出于私利</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为第三人谋利</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为故意加害于甲方，擅自披露、使用工作秘密、制造再现工作秘密的器材、取走与工作秘密有关的物件；不得刺探与本职工作或本身业务无关的工作秘密；不得直接或间接地向乙方内部、外部的无关人员泄露；不得向不承担保密义务的任何第三人披露甲方的工作秘密；不得允许（出借、</w:t>
      </w:r>
      <w:r>
        <w:rPr>
          <w:rFonts w:hint="eastAsia" w:ascii="宋体" w:hAnsi="宋体" w:eastAsia="宋体" w:cs="宋体"/>
          <w:color w:val="auto"/>
          <w:sz w:val="24"/>
          <w:szCs w:val="24"/>
          <w:lang w:eastAsia="zh-CN"/>
        </w:rPr>
        <w:t>赠予</w:t>
      </w:r>
      <w:r>
        <w:rPr>
          <w:rFonts w:hint="eastAsia" w:ascii="宋体" w:hAnsi="宋体" w:eastAsia="宋体" w:cs="宋体"/>
          <w:color w:val="auto"/>
          <w:sz w:val="24"/>
          <w:szCs w:val="24"/>
        </w:rPr>
        <w:t>、出租、转让等处分甲方工作秘密的行为皆属于“允许”）或协助不承担保密义务的任何第三人使用甲方的工作秘密；不得复制或公开包含甲方工作秘密的文件或文件副本；对因工作所保管、接触的有关甲方的文件应妥善对待，未经许可不得超出工作范围使用。</w:t>
      </w:r>
    </w:p>
    <w:p w14:paraId="057315C9">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3.如果发现工作秘密被泄露或者自己过失泄露工作秘密，乙方应当采取有效措施防止泄密进一步扩大，并及时向甲方报告。</w:t>
      </w:r>
    </w:p>
    <w:p w14:paraId="4FD3444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4.服务关系结束后，乙方应将与工作有关的技术资料、程序源代码等交还甲方。未经甲方书面授权，乙方永久不得擅自披露甲方的工作秘密。</w:t>
      </w:r>
    </w:p>
    <w:p w14:paraId="7503A08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5.乙方保证所有有机会接触到甲方保密信息的参与成员，受不低于本合同要求的保密协议要求，且协议的保密期限为长期，除非甲方书面明确信息为可公开的信息外。</w:t>
      </w:r>
    </w:p>
    <w:p w14:paraId="3DAD76D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6.乙方人员是否在职、劳动合同是否履行完毕，均不影响其保密义务的承担。</w:t>
      </w:r>
    </w:p>
    <w:p w14:paraId="3B8C0EF3">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四、保密义务的终止</w:t>
      </w:r>
    </w:p>
    <w:p w14:paraId="57580D8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1.甲方授权同意披露或使用工作秘密。</w:t>
      </w:r>
    </w:p>
    <w:p w14:paraId="5EFC348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2.有关的信息、技术等已进入公共领域。</w:t>
      </w:r>
    </w:p>
    <w:p w14:paraId="65FFD845">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五、违约责任</w:t>
      </w:r>
    </w:p>
    <w:p w14:paraId="7FBF4C7D">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乙方违反本协议，应按主合同金额的20%向甲方支付违约金：违约金不足以弥补甲方损失的，由乙方另行进行赔偿，甲方损失范围包括但不限于：甲方实际经济损失、律师费、调查费、采取补</w:t>
      </w:r>
      <w:r>
        <w:rPr>
          <w:rFonts w:hint="eastAsia" w:ascii="宋体" w:hAnsi="宋体" w:eastAsia="宋体" w:cs="宋体"/>
          <w:color w:val="auto"/>
          <w:sz w:val="24"/>
          <w:szCs w:val="24"/>
          <w:lang w:eastAsia="zh-CN"/>
        </w:rPr>
        <w:t>救</w:t>
      </w:r>
      <w:r>
        <w:rPr>
          <w:rFonts w:hint="eastAsia" w:ascii="宋体" w:hAnsi="宋体" w:eastAsia="宋体" w:cs="宋体"/>
          <w:color w:val="auto"/>
          <w:sz w:val="24"/>
          <w:szCs w:val="24"/>
        </w:rPr>
        <w:t>措施所引起的所有费用和损失、乙方及其泄密对象因违约行为的获益等。</w:t>
      </w:r>
    </w:p>
    <w:p w14:paraId="11CF7C76">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六、争议的解决方法</w:t>
      </w:r>
    </w:p>
    <w:p w14:paraId="3E537FB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因执行本协议而发生纠纷的，可以由双方协商解决或共同委托双方信任的第三方调解。协商、调解不成，或者一方不愿意协商、调解的，按照主合同约定的争议处理方式处理。</w:t>
      </w:r>
    </w:p>
    <w:p w14:paraId="3E1F17B0">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七、双方确认</w:t>
      </w:r>
    </w:p>
    <w:p w14:paraId="7910A15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1.在签署本协议前，双方已经详细审阅了协议的内容，并完全了解协议各条款的法律含义。</w:t>
      </w:r>
    </w:p>
    <w:p w14:paraId="046DCCA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2.双方在本协议履行过程中相互发出或者提供的所有通知、文件、文书、资料等，均以本协议所列明的地址送达。一方如果迁址或者变更电话，应当及时通知对方，否则自行承担相应后果。</w:t>
      </w:r>
    </w:p>
    <w:p w14:paraId="3BC66CF7">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八、协议的效力和变更</w:t>
      </w:r>
    </w:p>
    <w:p w14:paraId="0482513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1.本协议自双方签字并加盖公章后生效</w:t>
      </w:r>
    </w:p>
    <w:p w14:paraId="5F4132AD">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2.本协议的任何修改必须经过双方的书面同意。</w:t>
      </w:r>
    </w:p>
    <w:p w14:paraId="243C26D0">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3.本协议为主合同不可缺少之部分，与主合同具有同等法律效力。</w:t>
      </w:r>
    </w:p>
    <w:p w14:paraId="7DDD2191">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九、本协议一式叁份，其中甲方执贰份，乙方执壹份，具有同等法律效力。</w:t>
      </w:r>
    </w:p>
    <w:p w14:paraId="1E7D0C1F">
      <w:pPr>
        <w:pStyle w:val="3"/>
        <w:rPr>
          <w:rFonts w:hint="eastAsia" w:ascii="宋体" w:hAnsi="宋体" w:eastAsia="宋体" w:cs="宋体"/>
          <w:color w:val="auto"/>
          <w:sz w:val="24"/>
          <w:szCs w:val="24"/>
        </w:rPr>
      </w:pPr>
    </w:p>
    <w:p w14:paraId="4368C4F3">
      <w:pPr>
        <w:rPr>
          <w:rFonts w:hint="eastAsia" w:ascii="宋体" w:hAnsi="宋体" w:eastAsia="宋体" w:cs="宋体"/>
          <w:color w:val="auto"/>
          <w:sz w:val="24"/>
          <w:szCs w:val="24"/>
        </w:rPr>
      </w:pPr>
    </w:p>
    <w:p w14:paraId="6C339914">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甲方：</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1FECBB8C">
      <w:pPr>
        <w:wordWrap w:val="0"/>
        <w:topLinePunct/>
        <w:spacing w:line="360" w:lineRule="auto"/>
        <w:ind w:firstLine="480" w:firstLineChars="20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法定代表人或委托代理人（签字）：</w:t>
      </w:r>
      <w:r>
        <w:rPr>
          <w:rFonts w:hint="eastAsia" w:ascii="宋体" w:hAnsi="宋体" w:eastAsia="宋体" w:cs="宋体"/>
          <w:color w:val="auto"/>
          <w:sz w:val="24"/>
          <w:u w:val="single"/>
          <w:lang w:val="en-US" w:eastAsia="zh-CN"/>
        </w:rPr>
        <w:t xml:space="preserve">           </w:t>
      </w:r>
    </w:p>
    <w:p w14:paraId="00A478CB">
      <w:pPr>
        <w:wordWrap w:val="0"/>
        <w:topLinePunct/>
        <w:spacing w:line="360" w:lineRule="auto"/>
        <w:ind w:firstLine="480" w:firstLineChars="200"/>
        <w:jc w:val="left"/>
        <w:rPr>
          <w:rFonts w:hint="eastAsia" w:ascii="宋体" w:hAnsi="宋体" w:eastAsia="宋体" w:cs="宋体"/>
          <w:color w:val="auto"/>
          <w:sz w:val="24"/>
        </w:rPr>
      </w:pPr>
    </w:p>
    <w:p w14:paraId="45B20078">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乙方：</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65D66AD7">
      <w:pPr>
        <w:wordWrap w:val="0"/>
        <w:topLinePunct/>
        <w:spacing w:line="360" w:lineRule="auto"/>
        <w:ind w:firstLine="480" w:firstLineChars="20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法定代表人或委托代理人（签字）：</w:t>
      </w:r>
      <w:r>
        <w:rPr>
          <w:rFonts w:hint="eastAsia" w:ascii="宋体" w:hAnsi="宋体" w:eastAsia="宋体" w:cs="宋体"/>
          <w:color w:val="auto"/>
          <w:sz w:val="24"/>
          <w:u w:val="single"/>
          <w:lang w:val="en-US" w:eastAsia="zh-CN"/>
        </w:rPr>
        <w:t xml:space="preserve">           </w:t>
      </w:r>
    </w:p>
    <w:p w14:paraId="4EEC157C">
      <w:pPr>
        <w:wordWrap w:val="0"/>
        <w:topLinePunct/>
        <w:spacing w:line="360" w:lineRule="auto"/>
        <w:ind w:firstLine="480" w:firstLineChars="200"/>
        <w:jc w:val="left"/>
        <w:rPr>
          <w:rFonts w:hint="eastAsia" w:ascii="宋体" w:hAnsi="宋体" w:eastAsia="宋体" w:cs="宋体"/>
          <w:color w:val="auto"/>
        </w:rPr>
        <w:sectPr>
          <w:pgSz w:w="11906" w:h="16838"/>
          <w:pgMar w:top="1134" w:right="1134" w:bottom="1134" w:left="1134" w:header="340"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宋体" w:hAnsi="宋体" w:eastAsia="宋体" w:cs="宋体"/>
          <w:color w:val="auto"/>
          <w:sz w:val="24"/>
        </w:rPr>
        <w:t>日期：202</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年  月   日</w:t>
      </w:r>
    </w:p>
    <w:p w14:paraId="782C71D0">
      <w:pPr>
        <w:wordWrap w:val="0"/>
        <w:topLinePunct/>
        <w:spacing w:line="0" w:lineRule="atLeast"/>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w:t>
      </w:r>
    </w:p>
    <w:p w14:paraId="32F1710E">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医疗卫生机构医药产品廉洁购销合同</w:t>
      </w:r>
    </w:p>
    <w:p w14:paraId="252F91CE">
      <w:pPr>
        <w:jc w:val="center"/>
        <w:rPr>
          <w:rFonts w:hint="eastAsia" w:ascii="宋体" w:hAnsi="宋体" w:eastAsia="宋体" w:cs="宋体"/>
          <w:b/>
          <w:color w:val="auto"/>
          <w:sz w:val="44"/>
          <w:szCs w:val="44"/>
        </w:rPr>
      </w:pPr>
    </w:p>
    <w:p w14:paraId="13F5AEF7">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项目名称：</w:t>
      </w:r>
      <w:r>
        <w:rPr>
          <w:rFonts w:hint="eastAsia" w:ascii="宋体" w:hAnsi="宋体" w:eastAsia="宋体" w:cs="宋体"/>
          <w:b/>
          <w:color w:val="auto"/>
          <w:sz w:val="24"/>
          <w:u w:val="single"/>
        </w:rPr>
        <w:t xml:space="preserve">                                    </w:t>
      </w:r>
    </w:p>
    <w:p w14:paraId="0D81A2D6">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auto"/>
          <w:sz w:val="24"/>
        </w:rPr>
      </w:pPr>
    </w:p>
    <w:p w14:paraId="210DF72B">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cs="宋体"/>
          <w:color w:val="auto"/>
          <w:sz w:val="24"/>
          <w:u w:val="single"/>
          <w:lang w:val="en-US" w:eastAsia="zh-CN"/>
        </w:rPr>
      </w:pPr>
      <w:r>
        <w:rPr>
          <w:rFonts w:hint="eastAsia" w:ascii="宋体" w:hAnsi="宋体" w:eastAsia="宋体" w:cs="宋体"/>
          <w:color w:val="auto"/>
          <w:sz w:val="24"/>
        </w:rPr>
        <w:t>甲方：</w:t>
      </w:r>
      <w:r>
        <w:rPr>
          <w:rFonts w:hint="eastAsia" w:ascii="宋体" w:hAnsi="宋体" w:cs="宋体"/>
          <w:color w:val="auto"/>
          <w:sz w:val="24"/>
          <w:u w:val="single"/>
          <w:lang w:val="en-US" w:eastAsia="zh-CN"/>
        </w:rPr>
        <w:t>南华县人民医院</w:t>
      </w:r>
    </w:p>
    <w:p w14:paraId="2C5D67B4">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乙方：</w:t>
      </w:r>
      <w:r>
        <w:rPr>
          <w:rFonts w:hint="eastAsia" w:ascii="宋体" w:hAnsi="宋体" w:eastAsia="宋体" w:cs="宋体"/>
          <w:b/>
          <w:color w:val="auto"/>
          <w:sz w:val="24"/>
          <w:u w:val="single"/>
        </w:rPr>
        <w:t xml:space="preserve">                        </w:t>
      </w:r>
    </w:p>
    <w:p w14:paraId="477F598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为进一步加强医疗卫生行风建设，规范医疗卫生机构医药购销行为，有效防范商业贿赂行为，营造公平交易、诚实守信的购销环境，经甲、乙双方协商，同意签订本合同，并共同遵守：</w:t>
      </w:r>
    </w:p>
    <w:p w14:paraId="4CE52D3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一、甲乙双方按照《</w:t>
      </w:r>
      <w:r>
        <w:rPr>
          <w:rFonts w:hint="eastAsia" w:ascii="宋体" w:hAnsi="宋体" w:eastAsia="宋体" w:cs="宋体"/>
          <w:color w:val="auto"/>
          <w:sz w:val="24"/>
          <w:lang w:eastAsia="zh-CN"/>
        </w:rPr>
        <w:t>中华人民共和国民法典</w:t>
      </w:r>
      <w:r>
        <w:rPr>
          <w:rFonts w:hint="eastAsia" w:ascii="宋体" w:hAnsi="宋体" w:eastAsia="宋体" w:cs="宋体"/>
          <w:color w:val="auto"/>
          <w:sz w:val="24"/>
        </w:rPr>
        <w:t>》及医药产品购销合同约定购销药品、医用设备、医用耗材等医药产品。</w:t>
      </w:r>
    </w:p>
    <w:p w14:paraId="2933E428">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二、甲方应当严格执行医药产品购销合同验收、入库制度，对采购医药产品及发票进行查验，不得违反有关规定合同外采购、违价采购或从非规定渠道采购。</w:t>
      </w:r>
    </w:p>
    <w:p w14:paraId="4AA474ED">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40D93D79">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四、严禁甲方工作人员利用任何途径和方式，为乙方统计医师个人及临床科室有关医药产品用量信息，或为乙方统计提供便利。</w:t>
      </w:r>
    </w:p>
    <w:p w14:paraId="45703CE1">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五、乙方不得以回扣、宴请等方式影响甲方工作人员采购或使用医药产品的选择权，不得在学术活动中提供旅游、超标准支付食宿费用。</w:t>
      </w:r>
    </w:p>
    <w:p w14:paraId="054512B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六、乙方指定</w:t>
      </w:r>
      <w:r>
        <w:rPr>
          <w:rFonts w:hint="eastAsia" w:ascii="宋体" w:hAnsi="宋体" w:eastAsia="宋体" w:cs="宋体"/>
          <w:color w:val="auto"/>
          <w:sz w:val="24"/>
          <w:u w:val="single"/>
        </w:rPr>
        <w:t xml:space="preserve">           </w:t>
      </w:r>
      <w:r>
        <w:rPr>
          <w:rFonts w:hint="eastAsia" w:ascii="宋体" w:hAnsi="宋体" w:eastAsia="宋体" w:cs="宋体"/>
          <w:color w:val="auto"/>
          <w:sz w:val="24"/>
        </w:rPr>
        <w:t>身份证号码（</w:t>
      </w:r>
      <w:r>
        <w:rPr>
          <w:rFonts w:hint="eastAsia" w:ascii="宋体" w:hAnsi="宋体" w:eastAsia="宋体" w:cs="宋体"/>
          <w:color w:val="auto"/>
          <w:sz w:val="24"/>
          <w:u w:val="single"/>
        </w:rPr>
        <w:t xml:space="preserve">               </w:t>
      </w:r>
      <w:r>
        <w:rPr>
          <w:rFonts w:hint="eastAsia" w:ascii="宋体" w:hAnsi="宋体" w:eastAsia="宋体" w:cs="宋体"/>
          <w:color w:val="auto"/>
          <w:sz w:val="24"/>
        </w:rPr>
        <w:t>） 作为销售代表洽谈业务。销售代表必须在工作时间到甲方指定地点联系商谈，不得到住院部、门诊部、医技科室等推销医药产品，不得借故到甲方相关领导、部门负责人及相关工作人员家中访谈并提供任何好处费。</w:t>
      </w:r>
    </w:p>
    <w:p w14:paraId="578E7E08">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p>
    <w:p w14:paraId="45902A7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八、本合同作为医药产品购销合同的重要组成部分，与购销合同一并执行，具有同等的法律效力。</w:t>
      </w:r>
    </w:p>
    <w:p w14:paraId="2B9FEF0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九、本合同一式三份，甲、乙双方各执一份，甲方纪检监察部门执一份，并从签订之日起生效。</w:t>
      </w:r>
    </w:p>
    <w:p w14:paraId="6C1AF415">
      <w:pPr>
        <w:wordWrap w:val="0"/>
        <w:topLinePunct/>
        <w:spacing w:line="360" w:lineRule="auto"/>
        <w:ind w:firstLine="480" w:firstLineChars="200"/>
        <w:jc w:val="left"/>
        <w:rPr>
          <w:rFonts w:hint="eastAsia" w:ascii="宋体" w:hAnsi="宋体" w:eastAsia="宋体" w:cs="宋体"/>
          <w:color w:val="auto"/>
          <w:sz w:val="24"/>
        </w:rPr>
      </w:pPr>
    </w:p>
    <w:p w14:paraId="04447724">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甲方：</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3D4E4D07">
      <w:pPr>
        <w:wordWrap w:val="0"/>
        <w:topLinePunct/>
        <w:spacing w:line="360" w:lineRule="auto"/>
        <w:ind w:firstLine="480" w:firstLineChars="20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法定代表人或委托代理人（签字）：</w:t>
      </w:r>
      <w:r>
        <w:rPr>
          <w:rFonts w:hint="eastAsia" w:ascii="宋体" w:hAnsi="宋体" w:eastAsia="宋体" w:cs="宋体"/>
          <w:color w:val="auto"/>
          <w:sz w:val="24"/>
          <w:u w:val="single"/>
          <w:lang w:val="en-US" w:eastAsia="zh-CN"/>
        </w:rPr>
        <w:t xml:space="preserve">           </w:t>
      </w:r>
    </w:p>
    <w:p w14:paraId="50EFAEEE">
      <w:pPr>
        <w:wordWrap w:val="0"/>
        <w:topLinePunct/>
        <w:spacing w:line="360" w:lineRule="auto"/>
        <w:ind w:firstLine="480" w:firstLineChars="200"/>
        <w:jc w:val="left"/>
        <w:rPr>
          <w:rFonts w:hint="eastAsia" w:ascii="宋体" w:hAnsi="宋体" w:eastAsia="宋体" w:cs="宋体"/>
          <w:color w:val="auto"/>
          <w:sz w:val="24"/>
        </w:rPr>
      </w:pPr>
    </w:p>
    <w:p w14:paraId="4C7F04F5">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乙方：</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06BC8C04">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法定代表人或委托代理人（签字）：</w:t>
      </w:r>
      <w:r>
        <w:rPr>
          <w:rFonts w:hint="eastAsia" w:ascii="宋体" w:hAnsi="宋体" w:eastAsia="宋体" w:cs="宋体"/>
          <w:color w:val="auto"/>
          <w:sz w:val="24"/>
          <w:u w:val="single"/>
          <w:lang w:val="en-US" w:eastAsia="zh-CN"/>
        </w:rPr>
        <w:t xml:space="preserve">           </w:t>
      </w:r>
    </w:p>
    <w:p w14:paraId="0F43B7AA">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sectPr>
          <w:pgSz w:w="11906" w:h="16838"/>
          <w:pgMar w:top="1440" w:right="1080" w:bottom="1440" w:left="1080" w:header="340" w:footer="596"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宋体" w:hAnsi="宋体" w:eastAsia="宋体" w:cs="宋体"/>
          <w:color w:val="auto"/>
          <w:sz w:val="24"/>
        </w:rPr>
        <w:t>日期：202</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年  月   日</w:t>
      </w:r>
    </w:p>
    <w:p w14:paraId="0275FB1A">
      <w:pPr>
        <w:pStyle w:val="28"/>
        <w:keepNext w:val="0"/>
        <w:keepLines w:val="0"/>
        <w:pageBreakBefore w:val="0"/>
        <w:widowControl w:val="0"/>
        <w:kinsoku/>
        <w:wordWrap w:val="0"/>
        <w:overflowPunct/>
        <w:topLinePunct/>
        <w:autoSpaceDE/>
        <w:autoSpaceDN/>
        <w:bidi w:val="0"/>
        <w:adjustRightInd/>
        <w:snapToGrid/>
        <w:ind w:left="0" w:leftChars="0" w:right="0"/>
        <w:jc w:val="center"/>
        <w:rPr>
          <w:rStyle w:val="89"/>
          <w:rFonts w:hint="eastAsia" w:ascii="宋体" w:hAnsi="宋体" w:eastAsia="宋体" w:cs="宋体"/>
          <w:color w:val="auto"/>
          <w:lang w:eastAsia="zh-CN"/>
        </w:rPr>
      </w:pPr>
      <w:bookmarkStart w:id="1191" w:name="_Toc5392"/>
      <w:r>
        <w:rPr>
          <w:rStyle w:val="89"/>
          <w:rFonts w:hint="eastAsia" w:ascii="宋体" w:hAnsi="宋体" w:eastAsia="宋体" w:cs="宋体"/>
          <w:color w:val="auto"/>
          <w:lang w:eastAsia="zh-CN"/>
        </w:rPr>
        <w:t>第六章</w:t>
      </w:r>
      <w:r>
        <w:rPr>
          <w:rStyle w:val="89"/>
          <w:rFonts w:hint="eastAsia" w:ascii="宋体" w:hAnsi="宋体" w:eastAsia="宋体" w:cs="宋体"/>
          <w:color w:val="auto"/>
          <w:lang w:val="en-US" w:eastAsia="zh-CN"/>
        </w:rPr>
        <w:t xml:space="preserve"> </w:t>
      </w:r>
      <w:r>
        <w:rPr>
          <w:rStyle w:val="89"/>
          <w:rFonts w:hint="eastAsia" w:ascii="宋体" w:hAnsi="宋体" w:eastAsia="宋体" w:cs="宋体"/>
          <w:color w:val="auto"/>
          <w:lang w:eastAsia="zh-CN"/>
        </w:rPr>
        <w:t>投标文件格式</w:t>
      </w:r>
      <w:bookmarkEnd w:id="1150"/>
    </w:p>
    <w:bookmarkEnd w:id="1191"/>
    <w:p w14:paraId="20CDC401">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b/>
          <w:color w:val="auto"/>
          <w:sz w:val="36"/>
          <w:szCs w:val="40"/>
          <w:lang w:eastAsia="zh-CN"/>
        </w:rPr>
      </w:pPr>
    </w:p>
    <w:p w14:paraId="134975ED">
      <w:pPr>
        <w:pStyle w:val="36"/>
        <w:keepNext w:val="0"/>
        <w:keepLines w:val="0"/>
        <w:pageBreakBefore w:val="0"/>
        <w:widowControl w:val="0"/>
        <w:kinsoku/>
        <w:wordWrap w:val="0"/>
        <w:overflowPunct/>
        <w:topLinePunct/>
        <w:autoSpaceDE/>
        <w:autoSpaceDN/>
        <w:bidi w:val="0"/>
        <w:adjustRightInd/>
        <w:snapToGrid/>
        <w:spacing w:line="480" w:lineRule="auto"/>
        <w:jc w:val="left"/>
        <w:textAlignment w:val="auto"/>
        <w:rPr>
          <w:rFonts w:hint="eastAsia" w:ascii="宋体" w:hAnsi="宋体" w:eastAsia="宋体" w:cs="宋体"/>
          <w:b/>
          <w:bCs w:val="0"/>
          <w:color w:val="auto"/>
          <w:sz w:val="24"/>
          <w:szCs w:val="24"/>
        </w:rPr>
      </w:pPr>
      <w:r>
        <w:rPr>
          <w:rFonts w:hint="eastAsia" w:hAnsi="宋体" w:cs="宋体"/>
          <w:b/>
          <w:bCs w:val="0"/>
          <w:color w:val="auto"/>
          <w:sz w:val="24"/>
          <w:szCs w:val="24"/>
          <w:lang w:val="en-US" w:eastAsia="zh-CN"/>
        </w:rPr>
        <w:t>供应商</w:t>
      </w:r>
      <w:r>
        <w:rPr>
          <w:rFonts w:hint="eastAsia" w:ascii="宋体" w:hAnsi="宋体" w:eastAsia="宋体" w:cs="宋体"/>
          <w:b/>
          <w:bCs w:val="0"/>
          <w:color w:val="auto"/>
          <w:sz w:val="24"/>
          <w:szCs w:val="24"/>
          <w:lang w:val="en-US" w:eastAsia="zh-CN"/>
        </w:rPr>
        <w:t xml:space="preserve">编制文件须知 </w:t>
      </w:r>
    </w:p>
    <w:p w14:paraId="468DF962">
      <w:pPr>
        <w:pStyle w:val="36"/>
        <w:keepNext w:val="0"/>
        <w:keepLines w:val="0"/>
        <w:pageBreakBefore w:val="0"/>
        <w:widowControl w:val="0"/>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bCs w:val="0"/>
          <w:color w:val="auto"/>
          <w:sz w:val="24"/>
          <w:szCs w:val="24"/>
          <w:u w:val="none"/>
        </w:rPr>
      </w:pPr>
      <w:r>
        <w:rPr>
          <w:rFonts w:hint="eastAsia" w:ascii="宋体" w:hAnsi="宋体" w:eastAsia="宋体" w:cs="宋体"/>
          <w:bCs/>
          <w:color w:val="auto"/>
          <w:sz w:val="24"/>
          <w:szCs w:val="24"/>
          <w:lang w:val="en-US" w:eastAsia="zh-CN"/>
        </w:rPr>
        <w:t>1.</w:t>
      </w:r>
      <w:r>
        <w:rPr>
          <w:rFonts w:hint="eastAsia" w:hAnsi="宋体" w:cs="宋体"/>
          <w:bCs/>
          <w:color w:val="auto"/>
          <w:sz w:val="24"/>
          <w:szCs w:val="24"/>
          <w:lang w:val="en-US" w:eastAsia="zh-CN"/>
        </w:rPr>
        <w:t>供应商</w:t>
      </w:r>
      <w:r>
        <w:rPr>
          <w:rFonts w:hint="eastAsia" w:ascii="宋体" w:hAnsi="宋体" w:eastAsia="宋体" w:cs="宋体"/>
          <w:bCs/>
          <w:color w:val="auto"/>
          <w:sz w:val="24"/>
          <w:szCs w:val="24"/>
          <w:lang w:val="en-US" w:eastAsia="zh-CN"/>
        </w:rPr>
        <w:t>按照本部分的顺序编制投标文件，编制中涉及格式资料的，应按照本部分提供的内容和格式（所有表格的格式可扩展）填写提交。</w:t>
      </w:r>
      <w:r>
        <w:rPr>
          <w:rFonts w:hint="eastAsia" w:ascii="宋体" w:hAnsi="宋体" w:eastAsia="宋体" w:cs="宋体"/>
          <w:b/>
          <w:bCs w:val="0"/>
          <w:color w:val="auto"/>
          <w:sz w:val="24"/>
          <w:szCs w:val="24"/>
          <w:u w:val="none"/>
          <w:lang w:val="en-US" w:eastAsia="zh-CN"/>
        </w:rPr>
        <w:t>投标文件封面、目录为非实质性要求，无需制作电子文件上传至政采云平台，仅限成交</w:t>
      </w:r>
      <w:r>
        <w:rPr>
          <w:rFonts w:hint="eastAsia" w:hAnsi="宋体" w:cs="宋体"/>
          <w:b/>
          <w:bCs w:val="0"/>
          <w:color w:val="auto"/>
          <w:sz w:val="24"/>
          <w:szCs w:val="24"/>
          <w:u w:val="none"/>
          <w:lang w:val="en-US" w:eastAsia="zh-CN"/>
        </w:rPr>
        <w:t>供应商</w:t>
      </w:r>
      <w:r>
        <w:rPr>
          <w:rFonts w:hint="eastAsia" w:ascii="宋体" w:hAnsi="宋体" w:eastAsia="宋体" w:cs="宋体"/>
          <w:b/>
          <w:bCs w:val="0"/>
          <w:color w:val="auto"/>
          <w:sz w:val="24"/>
          <w:szCs w:val="24"/>
          <w:u w:val="none"/>
          <w:lang w:val="en-US" w:eastAsia="zh-CN"/>
        </w:rPr>
        <w:t xml:space="preserve">在签订合同时提交纸质投标文件时按顺序编制用。 </w:t>
      </w:r>
    </w:p>
    <w:p w14:paraId="37B78786">
      <w:pPr>
        <w:pStyle w:val="36"/>
        <w:keepNext w:val="0"/>
        <w:keepLines w:val="0"/>
        <w:pageBreakBefore w:val="0"/>
        <w:widowControl w:val="0"/>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2.对于招标文件中标记了“实质性格式”文件的，</w:t>
      </w:r>
      <w:r>
        <w:rPr>
          <w:rFonts w:hint="eastAsia" w:hAnsi="宋体" w:cs="宋体"/>
          <w:bCs/>
          <w:color w:val="auto"/>
          <w:sz w:val="24"/>
          <w:szCs w:val="24"/>
          <w:lang w:val="en-US" w:eastAsia="zh-CN"/>
        </w:rPr>
        <w:t>供应商</w:t>
      </w:r>
      <w:r>
        <w:rPr>
          <w:rFonts w:hint="eastAsia" w:ascii="宋体" w:hAnsi="宋体" w:eastAsia="宋体" w:cs="宋体"/>
          <w:bCs/>
          <w:color w:val="auto"/>
          <w:sz w:val="24"/>
          <w:szCs w:val="24"/>
          <w:lang w:val="en-US" w:eastAsia="zh-CN"/>
        </w:rPr>
        <w:t>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val="0"/>
          <w:color w:val="auto"/>
          <w:sz w:val="24"/>
          <w:szCs w:val="24"/>
          <w:lang w:val="en-US" w:eastAsia="zh-CN"/>
        </w:rPr>
        <w:t>响应无效</w:t>
      </w:r>
      <w:r>
        <w:rPr>
          <w:rFonts w:hint="eastAsia" w:ascii="宋体" w:hAnsi="宋体" w:eastAsia="宋体" w:cs="宋体"/>
          <w:bCs/>
          <w:color w:val="auto"/>
          <w:sz w:val="24"/>
          <w:szCs w:val="24"/>
          <w:lang w:val="en-US" w:eastAsia="zh-CN"/>
        </w:rPr>
        <w:t>。未标记“实质性格式”的文件和招标文件未提供格式的内容，可由</w:t>
      </w:r>
      <w:r>
        <w:rPr>
          <w:rFonts w:hint="eastAsia" w:hAnsi="宋体" w:cs="宋体"/>
          <w:bCs/>
          <w:color w:val="auto"/>
          <w:sz w:val="24"/>
          <w:szCs w:val="24"/>
          <w:lang w:val="en-US" w:eastAsia="zh-CN"/>
        </w:rPr>
        <w:t>供应商</w:t>
      </w:r>
      <w:r>
        <w:rPr>
          <w:rFonts w:hint="eastAsia" w:ascii="宋体" w:hAnsi="宋体" w:eastAsia="宋体" w:cs="宋体"/>
          <w:bCs/>
          <w:color w:val="auto"/>
          <w:sz w:val="24"/>
          <w:szCs w:val="24"/>
          <w:lang w:val="en-US" w:eastAsia="zh-CN"/>
        </w:rPr>
        <w:t xml:space="preserve">自行编写。 </w:t>
      </w:r>
    </w:p>
    <w:p w14:paraId="09F4F521">
      <w:pPr>
        <w:pStyle w:val="36"/>
        <w:keepNext w:val="0"/>
        <w:keepLines w:val="0"/>
        <w:pageBreakBefore w:val="0"/>
        <w:widowControl w:val="0"/>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color w:val="auto"/>
          <w:sz w:val="40"/>
          <w:szCs w:val="40"/>
          <w:lang w:eastAsia="zh-CN"/>
        </w:rPr>
        <w:sectPr>
          <w:pgSz w:w="11906" w:h="16838"/>
          <w:pgMar w:top="1440" w:right="1080" w:bottom="1440" w:left="1080" w:header="340" w:footer="596"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宋体" w:hAnsi="宋体" w:eastAsia="宋体" w:cs="宋体"/>
          <w:bCs/>
          <w:color w:val="auto"/>
          <w:sz w:val="24"/>
          <w:szCs w:val="24"/>
          <w:lang w:val="en-US" w:eastAsia="zh-CN"/>
        </w:rPr>
        <w:t>3.全部声明和问题的回答及所附材料必须是真实的、准确的和完整的。</w:t>
      </w:r>
    </w:p>
    <w:p w14:paraId="77660ADA">
      <w:pPr>
        <w:pStyle w:val="36"/>
        <w:wordWrap w:val="0"/>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封面格式：</w:t>
      </w:r>
    </w:p>
    <w:p w14:paraId="109E6B0B">
      <w:pPr>
        <w:pStyle w:val="36"/>
        <w:wordWrap w:val="0"/>
        <w:spacing w:line="360" w:lineRule="auto"/>
        <w:jc w:val="center"/>
        <w:rPr>
          <w:rFonts w:hint="eastAsia" w:ascii="宋体" w:hAnsi="宋体" w:eastAsia="宋体" w:cs="宋体"/>
          <w:b/>
          <w:color w:val="auto"/>
          <w:sz w:val="48"/>
          <w:szCs w:val="52"/>
          <w:lang w:eastAsia="zh-CN"/>
        </w:rPr>
      </w:pPr>
      <w:r>
        <w:rPr>
          <w:rFonts w:hint="eastAsia" w:hAnsi="宋体" w:cs="宋体"/>
          <w:b/>
          <w:color w:val="auto"/>
          <w:sz w:val="48"/>
          <w:szCs w:val="52"/>
          <w:lang w:eastAsia="zh-CN"/>
        </w:rPr>
        <w:t>南华县人民医院64排CT、血管造影X射线机维保服务采购项目</w:t>
      </w:r>
    </w:p>
    <w:p w14:paraId="76C283F6">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color w:val="auto"/>
          <w:sz w:val="36"/>
          <w:szCs w:val="40"/>
          <w:lang w:eastAsia="zh-CN"/>
        </w:rPr>
      </w:pPr>
    </w:p>
    <w:p w14:paraId="3D69EAC2">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color w:val="auto"/>
          <w:sz w:val="36"/>
          <w:szCs w:val="40"/>
          <w:lang w:eastAsia="zh-CN"/>
        </w:rPr>
      </w:pPr>
    </w:p>
    <w:p w14:paraId="16EBA3F6">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color w:val="auto"/>
          <w:sz w:val="40"/>
          <w:szCs w:val="44"/>
          <w:lang w:eastAsia="zh-CN"/>
        </w:rPr>
      </w:pPr>
    </w:p>
    <w:p w14:paraId="146E93ED">
      <w:pPr>
        <w:keepNext w:val="0"/>
        <w:keepLines w:val="0"/>
        <w:pageBreakBefore w:val="0"/>
        <w:widowControl w:val="0"/>
        <w:kinsoku/>
        <w:wordWrap w:val="0"/>
        <w:overflowPunct/>
        <w:topLinePunct/>
        <w:autoSpaceDE/>
        <w:autoSpaceDN/>
        <w:bidi w:val="0"/>
        <w:adjustRightInd/>
        <w:snapToGrid/>
        <w:ind w:left="0" w:leftChars="0" w:right="0"/>
        <w:jc w:val="both"/>
        <w:rPr>
          <w:rFonts w:hint="eastAsia" w:ascii="宋体" w:hAnsi="宋体" w:eastAsia="宋体" w:cs="宋体"/>
          <w:b/>
          <w:color w:val="auto"/>
          <w:sz w:val="40"/>
          <w:szCs w:val="44"/>
          <w:lang w:eastAsia="zh-CN"/>
        </w:rPr>
      </w:pPr>
    </w:p>
    <w:p w14:paraId="666C7D64">
      <w:pPr>
        <w:keepNext w:val="0"/>
        <w:keepLines w:val="0"/>
        <w:pageBreakBefore w:val="0"/>
        <w:widowControl w:val="0"/>
        <w:tabs>
          <w:tab w:val="left" w:pos="5834"/>
        </w:tabs>
        <w:kinsoku/>
        <w:wordWrap w:val="0"/>
        <w:overflowPunct/>
        <w:topLinePunct/>
        <w:autoSpaceDE/>
        <w:autoSpaceDN/>
        <w:bidi w:val="0"/>
        <w:adjustRightInd/>
        <w:snapToGrid/>
        <w:spacing w:line="480" w:lineRule="auto"/>
        <w:ind w:right="0" w:firstLine="2875" w:firstLineChars="800"/>
        <w:jc w:val="both"/>
        <w:rPr>
          <w:rFonts w:hint="eastAsia" w:ascii="宋体" w:hAnsi="宋体" w:eastAsia="宋体" w:cs="宋体"/>
          <w:b/>
          <w:color w:val="auto"/>
          <w:sz w:val="36"/>
          <w:szCs w:val="36"/>
          <w:lang w:val="en-US" w:eastAsia="zh-CN"/>
        </w:rPr>
      </w:pPr>
      <w:r>
        <w:rPr>
          <w:rFonts w:hint="eastAsia" w:ascii="宋体" w:hAnsi="宋体" w:eastAsia="宋体" w:cs="宋体"/>
          <w:b/>
          <w:color w:val="auto"/>
          <w:spacing w:val="-1"/>
          <w:sz w:val="36"/>
          <w:szCs w:val="36"/>
          <w:lang w:val="zh-CN" w:eastAsia="zh-CN"/>
        </w:rPr>
        <w:t>项目编号</w:t>
      </w:r>
      <w:r>
        <w:rPr>
          <w:rFonts w:hint="eastAsia" w:ascii="宋体" w:hAnsi="宋体" w:eastAsia="宋体" w:cs="宋体"/>
          <w:b/>
          <w:color w:val="auto"/>
          <w:spacing w:val="-1"/>
          <w:sz w:val="36"/>
          <w:szCs w:val="36"/>
          <w:lang w:eastAsia="zh-CN"/>
        </w:rPr>
        <w:t>：</w:t>
      </w:r>
      <w:r>
        <w:rPr>
          <w:rFonts w:hint="eastAsia" w:ascii="宋体" w:hAnsi="宋体" w:eastAsia="宋体" w:cs="宋体"/>
          <w:b/>
          <w:color w:val="auto"/>
          <w:spacing w:val="-1"/>
          <w:sz w:val="36"/>
          <w:szCs w:val="36"/>
          <w:u w:val="single"/>
          <w:lang w:val="en-US" w:eastAsia="zh-CN"/>
        </w:rPr>
        <w:t xml:space="preserve">              </w:t>
      </w:r>
    </w:p>
    <w:p w14:paraId="53769CBC">
      <w:pPr>
        <w:keepNext w:val="0"/>
        <w:keepLines w:val="0"/>
        <w:pageBreakBefore w:val="0"/>
        <w:widowControl w:val="0"/>
        <w:kinsoku/>
        <w:wordWrap w:val="0"/>
        <w:overflowPunct/>
        <w:topLinePunct/>
        <w:autoSpaceDE/>
        <w:autoSpaceDN/>
        <w:bidi w:val="0"/>
        <w:adjustRightInd/>
        <w:snapToGrid/>
        <w:ind w:left="0" w:leftChars="0" w:right="0"/>
        <w:jc w:val="both"/>
        <w:rPr>
          <w:rFonts w:hint="eastAsia" w:ascii="宋体" w:hAnsi="宋体" w:eastAsia="宋体" w:cs="宋体"/>
          <w:b/>
          <w:color w:val="auto"/>
          <w:sz w:val="40"/>
          <w:szCs w:val="44"/>
          <w:lang w:eastAsia="zh-CN"/>
        </w:rPr>
      </w:pPr>
    </w:p>
    <w:p w14:paraId="1E5B61E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color w:val="auto"/>
          <w:sz w:val="72"/>
          <w:szCs w:val="28"/>
          <w:lang w:eastAsia="zh-CN"/>
        </w:rPr>
      </w:pPr>
      <w:r>
        <w:rPr>
          <w:rFonts w:hint="eastAsia" w:ascii="宋体" w:hAnsi="宋体" w:eastAsia="宋体" w:cs="宋体"/>
          <w:b/>
          <w:bCs/>
          <w:color w:val="auto"/>
          <w:sz w:val="72"/>
          <w:szCs w:val="28"/>
          <w:lang w:eastAsia="zh-CN"/>
        </w:rPr>
        <w:t>投 标 文 件</w:t>
      </w:r>
    </w:p>
    <w:p w14:paraId="5F4BDB1C">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40"/>
          <w:szCs w:val="44"/>
          <w:lang w:eastAsia="zh-CN"/>
        </w:rPr>
      </w:pPr>
    </w:p>
    <w:p w14:paraId="4503847E">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40"/>
          <w:szCs w:val="44"/>
          <w:lang w:eastAsia="zh-CN"/>
        </w:rPr>
      </w:pPr>
    </w:p>
    <w:p w14:paraId="1953CBB2">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lang w:eastAsia="zh-CN"/>
        </w:rPr>
      </w:pPr>
    </w:p>
    <w:p w14:paraId="7232CE68">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lang w:eastAsia="zh-CN"/>
        </w:rPr>
      </w:pPr>
    </w:p>
    <w:p w14:paraId="2B2A48B3">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rPr>
          <w:rFonts w:hint="eastAsia" w:ascii="宋体" w:hAnsi="宋体" w:eastAsia="宋体" w:cs="宋体"/>
          <w:b/>
          <w:color w:val="auto"/>
          <w:sz w:val="24"/>
          <w:szCs w:val="28"/>
          <w:lang w:eastAsia="zh-CN"/>
        </w:rPr>
      </w:pPr>
    </w:p>
    <w:p w14:paraId="2F3D34E1">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rPr>
          <w:rFonts w:hint="eastAsia" w:ascii="宋体" w:hAnsi="宋体" w:eastAsia="宋体" w:cs="宋体"/>
          <w:b/>
          <w:color w:val="auto"/>
          <w:sz w:val="24"/>
          <w:szCs w:val="28"/>
          <w:lang w:eastAsia="zh-CN"/>
        </w:rPr>
      </w:pPr>
    </w:p>
    <w:p w14:paraId="1E40091A">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color w:val="auto"/>
          <w:sz w:val="24"/>
          <w:szCs w:val="28"/>
          <w:lang w:eastAsia="zh-CN"/>
        </w:rPr>
      </w:pPr>
      <w:r>
        <w:rPr>
          <w:rFonts w:hint="eastAsia" w:ascii="宋体" w:hAnsi="宋体" w:cs="宋体"/>
          <w:b/>
          <w:color w:val="auto"/>
          <w:sz w:val="24"/>
          <w:szCs w:val="28"/>
          <w:lang w:eastAsia="zh-CN"/>
        </w:rPr>
        <w:t>供应商</w:t>
      </w:r>
      <w:r>
        <w:rPr>
          <w:rFonts w:hint="eastAsia" w:ascii="宋体" w:hAnsi="宋体" w:eastAsia="宋体" w:cs="宋体"/>
          <w:b/>
          <w:color w:val="auto"/>
          <w:sz w:val="24"/>
          <w:szCs w:val="28"/>
          <w:lang w:eastAsia="zh-CN"/>
        </w:rPr>
        <w:t>：</w:t>
      </w:r>
      <w:r>
        <w:rPr>
          <w:rFonts w:hint="eastAsia" w:ascii="宋体" w:hAnsi="宋体" w:eastAsia="宋体" w:cs="宋体"/>
          <w:b/>
          <w:color w:val="auto"/>
          <w:sz w:val="24"/>
          <w:szCs w:val="28"/>
          <w:u w:val="single"/>
          <w:lang w:val="en-US" w:eastAsia="zh-CN"/>
        </w:rPr>
        <w:t xml:space="preserve">                                </w:t>
      </w:r>
      <w:r>
        <w:rPr>
          <w:rFonts w:hint="eastAsia" w:ascii="宋体" w:hAnsi="宋体" w:eastAsia="宋体" w:cs="宋体"/>
          <w:b/>
          <w:color w:val="auto"/>
          <w:sz w:val="24"/>
          <w:szCs w:val="28"/>
          <w:lang w:eastAsia="zh-CN"/>
        </w:rPr>
        <w:t>（电子公章）</w:t>
      </w:r>
    </w:p>
    <w:p w14:paraId="7E4FBAF6">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both"/>
        <w:rPr>
          <w:rFonts w:hint="eastAsia" w:ascii="宋体" w:hAnsi="宋体" w:eastAsia="宋体" w:cs="宋体"/>
          <w:b/>
          <w:color w:val="auto"/>
          <w:spacing w:val="-1"/>
          <w:sz w:val="24"/>
          <w:szCs w:val="28"/>
          <w:lang w:eastAsia="zh-CN"/>
        </w:rPr>
      </w:pPr>
    </w:p>
    <w:p w14:paraId="2003A53D">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color w:val="auto"/>
          <w:spacing w:val="-1"/>
          <w:sz w:val="24"/>
          <w:szCs w:val="28"/>
          <w:lang w:eastAsia="zh-CN"/>
        </w:rPr>
      </w:pPr>
      <w:r>
        <w:rPr>
          <w:rFonts w:hint="eastAsia" w:ascii="宋体" w:hAnsi="宋体" w:eastAsia="宋体" w:cs="宋体"/>
          <w:b/>
          <w:color w:val="auto"/>
          <w:spacing w:val="-1"/>
          <w:sz w:val="24"/>
          <w:szCs w:val="28"/>
          <w:lang w:eastAsia="zh-CN"/>
        </w:rPr>
        <w:t>法定代表人或其委托代理人：</w:t>
      </w:r>
      <w:r>
        <w:rPr>
          <w:rFonts w:hint="eastAsia" w:ascii="宋体" w:hAnsi="宋体" w:eastAsia="宋体" w:cs="宋体"/>
          <w:b/>
          <w:color w:val="auto"/>
          <w:spacing w:val="-1"/>
          <w:sz w:val="24"/>
          <w:szCs w:val="28"/>
          <w:u w:val="single"/>
          <w:lang w:val="en-US" w:eastAsia="zh-CN"/>
        </w:rPr>
        <w:t xml:space="preserve">              </w:t>
      </w:r>
      <w:r>
        <w:rPr>
          <w:rFonts w:hint="eastAsia" w:ascii="宋体" w:hAnsi="宋体" w:eastAsia="宋体" w:cs="宋体"/>
          <w:b/>
          <w:color w:val="auto"/>
          <w:spacing w:val="-1"/>
          <w:sz w:val="24"/>
          <w:szCs w:val="28"/>
          <w:lang w:eastAsia="zh-CN"/>
        </w:rPr>
        <w:t>（电子签名）</w:t>
      </w:r>
    </w:p>
    <w:p w14:paraId="1C896F29">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color w:val="auto"/>
          <w:sz w:val="24"/>
          <w:szCs w:val="28"/>
          <w:u w:val="none" w:color="auto"/>
          <w:lang w:val="en-US" w:eastAsia="zh-CN"/>
        </w:rPr>
      </w:pPr>
    </w:p>
    <w:p w14:paraId="2BE79B1E">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1"/>
          <w:lang w:eastAsia="zh-CN"/>
        </w:rPr>
        <w:sectPr>
          <w:pgSz w:w="11906" w:h="16838"/>
          <w:pgMar w:top="1440" w:right="1080" w:bottom="1440" w:left="1080" w:header="340" w:footer="596"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宋体" w:hAnsi="宋体" w:eastAsia="宋体" w:cs="宋体"/>
          <w:b/>
          <w:color w:val="auto"/>
          <w:sz w:val="24"/>
          <w:szCs w:val="28"/>
          <w:u w:val="none" w:color="auto"/>
          <w:lang w:val="en-US" w:eastAsia="zh-CN"/>
        </w:rPr>
        <w:t>日期：</w:t>
      </w:r>
      <w:r>
        <w:rPr>
          <w:rFonts w:hint="eastAsia" w:ascii="宋体" w:hAnsi="宋体" w:eastAsia="宋体" w:cs="宋体"/>
          <w:b/>
          <w:color w:val="auto"/>
          <w:sz w:val="24"/>
          <w:szCs w:val="28"/>
          <w:u w:val="single" w:color="auto"/>
          <w:lang w:val="en-US" w:eastAsia="zh-CN"/>
        </w:rPr>
        <w:t xml:space="preserve">     </w:t>
      </w:r>
      <w:r>
        <w:rPr>
          <w:rFonts w:hint="eastAsia" w:ascii="宋体" w:hAnsi="宋体" w:eastAsia="宋体" w:cs="宋体"/>
          <w:b/>
          <w:color w:val="auto"/>
          <w:sz w:val="24"/>
          <w:szCs w:val="28"/>
          <w:lang w:eastAsia="zh-CN"/>
        </w:rPr>
        <w:t>年</w:t>
      </w:r>
      <w:r>
        <w:rPr>
          <w:rFonts w:hint="eastAsia" w:ascii="宋体" w:hAnsi="宋体" w:eastAsia="宋体" w:cs="宋体"/>
          <w:b/>
          <w:color w:val="auto"/>
          <w:sz w:val="24"/>
          <w:szCs w:val="28"/>
          <w:u w:val="single" w:color="auto"/>
          <w:lang w:val="en-US" w:eastAsia="zh-CN"/>
        </w:rPr>
        <w:t xml:space="preserve">     </w:t>
      </w:r>
      <w:r>
        <w:rPr>
          <w:rFonts w:hint="eastAsia" w:ascii="宋体" w:hAnsi="宋体" w:eastAsia="宋体" w:cs="宋体"/>
          <w:b/>
          <w:color w:val="auto"/>
          <w:sz w:val="24"/>
          <w:szCs w:val="28"/>
          <w:lang w:eastAsia="zh-CN"/>
        </w:rPr>
        <w:t>月</w:t>
      </w:r>
      <w:r>
        <w:rPr>
          <w:rFonts w:hint="eastAsia" w:ascii="宋体" w:hAnsi="宋体" w:eastAsia="宋体" w:cs="宋体"/>
          <w:b/>
          <w:color w:val="auto"/>
          <w:sz w:val="24"/>
          <w:szCs w:val="28"/>
          <w:u w:val="single" w:color="auto"/>
          <w:lang w:val="en-US" w:eastAsia="zh-CN"/>
        </w:rPr>
        <w:t xml:space="preserve">     </w:t>
      </w:r>
      <w:r>
        <w:rPr>
          <w:rFonts w:hint="eastAsia" w:ascii="宋体" w:hAnsi="宋体" w:eastAsia="宋体" w:cs="宋体"/>
          <w:b/>
          <w:color w:val="auto"/>
          <w:sz w:val="24"/>
          <w:szCs w:val="28"/>
          <w:lang w:eastAsia="zh-CN"/>
        </w:rPr>
        <w:t>日</w:t>
      </w:r>
      <w:bookmarkStart w:id="1192" w:name="_Toc486584248"/>
      <w:bookmarkStart w:id="1193" w:name="_Toc451856213"/>
      <w:bookmarkStart w:id="1194" w:name="_Toc145164057"/>
      <w:bookmarkStart w:id="1195" w:name="_Toc529957200"/>
      <w:bookmarkStart w:id="1196" w:name="_Toc10117026"/>
      <w:bookmarkStart w:id="1197" w:name="_Toc450064600"/>
      <w:bookmarkStart w:id="1198" w:name="_Toc520749005"/>
      <w:bookmarkStart w:id="1199" w:name="_Toc389644551"/>
    </w:p>
    <w:bookmarkEnd w:id="1192"/>
    <w:bookmarkEnd w:id="1193"/>
    <w:bookmarkEnd w:id="1194"/>
    <w:bookmarkEnd w:id="1195"/>
    <w:bookmarkEnd w:id="1196"/>
    <w:bookmarkEnd w:id="1197"/>
    <w:bookmarkEnd w:id="1198"/>
    <w:bookmarkEnd w:id="1199"/>
    <w:p w14:paraId="343769EA">
      <w:pPr>
        <w:pStyle w:val="3"/>
        <w:keepNext w:val="0"/>
        <w:keepLines w:val="0"/>
        <w:pageBreakBefore w:val="0"/>
        <w:widowControl w:val="0"/>
        <w:kinsoku/>
        <w:wordWrap w:val="0"/>
        <w:overflowPunct/>
        <w:topLinePunct/>
        <w:autoSpaceDE/>
        <w:autoSpaceDN/>
        <w:bidi w:val="0"/>
        <w:adjustRightInd/>
        <w:snapToGrid/>
        <w:spacing w:before="0" w:after="0"/>
        <w:ind w:left="0" w:leftChars="0" w:right="0"/>
        <w:rPr>
          <w:rFonts w:hint="eastAsia" w:ascii="宋体" w:hAnsi="宋体" w:eastAsia="宋体" w:cs="宋体"/>
          <w:color w:val="auto"/>
          <w:sz w:val="32"/>
          <w:szCs w:val="32"/>
          <w:lang w:val="en-US" w:eastAsia="zh-CN"/>
        </w:rPr>
      </w:pPr>
      <w:bookmarkStart w:id="1200" w:name="_Toc22489"/>
      <w:bookmarkStart w:id="1201" w:name="_Toc10117027"/>
      <w:bookmarkStart w:id="1202" w:name="_Toc520749006"/>
      <w:bookmarkStart w:id="1203" w:name="_Toc8694"/>
      <w:r>
        <w:rPr>
          <w:rFonts w:hint="eastAsia" w:ascii="宋体" w:hAnsi="宋体" w:eastAsia="宋体" w:cs="宋体"/>
          <w:color w:val="auto"/>
          <w:lang w:eastAsia="zh-CN"/>
        </w:rPr>
        <w:t>资格审查部分</w:t>
      </w:r>
      <w:bookmarkEnd w:id="1200"/>
      <w:bookmarkEnd w:id="1201"/>
      <w:bookmarkEnd w:id="1202"/>
      <w:bookmarkEnd w:id="1203"/>
      <w:bookmarkStart w:id="1204" w:name="_Toc30478"/>
      <w:bookmarkStart w:id="1205" w:name="_Toc20556"/>
      <w:bookmarkStart w:id="1206" w:name="_Toc145164058"/>
      <w:bookmarkStart w:id="1207" w:name="_Toc21991"/>
      <w:bookmarkStart w:id="1208" w:name="_Toc16060"/>
      <w:bookmarkStart w:id="1209" w:name="_Toc12779"/>
      <w:bookmarkStart w:id="1210" w:name="_Toc10812"/>
      <w:bookmarkStart w:id="1211" w:name="_Toc17869"/>
      <w:bookmarkStart w:id="1212" w:name="_Toc11975"/>
      <w:bookmarkStart w:id="1213" w:name="_Toc30229"/>
      <w:bookmarkStart w:id="1214" w:name="_Toc14819"/>
      <w:bookmarkStart w:id="1215" w:name="_Toc12446"/>
      <w:bookmarkStart w:id="1216" w:name="_Toc4306"/>
    </w:p>
    <w:bookmarkEnd w:id="1204"/>
    <w:bookmarkEnd w:id="1205"/>
    <w:bookmarkEnd w:id="1206"/>
    <w:bookmarkEnd w:id="1207"/>
    <w:bookmarkEnd w:id="1208"/>
    <w:bookmarkEnd w:id="1209"/>
    <w:bookmarkEnd w:id="1210"/>
    <w:bookmarkEnd w:id="1211"/>
    <w:bookmarkEnd w:id="1212"/>
    <w:bookmarkEnd w:id="1213"/>
    <w:bookmarkEnd w:id="1214"/>
    <w:bookmarkEnd w:id="1215"/>
    <w:bookmarkEnd w:id="1216"/>
    <w:p w14:paraId="35A275C3">
      <w:pPr>
        <w:pStyle w:val="4"/>
        <w:numPr>
          <w:ilvl w:val="0"/>
          <w:numId w:val="0"/>
        </w:numPr>
        <w:tabs>
          <w:tab w:val="left" w:pos="900"/>
          <w:tab w:val="left" w:pos="1588"/>
        </w:tabs>
        <w:wordWrap w:val="0"/>
        <w:overflowPunct w:val="0"/>
        <w:topLinePunct/>
        <w:adjustRightInd/>
        <w:ind w:left="0" w:leftChars="0" w:firstLine="0" w:firstLineChars="0"/>
        <w:jc w:val="center"/>
        <w:rPr>
          <w:rFonts w:hint="eastAsia" w:ascii="宋体" w:hAnsi="宋体" w:eastAsia="宋体" w:cs="宋体"/>
          <w:b/>
          <w:bCs/>
          <w:color w:val="auto"/>
          <w:sz w:val="28"/>
          <w:szCs w:val="28"/>
        </w:rPr>
      </w:pPr>
      <w:bookmarkStart w:id="1217" w:name="_Toc8669"/>
      <w:bookmarkStart w:id="1218" w:name="_Toc25187"/>
      <w:bookmarkStart w:id="1219" w:name="_Toc9399"/>
      <w:bookmarkStart w:id="1220" w:name="_Toc9112"/>
      <w:bookmarkStart w:id="1221" w:name="_Toc12367"/>
      <w:bookmarkStart w:id="1222" w:name="_Toc17095"/>
      <w:bookmarkStart w:id="1223" w:name="_Toc17112"/>
      <w:bookmarkStart w:id="1224" w:name="_Toc24304"/>
      <w:bookmarkStart w:id="1225" w:name="_Toc28205"/>
      <w:bookmarkStart w:id="1226" w:name="_Toc28803"/>
      <w:bookmarkStart w:id="1227" w:name="_Toc7165"/>
      <w:bookmarkStart w:id="1228" w:name="_Toc485"/>
      <w:bookmarkStart w:id="1229" w:name="_Toc29724"/>
      <w:bookmarkStart w:id="1230" w:name="_Toc11495"/>
      <w:bookmarkStart w:id="1231" w:name="_Toc89951837"/>
      <w:bookmarkStart w:id="1232" w:name="_Toc8243"/>
      <w:bookmarkStart w:id="1233" w:name="_Toc520749007"/>
      <w:bookmarkStart w:id="1234" w:name="_Toc14046"/>
      <w:bookmarkStart w:id="1235" w:name="_Toc8362"/>
      <w:bookmarkStart w:id="1236" w:name="_Toc6430"/>
      <w:bookmarkStart w:id="1237" w:name="_Toc13388"/>
      <w:bookmarkStart w:id="1238" w:name="_Toc27820"/>
      <w:bookmarkStart w:id="1239" w:name="_Toc16314"/>
      <w:bookmarkStart w:id="1240" w:name="_Toc10117028"/>
      <w:bookmarkStart w:id="1241" w:name="_Toc25201"/>
      <w:bookmarkStart w:id="1242" w:name="_Toc29111"/>
      <w:bookmarkStart w:id="1243" w:name="_Toc32506"/>
      <w:bookmarkStart w:id="1244" w:name="_Toc2489"/>
      <w:bookmarkStart w:id="1245" w:name="_Toc25485"/>
      <w:r>
        <w:rPr>
          <w:rFonts w:hint="eastAsia" w:ascii="宋体" w:hAnsi="宋体" w:eastAsia="宋体" w:cs="宋体"/>
          <w:b/>
          <w:bCs/>
          <w:color w:val="auto"/>
          <w:kern w:val="0"/>
          <w:sz w:val="28"/>
          <w:szCs w:val="28"/>
          <w:lang w:val="en-US" w:eastAsia="zh-CN" w:bidi="ar-SA"/>
        </w:rPr>
        <w:t>一、</w:t>
      </w:r>
      <w:r>
        <w:rPr>
          <w:rFonts w:hint="eastAsia" w:ascii="宋体" w:hAnsi="宋体" w:eastAsia="宋体" w:cs="宋体"/>
          <w:b/>
          <w:bCs/>
          <w:color w:val="auto"/>
          <w:sz w:val="28"/>
          <w:szCs w:val="28"/>
        </w:rPr>
        <w:t>具有独立承担民事责任的能力</w:t>
      </w:r>
      <w:bookmarkEnd w:id="1217"/>
      <w:bookmarkEnd w:id="1218"/>
      <w:bookmarkEnd w:id="1219"/>
      <w:bookmarkEnd w:id="1220"/>
      <w:bookmarkEnd w:id="1221"/>
      <w:r>
        <w:rPr>
          <w:rFonts w:hint="eastAsia" w:ascii="宋体" w:hAnsi="宋体" w:eastAsia="宋体" w:cs="宋体"/>
          <w:b/>
          <w:bCs/>
          <w:color w:val="auto"/>
          <w:sz w:val="28"/>
          <w:szCs w:val="28"/>
          <w:lang w:val="en-US" w:eastAsia="zh-CN"/>
        </w:rPr>
        <w:t xml:space="preserve">（实质性格式） </w:t>
      </w:r>
    </w:p>
    <w:p w14:paraId="32F7E2A5">
      <w:pPr>
        <w:pStyle w:val="4"/>
        <w:numPr>
          <w:ilvl w:val="0"/>
          <w:numId w:val="0"/>
        </w:numPr>
        <w:tabs>
          <w:tab w:val="left" w:pos="900"/>
          <w:tab w:val="left" w:pos="1588"/>
        </w:tabs>
        <w:wordWrap w:val="0"/>
        <w:overflowPunct w:val="0"/>
        <w:topLinePunct/>
        <w:adjustRightInd/>
        <w:ind w:leftChars="0"/>
        <w:jc w:val="center"/>
        <w:rPr>
          <w:rFonts w:hint="eastAsia" w:ascii="宋体" w:hAnsi="宋体" w:eastAsia="宋体" w:cs="宋体"/>
          <w:color w:val="auto"/>
        </w:rPr>
      </w:pPr>
      <w:bookmarkStart w:id="1246" w:name="_Toc825"/>
      <w:bookmarkStart w:id="1247" w:name="_Toc331"/>
      <w:bookmarkStart w:id="1248" w:name="_Toc29767"/>
      <w:bookmarkStart w:id="1249" w:name="_Toc18023"/>
      <w:bookmarkStart w:id="1250" w:name="_Toc2516"/>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1</w:t>
      </w:r>
      <w:r>
        <w:rPr>
          <w:rFonts w:hint="eastAsia" w:ascii="宋体" w:hAnsi="宋体" w:eastAsia="宋体" w:cs="宋体"/>
          <w:b/>
          <w:bCs/>
          <w:color w:val="auto"/>
          <w:sz w:val="28"/>
          <w:szCs w:val="28"/>
          <w:lang w:eastAsia="zh-CN"/>
        </w:rPr>
        <w:t>）</w:t>
      </w:r>
      <w:r>
        <w:rPr>
          <w:rFonts w:hint="eastAsia" w:ascii="宋体" w:hAnsi="宋体" w:cs="宋体"/>
          <w:b/>
          <w:bCs/>
          <w:color w:val="auto"/>
          <w:sz w:val="28"/>
          <w:szCs w:val="28"/>
          <w:lang w:eastAsia="zh-CN"/>
        </w:rPr>
        <w:t>供应商</w:t>
      </w:r>
      <w:r>
        <w:rPr>
          <w:rFonts w:hint="eastAsia" w:ascii="宋体" w:hAnsi="宋体" w:eastAsia="宋体" w:cs="宋体"/>
          <w:b/>
          <w:bCs/>
          <w:color w:val="auto"/>
          <w:sz w:val="28"/>
          <w:szCs w:val="28"/>
        </w:rPr>
        <w:t>基本情况表</w:t>
      </w:r>
      <w:bookmarkEnd w:id="1222"/>
      <w:bookmarkEnd w:id="1223"/>
      <w:bookmarkEnd w:id="1224"/>
      <w:bookmarkEnd w:id="1225"/>
      <w:bookmarkEnd w:id="1226"/>
      <w:bookmarkEnd w:id="1227"/>
      <w:bookmarkEnd w:id="1228"/>
      <w:bookmarkEnd w:id="1229"/>
      <w:bookmarkEnd w:id="1230"/>
      <w:bookmarkEnd w:id="1246"/>
      <w:bookmarkEnd w:id="1247"/>
      <w:bookmarkEnd w:id="1248"/>
      <w:bookmarkEnd w:id="1249"/>
      <w:bookmarkEnd w:id="1250"/>
    </w:p>
    <w:tbl>
      <w:tblPr>
        <w:tblStyle w:val="6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79"/>
        <w:gridCol w:w="3859"/>
        <w:gridCol w:w="4738"/>
      </w:tblGrid>
      <w:tr w14:paraId="075AE3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AAE0645">
            <w:pPr>
              <w:jc w:val="center"/>
              <w:rPr>
                <w:rFonts w:hint="eastAsia" w:ascii="宋体" w:hAnsi="宋体" w:eastAsia="宋体" w:cs="宋体"/>
                <w:color w:val="auto"/>
                <w:sz w:val="24"/>
              </w:rPr>
            </w:pPr>
            <w:r>
              <w:rPr>
                <w:rFonts w:hint="eastAsia" w:ascii="宋体" w:hAnsi="宋体" w:eastAsia="宋体" w:cs="宋体"/>
                <w:color w:val="auto"/>
                <w:sz w:val="24"/>
              </w:rPr>
              <w:t>1</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072E837">
            <w:pPr>
              <w:ind w:firstLine="100"/>
              <w:rPr>
                <w:rFonts w:hint="eastAsia" w:ascii="宋体" w:hAnsi="宋体" w:eastAsia="宋体" w:cs="宋体"/>
                <w:color w:val="auto"/>
                <w:sz w:val="24"/>
              </w:rPr>
            </w:pPr>
            <w:r>
              <w:rPr>
                <w:rFonts w:hint="eastAsia" w:ascii="宋体" w:hAnsi="宋体" w:eastAsia="宋体" w:cs="宋体"/>
                <w:color w:val="auto"/>
                <w:sz w:val="24"/>
              </w:rPr>
              <w:t>企业名称：</w:t>
            </w:r>
          </w:p>
        </w:tc>
      </w:tr>
      <w:tr w14:paraId="5E70F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BEB112E">
            <w:pPr>
              <w:jc w:val="center"/>
              <w:rPr>
                <w:rFonts w:hint="eastAsia" w:ascii="宋体" w:hAnsi="宋体" w:eastAsia="宋体" w:cs="宋体"/>
                <w:color w:val="auto"/>
                <w:sz w:val="24"/>
              </w:rPr>
            </w:pPr>
            <w:r>
              <w:rPr>
                <w:rFonts w:hint="eastAsia" w:ascii="宋体" w:hAnsi="宋体" w:eastAsia="宋体" w:cs="宋体"/>
                <w:color w:val="auto"/>
                <w:sz w:val="24"/>
              </w:rPr>
              <w:t>2</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339886C7">
            <w:pPr>
              <w:ind w:firstLine="100"/>
              <w:rPr>
                <w:rFonts w:hint="eastAsia" w:ascii="宋体" w:hAnsi="宋体" w:eastAsia="宋体" w:cs="宋体"/>
                <w:color w:val="auto"/>
                <w:sz w:val="24"/>
              </w:rPr>
            </w:pPr>
            <w:r>
              <w:rPr>
                <w:rFonts w:hint="eastAsia" w:ascii="宋体" w:hAnsi="宋体" w:eastAsia="宋体" w:cs="宋体"/>
                <w:color w:val="auto"/>
                <w:sz w:val="24"/>
              </w:rPr>
              <w:t>总部地址：</w:t>
            </w:r>
          </w:p>
        </w:tc>
      </w:tr>
      <w:tr w14:paraId="374D5D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03B39F99">
            <w:pPr>
              <w:jc w:val="center"/>
              <w:rPr>
                <w:rFonts w:hint="eastAsia" w:ascii="宋体" w:hAnsi="宋体" w:eastAsia="宋体" w:cs="宋体"/>
                <w:color w:val="auto"/>
                <w:sz w:val="24"/>
              </w:rPr>
            </w:pPr>
            <w:r>
              <w:rPr>
                <w:rFonts w:hint="eastAsia" w:ascii="宋体" w:hAnsi="宋体" w:eastAsia="宋体" w:cs="宋体"/>
                <w:color w:val="auto"/>
                <w:sz w:val="24"/>
              </w:rPr>
              <w:t>3</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EA22555">
            <w:pPr>
              <w:ind w:firstLine="100"/>
              <w:rPr>
                <w:rFonts w:hint="eastAsia" w:ascii="宋体" w:hAnsi="宋体" w:eastAsia="宋体" w:cs="宋体"/>
                <w:color w:val="auto"/>
                <w:sz w:val="24"/>
              </w:rPr>
            </w:pPr>
            <w:r>
              <w:rPr>
                <w:rFonts w:hint="eastAsia" w:ascii="宋体" w:hAnsi="宋体" w:eastAsia="宋体" w:cs="宋体"/>
                <w:color w:val="auto"/>
                <w:sz w:val="24"/>
              </w:rPr>
              <w:t>当地代表处地址：</w:t>
            </w:r>
          </w:p>
        </w:tc>
      </w:tr>
      <w:tr w14:paraId="10F01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7911E9BA">
            <w:pPr>
              <w:jc w:val="center"/>
              <w:rPr>
                <w:rFonts w:hint="eastAsia" w:ascii="宋体" w:hAnsi="宋体" w:eastAsia="宋体" w:cs="宋体"/>
                <w:color w:val="auto"/>
                <w:sz w:val="24"/>
              </w:rPr>
            </w:pPr>
            <w:r>
              <w:rPr>
                <w:rFonts w:hint="eastAsia" w:ascii="宋体" w:hAnsi="宋体" w:eastAsia="宋体" w:cs="宋体"/>
                <w:color w:val="auto"/>
                <w:sz w:val="24"/>
              </w:rPr>
              <w:t>4</w:t>
            </w:r>
          </w:p>
        </w:tc>
        <w:tc>
          <w:tcPr>
            <w:tcW w:w="3859" w:type="dxa"/>
            <w:tcBorders>
              <w:top w:val="single" w:color="auto" w:sz="6" w:space="0"/>
              <w:left w:val="single" w:color="auto" w:sz="6" w:space="0"/>
              <w:bottom w:val="single" w:color="auto" w:sz="6" w:space="0"/>
              <w:right w:val="single" w:color="auto" w:sz="6" w:space="0"/>
            </w:tcBorders>
            <w:vAlign w:val="center"/>
          </w:tcPr>
          <w:p w14:paraId="43C9C72A">
            <w:pPr>
              <w:ind w:firstLine="100"/>
              <w:rPr>
                <w:rFonts w:hint="eastAsia" w:ascii="宋体" w:hAnsi="宋体" w:eastAsia="宋体" w:cs="宋体"/>
                <w:color w:val="auto"/>
                <w:sz w:val="24"/>
              </w:rPr>
            </w:pPr>
            <w:r>
              <w:rPr>
                <w:rFonts w:hint="eastAsia" w:ascii="宋体" w:hAnsi="宋体" w:eastAsia="宋体" w:cs="宋体"/>
                <w:color w:val="auto"/>
                <w:sz w:val="24"/>
              </w:rPr>
              <w:t>电话：</w:t>
            </w:r>
          </w:p>
        </w:tc>
        <w:tc>
          <w:tcPr>
            <w:tcW w:w="4738" w:type="dxa"/>
            <w:tcBorders>
              <w:top w:val="single" w:color="auto" w:sz="6" w:space="0"/>
              <w:left w:val="single" w:color="auto" w:sz="6" w:space="0"/>
              <w:bottom w:val="single" w:color="auto" w:sz="6" w:space="0"/>
              <w:right w:val="single" w:color="auto" w:sz="6" w:space="0"/>
            </w:tcBorders>
            <w:vAlign w:val="center"/>
          </w:tcPr>
          <w:p w14:paraId="5E81BD64">
            <w:pPr>
              <w:ind w:firstLine="100"/>
              <w:rPr>
                <w:rFonts w:hint="eastAsia" w:ascii="宋体" w:hAnsi="宋体" w:eastAsia="宋体" w:cs="宋体"/>
                <w:color w:val="auto"/>
                <w:sz w:val="24"/>
              </w:rPr>
            </w:pPr>
            <w:r>
              <w:rPr>
                <w:rFonts w:hint="eastAsia" w:ascii="宋体" w:hAnsi="宋体" w:eastAsia="宋体" w:cs="宋体"/>
                <w:color w:val="auto"/>
                <w:sz w:val="24"/>
              </w:rPr>
              <w:t>联系人：</w:t>
            </w:r>
          </w:p>
        </w:tc>
      </w:tr>
      <w:tr w14:paraId="0450D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3F4E95D4">
            <w:pPr>
              <w:jc w:val="center"/>
              <w:rPr>
                <w:rFonts w:hint="eastAsia" w:ascii="宋体" w:hAnsi="宋体" w:eastAsia="宋体" w:cs="宋体"/>
                <w:color w:val="auto"/>
                <w:sz w:val="24"/>
              </w:rPr>
            </w:pPr>
            <w:r>
              <w:rPr>
                <w:rFonts w:hint="eastAsia" w:ascii="宋体" w:hAnsi="宋体" w:eastAsia="宋体" w:cs="宋体"/>
                <w:color w:val="auto"/>
                <w:sz w:val="24"/>
              </w:rPr>
              <w:t>5</w:t>
            </w:r>
          </w:p>
        </w:tc>
        <w:tc>
          <w:tcPr>
            <w:tcW w:w="3859" w:type="dxa"/>
            <w:tcBorders>
              <w:top w:val="single" w:color="auto" w:sz="6" w:space="0"/>
              <w:left w:val="single" w:color="auto" w:sz="6" w:space="0"/>
              <w:bottom w:val="single" w:color="auto" w:sz="6" w:space="0"/>
              <w:right w:val="single" w:color="auto" w:sz="6" w:space="0"/>
            </w:tcBorders>
            <w:vAlign w:val="center"/>
          </w:tcPr>
          <w:p w14:paraId="21B935E8">
            <w:pPr>
              <w:ind w:firstLine="100"/>
              <w:rPr>
                <w:rFonts w:hint="eastAsia" w:ascii="宋体" w:hAnsi="宋体" w:eastAsia="宋体" w:cs="宋体"/>
                <w:color w:val="auto"/>
                <w:sz w:val="24"/>
              </w:rPr>
            </w:pPr>
            <w:r>
              <w:rPr>
                <w:rFonts w:hint="eastAsia" w:ascii="宋体" w:hAnsi="宋体" w:eastAsia="宋体" w:cs="宋体"/>
                <w:color w:val="auto"/>
                <w:sz w:val="24"/>
              </w:rPr>
              <w:t>传真：</w:t>
            </w:r>
          </w:p>
        </w:tc>
        <w:tc>
          <w:tcPr>
            <w:tcW w:w="4738" w:type="dxa"/>
            <w:tcBorders>
              <w:top w:val="single" w:color="auto" w:sz="6" w:space="0"/>
              <w:left w:val="single" w:color="auto" w:sz="6" w:space="0"/>
              <w:bottom w:val="single" w:color="auto" w:sz="6" w:space="0"/>
              <w:right w:val="single" w:color="auto" w:sz="6" w:space="0"/>
            </w:tcBorders>
            <w:vAlign w:val="center"/>
          </w:tcPr>
          <w:p w14:paraId="257E3C6A">
            <w:pPr>
              <w:ind w:firstLine="100"/>
              <w:rPr>
                <w:rFonts w:hint="eastAsia" w:ascii="宋体" w:hAnsi="宋体" w:eastAsia="宋体" w:cs="宋体"/>
                <w:color w:val="auto"/>
                <w:sz w:val="24"/>
              </w:rPr>
            </w:pPr>
            <w:r>
              <w:rPr>
                <w:rFonts w:hint="eastAsia" w:ascii="宋体" w:hAnsi="宋体" w:eastAsia="宋体" w:cs="宋体"/>
                <w:color w:val="auto"/>
                <w:sz w:val="24"/>
              </w:rPr>
              <w:t>电子邮箱：</w:t>
            </w:r>
          </w:p>
        </w:tc>
      </w:tr>
      <w:tr w14:paraId="3F30B6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02D7BB94">
            <w:pPr>
              <w:jc w:val="center"/>
              <w:rPr>
                <w:rFonts w:hint="eastAsia" w:ascii="宋体" w:hAnsi="宋体" w:eastAsia="宋体" w:cs="宋体"/>
                <w:color w:val="auto"/>
                <w:sz w:val="24"/>
              </w:rPr>
            </w:pPr>
            <w:r>
              <w:rPr>
                <w:rFonts w:hint="eastAsia" w:ascii="宋体" w:hAnsi="宋体" w:eastAsia="宋体" w:cs="宋体"/>
                <w:color w:val="auto"/>
                <w:sz w:val="24"/>
              </w:rPr>
              <w:t>6</w:t>
            </w:r>
          </w:p>
        </w:tc>
        <w:tc>
          <w:tcPr>
            <w:tcW w:w="3859" w:type="dxa"/>
            <w:tcBorders>
              <w:top w:val="single" w:color="auto" w:sz="6" w:space="0"/>
              <w:left w:val="single" w:color="auto" w:sz="6" w:space="0"/>
              <w:bottom w:val="single" w:color="auto" w:sz="6" w:space="0"/>
              <w:right w:val="single" w:color="auto" w:sz="6" w:space="0"/>
            </w:tcBorders>
            <w:vAlign w:val="center"/>
          </w:tcPr>
          <w:p w14:paraId="590D6720">
            <w:pPr>
              <w:ind w:firstLine="100"/>
              <w:rPr>
                <w:rFonts w:hint="eastAsia" w:ascii="宋体" w:hAnsi="宋体" w:eastAsia="宋体" w:cs="宋体"/>
                <w:color w:val="auto"/>
                <w:sz w:val="24"/>
              </w:rPr>
            </w:pPr>
            <w:r>
              <w:rPr>
                <w:rFonts w:hint="eastAsia" w:ascii="宋体" w:hAnsi="宋体" w:eastAsia="宋体" w:cs="宋体"/>
                <w:color w:val="auto"/>
                <w:sz w:val="24"/>
              </w:rPr>
              <w:t>注册地：</w:t>
            </w:r>
          </w:p>
        </w:tc>
        <w:tc>
          <w:tcPr>
            <w:tcW w:w="4738" w:type="dxa"/>
            <w:tcBorders>
              <w:top w:val="single" w:color="auto" w:sz="6" w:space="0"/>
              <w:left w:val="single" w:color="auto" w:sz="6" w:space="0"/>
              <w:bottom w:val="single" w:color="auto" w:sz="6" w:space="0"/>
              <w:right w:val="single" w:color="auto" w:sz="6" w:space="0"/>
            </w:tcBorders>
            <w:vAlign w:val="center"/>
          </w:tcPr>
          <w:p w14:paraId="069B0C27">
            <w:pPr>
              <w:ind w:firstLine="100"/>
              <w:rPr>
                <w:rFonts w:hint="eastAsia" w:ascii="宋体" w:hAnsi="宋体" w:eastAsia="宋体" w:cs="宋体"/>
                <w:color w:val="auto"/>
                <w:sz w:val="24"/>
              </w:rPr>
            </w:pPr>
            <w:r>
              <w:rPr>
                <w:rFonts w:hint="eastAsia" w:ascii="宋体" w:hAnsi="宋体" w:eastAsia="宋体" w:cs="宋体"/>
                <w:color w:val="auto"/>
                <w:sz w:val="24"/>
              </w:rPr>
              <w:t xml:space="preserve">注册年份：  </w:t>
            </w:r>
          </w:p>
        </w:tc>
      </w:tr>
      <w:tr w14:paraId="1DAC0B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05B1E649">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7</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12BEFE34">
            <w:pPr>
              <w:ind w:firstLine="100"/>
              <w:rPr>
                <w:rFonts w:hint="eastAsia" w:ascii="宋体" w:hAnsi="宋体" w:eastAsia="宋体" w:cs="宋体"/>
                <w:color w:val="auto"/>
                <w:sz w:val="24"/>
              </w:rPr>
            </w:pPr>
            <w:r>
              <w:rPr>
                <w:rFonts w:hint="eastAsia" w:ascii="宋体" w:hAnsi="宋体" w:eastAsia="宋体" w:cs="宋体"/>
                <w:color w:val="auto"/>
                <w:sz w:val="24"/>
                <w:lang w:val="en-US" w:eastAsia="zh-CN"/>
              </w:rPr>
              <w:t>行政主管部门颁发的</w:t>
            </w:r>
            <w:r>
              <w:rPr>
                <w:rFonts w:hint="eastAsia" w:ascii="宋体" w:hAnsi="宋体" w:eastAsia="宋体" w:cs="宋体"/>
                <w:color w:val="auto"/>
                <w:sz w:val="24"/>
              </w:rPr>
              <w:t>资质证书：</w:t>
            </w:r>
          </w:p>
          <w:p w14:paraId="51212A2E">
            <w:pPr>
              <w:ind w:firstLine="100"/>
              <w:rPr>
                <w:rFonts w:hint="eastAsia" w:ascii="宋体" w:hAnsi="宋体" w:eastAsia="宋体" w:cs="宋体"/>
                <w:color w:val="auto"/>
                <w:sz w:val="24"/>
                <w:u w:val="single"/>
                <w:lang w:val="en-US" w:eastAsia="zh-CN"/>
              </w:rPr>
            </w:pPr>
            <w:r>
              <w:rPr>
                <w:rFonts w:hint="eastAsia" w:ascii="宋体" w:hAnsi="宋体" w:eastAsia="宋体" w:cs="宋体"/>
                <w:color w:val="auto"/>
                <w:sz w:val="24"/>
                <w:lang w:val="en-US" w:eastAsia="zh-CN"/>
              </w:rPr>
              <w:t>证书名称：</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none"/>
                <w:lang w:val="en-US" w:eastAsia="zh-CN"/>
              </w:rPr>
              <w:t xml:space="preserve">      资质等级：</w:t>
            </w:r>
            <w:r>
              <w:rPr>
                <w:rFonts w:hint="eastAsia" w:ascii="宋体" w:hAnsi="宋体" w:eastAsia="宋体" w:cs="宋体"/>
                <w:color w:val="auto"/>
                <w:sz w:val="24"/>
                <w:u w:val="single"/>
                <w:lang w:val="en-US" w:eastAsia="zh-CN"/>
              </w:rPr>
              <w:t xml:space="preserve">                     </w:t>
            </w:r>
          </w:p>
          <w:p w14:paraId="3D7C0AE7">
            <w:pPr>
              <w:ind w:firstLine="100"/>
              <w:rPr>
                <w:rFonts w:hint="eastAsia" w:ascii="宋体" w:hAnsi="宋体" w:eastAsia="宋体" w:cs="宋体"/>
                <w:color w:val="auto"/>
                <w:sz w:val="24"/>
                <w:u w:val="single"/>
                <w:lang w:val="en-US" w:eastAsia="zh-CN"/>
              </w:rPr>
            </w:pPr>
            <w:r>
              <w:rPr>
                <w:rFonts w:hint="eastAsia" w:ascii="宋体" w:hAnsi="宋体" w:eastAsia="宋体" w:cs="宋体"/>
                <w:color w:val="auto"/>
                <w:sz w:val="24"/>
                <w:u w:val="none"/>
                <w:lang w:val="en-US" w:eastAsia="zh-CN"/>
              </w:rPr>
              <w:t>证书编号：</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none"/>
                <w:lang w:val="en-US" w:eastAsia="zh-CN"/>
              </w:rPr>
              <w:t xml:space="preserve">      证书有效期：</w:t>
            </w:r>
            <w:r>
              <w:rPr>
                <w:rFonts w:hint="eastAsia" w:ascii="宋体" w:hAnsi="宋体" w:eastAsia="宋体" w:cs="宋体"/>
                <w:color w:val="auto"/>
                <w:sz w:val="24"/>
                <w:u w:val="single"/>
                <w:lang w:val="en-US" w:eastAsia="zh-CN"/>
              </w:rPr>
              <w:t xml:space="preserve">                   </w:t>
            </w:r>
          </w:p>
          <w:p w14:paraId="10104C92">
            <w:pPr>
              <w:ind w:firstLine="100"/>
              <w:rPr>
                <w:rFonts w:hint="eastAsia" w:ascii="宋体" w:hAnsi="宋体" w:eastAsia="宋体" w:cs="宋体"/>
                <w:color w:val="auto"/>
                <w:sz w:val="24"/>
                <w:u w:val="single"/>
                <w:lang w:val="en-US" w:eastAsia="zh-CN"/>
              </w:rPr>
            </w:pPr>
            <w:r>
              <w:rPr>
                <w:rFonts w:hint="eastAsia" w:ascii="宋体" w:hAnsi="宋体" w:eastAsia="宋体" w:cs="宋体"/>
                <w:color w:val="auto"/>
                <w:sz w:val="24"/>
                <w:u w:val="none"/>
                <w:lang w:val="en-US" w:eastAsia="zh-CN"/>
              </w:rPr>
              <w:t>……</w:t>
            </w:r>
          </w:p>
        </w:tc>
      </w:tr>
      <w:tr w14:paraId="3C148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72F27301">
            <w:pPr>
              <w:jc w:val="center"/>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8</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264A89B9">
            <w:pPr>
              <w:ind w:firstLine="100"/>
              <w:rPr>
                <w:rFonts w:hint="eastAsia" w:ascii="宋体" w:hAnsi="宋体" w:eastAsia="宋体" w:cs="宋体"/>
                <w:color w:val="auto"/>
                <w:sz w:val="24"/>
                <w:u w:val="none"/>
                <w:lang w:val="en-US" w:eastAsia="zh-CN"/>
              </w:rPr>
            </w:pPr>
            <w:r>
              <w:rPr>
                <w:rFonts w:hint="eastAsia" w:ascii="宋体" w:hAnsi="宋体" w:eastAsia="宋体" w:cs="宋体"/>
                <w:color w:val="auto"/>
                <w:sz w:val="24"/>
              </w:rPr>
              <w:t>质量管理体系证书：</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none"/>
                <w:lang w:val="en-US" w:eastAsia="zh-CN"/>
              </w:rPr>
              <w:t>（证书名称）</w:t>
            </w:r>
          </w:p>
          <w:p w14:paraId="003E5263">
            <w:pPr>
              <w:ind w:firstLine="100"/>
              <w:rPr>
                <w:rFonts w:hint="eastAsia" w:ascii="宋体" w:hAnsi="宋体" w:eastAsia="宋体" w:cs="宋体"/>
                <w:color w:val="auto"/>
                <w:sz w:val="24"/>
              </w:rPr>
            </w:pPr>
          </w:p>
          <w:p w14:paraId="77BDF328">
            <w:pPr>
              <w:ind w:firstLine="100"/>
              <w:rPr>
                <w:rFonts w:hint="eastAsia" w:ascii="宋体" w:hAnsi="宋体" w:eastAsia="宋体" w:cs="宋体"/>
                <w:color w:val="auto"/>
                <w:sz w:val="24"/>
                <w:u w:val="none"/>
                <w:lang w:val="en-US" w:eastAsia="zh-CN"/>
              </w:rPr>
            </w:pPr>
            <w:r>
              <w:rPr>
                <w:rFonts w:hint="eastAsia" w:ascii="宋体" w:hAnsi="宋体" w:eastAsia="宋体" w:cs="宋体"/>
                <w:color w:val="auto"/>
                <w:sz w:val="24"/>
              </w:rPr>
              <w:t xml:space="preserve">其他：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none"/>
                <w:lang w:val="en-US" w:eastAsia="zh-CN"/>
              </w:rPr>
              <w:t>（证书名称）</w:t>
            </w:r>
          </w:p>
          <w:p w14:paraId="5A30E376">
            <w:pPr>
              <w:ind w:firstLine="100"/>
              <w:rPr>
                <w:rFonts w:hint="eastAsia" w:ascii="宋体" w:hAnsi="宋体" w:eastAsia="宋体" w:cs="宋体"/>
                <w:color w:val="auto"/>
                <w:sz w:val="24"/>
              </w:rPr>
            </w:pPr>
            <w:r>
              <w:rPr>
                <w:rFonts w:hint="eastAsia" w:ascii="宋体" w:hAnsi="宋体" w:eastAsia="宋体" w:cs="宋体"/>
                <w:color w:val="auto"/>
                <w:sz w:val="24"/>
                <w:u w:val="none"/>
                <w:lang w:val="en-US" w:eastAsia="zh-CN"/>
              </w:rPr>
              <w:t>……</w:t>
            </w:r>
            <w:r>
              <w:rPr>
                <w:rFonts w:hint="eastAsia" w:ascii="宋体" w:hAnsi="宋体" w:eastAsia="宋体" w:cs="宋体"/>
                <w:color w:val="auto"/>
                <w:sz w:val="24"/>
              </w:rPr>
              <w:t xml:space="preserve">             </w:t>
            </w:r>
          </w:p>
        </w:tc>
      </w:tr>
      <w:tr w14:paraId="56B00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15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B66B8D4">
            <w:pPr>
              <w:jc w:val="center"/>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9</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7A680F60">
            <w:pPr>
              <w:ind w:firstLine="100"/>
              <w:rPr>
                <w:rFonts w:hint="eastAsia" w:ascii="宋体" w:hAnsi="宋体" w:eastAsia="宋体" w:cs="宋体"/>
                <w:color w:val="auto"/>
                <w:sz w:val="24"/>
              </w:rPr>
            </w:pPr>
            <w:r>
              <w:rPr>
                <w:rFonts w:hint="eastAsia" w:ascii="宋体" w:hAnsi="宋体" w:eastAsia="宋体" w:cs="宋体"/>
                <w:color w:val="auto"/>
                <w:sz w:val="24"/>
                <w:lang w:val="en-US" w:eastAsia="zh-CN"/>
              </w:rPr>
              <w:t>经营范围</w:t>
            </w:r>
            <w:r>
              <w:rPr>
                <w:rFonts w:hint="eastAsia" w:ascii="宋体" w:hAnsi="宋体" w:eastAsia="宋体" w:cs="宋体"/>
                <w:color w:val="auto"/>
                <w:sz w:val="24"/>
              </w:rPr>
              <w:t>：</w:t>
            </w:r>
          </w:p>
          <w:p w14:paraId="5126CA7E">
            <w:pPr>
              <w:ind w:firstLine="100"/>
              <w:rPr>
                <w:rFonts w:hint="eastAsia" w:ascii="宋体" w:hAnsi="宋体" w:eastAsia="宋体" w:cs="宋体"/>
                <w:color w:val="auto"/>
                <w:sz w:val="24"/>
                <w:u w:val="single"/>
              </w:rPr>
            </w:pPr>
            <w:r>
              <w:rPr>
                <w:rFonts w:hint="eastAsia" w:ascii="宋体" w:hAnsi="宋体" w:eastAsia="宋体" w:cs="宋体"/>
                <w:color w:val="auto"/>
                <w:sz w:val="24"/>
              </w:rPr>
              <w:t>1、</w:t>
            </w:r>
            <w:r>
              <w:rPr>
                <w:rFonts w:hint="eastAsia" w:ascii="宋体" w:hAnsi="宋体" w:eastAsia="宋体" w:cs="宋体"/>
                <w:color w:val="auto"/>
                <w:sz w:val="24"/>
                <w:u w:val="single"/>
              </w:rPr>
              <w:tab/>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rPr>
              <w:tab/>
            </w:r>
            <w:r>
              <w:rPr>
                <w:rFonts w:hint="eastAsia" w:ascii="宋体" w:hAnsi="宋体" w:eastAsia="宋体" w:cs="宋体"/>
                <w:color w:val="auto"/>
                <w:sz w:val="24"/>
              </w:rPr>
              <w:t xml:space="preserve"> </w:t>
            </w:r>
          </w:p>
          <w:p w14:paraId="44D5D199">
            <w:pPr>
              <w:ind w:firstLine="100"/>
              <w:rPr>
                <w:rFonts w:hint="eastAsia" w:ascii="宋体" w:hAnsi="宋体" w:eastAsia="宋体" w:cs="宋体"/>
                <w:color w:val="auto"/>
                <w:sz w:val="24"/>
                <w:lang w:val="en-US" w:eastAsia="zh-CN"/>
              </w:rPr>
            </w:pPr>
            <w:r>
              <w:rPr>
                <w:rFonts w:hint="eastAsia" w:ascii="宋体" w:hAnsi="宋体" w:eastAsia="宋体" w:cs="宋体"/>
                <w:color w:val="auto"/>
                <w:sz w:val="24"/>
              </w:rPr>
              <w:t>2、</w:t>
            </w:r>
            <w:r>
              <w:rPr>
                <w:rFonts w:hint="eastAsia" w:ascii="宋体" w:hAnsi="宋体" w:eastAsia="宋体" w:cs="宋体"/>
                <w:color w:val="auto"/>
                <w:sz w:val="24"/>
                <w:u w:val="single"/>
              </w:rPr>
              <w:tab/>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p>
          <w:p w14:paraId="584CBDAB">
            <w:pPr>
              <w:ind w:firstLine="1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u w:val="single"/>
              </w:rPr>
              <w:tab/>
            </w:r>
            <w:r>
              <w:rPr>
                <w:rFonts w:hint="eastAsia" w:ascii="宋体" w:hAnsi="宋体" w:eastAsia="宋体" w:cs="宋体"/>
                <w:color w:val="auto"/>
                <w:sz w:val="24"/>
                <w:u w:val="single"/>
              </w:rPr>
              <w:t xml:space="preserve">                                                            </w:t>
            </w:r>
          </w:p>
          <w:p w14:paraId="22789CCC">
            <w:pPr>
              <w:ind w:firstLine="1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rPr>
              <w:tab/>
            </w:r>
            <w:r>
              <w:rPr>
                <w:rFonts w:hint="eastAsia" w:ascii="宋体" w:hAnsi="宋体" w:eastAsia="宋体" w:cs="宋体"/>
                <w:color w:val="auto"/>
                <w:sz w:val="24"/>
                <w:u w:val="single"/>
              </w:rPr>
              <w:t xml:space="preserve">                                                            </w:t>
            </w:r>
          </w:p>
          <w:p w14:paraId="294A2F29">
            <w:pPr>
              <w:ind w:firstLine="100"/>
              <w:rPr>
                <w:rFonts w:hint="eastAsia" w:ascii="宋体" w:hAnsi="宋体" w:eastAsia="宋体" w:cs="宋体"/>
                <w:color w:val="auto"/>
                <w:sz w:val="24"/>
              </w:rPr>
            </w:pPr>
            <w:r>
              <w:rPr>
                <w:rFonts w:hint="eastAsia" w:ascii="宋体" w:hAnsi="宋体" w:eastAsia="宋体" w:cs="宋体"/>
                <w:color w:val="auto"/>
                <w:sz w:val="24"/>
                <w:u w:val="none"/>
                <w:lang w:val="en-US" w:eastAsia="zh-CN"/>
              </w:rPr>
              <w:t>……</w:t>
            </w:r>
          </w:p>
        </w:tc>
      </w:tr>
      <w:tr w14:paraId="604CD1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3B75AFA2">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10</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27673278">
            <w:pPr>
              <w:ind w:firstLine="100"/>
              <w:rPr>
                <w:rFonts w:hint="eastAsia" w:ascii="宋体" w:hAnsi="宋体" w:eastAsia="宋体" w:cs="宋体"/>
                <w:color w:val="auto"/>
                <w:sz w:val="24"/>
              </w:rPr>
            </w:pPr>
            <w:r>
              <w:rPr>
                <w:rFonts w:hint="eastAsia" w:ascii="宋体" w:hAnsi="宋体" w:eastAsia="宋体" w:cs="宋体"/>
                <w:color w:val="auto"/>
                <w:sz w:val="24"/>
              </w:rPr>
              <w:t>其他需要说明的情况</w:t>
            </w:r>
          </w:p>
        </w:tc>
      </w:tr>
    </w:tbl>
    <w:p w14:paraId="754C24F7">
      <w:pPr>
        <w:pStyle w:val="684"/>
        <w:wordWrap w:val="0"/>
        <w:overflowPunct w:val="0"/>
        <w:topLinePunct/>
        <w:ind w:firstLine="480"/>
        <w:rPr>
          <w:rFonts w:hint="eastAsia" w:ascii="宋体" w:hAnsi="宋体" w:eastAsia="宋体" w:cs="宋体"/>
          <w:color w:val="auto"/>
          <w:szCs w:val="21"/>
        </w:rPr>
      </w:pPr>
    </w:p>
    <w:p w14:paraId="4A40D564">
      <w:pPr>
        <w:wordWrap w:val="0"/>
        <w:overflowPunct w:val="0"/>
        <w:topLinePunct/>
        <w:spacing w:line="360" w:lineRule="auto"/>
        <w:jc w:val="left"/>
        <w:rPr>
          <w:rFonts w:hint="eastAsia" w:ascii="宋体" w:hAnsi="宋体" w:eastAsia="宋体" w:cs="宋体"/>
          <w:color w:val="auto"/>
          <w:sz w:val="24"/>
          <w:lang w:eastAsia="zh-CN"/>
        </w:rPr>
      </w:pPr>
    </w:p>
    <w:p w14:paraId="74A85827">
      <w:pPr>
        <w:wordWrap w:val="0"/>
        <w:overflowPunct w:val="0"/>
        <w:topLinePunct/>
        <w:spacing w:line="360" w:lineRule="auto"/>
        <w:jc w:val="left"/>
        <w:rPr>
          <w:rFonts w:hint="eastAsia" w:ascii="宋体" w:hAnsi="宋体" w:eastAsia="宋体" w:cs="宋体"/>
          <w:color w:val="auto"/>
          <w:sz w:val="24"/>
          <w:lang w:eastAsia="zh-CN"/>
        </w:rPr>
      </w:pPr>
    </w:p>
    <w:p w14:paraId="69FFC88F">
      <w:pPr>
        <w:wordWrap w:val="0"/>
        <w:overflowPunct w:val="0"/>
        <w:topLinePunct/>
        <w:spacing w:line="360" w:lineRule="auto"/>
        <w:jc w:val="left"/>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u w:val="none"/>
        </w:rPr>
        <w:t>（</w:t>
      </w:r>
      <w:r>
        <w:rPr>
          <w:rFonts w:hint="eastAsia" w:ascii="宋体" w:hAnsi="宋体" w:eastAsia="宋体" w:cs="宋体"/>
          <w:color w:val="auto"/>
          <w:sz w:val="24"/>
          <w:u w:val="none"/>
          <w:lang w:val="en-US" w:eastAsia="zh-CN"/>
        </w:rPr>
        <w:t>电子</w:t>
      </w:r>
      <w:r>
        <w:rPr>
          <w:rFonts w:hint="eastAsia" w:ascii="宋体" w:hAnsi="宋体" w:eastAsia="宋体" w:cs="宋体"/>
          <w:color w:val="auto"/>
          <w:sz w:val="24"/>
        </w:rPr>
        <w:t>公章）</w:t>
      </w:r>
    </w:p>
    <w:p w14:paraId="17128983">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4529F32C">
      <w:pPr>
        <w:pStyle w:val="569"/>
        <w:autoSpaceDE w:val="0"/>
        <w:autoSpaceDN w:val="0"/>
        <w:spacing w:line="360" w:lineRule="auto"/>
        <w:ind w:firstLine="0" w:firstLineChars="0"/>
        <w:jc w:val="left"/>
        <w:textAlignment w:val="baseline"/>
        <w:rPr>
          <w:rFonts w:hint="eastAsia" w:ascii="宋体" w:hAnsi="宋体" w:eastAsia="宋体" w:cs="宋体"/>
          <w:color w:val="auto"/>
          <w:sz w:val="24"/>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宋体" w:hAnsi="宋体" w:eastAsia="宋体" w:cs="宋体"/>
          <w:color w:val="auto"/>
          <w:sz w:val="24"/>
        </w:rPr>
        <w:t>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Start w:id="1251" w:name="_Toc17892"/>
      <w:bookmarkStart w:id="1252" w:name="_Toc19280"/>
      <w:bookmarkStart w:id="1253" w:name="_Toc2887"/>
      <w:bookmarkStart w:id="1254" w:name="_Toc8357"/>
      <w:bookmarkStart w:id="1255" w:name="_Toc24615"/>
      <w:bookmarkStart w:id="1256" w:name="_Toc12102"/>
      <w:bookmarkStart w:id="1257" w:name="_Toc10601"/>
      <w:bookmarkStart w:id="1258" w:name="_Toc32253"/>
      <w:bookmarkStart w:id="1259" w:name="_Toc16622"/>
      <w:bookmarkStart w:id="1260" w:name="_Toc9627"/>
      <w:bookmarkStart w:id="1261" w:name="_Toc1847"/>
    </w:p>
    <w:p w14:paraId="51977388">
      <w:pPr>
        <w:pStyle w:val="569"/>
        <w:autoSpaceDE w:val="0"/>
        <w:autoSpaceDN w:val="0"/>
        <w:spacing w:line="360" w:lineRule="auto"/>
        <w:ind w:firstLine="0" w:firstLineChars="0"/>
        <w:jc w:val="center"/>
        <w:textAlignment w:val="baseline"/>
        <w:rPr>
          <w:rFonts w:hint="eastAsia" w:ascii="宋体" w:hAnsi="宋体" w:eastAsia="宋体" w:cs="宋体"/>
          <w:color w:val="auto"/>
        </w:rPr>
      </w:pPr>
      <w:r>
        <w:rPr>
          <w:rFonts w:hint="eastAsia" w:ascii="宋体" w:hAnsi="宋体" w:eastAsia="宋体" w:cs="宋体"/>
          <w:b/>
          <w:bCs/>
          <w:color w:val="auto"/>
          <w:sz w:val="28"/>
          <w:szCs w:val="28"/>
          <w:lang w:val="en-US" w:eastAsia="zh-CN"/>
        </w:rPr>
        <w:t>（2）</w:t>
      </w:r>
      <w:r>
        <w:rPr>
          <w:rFonts w:hint="eastAsia" w:ascii="宋体" w:hAnsi="宋体" w:eastAsia="宋体" w:cs="宋体"/>
          <w:b/>
          <w:bCs/>
          <w:color w:val="auto"/>
          <w:sz w:val="28"/>
          <w:szCs w:val="28"/>
        </w:rPr>
        <w:t>提供具有独立承担民事责任的能力的证明材料</w:t>
      </w:r>
      <w:bookmarkEnd w:id="1244"/>
      <w:bookmarkEnd w:id="1245"/>
      <w:bookmarkEnd w:id="1251"/>
      <w:bookmarkEnd w:id="1252"/>
      <w:bookmarkEnd w:id="1253"/>
      <w:bookmarkEnd w:id="1254"/>
      <w:bookmarkEnd w:id="1255"/>
      <w:bookmarkEnd w:id="1256"/>
      <w:bookmarkEnd w:id="1257"/>
      <w:bookmarkEnd w:id="1258"/>
      <w:bookmarkEnd w:id="1259"/>
      <w:bookmarkEnd w:id="1260"/>
      <w:bookmarkEnd w:id="1261"/>
    </w:p>
    <w:p w14:paraId="5DE03CC9">
      <w:pPr>
        <w:pStyle w:val="4"/>
        <w:tabs>
          <w:tab w:val="left" w:pos="900"/>
          <w:tab w:val="left" w:pos="1588"/>
        </w:tabs>
        <w:wordWrap w:val="0"/>
        <w:overflowPunct w:val="0"/>
        <w:topLinePunct/>
        <w:adjustRightInd/>
        <w:ind w:left="0" w:firstLine="0"/>
        <w:jc w:val="center"/>
        <w:textAlignment w:val="auto"/>
        <w:rPr>
          <w:rFonts w:hint="eastAsia" w:ascii="宋体" w:hAnsi="宋体" w:eastAsia="宋体" w:cs="宋体"/>
          <w:color w:val="auto"/>
        </w:rPr>
      </w:pPr>
      <w:bookmarkStart w:id="1262" w:name="_Toc1949"/>
      <w:bookmarkStart w:id="1263" w:name="_Toc27526"/>
      <w:bookmarkStart w:id="1264" w:name="_Toc30146"/>
      <w:bookmarkStart w:id="1265" w:name="_Toc21345"/>
      <w:bookmarkStart w:id="1266" w:name="_Toc5232"/>
      <w:bookmarkStart w:id="1267" w:name="_Toc22651"/>
      <w:bookmarkStart w:id="1268" w:name="_Toc13192"/>
      <w:bookmarkStart w:id="1269" w:name="_Toc4872"/>
      <w:bookmarkStart w:id="1270" w:name="_Toc20568"/>
      <w:bookmarkStart w:id="1271" w:name="_Toc8937"/>
      <w:bookmarkStart w:id="1272" w:name="_Toc32342"/>
      <w:bookmarkStart w:id="1273" w:name="_Toc15414"/>
      <w:bookmarkStart w:id="1274" w:name="_Toc1054"/>
      <w:bookmarkStart w:id="1275" w:name="_Toc21998"/>
      <w:bookmarkStart w:id="1276" w:name="_Toc28525"/>
      <w:bookmarkStart w:id="1277" w:name="_Toc31389"/>
      <w:bookmarkStart w:id="1278" w:name="_Toc11620"/>
      <w:bookmarkStart w:id="1279" w:name="_Toc5280"/>
      <w:bookmarkStart w:id="1280" w:name="_Toc1262"/>
      <w:bookmarkStart w:id="1281" w:name="_Toc13025"/>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扫描件电子公章</w:t>
      </w:r>
      <w:r>
        <w:rPr>
          <w:rFonts w:hint="eastAsia" w:ascii="宋体" w:hAnsi="宋体" w:eastAsia="宋体" w:cs="宋体"/>
          <w:color w:val="auto"/>
          <w:sz w:val="24"/>
          <w:szCs w:val="24"/>
        </w:rPr>
        <w:t>）</w:t>
      </w:r>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p>
    <w:p w14:paraId="58A2186E">
      <w:pPr>
        <w:jc w:val="center"/>
        <w:rPr>
          <w:rFonts w:hint="eastAsia" w:ascii="宋体" w:hAnsi="宋体" w:cs="宋体"/>
          <w:color w:val="auto"/>
          <w:sz w:val="24"/>
          <w:lang w:val="en-US" w:eastAsia="zh-CN"/>
        </w:rPr>
      </w:pPr>
      <w:bookmarkStart w:id="1282" w:name="_Toc13488"/>
      <w:bookmarkStart w:id="1283" w:name="_Toc21719"/>
      <w:bookmarkStart w:id="1284" w:name="_Toc18700"/>
      <w:bookmarkStart w:id="1285" w:name="_Toc1417"/>
      <w:bookmarkStart w:id="1286" w:name="_Toc7508"/>
      <w:bookmarkStart w:id="1287" w:name="_Toc25932"/>
      <w:bookmarkStart w:id="1288" w:name="_Toc20522"/>
      <w:bookmarkStart w:id="1289" w:name="_Toc30029"/>
      <w:bookmarkStart w:id="1290" w:name="_Toc14718"/>
      <w:r>
        <w:rPr>
          <w:rFonts w:hint="eastAsia" w:ascii="宋体" w:hAnsi="宋体" w:eastAsia="宋体" w:cs="宋体"/>
          <w:color w:val="auto"/>
          <w:sz w:val="24"/>
        </w:rPr>
        <w:t>具体要求详见</w:t>
      </w:r>
      <w:r>
        <w:rPr>
          <w:rFonts w:hint="eastAsia" w:ascii="宋体" w:hAnsi="宋体" w:eastAsia="宋体" w:cs="宋体"/>
          <w:color w:val="auto"/>
          <w:sz w:val="24"/>
          <w:lang w:val="en-US" w:eastAsia="zh-CN"/>
        </w:rPr>
        <w:t>招标</w:t>
      </w:r>
      <w:r>
        <w:rPr>
          <w:rFonts w:hint="eastAsia" w:ascii="宋体" w:hAnsi="宋体" w:eastAsia="宋体" w:cs="宋体"/>
          <w:color w:val="auto"/>
          <w:sz w:val="24"/>
          <w:lang w:eastAsia="zh-CN"/>
        </w:rPr>
        <w:t>文件“</w:t>
      </w:r>
      <w:r>
        <w:rPr>
          <w:rFonts w:hint="eastAsia" w:ascii="宋体" w:hAnsi="宋体" w:eastAsia="宋体" w:cs="宋体"/>
          <w:color w:val="auto"/>
          <w:sz w:val="24"/>
          <w:lang w:eastAsia="zh-CN"/>
        </w:rPr>
        <w:fldChar w:fldCharType="begin"/>
      </w:r>
      <w:r>
        <w:rPr>
          <w:rFonts w:hint="eastAsia" w:ascii="宋体" w:hAnsi="宋体" w:eastAsia="宋体" w:cs="宋体"/>
          <w:color w:val="auto"/>
          <w:sz w:val="24"/>
          <w:lang w:eastAsia="zh-CN"/>
        </w:rPr>
        <w:instrText xml:space="preserve"> HYPERLINK \l _Toc25103 </w:instrText>
      </w:r>
      <w:r>
        <w:rPr>
          <w:rFonts w:hint="eastAsia" w:ascii="宋体" w:hAnsi="宋体" w:eastAsia="宋体" w:cs="宋体"/>
          <w:color w:val="auto"/>
          <w:sz w:val="24"/>
          <w:lang w:eastAsia="zh-CN"/>
        </w:rPr>
        <w:fldChar w:fldCharType="separate"/>
      </w:r>
      <w:r>
        <w:rPr>
          <w:rFonts w:hint="eastAsia" w:ascii="宋体" w:hAnsi="宋体" w:eastAsia="宋体" w:cs="宋体"/>
          <w:color w:val="auto"/>
          <w:sz w:val="24"/>
          <w:lang w:eastAsia="zh-CN"/>
        </w:rPr>
        <w:t>第一章</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eastAsia="zh-CN"/>
        </w:rPr>
        <w:t>招标公告</w:t>
      </w:r>
      <w:r>
        <w:rPr>
          <w:rFonts w:hint="eastAsia" w:ascii="宋体" w:hAnsi="宋体" w:eastAsia="宋体" w:cs="宋体"/>
          <w:color w:val="auto"/>
          <w:sz w:val="24"/>
          <w:lang w:eastAsia="zh-CN"/>
        </w:rPr>
        <w:fldChar w:fldCharType="end"/>
      </w:r>
      <w:r>
        <w:rPr>
          <w:rFonts w:hint="eastAsia" w:ascii="宋体" w:hAnsi="宋体" w:eastAsia="宋体" w:cs="宋体"/>
          <w:color w:val="auto"/>
          <w:sz w:val="24"/>
          <w:lang w:eastAsia="zh-CN"/>
        </w:rPr>
        <w:t>”</w:t>
      </w:r>
      <w:r>
        <w:rPr>
          <w:rFonts w:hint="eastAsia" w:ascii="宋体" w:hAnsi="宋体" w:cs="宋体"/>
          <w:color w:val="auto"/>
          <w:sz w:val="24"/>
          <w:lang w:val="en-US" w:eastAsia="zh-CN"/>
        </w:rPr>
        <w:t>及</w:t>
      </w:r>
      <w:r>
        <w:rPr>
          <w:rFonts w:hint="eastAsia" w:ascii="宋体" w:hAnsi="宋体" w:eastAsia="宋体" w:cs="宋体"/>
          <w:color w:val="auto"/>
          <w:sz w:val="24"/>
          <w:lang w:eastAsia="zh-CN"/>
        </w:rPr>
        <w:t>“</w:t>
      </w:r>
      <w:r>
        <w:rPr>
          <w:rFonts w:hint="eastAsia" w:ascii="宋体" w:hAnsi="宋体" w:cs="宋体"/>
          <w:color w:val="auto"/>
          <w:sz w:val="24"/>
          <w:lang w:val="en-US" w:eastAsia="zh-CN"/>
        </w:rPr>
        <w:t>第三章 评审办法</w:t>
      </w:r>
      <w:r>
        <w:rPr>
          <w:rFonts w:hint="eastAsia" w:ascii="宋体" w:hAnsi="宋体" w:eastAsia="宋体" w:cs="宋体"/>
          <w:color w:val="auto"/>
          <w:sz w:val="24"/>
          <w:lang w:eastAsia="zh-CN"/>
        </w:rPr>
        <w:t>”</w:t>
      </w:r>
      <w:r>
        <w:rPr>
          <w:rFonts w:hint="eastAsia" w:ascii="宋体" w:hAnsi="宋体" w:cs="宋体"/>
          <w:color w:val="auto"/>
          <w:sz w:val="24"/>
          <w:lang w:val="en-US" w:eastAsia="zh-CN"/>
        </w:rPr>
        <w:t>资格审查标准</w:t>
      </w:r>
    </w:p>
    <w:p w14:paraId="6630EC15">
      <w:pPr>
        <w:jc w:val="center"/>
        <w:rPr>
          <w:rFonts w:hint="eastAsia" w:ascii="宋体" w:hAnsi="宋体" w:eastAsia="宋体" w:cs="宋体"/>
          <w:color w:val="auto"/>
          <w:sz w:val="24"/>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宋体" w:hAnsi="宋体" w:eastAsia="宋体" w:cs="宋体"/>
          <w:color w:val="auto"/>
          <w:sz w:val="24"/>
        </w:rPr>
        <w:t>相关要求。</w:t>
      </w:r>
    </w:p>
    <w:p w14:paraId="21859D42">
      <w:pPr>
        <w:jc w:val="center"/>
        <w:rPr>
          <w:rFonts w:hint="eastAsia" w:ascii="宋体" w:hAnsi="宋体" w:eastAsia="宋体" w:cs="宋体"/>
          <w:color w:val="auto"/>
          <w:sz w:val="22"/>
          <w:szCs w:val="22"/>
        </w:rPr>
      </w:pPr>
      <w:r>
        <w:rPr>
          <w:rFonts w:hint="eastAsia" w:ascii="宋体" w:hAnsi="宋体" w:eastAsia="宋体" w:cs="宋体"/>
          <w:b/>
          <w:bCs/>
          <w:color w:val="auto"/>
          <w:sz w:val="28"/>
          <w:szCs w:val="28"/>
          <w:lang w:val="en-US" w:eastAsia="zh-CN"/>
        </w:rPr>
        <w:t>（3）</w:t>
      </w:r>
      <w:r>
        <w:rPr>
          <w:rFonts w:hint="eastAsia" w:ascii="宋体" w:hAnsi="宋体" w:eastAsia="宋体" w:cs="宋体"/>
          <w:b/>
          <w:bCs/>
          <w:color w:val="auto"/>
          <w:sz w:val="28"/>
          <w:szCs w:val="28"/>
        </w:rPr>
        <w:t>法定代表人（负责人）身份证明书</w:t>
      </w:r>
      <w:bookmarkEnd w:id="1282"/>
      <w:bookmarkEnd w:id="1283"/>
      <w:bookmarkEnd w:id="1284"/>
      <w:bookmarkEnd w:id="1285"/>
      <w:bookmarkEnd w:id="1286"/>
      <w:bookmarkEnd w:id="1287"/>
      <w:bookmarkEnd w:id="1288"/>
      <w:bookmarkEnd w:id="1289"/>
      <w:bookmarkEnd w:id="1290"/>
    </w:p>
    <w:p w14:paraId="5AFDD0EA">
      <w:pPr>
        <w:wordWrap w:val="0"/>
        <w:overflowPunct w:val="0"/>
        <w:topLinePunct/>
        <w:spacing w:line="360" w:lineRule="auto"/>
        <w:rPr>
          <w:rFonts w:hint="eastAsia" w:ascii="宋体" w:hAnsi="宋体" w:eastAsia="宋体" w:cs="宋体"/>
          <w:color w:val="auto"/>
          <w:szCs w:val="21"/>
        </w:rPr>
      </w:pPr>
    </w:p>
    <w:p w14:paraId="54E9F471">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投 标 人</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p>
    <w:p w14:paraId="4B81308A">
      <w:pPr>
        <w:wordWrap w:val="0"/>
        <w:overflowPunct w:val="0"/>
        <w:topLinePunc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p>
    <w:p w14:paraId="54F7856E">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p>
    <w:p w14:paraId="6F1B8F32">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1BB9047D">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14:paraId="5856086B">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    别：</w:t>
      </w:r>
      <w:r>
        <w:rPr>
          <w:rFonts w:hint="eastAsia" w:ascii="宋体" w:hAnsi="宋体" w:eastAsia="宋体" w:cs="宋体"/>
          <w:color w:val="auto"/>
          <w:sz w:val="24"/>
          <w:u w:val="single"/>
        </w:rPr>
        <w:t xml:space="preserve">               </w:t>
      </w:r>
    </w:p>
    <w:p w14:paraId="30CB3854">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年    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    务：</w:t>
      </w:r>
      <w:r>
        <w:rPr>
          <w:rFonts w:hint="eastAsia" w:ascii="宋体" w:hAnsi="宋体" w:eastAsia="宋体" w:cs="宋体"/>
          <w:color w:val="auto"/>
          <w:sz w:val="24"/>
          <w:u w:val="single"/>
        </w:rPr>
        <w:t xml:space="preserve">               </w:t>
      </w:r>
    </w:p>
    <w:p w14:paraId="012287B8">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cs="宋体"/>
          <w:color w:val="auto"/>
          <w:sz w:val="24"/>
          <w:lang w:eastAsia="zh-CN"/>
        </w:rPr>
        <w:t>供应商</w:t>
      </w:r>
      <w:r>
        <w:rPr>
          <w:rFonts w:hint="eastAsia" w:ascii="宋体" w:hAnsi="宋体" w:eastAsia="宋体" w:cs="宋体"/>
          <w:color w:val="auto"/>
          <w:sz w:val="24"/>
        </w:rPr>
        <w:t>名称）的法定代表人（负责人）。</w:t>
      </w:r>
    </w:p>
    <w:p w14:paraId="794E3EEB">
      <w:pPr>
        <w:wordWrap w:val="0"/>
        <w:overflowPunct w:val="0"/>
        <w:topLinePunct/>
        <w:spacing w:line="360" w:lineRule="auto"/>
        <w:rPr>
          <w:rFonts w:hint="eastAsia" w:ascii="宋体" w:hAnsi="宋体" w:eastAsia="宋体" w:cs="宋体"/>
          <w:b/>
          <w:color w:val="auto"/>
          <w:szCs w:val="21"/>
        </w:rPr>
      </w:pPr>
      <w:r>
        <w:rPr>
          <w:rFonts w:hint="eastAsia" w:ascii="宋体" w:hAnsi="宋体" w:eastAsia="宋体" w:cs="宋体"/>
          <w:color w:val="auto"/>
          <w:sz w:val="24"/>
        </w:rPr>
        <w:t>特此证明。</w:t>
      </w:r>
    </w:p>
    <w:p w14:paraId="546AE225">
      <w:pPr>
        <w:wordWrap w:val="0"/>
        <w:overflowPunct w:val="0"/>
        <w:topLinePunct/>
        <w:spacing w:line="360" w:lineRule="auto"/>
        <w:rPr>
          <w:rFonts w:hint="eastAsia" w:ascii="宋体" w:hAnsi="宋体" w:eastAsia="宋体" w:cs="宋体"/>
          <w:b/>
          <w:color w:val="auto"/>
          <w:szCs w:val="21"/>
        </w:rPr>
      </w:pPr>
    </w:p>
    <w:p w14:paraId="690EC317">
      <w:pPr>
        <w:wordWrap w:val="0"/>
        <w:overflowPunct w:val="0"/>
        <w:topLinePunct/>
        <w:spacing w:line="360" w:lineRule="auto"/>
        <w:rPr>
          <w:rFonts w:hint="eastAsia" w:ascii="宋体" w:hAnsi="宋体" w:eastAsia="宋体" w:cs="宋体"/>
          <w:b/>
          <w:color w:val="auto"/>
          <w:szCs w:val="21"/>
        </w:rPr>
      </w:pPr>
    </w:p>
    <w:p w14:paraId="29C0CA9F">
      <w:pPr>
        <w:wordWrap w:val="0"/>
        <w:overflowPunct w:val="0"/>
        <w:topLinePunct/>
        <w:spacing w:line="360" w:lineRule="auto"/>
        <w:rPr>
          <w:rFonts w:hint="eastAsia" w:ascii="宋体" w:hAnsi="宋体" w:eastAsia="宋体" w:cs="宋体"/>
          <w:color w:val="auto"/>
          <w:szCs w:val="21"/>
        </w:rPr>
      </w:pPr>
      <w:r>
        <w:rPr>
          <w:rFonts w:hint="eastAsia" w:ascii="宋体" w:hAnsi="宋体" w:eastAsia="宋体" w:cs="宋体"/>
          <w:b/>
          <w:color w:val="auto"/>
          <w:szCs w:val="21"/>
        </w:rPr>
        <w:t>注：附法定代表人（负责人）身份证原件</w:t>
      </w:r>
      <w:r>
        <w:rPr>
          <w:rFonts w:hint="eastAsia" w:ascii="宋体" w:hAnsi="宋体" w:eastAsia="宋体" w:cs="宋体"/>
          <w:b/>
          <w:color w:val="auto"/>
          <w:szCs w:val="21"/>
          <w:lang w:eastAsia="zh-CN"/>
        </w:rPr>
        <w:t>扫描件</w:t>
      </w:r>
      <w:r>
        <w:rPr>
          <w:rFonts w:hint="eastAsia" w:ascii="宋体" w:hAnsi="宋体" w:eastAsia="宋体" w:cs="宋体"/>
          <w:b/>
          <w:color w:val="auto"/>
          <w:szCs w:val="21"/>
        </w:rPr>
        <w:t>。</w:t>
      </w:r>
    </w:p>
    <w:tbl>
      <w:tblPr>
        <w:tblStyle w:val="67"/>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793"/>
      </w:tblGrid>
      <w:tr w14:paraId="59CA299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2048BBD2">
            <w:pPr>
              <w:wordWrap w:val="0"/>
              <w:overflowPunct w:val="0"/>
              <w:topLinePunct/>
              <w:spacing w:line="460" w:lineRule="exact"/>
              <w:jc w:val="center"/>
              <w:rPr>
                <w:rFonts w:hint="eastAsia" w:ascii="宋体" w:hAnsi="宋体" w:eastAsia="宋体" w:cs="宋体"/>
                <w:color w:val="auto"/>
                <w:szCs w:val="21"/>
              </w:rPr>
            </w:pPr>
            <w:r>
              <w:rPr>
                <w:rFonts w:hint="eastAsia" w:ascii="宋体" w:hAnsi="宋体" w:eastAsia="宋体" w:cs="宋体"/>
                <w:color w:val="auto"/>
                <w:szCs w:val="21"/>
              </w:rPr>
              <w:t>法定代表人（负责人）身份证原件</w:t>
            </w:r>
            <w:r>
              <w:rPr>
                <w:rFonts w:hint="eastAsia" w:ascii="宋体" w:hAnsi="宋体" w:eastAsia="宋体" w:cs="宋体"/>
                <w:color w:val="auto"/>
                <w:szCs w:val="21"/>
                <w:lang w:eastAsia="zh-CN"/>
              </w:rPr>
              <w:t>扫描件</w:t>
            </w:r>
            <w:r>
              <w:rPr>
                <w:rFonts w:hint="eastAsia" w:ascii="宋体" w:hAnsi="宋体" w:eastAsia="宋体" w:cs="宋体"/>
                <w:color w:val="auto"/>
                <w:szCs w:val="21"/>
              </w:rPr>
              <w:t>正面</w:t>
            </w:r>
          </w:p>
        </w:tc>
        <w:tc>
          <w:tcPr>
            <w:tcW w:w="257" w:type="dxa"/>
            <w:tcBorders>
              <w:top w:val="nil"/>
              <w:bottom w:val="nil"/>
            </w:tcBorders>
            <w:vAlign w:val="center"/>
          </w:tcPr>
          <w:p w14:paraId="7AAFEDC8">
            <w:pPr>
              <w:wordWrap w:val="0"/>
              <w:overflowPunct w:val="0"/>
              <w:topLinePunct/>
              <w:spacing w:line="460" w:lineRule="exact"/>
              <w:jc w:val="center"/>
              <w:rPr>
                <w:rFonts w:hint="eastAsia" w:ascii="宋体" w:hAnsi="宋体" w:eastAsia="宋体" w:cs="宋体"/>
                <w:color w:val="auto"/>
                <w:szCs w:val="21"/>
              </w:rPr>
            </w:pPr>
          </w:p>
          <w:p w14:paraId="2A9D4187">
            <w:pPr>
              <w:wordWrap w:val="0"/>
              <w:overflowPunct w:val="0"/>
              <w:topLinePunct/>
              <w:spacing w:line="460" w:lineRule="exact"/>
              <w:jc w:val="center"/>
              <w:rPr>
                <w:rFonts w:hint="eastAsia" w:ascii="宋体" w:hAnsi="宋体" w:eastAsia="宋体" w:cs="宋体"/>
                <w:color w:val="auto"/>
                <w:szCs w:val="21"/>
              </w:rPr>
            </w:pPr>
          </w:p>
        </w:tc>
        <w:tc>
          <w:tcPr>
            <w:tcW w:w="4793" w:type="dxa"/>
            <w:vAlign w:val="center"/>
          </w:tcPr>
          <w:p w14:paraId="26255B22">
            <w:pPr>
              <w:wordWrap w:val="0"/>
              <w:overflowPunct w:val="0"/>
              <w:topLinePunct/>
              <w:spacing w:line="460" w:lineRule="exact"/>
              <w:jc w:val="center"/>
              <w:rPr>
                <w:rFonts w:hint="eastAsia" w:ascii="宋体" w:hAnsi="宋体" w:eastAsia="宋体" w:cs="宋体"/>
                <w:color w:val="auto"/>
                <w:szCs w:val="21"/>
              </w:rPr>
            </w:pPr>
            <w:r>
              <w:rPr>
                <w:rFonts w:hint="eastAsia" w:ascii="宋体" w:hAnsi="宋体" w:eastAsia="宋体" w:cs="宋体"/>
                <w:color w:val="auto"/>
                <w:szCs w:val="21"/>
              </w:rPr>
              <w:t>法定代表人（负责人）身份证原件</w:t>
            </w:r>
            <w:r>
              <w:rPr>
                <w:rFonts w:hint="eastAsia" w:ascii="宋体" w:hAnsi="宋体" w:eastAsia="宋体" w:cs="宋体"/>
                <w:color w:val="auto"/>
                <w:szCs w:val="21"/>
                <w:lang w:eastAsia="zh-CN"/>
              </w:rPr>
              <w:t>扫描件</w:t>
            </w:r>
            <w:r>
              <w:rPr>
                <w:rFonts w:hint="eastAsia" w:ascii="宋体" w:hAnsi="宋体" w:eastAsia="宋体" w:cs="宋体"/>
                <w:color w:val="auto"/>
                <w:szCs w:val="21"/>
              </w:rPr>
              <w:t>背面</w:t>
            </w:r>
          </w:p>
        </w:tc>
      </w:tr>
    </w:tbl>
    <w:p w14:paraId="368F31A6">
      <w:pPr>
        <w:wordWrap w:val="0"/>
        <w:overflowPunct w:val="0"/>
        <w:topLinePunct/>
        <w:spacing w:line="360" w:lineRule="auto"/>
        <w:rPr>
          <w:rFonts w:hint="eastAsia" w:ascii="宋体" w:hAnsi="宋体" w:eastAsia="宋体" w:cs="宋体"/>
          <w:color w:val="auto"/>
          <w:szCs w:val="21"/>
        </w:rPr>
      </w:pPr>
    </w:p>
    <w:p w14:paraId="311D9D9F">
      <w:pPr>
        <w:wordWrap w:val="0"/>
        <w:overflowPunct w:val="0"/>
        <w:topLinePunct/>
        <w:spacing w:line="360" w:lineRule="auto"/>
        <w:jc w:val="center"/>
        <w:outlineLvl w:val="2"/>
        <w:rPr>
          <w:rFonts w:hint="eastAsia" w:ascii="宋体" w:hAnsi="宋体" w:eastAsia="宋体" w:cs="宋体"/>
          <w:color w:val="auto"/>
          <w:sz w:val="24"/>
        </w:rPr>
      </w:pPr>
      <w:bookmarkStart w:id="1291" w:name="_Toc15523"/>
      <w:bookmarkStart w:id="1292" w:name="_Toc29647"/>
      <w:bookmarkStart w:id="1293" w:name="_Toc27032"/>
      <w:bookmarkStart w:id="1294" w:name="_Toc14214"/>
      <w:bookmarkStart w:id="1295" w:name="_Toc18649"/>
      <w:bookmarkStart w:id="1296" w:name="_Toc16464"/>
      <w:bookmarkStart w:id="1297" w:name="_Toc22906"/>
      <w:bookmarkStart w:id="1298" w:name="_Toc29157"/>
      <w:bookmarkStart w:id="1299" w:name="_Toc10268"/>
      <w:bookmarkStart w:id="1300" w:name="_Toc24067"/>
      <w:bookmarkStart w:id="1301" w:name="_Toc1220"/>
      <w:bookmarkStart w:id="1302" w:name="_Toc22256"/>
      <w:bookmarkStart w:id="1303" w:name="_Toc29456"/>
      <w:bookmarkStart w:id="1304" w:name="_Toc30689"/>
    </w:p>
    <w:p w14:paraId="5B03C0B1">
      <w:pPr>
        <w:wordWrap w:val="0"/>
        <w:overflowPunct w:val="0"/>
        <w:topLinePunct/>
        <w:spacing w:line="360" w:lineRule="auto"/>
        <w:jc w:val="center"/>
        <w:outlineLvl w:val="2"/>
        <w:rPr>
          <w:rFonts w:hint="eastAsia" w:ascii="宋体" w:hAnsi="宋体" w:eastAsia="宋体" w:cs="宋体"/>
          <w:color w:val="auto"/>
          <w:sz w:val="24"/>
        </w:rPr>
      </w:pPr>
      <w:bookmarkStart w:id="1305" w:name="_Toc25270"/>
      <w:bookmarkStart w:id="1306" w:name="_Toc22991"/>
      <w:bookmarkStart w:id="1307" w:name="_Toc10294"/>
      <w:bookmarkStart w:id="1308" w:name="_Toc55"/>
      <w:bookmarkStart w:id="1309" w:name="_Toc30450"/>
      <w:bookmarkStart w:id="1310" w:name="_Toc31219"/>
      <w:bookmarkStart w:id="1311" w:name="_Toc14843"/>
      <w:bookmarkStart w:id="1312" w:name="_Toc27445"/>
      <w:bookmarkStart w:id="1313" w:name="_Toc15985"/>
      <w:bookmarkStart w:id="1314" w:name="_Toc28749"/>
      <w:bookmarkStart w:id="1315" w:name="_Toc9484"/>
      <w:bookmarkStart w:id="1316" w:name="_Toc29348"/>
      <w:bookmarkStart w:id="1317" w:name="_Toc24102"/>
      <w:bookmarkStart w:id="1318" w:name="_Toc21889"/>
      <w:bookmarkStart w:id="1319" w:name="_Toc3578"/>
      <w:bookmarkStart w:id="1320" w:name="_Toc15051"/>
      <w:bookmarkStart w:id="1321" w:name="_Toc32741"/>
      <w:bookmarkStart w:id="1322" w:name="_Toc31415"/>
      <w:bookmarkStart w:id="1323" w:name="_Toc28300"/>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p>
    <w:p w14:paraId="6001AF19">
      <w:pPr>
        <w:wordWrap w:val="0"/>
        <w:overflowPunct w:val="0"/>
        <w:topLinePunct/>
        <w:spacing w:line="360" w:lineRule="auto"/>
        <w:jc w:val="center"/>
        <w:outlineLvl w:val="1"/>
        <w:rPr>
          <w:rFonts w:hint="eastAsia" w:ascii="宋体" w:hAnsi="宋体" w:eastAsia="宋体" w:cs="宋体"/>
          <w:color w:val="auto"/>
          <w:sz w:val="24"/>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bookmarkStart w:id="1324" w:name="_Toc17725"/>
      <w:bookmarkStart w:id="1325" w:name="_Toc2876"/>
      <w:bookmarkStart w:id="1326" w:name="_Toc23117"/>
      <w:bookmarkStart w:id="1327" w:name="_Toc12133"/>
      <w:bookmarkStart w:id="1328" w:name="_Toc6752"/>
      <w:bookmarkStart w:id="1329" w:name="_Toc31942"/>
      <w:bookmarkStart w:id="1330" w:name="_Toc26113"/>
      <w:bookmarkStart w:id="1331" w:name="_Toc23274"/>
      <w:bookmarkStart w:id="1332" w:name="_Toc6487"/>
      <w:bookmarkStart w:id="1333" w:name="_Toc22685"/>
      <w:bookmarkStart w:id="1334" w:name="_Toc20508"/>
      <w:bookmarkStart w:id="1335" w:name="_Toc23556"/>
      <w:bookmarkStart w:id="1336" w:name="_Toc20023"/>
      <w:bookmarkStart w:id="1337" w:name="_Toc28135"/>
      <w:bookmarkStart w:id="1338" w:name="_Toc11794"/>
      <w:bookmarkStart w:id="1339" w:name="_Toc10705"/>
      <w:bookmarkStart w:id="1340" w:name="_Toc11384"/>
      <w:bookmarkStart w:id="1341" w:name="_Toc18576"/>
      <w:bookmarkStart w:id="1342" w:name="_Toc32288"/>
      <w:bookmarkStart w:id="1343" w:name="_Toc15294"/>
      <w:bookmarkStart w:id="1344" w:name="_Toc18846"/>
      <w:bookmarkStart w:id="1345" w:name="_Toc4487"/>
      <w:bookmarkStart w:id="1346" w:name="_Toc23390"/>
      <w:bookmarkStart w:id="1347" w:name="_Toc9847"/>
      <w:bookmarkStart w:id="1348" w:name="_Toc2136"/>
      <w:bookmarkStart w:id="1349" w:name="_Toc19695"/>
      <w:bookmarkStart w:id="1350" w:name="_Toc14874"/>
      <w:bookmarkStart w:id="1351" w:name="_Toc8856"/>
      <w:bookmarkStart w:id="1352" w:name="_Toc23041"/>
      <w:bookmarkStart w:id="1353" w:name="_Toc12658"/>
      <w:bookmarkStart w:id="1354" w:name="_Toc22087"/>
      <w:bookmarkStart w:id="1355" w:name="_Toc11921"/>
      <w:r>
        <w:rPr>
          <w:rFonts w:hint="eastAsia" w:ascii="宋体" w:hAnsi="宋体" w:eastAsia="宋体" w:cs="宋体"/>
          <w:color w:val="auto"/>
          <w:sz w:val="24"/>
        </w:rPr>
        <w:t>日期：</w:t>
      </w:r>
      <w:r>
        <w:rPr>
          <w:rFonts w:hint="eastAsia" w:ascii="宋体" w:hAnsi="宋体" w:eastAsia="宋体" w:cs="宋体"/>
          <w:color w:val="auto"/>
          <w:sz w:val="24"/>
          <w:u w:val="single"/>
        </w:rPr>
        <w:t xml:space="preserve">        </w:t>
      </w:r>
      <w:bookmarkStart w:id="1356" w:name="_Toc1763"/>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Start w:id="1357" w:name="_Toc30636"/>
      <w:bookmarkStart w:id="1358" w:name="_Toc89951846"/>
      <w:bookmarkStart w:id="1359" w:name="_Toc22693"/>
      <w:bookmarkStart w:id="1360" w:name="_Toc10117038"/>
      <w:bookmarkStart w:id="1361" w:name="_Toc16490"/>
      <w:bookmarkStart w:id="1362" w:name="_Toc8164"/>
      <w:bookmarkStart w:id="1363" w:name="_Toc16717"/>
      <w:bookmarkStart w:id="1364" w:name="_Toc27274"/>
      <w:bookmarkStart w:id="1365" w:name="_Toc18667"/>
      <w:bookmarkStart w:id="1366" w:name="_Toc18991"/>
      <w:bookmarkStart w:id="1367" w:name="_Toc17855"/>
      <w:bookmarkStart w:id="1368" w:name="_Toc6637"/>
      <w:bookmarkStart w:id="1369" w:name="_Toc17641"/>
      <w:bookmarkStart w:id="1370" w:name="_Toc22953"/>
      <w:bookmarkStart w:id="1371" w:name="_Toc20369"/>
      <w:bookmarkStart w:id="1372" w:name="_Toc13689"/>
      <w:bookmarkStart w:id="1373" w:name="_Toc14073"/>
      <w:bookmarkStart w:id="1374" w:name="_Toc5043"/>
      <w:bookmarkStart w:id="1375" w:name="_Toc21113"/>
      <w:bookmarkStart w:id="1376" w:name="_Toc5395"/>
      <w:bookmarkStart w:id="1377" w:name="_Toc20029"/>
      <w:bookmarkStart w:id="1378" w:name="_Toc19112"/>
      <w:bookmarkStart w:id="1379" w:name="_Toc18494"/>
      <w:bookmarkStart w:id="1380" w:name="_Toc30066"/>
      <w:bookmarkStart w:id="1381" w:name="_Toc5101"/>
      <w:bookmarkStart w:id="1382" w:name="_Toc23322"/>
      <w:bookmarkStart w:id="1383" w:name="_Toc2962"/>
      <w:bookmarkStart w:id="1384" w:name="_Toc4950"/>
    </w:p>
    <w:p w14:paraId="5B49BE61">
      <w:pPr>
        <w:wordWrap w:val="0"/>
        <w:overflowPunct w:val="0"/>
        <w:topLinePunct/>
        <w:spacing w:line="360" w:lineRule="auto"/>
        <w:jc w:val="center"/>
        <w:outlineLvl w:val="1"/>
        <w:rPr>
          <w:rFonts w:hint="eastAsia" w:ascii="宋体" w:hAnsi="宋体" w:eastAsia="宋体" w:cs="宋体"/>
          <w:b/>
          <w:bCs/>
          <w:color w:val="auto"/>
          <w:sz w:val="21"/>
          <w:szCs w:val="21"/>
        </w:rPr>
      </w:pPr>
      <w:bookmarkStart w:id="1385" w:name="_Toc17381"/>
      <w:bookmarkStart w:id="1386" w:name="_Toc20637"/>
      <w:bookmarkStart w:id="1387" w:name="_Toc26278"/>
      <w:r>
        <w:rPr>
          <w:rFonts w:hint="eastAsia" w:ascii="宋体" w:hAnsi="宋体" w:eastAsia="宋体" w:cs="宋体"/>
          <w:b/>
          <w:bCs/>
          <w:color w:val="auto"/>
          <w:sz w:val="28"/>
          <w:szCs w:val="28"/>
        </w:rPr>
        <w:t>法定代表人（负责人）授权委托书</w:t>
      </w:r>
      <w:bookmarkEnd w:id="1357"/>
      <w:bookmarkEnd w:id="1358"/>
      <w:bookmarkEnd w:id="1359"/>
      <w:bookmarkEnd w:id="1360"/>
      <w:r>
        <w:rPr>
          <w:rFonts w:hint="eastAsia" w:ascii="宋体" w:hAnsi="宋体" w:eastAsia="宋体" w:cs="宋体"/>
          <w:b/>
          <w:bCs/>
          <w:color w:val="auto"/>
          <w:sz w:val="28"/>
          <w:szCs w:val="28"/>
        </w:rPr>
        <w:t>（若有）</w:t>
      </w:r>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p>
    <w:p w14:paraId="3DB0480A">
      <w:pPr>
        <w:wordWrap w:val="0"/>
        <w:overflowPunct w:val="0"/>
        <w:topLinePunct/>
        <w:spacing w:line="360" w:lineRule="auto"/>
        <w:rPr>
          <w:rFonts w:hint="eastAsia" w:ascii="宋体" w:hAnsi="宋体" w:eastAsia="宋体" w:cs="宋体"/>
          <w:color w:val="auto"/>
          <w:szCs w:val="21"/>
        </w:rPr>
      </w:pPr>
    </w:p>
    <w:p w14:paraId="2D9CEA38">
      <w:pPr>
        <w:wordWrap w:val="0"/>
        <w:overflowPunct w:val="0"/>
        <w:topLinePunct/>
        <w:spacing w:line="360" w:lineRule="auto"/>
        <w:ind w:firstLine="540" w:firstLineChars="225"/>
        <w:rPr>
          <w:rFonts w:hint="eastAsia" w:ascii="宋体" w:hAnsi="宋体" w:eastAsia="宋体" w:cs="宋体"/>
          <w:color w:val="auto"/>
          <w:sz w:val="24"/>
        </w:rPr>
      </w:pPr>
      <w:r>
        <w:rPr>
          <w:rFonts w:hint="eastAsia" w:ascii="宋体" w:hAnsi="宋体" w:eastAsia="宋体" w:cs="宋体"/>
          <w:color w:val="auto"/>
          <w:sz w:val="24"/>
        </w:rPr>
        <w:t>本授权委托书声明：我</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cs="宋体"/>
          <w:color w:val="auto"/>
          <w:sz w:val="24"/>
          <w:u w:val="single"/>
          <w:lang w:eastAsia="zh-CN"/>
        </w:rPr>
        <w:t>供应商</w:t>
      </w:r>
      <w:r>
        <w:rPr>
          <w:rFonts w:hint="eastAsia" w:ascii="宋体" w:hAnsi="宋体" w:eastAsia="宋体" w:cs="宋体"/>
          <w:color w:val="auto"/>
          <w:sz w:val="24"/>
          <w:u w:val="single"/>
        </w:rPr>
        <w:t>名称）</w:t>
      </w:r>
      <w:r>
        <w:rPr>
          <w:rFonts w:hint="eastAsia" w:ascii="宋体" w:hAnsi="宋体" w:eastAsia="宋体" w:cs="宋体"/>
          <w:color w:val="auto"/>
          <w:sz w:val="24"/>
        </w:rPr>
        <w:t>的法定代表人（负责人），现授权委托</w:t>
      </w:r>
      <w:r>
        <w:rPr>
          <w:rFonts w:hint="eastAsia" w:ascii="宋体" w:hAnsi="宋体" w:eastAsia="宋体" w:cs="宋体"/>
          <w:color w:val="auto"/>
          <w:sz w:val="24"/>
          <w:u w:val="single"/>
        </w:rPr>
        <w:t xml:space="preserve">      （</w:t>
      </w:r>
      <w:r>
        <w:rPr>
          <w:rFonts w:hint="eastAsia" w:ascii="宋体" w:hAnsi="宋体" w:cs="宋体"/>
          <w:color w:val="auto"/>
          <w:sz w:val="24"/>
          <w:u w:val="single"/>
          <w:lang w:eastAsia="zh-CN"/>
        </w:rPr>
        <w:t>供应商</w:t>
      </w:r>
      <w:r>
        <w:rPr>
          <w:rFonts w:hint="eastAsia" w:ascii="宋体" w:hAnsi="宋体" w:eastAsia="宋体" w:cs="宋体"/>
          <w:color w:val="auto"/>
          <w:sz w:val="24"/>
          <w:u w:val="single"/>
        </w:rPr>
        <w:t xml:space="preserve">名称）     </w:t>
      </w:r>
      <w:r>
        <w:rPr>
          <w:rFonts w:hint="eastAsia" w:ascii="宋体" w:hAnsi="宋体" w:eastAsia="宋体" w:cs="宋体"/>
          <w:color w:val="auto"/>
          <w:sz w:val="24"/>
        </w:rPr>
        <w:t>的</w:t>
      </w:r>
      <w:r>
        <w:rPr>
          <w:rFonts w:hint="eastAsia" w:ascii="宋体" w:hAnsi="宋体" w:eastAsia="宋体" w:cs="宋体"/>
          <w:color w:val="auto"/>
          <w:sz w:val="24"/>
          <w:u w:val="single"/>
        </w:rPr>
        <w:t xml:space="preserve">    （姓名）    </w:t>
      </w:r>
      <w:r>
        <w:rPr>
          <w:rFonts w:hint="eastAsia" w:ascii="宋体" w:hAnsi="宋体" w:eastAsia="宋体" w:cs="宋体"/>
          <w:color w:val="auto"/>
          <w:sz w:val="24"/>
        </w:rPr>
        <w:t>为我方代理人，以我方名义签署、澄清、说明、补正、递交、撤回、修改（</w:t>
      </w:r>
      <w:r>
        <w:rPr>
          <w:rFonts w:hint="eastAsia" w:ascii="宋体" w:hAnsi="宋体" w:eastAsia="宋体" w:cs="宋体"/>
          <w:color w:val="auto"/>
          <w:sz w:val="24"/>
          <w:lang w:eastAsia="zh-CN"/>
        </w:rPr>
        <w:t>项目名称：</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、项目编号：</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投标文件</w:t>
      </w:r>
      <w:r>
        <w:rPr>
          <w:rFonts w:hint="eastAsia" w:ascii="宋体" w:hAnsi="宋体" w:eastAsia="宋体" w:cs="宋体"/>
          <w:color w:val="auto"/>
          <w:sz w:val="24"/>
        </w:rPr>
        <w:t>、签订合同和处理有关事宜，其法律后果由我方承担。</w:t>
      </w:r>
    </w:p>
    <w:p w14:paraId="4BDD7B3B">
      <w:pPr>
        <w:wordWrap w:val="0"/>
        <w:overflowPunct w:val="0"/>
        <w:topLinePunct/>
        <w:spacing w:line="360" w:lineRule="auto"/>
        <w:ind w:firstLine="540" w:firstLineChars="225"/>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14:paraId="49F8141F">
      <w:pPr>
        <w:wordWrap w:val="0"/>
        <w:overflowPunct w:val="0"/>
        <w:topLinePunct/>
        <w:spacing w:line="360" w:lineRule="auto"/>
        <w:rPr>
          <w:rFonts w:hint="eastAsia" w:ascii="宋体" w:hAnsi="宋体" w:eastAsia="宋体" w:cs="宋体"/>
          <w:color w:val="auto"/>
          <w:sz w:val="24"/>
        </w:rPr>
      </w:pPr>
    </w:p>
    <w:p w14:paraId="4BB04E89">
      <w:pPr>
        <w:wordWrap w:val="0"/>
        <w:overflowPunct w:val="0"/>
        <w:topLinePunct/>
        <w:spacing w:line="360" w:lineRule="auto"/>
        <w:rPr>
          <w:rFonts w:hint="eastAsia" w:ascii="宋体" w:hAnsi="宋体" w:eastAsia="宋体" w:cs="宋体"/>
          <w:color w:val="auto"/>
          <w:sz w:val="24"/>
        </w:rPr>
      </w:pPr>
      <w:r>
        <w:rPr>
          <w:rFonts w:hint="eastAsia" w:ascii="宋体" w:hAnsi="宋体" w:cs="宋体"/>
          <w:color w:val="auto"/>
          <w:sz w:val="24"/>
          <w:lang w:val="en-US" w:eastAsia="zh-CN"/>
        </w:rPr>
        <w:t>供 应 商</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0F8BB436">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法定代表人（负责人）：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电子签章</w:t>
      </w:r>
      <w:r>
        <w:rPr>
          <w:rFonts w:hint="eastAsia" w:ascii="宋体" w:hAnsi="宋体" w:eastAsia="宋体" w:cs="宋体"/>
          <w:color w:val="auto"/>
          <w:sz w:val="24"/>
        </w:rPr>
        <w:t>）</w:t>
      </w:r>
    </w:p>
    <w:p w14:paraId="662E9647">
      <w:pPr>
        <w:wordWrap w:val="0"/>
        <w:overflowPunct w:val="0"/>
        <w:topLinePunc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身份证号码：</w:t>
      </w:r>
      <w:r>
        <w:rPr>
          <w:rFonts w:hint="eastAsia" w:ascii="宋体" w:hAnsi="宋体" w:eastAsia="宋体" w:cs="宋体"/>
          <w:color w:val="auto"/>
          <w:sz w:val="24"/>
          <w:u w:val="single"/>
        </w:rPr>
        <w:t xml:space="preserve">                         </w:t>
      </w:r>
    </w:p>
    <w:p w14:paraId="51A6EF76">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w:t>
      </w:r>
    </w:p>
    <w:p w14:paraId="5AAC7C74">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身份证号码：</w:t>
      </w:r>
      <w:r>
        <w:rPr>
          <w:rFonts w:hint="eastAsia" w:ascii="宋体" w:hAnsi="宋体" w:eastAsia="宋体" w:cs="宋体"/>
          <w:color w:val="auto"/>
          <w:sz w:val="24"/>
          <w:u w:val="single"/>
        </w:rPr>
        <w:t xml:space="preserve">                         </w:t>
      </w:r>
    </w:p>
    <w:p w14:paraId="2383DF71">
      <w:pPr>
        <w:wordWrap w:val="0"/>
        <w:overflowPunct w:val="0"/>
        <w:topLinePunct/>
        <w:spacing w:line="360" w:lineRule="auto"/>
        <w:jc w:val="center"/>
        <w:rPr>
          <w:rFonts w:hint="eastAsia" w:ascii="宋体" w:hAnsi="宋体" w:eastAsia="宋体" w:cs="宋体"/>
          <w:color w:val="auto"/>
          <w:szCs w:val="21"/>
        </w:rPr>
      </w:pPr>
      <w:r>
        <w:rPr>
          <w:rFonts w:hint="eastAsia" w:ascii="宋体" w:hAnsi="宋体" w:eastAsia="宋体" w:cs="宋体"/>
          <w:color w:val="auto"/>
          <w:sz w:val="24"/>
        </w:rPr>
        <w:t>授权委托日期：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121BCEBF">
      <w:pPr>
        <w:wordWrap w:val="0"/>
        <w:overflowPunct w:val="0"/>
        <w:topLinePunct/>
        <w:spacing w:line="360" w:lineRule="auto"/>
        <w:rPr>
          <w:rFonts w:hint="eastAsia" w:ascii="宋体" w:hAnsi="宋体" w:eastAsia="宋体" w:cs="宋体"/>
          <w:color w:val="auto"/>
          <w:szCs w:val="21"/>
        </w:rPr>
      </w:pPr>
    </w:p>
    <w:tbl>
      <w:tblPr>
        <w:tblStyle w:val="67"/>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674"/>
      </w:tblGrid>
      <w:tr w14:paraId="7540C40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3001CA4C">
            <w:pPr>
              <w:wordWrap w:val="0"/>
              <w:overflowPunct w:val="0"/>
              <w:topLinePunct/>
              <w:spacing w:line="460" w:lineRule="exact"/>
              <w:jc w:val="center"/>
              <w:rPr>
                <w:rFonts w:hint="eastAsia" w:ascii="宋体" w:hAnsi="宋体" w:eastAsia="宋体" w:cs="宋体"/>
                <w:color w:val="auto"/>
                <w:szCs w:val="21"/>
              </w:rPr>
            </w:pPr>
            <w:r>
              <w:rPr>
                <w:rFonts w:hint="eastAsia" w:ascii="宋体" w:hAnsi="宋体" w:eastAsia="宋体" w:cs="宋体"/>
                <w:color w:val="auto"/>
                <w:szCs w:val="21"/>
              </w:rPr>
              <w:t>代理人身份证原件</w:t>
            </w:r>
            <w:r>
              <w:rPr>
                <w:rFonts w:hint="eastAsia" w:ascii="宋体" w:hAnsi="宋体" w:eastAsia="宋体" w:cs="宋体"/>
                <w:color w:val="auto"/>
                <w:szCs w:val="21"/>
                <w:lang w:eastAsia="zh-CN"/>
              </w:rPr>
              <w:t>扫描件</w:t>
            </w:r>
            <w:r>
              <w:rPr>
                <w:rFonts w:hint="eastAsia" w:ascii="宋体" w:hAnsi="宋体" w:eastAsia="宋体" w:cs="宋体"/>
                <w:color w:val="auto"/>
                <w:szCs w:val="21"/>
              </w:rPr>
              <w:t>正面</w:t>
            </w:r>
          </w:p>
        </w:tc>
        <w:tc>
          <w:tcPr>
            <w:tcW w:w="257" w:type="dxa"/>
            <w:tcBorders>
              <w:top w:val="nil"/>
              <w:bottom w:val="nil"/>
            </w:tcBorders>
            <w:vAlign w:val="center"/>
          </w:tcPr>
          <w:p w14:paraId="2DF133C1">
            <w:pPr>
              <w:wordWrap w:val="0"/>
              <w:overflowPunct w:val="0"/>
              <w:topLinePunct/>
              <w:spacing w:line="460" w:lineRule="exact"/>
              <w:jc w:val="center"/>
              <w:rPr>
                <w:rFonts w:hint="eastAsia" w:ascii="宋体" w:hAnsi="宋体" w:eastAsia="宋体" w:cs="宋体"/>
                <w:color w:val="auto"/>
                <w:szCs w:val="21"/>
              </w:rPr>
            </w:pPr>
          </w:p>
          <w:p w14:paraId="02F4CE12">
            <w:pPr>
              <w:wordWrap w:val="0"/>
              <w:overflowPunct w:val="0"/>
              <w:topLinePunct/>
              <w:spacing w:line="460" w:lineRule="exact"/>
              <w:jc w:val="center"/>
              <w:rPr>
                <w:rFonts w:hint="eastAsia" w:ascii="宋体" w:hAnsi="宋体" w:eastAsia="宋体" w:cs="宋体"/>
                <w:color w:val="auto"/>
                <w:szCs w:val="21"/>
              </w:rPr>
            </w:pPr>
          </w:p>
        </w:tc>
        <w:tc>
          <w:tcPr>
            <w:tcW w:w="4674" w:type="dxa"/>
            <w:vAlign w:val="center"/>
          </w:tcPr>
          <w:p w14:paraId="292CC7BD">
            <w:pPr>
              <w:wordWrap w:val="0"/>
              <w:overflowPunct w:val="0"/>
              <w:topLinePunct/>
              <w:spacing w:line="460" w:lineRule="exact"/>
              <w:jc w:val="center"/>
              <w:rPr>
                <w:rFonts w:hint="eastAsia" w:ascii="宋体" w:hAnsi="宋体" w:eastAsia="宋体" w:cs="宋体"/>
                <w:color w:val="auto"/>
                <w:szCs w:val="21"/>
              </w:rPr>
            </w:pPr>
            <w:r>
              <w:rPr>
                <w:rFonts w:hint="eastAsia" w:ascii="宋体" w:hAnsi="宋体" w:eastAsia="宋体" w:cs="宋体"/>
                <w:color w:val="auto"/>
                <w:szCs w:val="21"/>
              </w:rPr>
              <w:t>代理人身份证原件</w:t>
            </w:r>
            <w:r>
              <w:rPr>
                <w:rFonts w:hint="eastAsia" w:ascii="宋体" w:hAnsi="宋体" w:eastAsia="宋体" w:cs="宋体"/>
                <w:color w:val="auto"/>
                <w:szCs w:val="21"/>
                <w:lang w:eastAsia="zh-CN"/>
              </w:rPr>
              <w:t>扫描件</w:t>
            </w:r>
            <w:r>
              <w:rPr>
                <w:rFonts w:hint="eastAsia" w:ascii="宋体" w:hAnsi="宋体" w:eastAsia="宋体" w:cs="宋体"/>
                <w:color w:val="auto"/>
                <w:szCs w:val="21"/>
              </w:rPr>
              <w:t>背面</w:t>
            </w:r>
          </w:p>
        </w:tc>
      </w:tr>
    </w:tbl>
    <w:p w14:paraId="6D3ABF08">
      <w:pPr>
        <w:wordWrap w:val="0"/>
        <w:overflowPunct w:val="0"/>
        <w:topLinePunct/>
        <w:spacing w:line="360" w:lineRule="auto"/>
        <w:rPr>
          <w:rFonts w:hint="eastAsia" w:ascii="宋体" w:hAnsi="宋体" w:eastAsia="宋体" w:cs="宋体"/>
          <w:color w:val="auto"/>
          <w:szCs w:val="21"/>
        </w:rPr>
      </w:pPr>
    </w:p>
    <w:p w14:paraId="3F2741B7">
      <w:pPr>
        <w:pStyle w:val="65"/>
        <w:wordWrap w:val="0"/>
        <w:overflowPunct w:val="0"/>
        <w:topLinePunct/>
        <w:spacing w:after="0"/>
        <w:ind w:firstLine="422" w:firstLineChars="200"/>
        <w:jc w:val="left"/>
        <w:rPr>
          <w:rFonts w:hint="eastAsia" w:ascii="宋体" w:hAnsi="宋体" w:eastAsia="宋体" w:cs="宋体"/>
          <w:b/>
          <w:color w:val="auto"/>
          <w:sz w:val="21"/>
          <w:szCs w:val="21"/>
        </w:rPr>
      </w:pPr>
    </w:p>
    <w:p w14:paraId="7A191825">
      <w:pPr>
        <w:pStyle w:val="66"/>
        <w:rPr>
          <w:rFonts w:hint="eastAsia" w:ascii="宋体" w:hAnsi="宋体" w:eastAsia="宋体" w:cs="宋体"/>
          <w:b/>
          <w:color w:val="auto"/>
          <w:sz w:val="21"/>
          <w:szCs w:val="21"/>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宋体" w:hAnsi="宋体" w:eastAsia="宋体" w:cs="宋体"/>
          <w:b/>
          <w:color w:val="auto"/>
          <w:sz w:val="21"/>
          <w:szCs w:val="21"/>
        </w:rPr>
        <w:t>注：附授权委托人身份证原件</w:t>
      </w:r>
      <w:r>
        <w:rPr>
          <w:rFonts w:hint="eastAsia" w:ascii="宋体" w:hAnsi="宋体" w:eastAsia="宋体" w:cs="宋体"/>
          <w:b/>
          <w:color w:val="auto"/>
          <w:sz w:val="21"/>
          <w:szCs w:val="21"/>
          <w:lang w:eastAsia="zh-CN"/>
        </w:rPr>
        <w:t>扫描件</w:t>
      </w:r>
      <w:r>
        <w:rPr>
          <w:rFonts w:hint="eastAsia" w:ascii="宋体" w:hAnsi="宋体" w:eastAsia="宋体" w:cs="宋体"/>
          <w:b/>
          <w:color w:val="auto"/>
          <w:sz w:val="21"/>
          <w:szCs w:val="21"/>
        </w:rPr>
        <w:t>，如</w:t>
      </w:r>
      <w:r>
        <w:rPr>
          <w:rFonts w:hint="eastAsia" w:ascii="宋体" w:hAnsi="宋体" w:cs="宋体"/>
          <w:b/>
          <w:color w:val="auto"/>
          <w:sz w:val="21"/>
          <w:szCs w:val="21"/>
          <w:lang w:eastAsia="zh-CN"/>
        </w:rPr>
        <w:t>供应商</w:t>
      </w:r>
      <w:r>
        <w:rPr>
          <w:rFonts w:hint="eastAsia" w:ascii="宋体" w:hAnsi="宋体" w:eastAsia="宋体" w:cs="宋体"/>
          <w:b/>
          <w:color w:val="auto"/>
          <w:sz w:val="21"/>
          <w:szCs w:val="21"/>
        </w:rPr>
        <w:t>由法定代表人（负责人）亲自签署响应文件并参与相关活动，则不需要办理授权。如有被授权的代理人签署上述文件，则必须按本格式规定填报并提交授权书，否则被授权的代理人将不被认可。</w:t>
      </w:r>
      <w:bookmarkStart w:id="1388" w:name="_Toc3893"/>
      <w:bookmarkStart w:id="1389" w:name="_Toc4894"/>
      <w:bookmarkStart w:id="1390" w:name="_Toc11687"/>
      <w:bookmarkStart w:id="1391" w:name="_Toc2811"/>
      <w:bookmarkStart w:id="1392" w:name="_Toc23833"/>
      <w:bookmarkStart w:id="1393" w:name="_Toc4795"/>
      <w:bookmarkStart w:id="1394" w:name="_Toc21664"/>
      <w:bookmarkStart w:id="1395" w:name="_Toc28918"/>
      <w:bookmarkStart w:id="1396" w:name="_Toc3751"/>
      <w:bookmarkStart w:id="1397" w:name="_Toc24423"/>
      <w:bookmarkStart w:id="1398" w:name="_Toc20304"/>
      <w:bookmarkStart w:id="1399" w:name="_Toc25082"/>
      <w:bookmarkStart w:id="1400" w:name="_Toc30079"/>
      <w:bookmarkStart w:id="1401" w:name="_Toc14030"/>
      <w:bookmarkStart w:id="1402" w:name="_Toc7472"/>
      <w:bookmarkStart w:id="1403" w:name="_Toc5671"/>
      <w:bookmarkStart w:id="1404" w:name="_Toc25299"/>
      <w:bookmarkStart w:id="1405" w:name="_Toc19503"/>
      <w:bookmarkStart w:id="1406" w:name="_Toc18692"/>
      <w:bookmarkStart w:id="1407" w:name="_Toc12747"/>
      <w:bookmarkStart w:id="1408" w:name="_Toc8211"/>
      <w:bookmarkStart w:id="1409" w:name="_Toc4341"/>
    </w:p>
    <w:p w14:paraId="2920A91B">
      <w:pPr>
        <w:pStyle w:val="66"/>
        <w:ind w:left="0" w:leftChars="0" w:firstLine="0" w:firstLineChars="0"/>
        <w:jc w:val="center"/>
        <w:rPr>
          <w:rFonts w:hint="eastAsia" w:ascii="宋体" w:hAnsi="宋体" w:eastAsia="宋体" w:cs="宋体"/>
          <w:b/>
          <w:bCs/>
          <w:color w:val="auto"/>
          <w:sz w:val="32"/>
          <w:szCs w:val="32"/>
        </w:rPr>
      </w:pPr>
      <w:r>
        <w:rPr>
          <w:rFonts w:hint="eastAsia" w:ascii="宋体" w:hAnsi="宋体" w:eastAsia="宋体" w:cs="宋体"/>
          <w:b/>
          <w:bCs/>
          <w:color w:val="auto"/>
          <w:sz w:val="28"/>
          <w:szCs w:val="28"/>
          <w:lang w:val="en-US" w:eastAsia="zh-CN"/>
        </w:rPr>
        <w:t>二</w:t>
      </w:r>
      <w:r>
        <w:rPr>
          <w:rFonts w:hint="eastAsia" w:ascii="宋体" w:hAnsi="宋体" w:eastAsia="宋体" w:cs="宋体"/>
          <w:b/>
          <w:bCs/>
          <w:color w:val="auto"/>
          <w:sz w:val="28"/>
          <w:szCs w:val="28"/>
        </w:rPr>
        <w:t>、具有良好的商业信誉和健全的财务会计制度</w:t>
      </w:r>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r>
        <w:rPr>
          <w:rFonts w:hint="eastAsia" w:ascii="宋体" w:hAnsi="宋体" w:eastAsia="宋体" w:cs="宋体"/>
          <w:b/>
          <w:bCs/>
          <w:color w:val="auto"/>
          <w:sz w:val="28"/>
          <w:szCs w:val="28"/>
          <w:lang w:val="en-US" w:eastAsia="zh-CN"/>
        </w:rPr>
        <w:t>（实质性格式）</w:t>
      </w:r>
      <w:r>
        <w:rPr>
          <w:rFonts w:hint="eastAsia" w:ascii="宋体" w:hAnsi="宋体" w:eastAsia="宋体" w:cs="宋体"/>
          <w:b/>
          <w:bCs/>
          <w:color w:val="auto"/>
          <w:sz w:val="32"/>
          <w:szCs w:val="32"/>
          <w:lang w:val="en-US" w:eastAsia="zh-CN"/>
        </w:rPr>
        <w:t xml:space="preserve"> </w:t>
      </w:r>
    </w:p>
    <w:p w14:paraId="45FEC1FC">
      <w:pPr>
        <w:wordWrap w:val="0"/>
        <w:overflowPunct w:val="0"/>
        <w:topLinePunct/>
        <w:jc w:val="center"/>
        <w:outlineLvl w:val="2"/>
        <w:rPr>
          <w:rFonts w:hint="eastAsia" w:ascii="宋体" w:hAnsi="宋体" w:eastAsia="宋体" w:cs="宋体"/>
          <w:b/>
          <w:bCs/>
          <w:color w:val="auto"/>
          <w:sz w:val="32"/>
          <w:szCs w:val="32"/>
        </w:rPr>
      </w:pPr>
      <w:bookmarkStart w:id="1410" w:name="_Toc27974"/>
      <w:bookmarkStart w:id="1411" w:name="_Toc32074"/>
      <w:bookmarkStart w:id="1412" w:name="_Toc13801"/>
      <w:bookmarkStart w:id="1413" w:name="_Toc21457"/>
      <w:bookmarkStart w:id="1414" w:name="_Toc11588"/>
      <w:bookmarkStart w:id="1415" w:name="_Toc4499"/>
      <w:bookmarkStart w:id="1416" w:name="_Toc18630"/>
      <w:bookmarkStart w:id="1417" w:name="_Toc13341"/>
      <w:bookmarkStart w:id="1418" w:name="_Toc955"/>
      <w:bookmarkStart w:id="1419" w:name="_Toc31866"/>
      <w:bookmarkStart w:id="1420" w:name="_Toc7774"/>
      <w:bookmarkStart w:id="1421" w:name="_Toc28956"/>
      <w:bookmarkStart w:id="1422" w:name="_Toc23018"/>
    </w:p>
    <w:p w14:paraId="77D2E10B">
      <w:pPr>
        <w:wordWrap w:val="0"/>
        <w:overflowPunct w:val="0"/>
        <w:topLinePunct/>
        <w:jc w:val="center"/>
        <w:outlineLvl w:val="2"/>
        <w:rPr>
          <w:rFonts w:hint="eastAsia" w:ascii="宋体" w:hAnsi="宋体" w:eastAsia="宋体" w:cs="宋体"/>
          <w:color w:val="auto"/>
          <w:sz w:val="22"/>
          <w:szCs w:val="21"/>
        </w:rPr>
      </w:pPr>
      <w:bookmarkStart w:id="1423" w:name="_Toc29101"/>
      <w:bookmarkStart w:id="1424" w:name="_Toc6626"/>
      <w:bookmarkStart w:id="1425" w:name="_Toc8129"/>
      <w:bookmarkStart w:id="1426" w:name="_Toc31350"/>
      <w:bookmarkStart w:id="1427" w:name="_Toc4169"/>
      <w:bookmarkStart w:id="1428" w:name="_Toc29924"/>
      <w:bookmarkStart w:id="1429" w:name="_Toc5692"/>
      <w:bookmarkStart w:id="1430" w:name="_Toc22015"/>
      <w:bookmarkStart w:id="1431" w:name="_Toc8588"/>
      <w:bookmarkStart w:id="1432" w:name="_Toc25189"/>
      <w:bookmarkStart w:id="1433" w:name="_Toc8527"/>
      <w:bookmarkStart w:id="1434" w:name="_Toc9153"/>
      <w:bookmarkStart w:id="1435" w:name="_Toc5127"/>
      <w:bookmarkStart w:id="1436" w:name="_Toc18310"/>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1</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rPr>
        <w:t>商业信誉承诺书</w:t>
      </w:r>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p>
    <w:p w14:paraId="7452460F">
      <w:pPr>
        <w:wordWrap w:val="0"/>
        <w:overflowPunct w:val="0"/>
        <w:topLinePunct/>
        <w:spacing w:line="360" w:lineRule="auto"/>
        <w:jc w:val="left"/>
        <w:rPr>
          <w:rFonts w:hint="default" w:ascii="宋体" w:hAnsi="宋体" w:eastAsia="宋体" w:cs="宋体"/>
          <w:color w:val="auto"/>
          <w:sz w:val="24"/>
          <w:u w:val="single"/>
          <w:lang w:val="en-US"/>
        </w:rPr>
      </w:pPr>
      <w:r>
        <w:rPr>
          <w:rFonts w:hint="eastAsia" w:ascii="宋体" w:hAnsi="宋体" w:eastAsia="宋体" w:cs="宋体"/>
          <w:color w:val="auto"/>
          <w:sz w:val="24"/>
        </w:rPr>
        <w:t>致：</w:t>
      </w:r>
      <w:r>
        <w:rPr>
          <w:rFonts w:hint="eastAsia" w:ascii="宋体" w:hAnsi="宋体" w:cs="宋体"/>
          <w:color w:val="auto"/>
          <w:sz w:val="24"/>
          <w:szCs w:val="24"/>
          <w:u w:val="single"/>
          <w:lang w:val="en-US" w:eastAsia="zh-CN"/>
        </w:rPr>
        <w:t>南华县人民医院</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eastAsia="zh-CN"/>
        </w:rPr>
        <w:t xml:space="preserve">楚雄腾凯工程项目管理有限公司 </w:t>
      </w:r>
      <w:r>
        <w:rPr>
          <w:rFonts w:hint="eastAsia" w:ascii="宋体" w:hAnsi="宋体" w:cs="宋体"/>
          <w:i w:val="0"/>
          <w:iCs w:val="0"/>
          <w:color w:val="auto"/>
          <w:sz w:val="24"/>
          <w:szCs w:val="24"/>
          <w:u w:val="single"/>
          <w:lang w:val="en-US" w:eastAsia="zh-CN"/>
        </w:rPr>
        <w:t>（采购代理机构）</w:t>
      </w:r>
    </w:p>
    <w:p w14:paraId="08628C65">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根据贵方组织的（</w:t>
      </w:r>
      <w:r>
        <w:rPr>
          <w:rFonts w:hint="eastAsia" w:ascii="宋体" w:hAnsi="宋体" w:eastAsia="宋体" w:cs="宋体"/>
          <w:color w:val="auto"/>
          <w:sz w:val="24"/>
          <w:lang w:eastAsia="zh-CN"/>
        </w:rPr>
        <w:t>项目名称：</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、项目编号：</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rPr>
        <w:t>）</w:t>
      </w:r>
      <w:r>
        <w:rPr>
          <w:rFonts w:hint="eastAsia" w:ascii="宋体" w:hAnsi="宋体" w:eastAsia="宋体" w:cs="宋体"/>
          <w:color w:val="auto"/>
          <w:sz w:val="24"/>
          <w:u w:val="single"/>
          <w:lang w:eastAsia="zh-CN"/>
        </w:rPr>
        <w:t>公开招标</w:t>
      </w:r>
      <w:r>
        <w:rPr>
          <w:rFonts w:hint="eastAsia" w:ascii="宋体" w:hAnsi="宋体" w:eastAsia="宋体" w:cs="宋体"/>
          <w:color w:val="auto"/>
          <w:sz w:val="24"/>
        </w:rPr>
        <w:t>采购活动的资质审查标准规定，我单位郑重承诺：</w:t>
      </w:r>
    </w:p>
    <w:p w14:paraId="364CD73F">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最近三年内，我方无被责令停业或破产的情况；没有被暂停或取消过投标资格；财产没有被接管或冻结；无骗取中标或严重违约现象；法定代表人、财务及其他部门负责人最近三年内无违反法律法规的行为；未发生过重大责任性质量事故；未受到过行政主管部门的通报和处罚；无不良记录。</w:t>
      </w:r>
    </w:p>
    <w:p w14:paraId="718AC28D">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我方所做上述承诺信息真实有效，若有不实，我方愿意无条件自动放弃投、中标资格，并自愿放弃退还投标保证金。</w:t>
      </w:r>
    </w:p>
    <w:p w14:paraId="00DDEF57">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特此承诺！</w:t>
      </w:r>
    </w:p>
    <w:p w14:paraId="7398805F">
      <w:pPr>
        <w:pStyle w:val="28"/>
        <w:wordWrap w:val="0"/>
        <w:overflowPunct w:val="0"/>
        <w:topLinePunct/>
        <w:ind w:left="0" w:leftChars="0" w:firstLine="0" w:firstLineChars="0"/>
        <w:rPr>
          <w:rFonts w:hint="eastAsia" w:ascii="宋体" w:hAnsi="宋体" w:eastAsia="宋体" w:cs="宋体"/>
          <w:color w:val="auto"/>
        </w:rPr>
      </w:pPr>
    </w:p>
    <w:p w14:paraId="3520B491">
      <w:pPr>
        <w:wordWrap w:val="0"/>
        <w:overflowPunct w:val="0"/>
        <w:topLinePunct/>
        <w:rPr>
          <w:rFonts w:hint="eastAsia" w:ascii="宋体" w:hAnsi="宋体" w:eastAsia="宋体" w:cs="宋体"/>
          <w:color w:val="auto"/>
        </w:rPr>
      </w:pPr>
    </w:p>
    <w:p w14:paraId="5AF25CEA">
      <w:pPr>
        <w:wordWrap w:val="0"/>
        <w:overflowPunct w:val="0"/>
        <w:topLinePunct/>
        <w:spacing w:line="360" w:lineRule="auto"/>
        <w:rPr>
          <w:rFonts w:hint="eastAsia" w:ascii="宋体" w:hAnsi="宋体" w:eastAsia="宋体" w:cs="宋体"/>
          <w:color w:val="auto"/>
          <w:sz w:val="24"/>
        </w:rPr>
      </w:pPr>
    </w:p>
    <w:p w14:paraId="73F561F2">
      <w:pPr>
        <w:wordWrap w:val="0"/>
        <w:overflowPunct w:val="0"/>
        <w:topLinePunct/>
        <w:spacing w:line="360" w:lineRule="auto"/>
        <w:jc w:val="center"/>
        <w:rPr>
          <w:rFonts w:hint="eastAsia" w:ascii="宋体" w:hAnsi="宋体" w:eastAsia="宋体" w:cs="宋体"/>
          <w:color w:val="auto"/>
          <w:sz w:val="24"/>
        </w:rPr>
      </w:pPr>
    </w:p>
    <w:p w14:paraId="0BD8FB36">
      <w:pPr>
        <w:wordWrap w:val="0"/>
        <w:overflowPunct w:val="0"/>
        <w:topLinePunct/>
        <w:spacing w:line="360" w:lineRule="auto"/>
        <w:jc w:val="center"/>
        <w:rPr>
          <w:rFonts w:hint="eastAsia" w:ascii="宋体" w:hAnsi="宋体" w:eastAsia="宋体" w:cs="宋体"/>
          <w:color w:val="auto"/>
          <w:sz w:val="24"/>
        </w:rPr>
      </w:pPr>
    </w:p>
    <w:p w14:paraId="0811ADD8">
      <w:pPr>
        <w:wordWrap w:val="0"/>
        <w:overflowPunct w:val="0"/>
        <w:topLinePunct/>
        <w:spacing w:line="360" w:lineRule="auto"/>
        <w:jc w:val="center"/>
        <w:rPr>
          <w:rFonts w:hint="eastAsia" w:ascii="宋体" w:hAnsi="宋体" w:eastAsia="宋体" w:cs="宋体"/>
          <w:color w:val="auto"/>
          <w:sz w:val="24"/>
        </w:rPr>
      </w:pPr>
    </w:p>
    <w:p w14:paraId="49BC2817">
      <w:pPr>
        <w:wordWrap w:val="0"/>
        <w:overflowPunct w:val="0"/>
        <w:topLinePunct/>
        <w:spacing w:line="360" w:lineRule="auto"/>
        <w:rPr>
          <w:rFonts w:hint="eastAsia" w:ascii="宋体" w:hAnsi="宋体" w:eastAsia="宋体" w:cs="宋体"/>
          <w:color w:val="auto"/>
          <w:sz w:val="24"/>
        </w:rPr>
      </w:pPr>
    </w:p>
    <w:p w14:paraId="090B5C7A">
      <w:pPr>
        <w:wordWrap w:val="0"/>
        <w:overflowPunct w:val="0"/>
        <w:topLinePunct/>
        <w:spacing w:line="360" w:lineRule="auto"/>
        <w:jc w:val="left"/>
        <w:rPr>
          <w:rFonts w:hint="eastAsia" w:ascii="宋体" w:hAnsi="宋体" w:eastAsia="宋体" w:cs="宋体"/>
          <w:color w:val="auto"/>
          <w:sz w:val="24"/>
          <w:lang w:eastAsia="zh-CN"/>
        </w:rPr>
      </w:pPr>
    </w:p>
    <w:p w14:paraId="5F6D5746">
      <w:pPr>
        <w:wordWrap w:val="0"/>
        <w:overflowPunct w:val="0"/>
        <w:topLinePunct/>
        <w:spacing w:line="360" w:lineRule="auto"/>
        <w:jc w:val="left"/>
        <w:rPr>
          <w:rFonts w:hint="eastAsia" w:ascii="宋体" w:hAnsi="宋体" w:eastAsia="宋体" w:cs="宋体"/>
          <w:color w:val="auto"/>
          <w:sz w:val="24"/>
          <w:lang w:eastAsia="zh-CN"/>
        </w:rPr>
      </w:pPr>
    </w:p>
    <w:p w14:paraId="5D4B23F6">
      <w:pPr>
        <w:wordWrap w:val="0"/>
        <w:overflowPunct w:val="0"/>
        <w:topLinePunct/>
        <w:spacing w:line="360" w:lineRule="auto"/>
        <w:jc w:val="left"/>
        <w:rPr>
          <w:rFonts w:hint="eastAsia" w:ascii="宋体" w:hAnsi="宋体" w:eastAsia="宋体" w:cs="宋体"/>
          <w:color w:val="auto"/>
          <w:sz w:val="24"/>
          <w:lang w:eastAsia="zh-CN"/>
        </w:rPr>
      </w:pPr>
    </w:p>
    <w:p w14:paraId="7018FCD8">
      <w:pPr>
        <w:wordWrap w:val="0"/>
        <w:overflowPunct w:val="0"/>
        <w:topLinePunct/>
        <w:spacing w:line="360" w:lineRule="auto"/>
        <w:jc w:val="left"/>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20E18197">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6AA25058">
      <w:pPr>
        <w:pStyle w:val="28"/>
        <w:wordWrap w:val="0"/>
        <w:overflowPunct w:val="0"/>
        <w:topLinePunct/>
        <w:ind w:left="0" w:leftChars="0" w:firstLine="0" w:firstLineChars="0"/>
        <w:jc w:val="left"/>
        <w:rPr>
          <w:rFonts w:hint="eastAsia" w:ascii="宋体" w:hAnsi="宋体" w:eastAsia="宋体" w:cs="宋体"/>
          <w:color w:val="auto"/>
          <w:sz w:val="24"/>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宋体" w:hAnsi="宋体" w:eastAsia="宋体" w:cs="宋体"/>
          <w:color w:val="auto"/>
          <w:sz w:val="24"/>
        </w:rPr>
        <w:t>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6E29DAEB">
      <w:pPr>
        <w:pStyle w:val="28"/>
        <w:wordWrap w:val="0"/>
        <w:overflowPunct w:val="0"/>
        <w:topLinePunct/>
        <w:jc w:val="center"/>
        <w:rPr>
          <w:rFonts w:hint="eastAsia" w:ascii="宋体" w:hAnsi="宋体" w:eastAsia="宋体" w:cs="宋体"/>
          <w:b/>
          <w:color w:val="auto"/>
          <w:sz w:val="32"/>
          <w:szCs w:val="32"/>
        </w:rPr>
      </w:pP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2</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rPr>
        <w:t>具有健全的财务会计制度的承诺函</w:t>
      </w:r>
    </w:p>
    <w:p w14:paraId="0D6B11E9">
      <w:pPr>
        <w:wordWrap w:val="0"/>
        <w:spacing w:line="360" w:lineRule="auto"/>
        <w:jc w:val="left"/>
        <w:rPr>
          <w:rFonts w:hint="eastAsia" w:ascii="宋体" w:hAnsi="宋体" w:eastAsia="宋体" w:cs="宋体"/>
          <w:color w:val="auto"/>
          <w:sz w:val="24"/>
        </w:rPr>
      </w:pPr>
    </w:p>
    <w:p w14:paraId="40A56104">
      <w:pPr>
        <w:wordWrap w:val="0"/>
        <w:spacing w:line="360" w:lineRule="auto"/>
        <w:jc w:val="left"/>
        <w:rPr>
          <w:rFonts w:hint="default" w:ascii="宋体" w:hAnsi="宋体" w:eastAsia="宋体" w:cs="宋体"/>
          <w:color w:val="auto"/>
          <w:kern w:val="0"/>
          <w:sz w:val="24"/>
          <w:lang w:val="en-US" w:eastAsia="zh-CN" w:bidi="ar"/>
        </w:rPr>
      </w:pPr>
      <w:r>
        <w:rPr>
          <w:rFonts w:hint="eastAsia" w:ascii="宋体" w:hAnsi="宋体" w:eastAsia="宋体" w:cs="宋体"/>
          <w:color w:val="auto"/>
          <w:sz w:val="24"/>
        </w:rPr>
        <w:t>致：</w:t>
      </w:r>
      <w:r>
        <w:rPr>
          <w:rFonts w:hint="eastAsia" w:ascii="宋体" w:hAnsi="宋体" w:cs="宋体"/>
          <w:color w:val="auto"/>
          <w:sz w:val="24"/>
          <w:szCs w:val="24"/>
          <w:u w:val="single"/>
          <w:lang w:val="en-US" w:eastAsia="zh-CN"/>
        </w:rPr>
        <w:t>南华县人民医院</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eastAsia="zh-CN"/>
        </w:rPr>
        <w:t xml:space="preserve">楚雄腾凯工程项目管理有限公司 </w:t>
      </w:r>
      <w:r>
        <w:rPr>
          <w:rFonts w:hint="eastAsia" w:ascii="宋体" w:hAnsi="宋体" w:cs="宋体"/>
          <w:i w:val="0"/>
          <w:iCs w:val="0"/>
          <w:color w:val="auto"/>
          <w:sz w:val="24"/>
          <w:szCs w:val="24"/>
          <w:u w:val="single"/>
          <w:lang w:val="en-US" w:eastAsia="zh-CN"/>
        </w:rPr>
        <w:t>（采购代理机构）</w:t>
      </w:r>
    </w:p>
    <w:p w14:paraId="0CFBA673">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1、我公司认真贯彻执行国家有关财务管理的</w:t>
      </w:r>
      <w:r>
        <w:rPr>
          <w:rFonts w:hint="eastAsia" w:ascii="宋体" w:hAnsi="宋体" w:eastAsia="宋体" w:cs="宋体"/>
          <w:color w:val="auto"/>
          <w:sz w:val="24"/>
          <w:lang w:eastAsia="zh-CN"/>
        </w:rPr>
        <w:t>法律法规</w:t>
      </w:r>
      <w:r>
        <w:rPr>
          <w:rFonts w:hint="eastAsia" w:ascii="宋体" w:hAnsi="宋体" w:eastAsia="宋体" w:cs="宋体"/>
          <w:color w:val="auto"/>
          <w:sz w:val="24"/>
        </w:rPr>
        <w:t xml:space="preserve">，确保财务工作的合法性。 </w:t>
      </w:r>
    </w:p>
    <w:p w14:paraId="0F72178B">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2、遵照《</w:t>
      </w:r>
      <w:r>
        <w:rPr>
          <w:rFonts w:hint="eastAsia" w:ascii="宋体" w:hAnsi="宋体" w:eastAsia="宋体" w:cs="宋体"/>
          <w:color w:val="auto"/>
          <w:sz w:val="24"/>
          <w:lang w:eastAsia="zh-CN"/>
        </w:rPr>
        <w:t>中华人民共和国会计法</w:t>
      </w:r>
      <w:r>
        <w:rPr>
          <w:rFonts w:hint="eastAsia" w:ascii="宋体" w:hAnsi="宋体" w:cs="宋体"/>
          <w:color w:val="auto"/>
          <w:sz w:val="24"/>
          <w:lang w:eastAsia="zh-CN"/>
        </w:rPr>
        <w:t>》《</w:t>
      </w:r>
      <w:r>
        <w:rPr>
          <w:rFonts w:hint="eastAsia" w:ascii="宋体" w:hAnsi="宋体" w:eastAsia="宋体" w:cs="宋体"/>
          <w:color w:val="auto"/>
          <w:sz w:val="24"/>
        </w:rPr>
        <w:t>企业会计准则》和国家相关法规要求，建立账册、财务制度。</w:t>
      </w:r>
    </w:p>
    <w:p w14:paraId="3AC88C3D">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3、及时进行账务处理和财务报表出具，分析财务预算、计划的执行情况，检查监督财务纪律的执行情况。</w:t>
      </w:r>
    </w:p>
    <w:p w14:paraId="1C34E9C1">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4、积极为经营管理服务，通过财务监督发现问题，提出改进意见，促进公司取得较好的经济效益。</w:t>
      </w:r>
    </w:p>
    <w:p w14:paraId="35753000">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5、积极主动与有关机构及财政、税务、银行部门沟通，及时掌握相关法律法规的变化，有效规范财务工作，及时提供财务报表和有关资料。</w:t>
      </w:r>
    </w:p>
    <w:p w14:paraId="6419FF20">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6、及时依法上缴各项税收，在合规合法条件下做好纳税筹划等。</w:t>
      </w:r>
    </w:p>
    <w:p w14:paraId="34C4262C">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7、自觉接受财政、税务、审计等部门的监督，如实提供会计凭证、会计账簿、会计报表和其他会计资料以及有关情况，不拒绝、隐匿、谎报。</w:t>
      </w:r>
    </w:p>
    <w:p w14:paraId="722BE0B4">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我公司承诺严格执行国家统一的会计</w:t>
      </w:r>
      <w:r>
        <w:rPr>
          <w:rFonts w:hint="eastAsia" w:ascii="宋体" w:hAnsi="宋体" w:eastAsia="宋体" w:cs="宋体"/>
          <w:color w:val="auto"/>
          <w:sz w:val="24"/>
          <w:lang w:eastAsia="zh-CN"/>
        </w:rPr>
        <w:t>法律法规</w:t>
      </w:r>
      <w:r>
        <w:rPr>
          <w:rFonts w:hint="eastAsia" w:ascii="宋体" w:hAnsi="宋体" w:eastAsia="宋体" w:cs="宋体"/>
          <w:color w:val="auto"/>
          <w:sz w:val="24"/>
        </w:rPr>
        <w:t xml:space="preserve">，具有健全的财务会计制度如查询我公司有违反国家法律法规所规定，我公司将自愿接受处罚。 </w:t>
      </w:r>
    </w:p>
    <w:p w14:paraId="6BD7C6C9">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特此承诺!</w:t>
      </w:r>
    </w:p>
    <w:p w14:paraId="6AB87727">
      <w:pPr>
        <w:wordWrap w:val="0"/>
        <w:overflowPunct w:val="0"/>
        <w:topLinePunct/>
        <w:spacing w:line="360" w:lineRule="auto"/>
        <w:jc w:val="both"/>
        <w:rPr>
          <w:rFonts w:hint="eastAsia" w:ascii="宋体" w:hAnsi="宋体" w:eastAsia="宋体" w:cs="宋体"/>
          <w:color w:val="auto"/>
          <w:sz w:val="24"/>
        </w:rPr>
      </w:pPr>
    </w:p>
    <w:p w14:paraId="64F83A74">
      <w:pPr>
        <w:wordWrap w:val="0"/>
        <w:overflowPunct w:val="0"/>
        <w:topLinePunct/>
        <w:spacing w:line="360" w:lineRule="auto"/>
        <w:jc w:val="left"/>
        <w:rPr>
          <w:rFonts w:hint="eastAsia" w:ascii="宋体" w:hAnsi="宋体" w:eastAsia="宋体" w:cs="宋体"/>
          <w:color w:val="auto"/>
          <w:sz w:val="24"/>
          <w:lang w:eastAsia="zh-CN"/>
        </w:rPr>
      </w:pPr>
    </w:p>
    <w:p w14:paraId="02149FFF">
      <w:pPr>
        <w:wordWrap w:val="0"/>
        <w:overflowPunct w:val="0"/>
        <w:topLinePunct/>
        <w:spacing w:line="360" w:lineRule="auto"/>
        <w:jc w:val="left"/>
        <w:rPr>
          <w:rFonts w:hint="eastAsia" w:ascii="宋体" w:hAnsi="宋体" w:eastAsia="宋体" w:cs="宋体"/>
          <w:color w:val="auto"/>
          <w:sz w:val="24"/>
          <w:lang w:eastAsia="zh-CN"/>
        </w:rPr>
      </w:pPr>
    </w:p>
    <w:p w14:paraId="1AA23CCF">
      <w:pPr>
        <w:wordWrap w:val="0"/>
        <w:overflowPunct w:val="0"/>
        <w:topLinePunct/>
        <w:spacing w:line="360" w:lineRule="auto"/>
        <w:jc w:val="left"/>
        <w:rPr>
          <w:rFonts w:hint="eastAsia" w:ascii="宋体" w:hAnsi="宋体" w:eastAsia="宋体" w:cs="宋体"/>
          <w:color w:val="auto"/>
          <w:sz w:val="24"/>
          <w:lang w:eastAsia="zh-CN"/>
        </w:rPr>
      </w:pPr>
    </w:p>
    <w:p w14:paraId="7D86236A">
      <w:pPr>
        <w:wordWrap w:val="0"/>
        <w:overflowPunct w:val="0"/>
        <w:topLinePunct/>
        <w:spacing w:line="360" w:lineRule="auto"/>
        <w:jc w:val="left"/>
        <w:rPr>
          <w:rFonts w:hint="eastAsia" w:ascii="宋体" w:hAnsi="宋体" w:eastAsia="宋体" w:cs="宋体"/>
          <w:color w:val="auto"/>
          <w:sz w:val="24"/>
          <w:lang w:eastAsia="zh-CN"/>
        </w:rPr>
      </w:pPr>
    </w:p>
    <w:p w14:paraId="46C1E21F">
      <w:pPr>
        <w:wordWrap w:val="0"/>
        <w:overflowPunct w:val="0"/>
        <w:topLinePunct/>
        <w:spacing w:line="360" w:lineRule="auto"/>
        <w:jc w:val="left"/>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77DC6D61">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131DD645">
      <w:pPr>
        <w:pStyle w:val="66"/>
        <w:ind w:left="0" w:leftChars="0" w:firstLine="0" w:firstLineChars="0"/>
        <w:jc w:val="left"/>
        <w:rPr>
          <w:rFonts w:hint="eastAsia" w:ascii="宋体" w:hAnsi="宋体" w:eastAsia="宋体" w:cs="宋体"/>
          <w:color w:val="auto"/>
          <w:sz w:val="24"/>
          <w:szCs w:val="24"/>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bookmarkStart w:id="1437" w:name="_Toc14277"/>
      <w:bookmarkStart w:id="1438" w:name="_Toc24317"/>
      <w:bookmarkStart w:id="1439" w:name="_Toc17428"/>
      <w:bookmarkStart w:id="1440" w:name="_Toc26191"/>
      <w:bookmarkStart w:id="1441" w:name="_Toc23539"/>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bookmarkEnd w:id="1437"/>
      <w:bookmarkEnd w:id="1438"/>
      <w:bookmarkEnd w:id="1439"/>
      <w:bookmarkEnd w:id="1440"/>
      <w:bookmarkEnd w:id="1441"/>
      <w:bookmarkStart w:id="1442" w:name="_Toc11047"/>
      <w:bookmarkStart w:id="1443" w:name="_Toc9776"/>
      <w:bookmarkStart w:id="1444" w:name="_Toc21554"/>
      <w:bookmarkStart w:id="1445" w:name="_Toc11937"/>
      <w:bookmarkStart w:id="1446" w:name="_Toc29390"/>
      <w:bookmarkStart w:id="1447" w:name="_Toc16253"/>
      <w:bookmarkStart w:id="1448" w:name="_Toc29987"/>
      <w:bookmarkStart w:id="1449" w:name="_Toc25957"/>
      <w:bookmarkStart w:id="1450" w:name="_Toc32727"/>
      <w:bookmarkStart w:id="1451" w:name="_Toc6785"/>
      <w:bookmarkStart w:id="1452" w:name="_Toc18160"/>
      <w:bookmarkStart w:id="1453" w:name="_Toc32653"/>
      <w:bookmarkStart w:id="1454" w:name="_Toc32071"/>
      <w:bookmarkStart w:id="1455" w:name="_Toc3873"/>
      <w:bookmarkStart w:id="1456" w:name="_Toc24217"/>
      <w:bookmarkStart w:id="1457" w:name="_Toc9048"/>
      <w:bookmarkStart w:id="1458" w:name="_Toc16897"/>
    </w:p>
    <w:p w14:paraId="67B33145">
      <w:pPr>
        <w:pStyle w:val="66"/>
        <w:ind w:left="0" w:leftChars="0" w:firstLine="0" w:firstLineChars="0"/>
        <w:jc w:val="center"/>
        <w:rPr>
          <w:rFonts w:hint="eastAsia" w:ascii="宋体" w:hAnsi="宋体" w:eastAsia="宋体" w:cs="宋体"/>
          <w:b/>
          <w:bCs/>
          <w:color w:val="auto"/>
          <w:kern w:val="0"/>
          <w:sz w:val="28"/>
          <w:szCs w:val="28"/>
          <w:lang w:bidi="ar"/>
        </w:rPr>
      </w:pPr>
      <w:r>
        <w:rPr>
          <w:rFonts w:hint="eastAsia" w:ascii="宋体" w:hAnsi="宋体" w:eastAsia="宋体" w:cs="宋体"/>
          <w:b/>
          <w:bCs/>
          <w:color w:val="auto"/>
          <w:sz w:val="28"/>
          <w:szCs w:val="28"/>
          <w:lang w:val="en-US" w:eastAsia="zh-CN"/>
        </w:rPr>
        <w:t>三</w:t>
      </w:r>
      <w:r>
        <w:rPr>
          <w:rFonts w:hint="eastAsia" w:ascii="宋体" w:hAnsi="宋体" w:eastAsia="宋体" w:cs="宋体"/>
          <w:b/>
          <w:bCs/>
          <w:color w:val="auto"/>
          <w:sz w:val="28"/>
          <w:szCs w:val="28"/>
        </w:rPr>
        <w:t>、</w:t>
      </w:r>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r>
        <w:rPr>
          <w:rFonts w:hint="eastAsia" w:ascii="宋体" w:hAnsi="宋体" w:eastAsia="宋体" w:cs="宋体"/>
          <w:b/>
          <w:bCs/>
          <w:color w:val="auto"/>
          <w:kern w:val="0"/>
          <w:sz w:val="28"/>
          <w:szCs w:val="28"/>
          <w:lang w:bidi="ar"/>
        </w:rPr>
        <w:t>具有履行合同所必需的设备和专业技术能力的承诺函</w:t>
      </w:r>
      <w:r>
        <w:rPr>
          <w:rFonts w:hint="eastAsia" w:ascii="宋体" w:hAnsi="宋体" w:eastAsia="宋体" w:cs="宋体"/>
          <w:b/>
          <w:bCs/>
          <w:color w:val="auto"/>
          <w:kern w:val="0"/>
          <w:sz w:val="28"/>
          <w:szCs w:val="28"/>
          <w:lang w:val="en-US" w:eastAsia="zh-CN" w:bidi="ar"/>
        </w:rPr>
        <w:t>（实质性格式）</w:t>
      </w:r>
    </w:p>
    <w:p w14:paraId="2F4F9BF8">
      <w:pPr>
        <w:wordWrap w:val="0"/>
        <w:overflowPunct w:val="0"/>
        <w:topLinePunct/>
        <w:spacing w:line="360" w:lineRule="auto"/>
        <w:ind w:firstLine="480" w:firstLineChars="200"/>
        <w:jc w:val="left"/>
        <w:rPr>
          <w:rFonts w:hint="eastAsia" w:ascii="宋体" w:hAnsi="宋体" w:eastAsia="宋体" w:cs="宋体"/>
          <w:color w:val="auto"/>
          <w:kern w:val="0"/>
          <w:sz w:val="24"/>
          <w:lang w:bidi="ar"/>
        </w:rPr>
      </w:pPr>
    </w:p>
    <w:p w14:paraId="0739BDB2">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本承诺书声明：本公司参与贵方组织</w:t>
      </w:r>
      <w:r>
        <w:rPr>
          <w:rFonts w:hint="eastAsia" w:ascii="宋体" w:hAnsi="宋体" w:eastAsia="宋体" w:cs="宋体"/>
          <w:color w:val="auto"/>
          <w:sz w:val="24"/>
        </w:rPr>
        <w:t>（</w:t>
      </w:r>
      <w:r>
        <w:rPr>
          <w:rFonts w:hint="eastAsia" w:ascii="宋体" w:hAnsi="宋体" w:eastAsia="宋体" w:cs="宋体"/>
          <w:color w:val="auto"/>
          <w:sz w:val="24"/>
          <w:lang w:eastAsia="zh-CN"/>
        </w:rPr>
        <w:t>项目名称：</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、项目编号：</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rPr>
        <w:t>）</w:t>
      </w:r>
      <w:r>
        <w:rPr>
          <w:rFonts w:hint="eastAsia" w:ascii="宋体" w:hAnsi="宋体" w:eastAsia="宋体" w:cs="宋体"/>
          <w:color w:val="auto"/>
          <w:sz w:val="24"/>
          <w:u w:val="single"/>
          <w:lang w:eastAsia="zh-CN"/>
        </w:rPr>
        <w:t>公开招标</w:t>
      </w:r>
      <w:r>
        <w:rPr>
          <w:rFonts w:hint="eastAsia" w:ascii="宋体" w:hAnsi="宋体" w:eastAsia="宋体" w:cs="宋体"/>
          <w:color w:val="auto"/>
          <w:sz w:val="24"/>
        </w:rPr>
        <w:t>采购活动</w:t>
      </w:r>
      <w:r>
        <w:rPr>
          <w:rFonts w:hint="eastAsia" w:ascii="宋体" w:hAnsi="宋体" w:eastAsia="宋体" w:cs="宋体"/>
          <w:color w:val="auto"/>
          <w:kern w:val="0"/>
          <w:sz w:val="24"/>
          <w:lang w:bidi="ar"/>
        </w:rPr>
        <w:t xml:space="preserve">做出如下承诺： </w:t>
      </w:r>
    </w:p>
    <w:p w14:paraId="142F2ED5">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本公司完全具备履行本项目合同所必需的供货、安装、专业售后团队、培训相关人员能力，随时接受</w:t>
      </w:r>
      <w:r>
        <w:rPr>
          <w:rFonts w:hint="eastAsia" w:ascii="宋体" w:hAnsi="宋体" w:cs="宋体"/>
          <w:color w:val="auto"/>
          <w:kern w:val="0"/>
          <w:sz w:val="24"/>
          <w:lang w:eastAsia="zh-CN" w:bidi="ar"/>
        </w:rPr>
        <w:t>采购人</w:t>
      </w:r>
      <w:r>
        <w:rPr>
          <w:rFonts w:hint="eastAsia" w:ascii="宋体" w:hAnsi="宋体" w:eastAsia="宋体" w:cs="宋体"/>
          <w:color w:val="auto"/>
          <w:kern w:val="0"/>
          <w:sz w:val="24"/>
          <w:lang w:bidi="ar"/>
        </w:rPr>
        <w:t xml:space="preserve">的检查验证。如违反上述承诺，本公司将按照政府采购法有关规定接受处罚，并通过相关政府采购媒体予以公布。 </w:t>
      </w:r>
    </w:p>
    <w:p w14:paraId="6569E093">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其他需要说明的事项（如无可不填报）： </w:t>
      </w:r>
    </w:p>
    <w:p w14:paraId="2630CBFF">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u w:val="single"/>
          <w:lang w:bidi="ar"/>
        </w:rPr>
        <w:t xml:space="preserve">                                                               </w:t>
      </w:r>
      <w:r>
        <w:rPr>
          <w:rFonts w:hint="eastAsia" w:ascii="宋体" w:hAnsi="宋体" w:eastAsia="宋体" w:cs="宋体"/>
          <w:color w:val="auto"/>
          <w:kern w:val="0"/>
          <w:sz w:val="24"/>
          <w:lang w:bidi="ar"/>
        </w:rPr>
        <w:t xml:space="preserve">。 </w:t>
      </w:r>
    </w:p>
    <w:p w14:paraId="406EDC90">
      <w:pPr>
        <w:wordWrap w:val="0"/>
        <w:overflowPunct w:val="0"/>
        <w:topLinePunct/>
        <w:spacing w:line="360" w:lineRule="auto"/>
        <w:ind w:firstLine="480" w:firstLineChars="200"/>
        <w:jc w:val="left"/>
        <w:rPr>
          <w:rFonts w:hint="eastAsia" w:ascii="宋体" w:hAnsi="宋体" w:eastAsia="宋体" w:cs="宋体"/>
          <w:color w:val="auto"/>
        </w:rPr>
      </w:pPr>
      <w:r>
        <w:rPr>
          <w:rFonts w:hint="eastAsia" w:ascii="宋体" w:hAnsi="宋体" w:eastAsia="宋体" w:cs="宋体"/>
          <w:color w:val="auto"/>
          <w:kern w:val="0"/>
          <w:sz w:val="24"/>
          <w:lang w:bidi="ar"/>
        </w:rPr>
        <w:t>特此承诺。</w:t>
      </w:r>
    </w:p>
    <w:p w14:paraId="5403452F">
      <w:pPr>
        <w:wordWrap w:val="0"/>
        <w:overflowPunct w:val="0"/>
        <w:topLinePunct/>
        <w:spacing w:line="360" w:lineRule="auto"/>
        <w:jc w:val="center"/>
        <w:rPr>
          <w:rFonts w:hint="eastAsia" w:ascii="宋体" w:hAnsi="宋体" w:eastAsia="宋体" w:cs="宋体"/>
          <w:color w:val="auto"/>
          <w:sz w:val="24"/>
        </w:rPr>
      </w:pPr>
    </w:p>
    <w:p w14:paraId="4D83C280">
      <w:pPr>
        <w:wordWrap w:val="0"/>
        <w:overflowPunct w:val="0"/>
        <w:topLinePunct/>
        <w:spacing w:line="360" w:lineRule="auto"/>
        <w:jc w:val="center"/>
        <w:rPr>
          <w:rFonts w:hint="eastAsia" w:ascii="宋体" w:hAnsi="宋体" w:eastAsia="宋体" w:cs="宋体"/>
          <w:color w:val="auto"/>
          <w:sz w:val="24"/>
        </w:rPr>
      </w:pPr>
    </w:p>
    <w:p w14:paraId="3F214B78">
      <w:pPr>
        <w:wordWrap w:val="0"/>
        <w:overflowPunct w:val="0"/>
        <w:topLinePunct/>
        <w:spacing w:line="360" w:lineRule="auto"/>
        <w:jc w:val="center"/>
        <w:rPr>
          <w:rFonts w:hint="eastAsia" w:ascii="宋体" w:hAnsi="宋体" w:eastAsia="宋体" w:cs="宋体"/>
          <w:color w:val="auto"/>
          <w:sz w:val="24"/>
        </w:rPr>
      </w:pPr>
    </w:p>
    <w:p w14:paraId="1B01BDE4">
      <w:pPr>
        <w:wordWrap w:val="0"/>
        <w:overflowPunct w:val="0"/>
        <w:topLinePunct/>
        <w:spacing w:line="360" w:lineRule="auto"/>
        <w:jc w:val="both"/>
        <w:rPr>
          <w:rFonts w:hint="eastAsia" w:ascii="宋体" w:hAnsi="宋体" w:eastAsia="宋体" w:cs="宋体"/>
          <w:color w:val="auto"/>
          <w:sz w:val="24"/>
        </w:rPr>
      </w:pPr>
    </w:p>
    <w:p w14:paraId="10C1517E">
      <w:pPr>
        <w:wordWrap w:val="0"/>
        <w:overflowPunct w:val="0"/>
        <w:topLinePunct/>
        <w:spacing w:line="360" w:lineRule="auto"/>
        <w:jc w:val="center"/>
        <w:rPr>
          <w:rFonts w:hint="eastAsia" w:ascii="宋体" w:hAnsi="宋体" w:eastAsia="宋体" w:cs="宋体"/>
          <w:color w:val="auto"/>
          <w:sz w:val="24"/>
        </w:rPr>
      </w:pPr>
    </w:p>
    <w:p w14:paraId="0F36F32B">
      <w:pPr>
        <w:wordWrap w:val="0"/>
        <w:overflowPunct w:val="0"/>
        <w:topLinePunct/>
        <w:spacing w:line="360" w:lineRule="auto"/>
        <w:jc w:val="center"/>
        <w:rPr>
          <w:rFonts w:hint="eastAsia" w:ascii="宋体" w:hAnsi="宋体" w:eastAsia="宋体" w:cs="宋体"/>
          <w:color w:val="auto"/>
          <w:sz w:val="24"/>
        </w:rPr>
      </w:pPr>
    </w:p>
    <w:p w14:paraId="6089B131">
      <w:pPr>
        <w:wordWrap w:val="0"/>
        <w:overflowPunct w:val="0"/>
        <w:topLinePunct/>
        <w:spacing w:line="360" w:lineRule="auto"/>
        <w:jc w:val="center"/>
        <w:rPr>
          <w:rFonts w:hint="eastAsia" w:ascii="宋体" w:hAnsi="宋体" w:eastAsia="宋体" w:cs="宋体"/>
          <w:color w:val="auto"/>
          <w:sz w:val="24"/>
        </w:rPr>
      </w:pPr>
    </w:p>
    <w:p w14:paraId="0CEF8740">
      <w:pPr>
        <w:wordWrap w:val="0"/>
        <w:overflowPunct w:val="0"/>
        <w:topLinePunct/>
        <w:spacing w:line="360" w:lineRule="auto"/>
        <w:rPr>
          <w:rFonts w:hint="eastAsia" w:ascii="宋体" w:hAnsi="宋体" w:eastAsia="宋体" w:cs="宋体"/>
          <w:color w:val="auto"/>
          <w:sz w:val="24"/>
        </w:rPr>
      </w:pPr>
    </w:p>
    <w:p w14:paraId="0563C3F6">
      <w:pPr>
        <w:wordWrap w:val="0"/>
        <w:overflowPunct w:val="0"/>
        <w:topLinePunct/>
        <w:spacing w:line="360" w:lineRule="auto"/>
        <w:jc w:val="center"/>
        <w:rPr>
          <w:rFonts w:hint="eastAsia" w:ascii="宋体" w:hAnsi="宋体" w:eastAsia="宋体" w:cs="宋体"/>
          <w:color w:val="auto"/>
          <w:sz w:val="24"/>
        </w:rPr>
      </w:pPr>
    </w:p>
    <w:p w14:paraId="647456B1">
      <w:pPr>
        <w:wordWrap w:val="0"/>
        <w:overflowPunct w:val="0"/>
        <w:topLinePunct/>
        <w:spacing w:line="360" w:lineRule="auto"/>
        <w:jc w:val="left"/>
        <w:rPr>
          <w:rFonts w:hint="eastAsia" w:ascii="宋体" w:hAnsi="宋体" w:eastAsia="宋体" w:cs="宋体"/>
          <w:color w:val="auto"/>
          <w:sz w:val="24"/>
          <w:lang w:eastAsia="zh-CN"/>
        </w:rPr>
      </w:pPr>
    </w:p>
    <w:p w14:paraId="4DD4C7DF">
      <w:pPr>
        <w:wordWrap w:val="0"/>
        <w:overflowPunct w:val="0"/>
        <w:topLinePunct/>
        <w:spacing w:line="360" w:lineRule="auto"/>
        <w:jc w:val="left"/>
        <w:rPr>
          <w:rFonts w:hint="eastAsia" w:ascii="宋体" w:hAnsi="宋体" w:eastAsia="宋体" w:cs="宋体"/>
          <w:color w:val="auto"/>
          <w:sz w:val="24"/>
          <w:lang w:eastAsia="zh-CN"/>
        </w:rPr>
      </w:pPr>
    </w:p>
    <w:p w14:paraId="0F95F3DC">
      <w:pPr>
        <w:wordWrap w:val="0"/>
        <w:overflowPunct w:val="0"/>
        <w:topLinePunct/>
        <w:spacing w:line="360" w:lineRule="auto"/>
        <w:jc w:val="left"/>
        <w:rPr>
          <w:rFonts w:hint="eastAsia" w:ascii="宋体" w:hAnsi="宋体" w:eastAsia="宋体" w:cs="宋体"/>
          <w:color w:val="auto"/>
          <w:sz w:val="24"/>
          <w:lang w:eastAsia="zh-CN"/>
        </w:rPr>
      </w:pPr>
    </w:p>
    <w:p w14:paraId="10101058">
      <w:pPr>
        <w:wordWrap w:val="0"/>
        <w:overflowPunct w:val="0"/>
        <w:topLinePunct/>
        <w:spacing w:line="360" w:lineRule="auto"/>
        <w:jc w:val="left"/>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0B32E10A">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265F7401">
      <w:pPr>
        <w:pStyle w:val="65"/>
        <w:ind w:left="0" w:leftChars="0" w:firstLine="0" w:firstLineChars="0"/>
        <w:jc w:val="left"/>
        <w:rPr>
          <w:rFonts w:hint="eastAsia" w:ascii="宋体" w:hAnsi="宋体" w:eastAsia="宋体" w:cs="宋体"/>
          <w:color w:val="auto"/>
          <w:sz w:val="24"/>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宋体" w:hAnsi="宋体" w:eastAsia="宋体" w:cs="宋体"/>
          <w:color w:val="auto"/>
          <w:sz w:val="24"/>
        </w:rPr>
        <w:t>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bookmarkStart w:id="1459" w:name="_Toc26614"/>
      <w:bookmarkStart w:id="1460" w:name="_Toc14942"/>
      <w:bookmarkStart w:id="1461" w:name="_Toc28472"/>
      <w:bookmarkStart w:id="1462" w:name="_Toc12656"/>
      <w:bookmarkStart w:id="1463" w:name="_Toc19171"/>
      <w:bookmarkStart w:id="1464" w:name="_Toc15385"/>
    </w:p>
    <w:p w14:paraId="42BE86B5">
      <w:pPr>
        <w:pStyle w:val="65"/>
        <w:ind w:left="0" w:leftChars="0" w:firstLine="0" w:firstLineChars="0"/>
        <w:jc w:val="center"/>
        <w:rPr>
          <w:rFonts w:hint="eastAsia" w:ascii="宋体" w:hAnsi="宋体" w:eastAsia="宋体" w:cs="宋体"/>
          <w:b/>
          <w:bCs/>
          <w:color w:val="auto"/>
          <w:sz w:val="32"/>
          <w:szCs w:val="32"/>
        </w:rPr>
      </w:pPr>
      <w:r>
        <w:rPr>
          <w:rFonts w:hint="eastAsia" w:ascii="宋体" w:hAnsi="宋体" w:eastAsia="宋体" w:cs="宋体"/>
          <w:b/>
          <w:bCs/>
          <w:color w:val="auto"/>
          <w:sz w:val="28"/>
          <w:szCs w:val="28"/>
          <w:lang w:val="en-US" w:eastAsia="zh-CN"/>
        </w:rPr>
        <w:t>四</w:t>
      </w:r>
      <w:r>
        <w:rPr>
          <w:rFonts w:hint="eastAsia" w:ascii="宋体" w:hAnsi="宋体" w:eastAsia="宋体" w:cs="宋体"/>
          <w:b/>
          <w:bCs/>
          <w:color w:val="auto"/>
          <w:sz w:val="28"/>
          <w:szCs w:val="28"/>
        </w:rPr>
        <w:t>、依法缴纳税收和社会保障资金承诺书</w:t>
      </w:r>
      <w:bookmarkEnd w:id="1459"/>
      <w:bookmarkEnd w:id="1460"/>
      <w:bookmarkEnd w:id="1461"/>
      <w:bookmarkEnd w:id="1462"/>
      <w:bookmarkEnd w:id="1463"/>
      <w:bookmarkEnd w:id="1464"/>
      <w:r>
        <w:rPr>
          <w:rFonts w:hint="eastAsia" w:ascii="宋体" w:hAnsi="宋体" w:eastAsia="宋体" w:cs="宋体"/>
          <w:b/>
          <w:bCs/>
          <w:color w:val="auto"/>
          <w:sz w:val="28"/>
          <w:szCs w:val="28"/>
          <w:lang w:val="en-US" w:eastAsia="zh-CN"/>
        </w:rPr>
        <w:t>（实质性格式）</w:t>
      </w:r>
      <w:r>
        <w:rPr>
          <w:rFonts w:hint="eastAsia" w:ascii="宋体" w:hAnsi="宋体" w:eastAsia="宋体" w:cs="宋体"/>
          <w:b/>
          <w:bCs/>
          <w:color w:val="auto"/>
          <w:sz w:val="32"/>
          <w:szCs w:val="32"/>
          <w:lang w:val="en-US" w:eastAsia="zh-CN"/>
        </w:rPr>
        <w:t xml:space="preserve"> </w:t>
      </w:r>
    </w:p>
    <w:p w14:paraId="62192FA9">
      <w:pPr>
        <w:wordWrap w:val="0"/>
        <w:topLinePunct/>
        <w:spacing w:line="360" w:lineRule="auto"/>
        <w:ind w:firstLine="480" w:firstLineChars="200"/>
        <w:jc w:val="left"/>
        <w:rPr>
          <w:rFonts w:hint="eastAsia" w:ascii="宋体" w:hAnsi="宋体" w:eastAsia="宋体" w:cs="宋体"/>
          <w:color w:val="auto"/>
          <w:kern w:val="0"/>
          <w:sz w:val="24"/>
          <w:lang w:bidi="ar"/>
        </w:rPr>
      </w:pPr>
    </w:p>
    <w:p w14:paraId="246F0254">
      <w:pPr>
        <w:wordWrap w:val="0"/>
        <w:topLinePunct/>
        <w:spacing w:line="360" w:lineRule="auto"/>
        <w:jc w:val="left"/>
        <w:rPr>
          <w:rFonts w:hint="eastAsia" w:ascii="宋体" w:hAnsi="宋体" w:eastAsia="宋体" w:cs="宋体"/>
          <w:color w:val="auto"/>
          <w:kern w:val="0"/>
          <w:sz w:val="24"/>
          <w:lang w:bidi="ar"/>
        </w:rPr>
      </w:pPr>
      <w:r>
        <w:rPr>
          <w:rFonts w:hint="eastAsia" w:ascii="宋体" w:hAnsi="宋体" w:eastAsia="宋体" w:cs="宋体"/>
          <w:color w:val="auto"/>
          <w:sz w:val="24"/>
        </w:rPr>
        <w:t>致：</w:t>
      </w:r>
      <w:r>
        <w:rPr>
          <w:rFonts w:hint="eastAsia" w:ascii="宋体" w:hAnsi="宋体" w:cs="宋体"/>
          <w:color w:val="auto"/>
          <w:sz w:val="24"/>
          <w:szCs w:val="24"/>
          <w:u w:val="single"/>
          <w:lang w:val="en-US" w:eastAsia="zh-CN"/>
        </w:rPr>
        <w:t>南华县人民医院</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eastAsia="zh-CN"/>
        </w:rPr>
        <w:t xml:space="preserve">楚雄腾凯工程项目管理有限公司 </w:t>
      </w:r>
      <w:r>
        <w:rPr>
          <w:rFonts w:hint="eastAsia" w:ascii="宋体" w:hAnsi="宋体" w:cs="宋体"/>
          <w:i w:val="0"/>
          <w:iCs w:val="0"/>
          <w:color w:val="auto"/>
          <w:sz w:val="24"/>
          <w:szCs w:val="24"/>
          <w:u w:val="single"/>
          <w:lang w:val="en-US" w:eastAsia="zh-CN"/>
        </w:rPr>
        <w:t>（采购代理机构）</w:t>
      </w:r>
    </w:p>
    <w:p w14:paraId="19101E0B">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本承诺书声明：本公司参与贵方组织的</w:t>
      </w:r>
      <w:r>
        <w:rPr>
          <w:rFonts w:hint="eastAsia" w:ascii="宋体" w:hAnsi="宋体" w:eastAsia="宋体" w:cs="宋体"/>
          <w:color w:val="auto"/>
          <w:sz w:val="24"/>
        </w:rPr>
        <w:t>（</w:t>
      </w:r>
      <w:r>
        <w:rPr>
          <w:rFonts w:hint="eastAsia" w:ascii="宋体" w:hAnsi="宋体" w:eastAsia="宋体" w:cs="宋体"/>
          <w:color w:val="auto"/>
          <w:sz w:val="24"/>
          <w:lang w:eastAsia="zh-CN"/>
        </w:rPr>
        <w:t>项目名称：</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、项目编号：</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rPr>
        <w:t>）</w:t>
      </w:r>
      <w:r>
        <w:rPr>
          <w:rFonts w:hint="eastAsia" w:ascii="宋体" w:hAnsi="宋体" w:eastAsia="宋体" w:cs="宋体"/>
          <w:color w:val="auto"/>
          <w:sz w:val="24"/>
          <w:u w:val="single"/>
          <w:lang w:eastAsia="zh-CN"/>
        </w:rPr>
        <w:t>公开招标</w:t>
      </w:r>
      <w:r>
        <w:rPr>
          <w:rFonts w:hint="eastAsia" w:ascii="宋体" w:hAnsi="宋体" w:eastAsia="宋体" w:cs="宋体"/>
          <w:color w:val="auto"/>
          <w:sz w:val="24"/>
        </w:rPr>
        <w:t>采购活动</w:t>
      </w:r>
      <w:r>
        <w:rPr>
          <w:rFonts w:hint="eastAsia" w:ascii="宋体" w:hAnsi="宋体" w:eastAsia="宋体" w:cs="宋体"/>
          <w:color w:val="auto"/>
          <w:kern w:val="0"/>
          <w:sz w:val="24"/>
          <w:lang w:bidi="ar"/>
        </w:rPr>
        <w:t xml:space="preserve">作出如下承诺： </w:t>
      </w:r>
    </w:p>
    <w:p w14:paraId="2FF8EA5E">
      <w:pPr>
        <w:wordWrap w:val="0"/>
        <w:topLinePunct/>
        <w:spacing w:line="360" w:lineRule="auto"/>
        <w:ind w:firstLine="480" w:firstLineChars="200"/>
        <w:jc w:val="left"/>
        <w:rPr>
          <w:rFonts w:hint="eastAsia" w:ascii="宋体" w:hAnsi="宋体" w:eastAsia="宋体" w:cs="宋体"/>
          <w:color w:val="auto"/>
          <w:kern w:val="0"/>
          <w:sz w:val="24"/>
          <w:lang w:bidi="ar"/>
        </w:rPr>
      </w:pPr>
      <w:r>
        <w:rPr>
          <w:rFonts w:hint="eastAsia" w:ascii="宋体" w:hAnsi="宋体" w:eastAsia="宋体" w:cs="宋体"/>
          <w:color w:val="auto"/>
          <w:kern w:val="0"/>
          <w:sz w:val="24"/>
          <w:lang w:bidi="ar"/>
        </w:rPr>
        <w:t>我方在参加本次采购活动前严格依法缴纳税收或依法享受国家免税优惠政策，并依法给单位职工缴纳社会保障金或依法不需要缴纳社会保障金的证明文件。</w:t>
      </w:r>
    </w:p>
    <w:p w14:paraId="2B0F5C6C">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以上承诺信息如有虚假或隐瞒，我方愿意承担一切后果，并不再寻求任何旨在减轻或免除法律责任的辩解。</w:t>
      </w:r>
    </w:p>
    <w:p w14:paraId="699E5274">
      <w:pPr>
        <w:wordWrap w:val="0"/>
        <w:overflowPunct w:val="0"/>
        <w:topLinePunct/>
        <w:spacing w:line="360" w:lineRule="auto"/>
        <w:ind w:firstLine="540" w:firstLineChars="225"/>
        <w:rPr>
          <w:rFonts w:hint="eastAsia" w:ascii="宋体" w:hAnsi="宋体" w:eastAsia="宋体" w:cs="宋体"/>
          <w:color w:val="auto"/>
        </w:rPr>
      </w:pPr>
      <w:r>
        <w:rPr>
          <w:rFonts w:hint="eastAsia" w:ascii="宋体" w:hAnsi="宋体" w:eastAsia="宋体" w:cs="宋体"/>
          <w:color w:val="auto"/>
          <w:kern w:val="0"/>
          <w:sz w:val="24"/>
          <w:lang w:bidi="ar"/>
        </w:rPr>
        <w:t>特此承诺</w:t>
      </w:r>
      <w:r>
        <w:rPr>
          <w:rFonts w:hint="eastAsia" w:ascii="宋体" w:hAnsi="宋体" w:eastAsia="宋体" w:cs="宋体"/>
          <w:color w:val="auto"/>
          <w:sz w:val="24"/>
        </w:rPr>
        <w:t>。</w:t>
      </w:r>
    </w:p>
    <w:p w14:paraId="7A97FCCC">
      <w:pPr>
        <w:wordWrap w:val="0"/>
        <w:overflowPunct w:val="0"/>
        <w:topLinePunct/>
        <w:spacing w:line="360" w:lineRule="auto"/>
        <w:jc w:val="center"/>
        <w:rPr>
          <w:rFonts w:hint="eastAsia" w:ascii="宋体" w:hAnsi="宋体" w:eastAsia="宋体" w:cs="宋体"/>
          <w:color w:val="auto"/>
          <w:sz w:val="24"/>
        </w:rPr>
      </w:pPr>
    </w:p>
    <w:p w14:paraId="0918230A">
      <w:pPr>
        <w:wordWrap w:val="0"/>
        <w:overflowPunct w:val="0"/>
        <w:topLinePunct/>
        <w:spacing w:line="360" w:lineRule="auto"/>
        <w:jc w:val="center"/>
        <w:rPr>
          <w:rFonts w:hint="eastAsia" w:ascii="宋体" w:hAnsi="宋体" w:eastAsia="宋体" w:cs="宋体"/>
          <w:color w:val="auto"/>
          <w:sz w:val="24"/>
        </w:rPr>
      </w:pPr>
    </w:p>
    <w:p w14:paraId="7E462CB0">
      <w:pPr>
        <w:wordWrap w:val="0"/>
        <w:overflowPunct w:val="0"/>
        <w:topLinePunct/>
        <w:spacing w:line="360" w:lineRule="auto"/>
        <w:jc w:val="center"/>
        <w:rPr>
          <w:rFonts w:hint="eastAsia" w:ascii="宋体" w:hAnsi="宋体" w:eastAsia="宋体" w:cs="宋体"/>
          <w:color w:val="auto"/>
          <w:sz w:val="24"/>
        </w:rPr>
      </w:pPr>
    </w:p>
    <w:p w14:paraId="20CBED13">
      <w:pPr>
        <w:wordWrap w:val="0"/>
        <w:overflowPunct w:val="0"/>
        <w:topLinePunct/>
        <w:spacing w:line="360" w:lineRule="auto"/>
        <w:jc w:val="center"/>
        <w:rPr>
          <w:rFonts w:hint="eastAsia" w:ascii="宋体" w:hAnsi="宋体" w:eastAsia="宋体" w:cs="宋体"/>
          <w:color w:val="auto"/>
          <w:sz w:val="24"/>
        </w:rPr>
      </w:pPr>
    </w:p>
    <w:p w14:paraId="3D44B689">
      <w:pPr>
        <w:wordWrap w:val="0"/>
        <w:overflowPunct w:val="0"/>
        <w:topLinePunct/>
        <w:spacing w:line="360" w:lineRule="auto"/>
        <w:jc w:val="center"/>
        <w:rPr>
          <w:rFonts w:hint="eastAsia" w:ascii="宋体" w:hAnsi="宋体" w:eastAsia="宋体" w:cs="宋体"/>
          <w:color w:val="auto"/>
          <w:sz w:val="24"/>
        </w:rPr>
      </w:pPr>
    </w:p>
    <w:p w14:paraId="5979B187">
      <w:pPr>
        <w:wordWrap w:val="0"/>
        <w:overflowPunct w:val="0"/>
        <w:topLinePunct/>
        <w:spacing w:line="360" w:lineRule="auto"/>
        <w:jc w:val="center"/>
        <w:rPr>
          <w:rFonts w:hint="eastAsia" w:ascii="宋体" w:hAnsi="宋体" w:eastAsia="宋体" w:cs="宋体"/>
          <w:color w:val="auto"/>
          <w:sz w:val="24"/>
        </w:rPr>
      </w:pPr>
    </w:p>
    <w:p w14:paraId="4B78648D">
      <w:pPr>
        <w:wordWrap w:val="0"/>
        <w:overflowPunct w:val="0"/>
        <w:topLinePunct/>
        <w:spacing w:line="360" w:lineRule="auto"/>
        <w:jc w:val="both"/>
        <w:rPr>
          <w:rFonts w:hint="eastAsia" w:ascii="宋体" w:hAnsi="宋体" w:eastAsia="宋体" w:cs="宋体"/>
          <w:color w:val="auto"/>
          <w:sz w:val="24"/>
        </w:rPr>
      </w:pPr>
    </w:p>
    <w:p w14:paraId="1405B425">
      <w:pPr>
        <w:wordWrap w:val="0"/>
        <w:overflowPunct w:val="0"/>
        <w:topLinePunct/>
        <w:spacing w:line="360" w:lineRule="auto"/>
        <w:jc w:val="center"/>
        <w:rPr>
          <w:rFonts w:hint="eastAsia" w:ascii="宋体" w:hAnsi="宋体" w:eastAsia="宋体" w:cs="宋体"/>
          <w:color w:val="auto"/>
          <w:sz w:val="24"/>
        </w:rPr>
      </w:pPr>
    </w:p>
    <w:p w14:paraId="67AB6391">
      <w:pPr>
        <w:wordWrap w:val="0"/>
        <w:overflowPunct w:val="0"/>
        <w:topLinePunct/>
        <w:spacing w:line="360" w:lineRule="auto"/>
        <w:rPr>
          <w:rFonts w:hint="eastAsia" w:ascii="宋体" w:hAnsi="宋体" w:eastAsia="宋体" w:cs="宋体"/>
          <w:color w:val="auto"/>
          <w:sz w:val="24"/>
        </w:rPr>
      </w:pPr>
    </w:p>
    <w:p w14:paraId="5CC49E4A">
      <w:pPr>
        <w:wordWrap w:val="0"/>
        <w:overflowPunct w:val="0"/>
        <w:topLinePunct/>
        <w:spacing w:line="360" w:lineRule="auto"/>
        <w:jc w:val="left"/>
        <w:rPr>
          <w:rFonts w:hint="eastAsia" w:ascii="宋体" w:hAnsi="宋体" w:eastAsia="宋体" w:cs="宋体"/>
          <w:color w:val="auto"/>
          <w:sz w:val="24"/>
          <w:lang w:eastAsia="zh-CN"/>
        </w:rPr>
      </w:pPr>
    </w:p>
    <w:p w14:paraId="6D1CEDB8">
      <w:pPr>
        <w:wordWrap w:val="0"/>
        <w:overflowPunct w:val="0"/>
        <w:topLinePunct/>
        <w:spacing w:line="360" w:lineRule="auto"/>
        <w:jc w:val="left"/>
        <w:rPr>
          <w:rFonts w:hint="eastAsia" w:ascii="宋体" w:hAnsi="宋体" w:eastAsia="宋体" w:cs="宋体"/>
          <w:color w:val="auto"/>
          <w:sz w:val="24"/>
          <w:lang w:eastAsia="zh-CN"/>
        </w:rPr>
      </w:pPr>
    </w:p>
    <w:p w14:paraId="187B2DB6">
      <w:pPr>
        <w:wordWrap w:val="0"/>
        <w:overflowPunct w:val="0"/>
        <w:topLinePunct/>
        <w:spacing w:line="360" w:lineRule="auto"/>
        <w:jc w:val="left"/>
        <w:rPr>
          <w:rFonts w:hint="eastAsia" w:ascii="宋体" w:hAnsi="宋体" w:eastAsia="宋体" w:cs="宋体"/>
          <w:color w:val="auto"/>
          <w:sz w:val="24"/>
          <w:lang w:eastAsia="zh-CN"/>
        </w:rPr>
      </w:pPr>
    </w:p>
    <w:p w14:paraId="3E20F7E4">
      <w:pPr>
        <w:wordWrap w:val="0"/>
        <w:overflowPunct w:val="0"/>
        <w:topLinePunct/>
        <w:spacing w:line="360" w:lineRule="auto"/>
        <w:jc w:val="left"/>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67123410">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5A9CF032">
      <w:pPr>
        <w:jc w:val="left"/>
        <w:rPr>
          <w:rFonts w:hint="eastAsia" w:ascii="宋体" w:hAnsi="宋体" w:eastAsia="宋体" w:cs="宋体"/>
          <w:color w:val="auto"/>
          <w:sz w:val="24"/>
          <w:szCs w:val="24"/>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bookmarkStart w:id="1465" w:name="_Toc1938"/>
      <w:bookmarkStart w:id="1466" w:name="_Toc9859"/>
      <w:bookmarkStart w:id="1467" w:name="_Toc26677"/>
      <w:bookmarkStart w:id="1468" w:name="_Toc2730"/>
      <w:bookmarkStart w:id="1469" w:name="_Toc27102"/>
      <w:bookmarkStart w:id="1470" w:name="_Toc28027"/>
      <w:bookmarkStart w:id="1471" w:name="_Toc21304"/>
      <w:bookmarkStart w:id="1472" w:name="_Toc25918"/>
      <w:bookmarkStart w:id="1473" w:name="_Toc22954"/>
      <w:bookmarkStart w:id="1474" w:name="_Toc6499"/>
      <w:bookmarkStart w:id="1475" w:name="_Toc12551"/>
      <w:bookmarkStart w:id="1476" w:name="_Toc17375"/>
      <w:bookmarkStart w:id="1477" w:name="_Toc1206"/>
      <w:bookmarkStart w:id="1478" w:name="_Toc951"/>
      <w:bookmarkStart w:id="1479" w:name="_Toc6427"/>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Start w:id="1480" w:name="_Toc13148"/>
      <w:bookmarkStart w:id="1481" w:name="_Toc4512"/>
      <w:bookmarkStart w:id="1482" w:name="_Toc27342"/>
      <w:bookmarkStart w:id="1483" w:name="_Toc16541"/>
      <w:bookmarkStart w:id="1484" w:name="_Toc24824"/>
      <w:bookmarkStart w:id="1485" w:name="_Toc29999"/>
      <w:bookmarkStart w:id="1486" w:name="_Toc1258"/>
      <w:bookmarkStart w:id="1487" w:name="_Toc27660"/>
      <w:bookmarkStart w:id="1488" w:name="_Toc18486"/>
      <w:bookmarkStart w:id="1489" w:name="_Toc5784"/>
      <w:bookmarkStart w:id="1490" w:name="_Toc24121"/>
      <w:bookmarkStart w:id="1491" w:name="_Toc23251"/>
      <w:bookmarkStart w:id="1492" w:name="_Toc15699"/>
      <w:bookmarkStart w:id="1493" w:name="_Toc16508"/>
      <w:bookmarkStart w:id="1494" w:name="_Toc29572"/>
      <w:bookmarkStart w:id="1495" w:name="_Toc20354"/>
      <w:bookmarkStart w:id="1496" w:name="_Toc2606"/>
      <w:bookmarkStart w:id="1497" w:name="_Toc18483"/>
      <w:bookmarkStart w:id="1498" w:name="_Toc17246"/>
      <w:bookmarkStart w:id="1499" w:name="_Toc26515"/>
      <w:bookmarkStart w:id="1500" w:name="_Toc31843"/>
      <w:bookmarkStart w:id="1501" w:name="_Toc12192"/>
      <w:bookmarkStart w:id="1502" w:name="_Toc9115"/>
    </w:p>
    <w:p w14:paraId="056C6237">
      <w:pPr>
        <w:numPr>
          <w:ilvl w:val="0"/>
          <w:numId w:val="16"/>
        </w:num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参加采购活动前三年内在经营活动中没有重大违法记录书面声明</w:t>
      </w:r>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p>
    <w:p w14:paraId="5DEC2C94">
      <w:pPr>
        <w:numPr>
          <w:ilvl w:val="0"/>
          <w:numId w:val="0"/>
        </w:num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（实质性格式）</w:t>
      </w:r>
    </w:p>
    <w:p w14:paraId="1969B8E2">
      <w:pPr>
        <w:pStyle w:val="28"/>
        <w:wordWrap w:val="0"/>
        <w:overflowPunct w:val="0"/>
        <w:topLinePunct/>
        <w:rPr>
          <w:rFonts w:hint="eastAsia" w:ascii="宋体" w:hAnsi="宋体" w:eastAsia="宋体" w:cs="宋体"/>
          <w:i w:val="0"/>
          <w:iCs w:val="0"/>
          <w:color w:val="auto"/>
        </w:rPr>
      </w:pPr>
    </w:p>
    <w:p w14:paraId="01AFF780">
      <w:pPr>
        <w:wordWrap w:val="0"/>
        <w:overflowPunct w:val="0"/>
        <w:topLinePunct/>
        <w:spacing w:line="360" w:lineRule="auto"/>
        <w:jc w:val="left"/>
        <w:rPr>
          <w:rFonts w:hint="eastAsia" w:ascii="宋体" w:hAnsi="宋体" w:eastAsia="宋体" w:cs="宋体"/>
          <w:i w:val="0"/>
          <w:iCs w:val="0"/>
          <w:color w:val="auto"/>
          <w:sz w:val="24"/>
        </w:rPr>
      </w:pPr>
      <w:r>
        <w:rPr>
          <w:rFonts w:hint="eastAsia" w:ascii="宋体" w:hAnsi="宋体" w:eastAsia="宋体" w:cs="宋体"/>
          <w:i w:val="0"/>
          <w:iCs w:val="0"/>
          <w:color w:val="auto"/>
          <w:sz w:val="24"/>
        </w:rPr>
        <w:t>致：</w:t>
      </w:r>
      <w:r>
        <w:rPr>
          <w:rFonts w:hint="eastAsia" w:ascii="宋体" w:hAnsi="宋体" w:cs="宋体"/>
          <w:i w:val="0"/>
          <w:iCs w:val="0"/>
          <w:color w:val="auto"/>
          <w:sz w:val="24"/>
          <w:szCs w:val="24"/>
          <w:u w:val="single"/>
          <w:lang w:val="en-US" w:eastAsia="zh-CN"/>
        </w:rPr>
        <w:t>南华县人民医院</w:t>
      </w:r>
      <w:r>
        <w:rPr>
          <w:rFonts w:hint="eastAsia" w:ascii="宋体" w:hAnsi="宋体" w:eastAsia="宋体" w:cs="宋体"/>
          <w:i w:val="0"/>
          <w:iCs w:val="0"/>
          <w:color w:val="auto"/>
          <w:sz w:val="24"/>
          <w:szCs w:val="24"/>
          <w:u w:val="single"/>
          <w:lang w:eastAsia="zh-CN"/>
        </w:rPr>
        <w:t>、</w:t>
      </w:r>
      <w:r>
        <w:rPr>
          <w:rFonts w:hint="eastAsia" w:ascii="宋体" w:hAnsi="宋体" w:cs="宋体"/>
          <w:i w:val="0"/>
          <w:iCs w:val="0"/>
          <w:color w:val="auto"/>
          <w:sz w:val="24"/>
          <w:szCs w:val="24"/>
          <w:u w:val="single"/>
          <w:lang w:eastAsia="zh-CN"/>
        </w:rPr>
        <w:t xml:space="preserve">楚雄腾凯工程项目管理有限公司 </w:t>
      </w:r>
      <w:r>
        <w:rPr>
          <w:rFonts w:hint="eastAsia" w:ascii="宋体" w:hAnsi="宋体" w:cs="宋体"/>
          <w:i w:val="0"/>
          <w:iCs w:val="0"/>
          <w:color w:val="auto"/>
          <w:sz w:val="24"/>
          <w:szCs w:val="24"/>
          <w:u w:val="single"/>
          <w:lang w:val="en-US" w:eastAsia="zh-CN"/>
        </w:rPr>
        <w:t>（采购代理机构）</w:t>
      </w:r>
    </w:p>
    <w:p w14:paraId="5D202ED2">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我方在此声明，我方在参加本次政府采购活动前三年内，在经营活动中没有以下重大违法记录：</w:t>
      </w:r>
    </w:p>
    <w:p w14:paraId="17C55097">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1.我方因违法经营被追究过刑事责任；</w:t>
      </w:r>
    </w:p>
    <w:p w14:paraId="081F2E12">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2.我方因违法经营被责令停产停业、吊销许可证或者执照；</w:t>
      </w:r>
    </w:p>
    <w:p w14:paraId="3DF25CCB">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3.我方因违法经营被处以较大数额罚款等行政处罚。</w:t>
      </w:r>
    </w:p>
    <w:p w14:paraId="2D8F8698">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4.我方在近三年承接的项目中，无违法、违规的不良记录，未因违规或违约介入诉讼或仲裁，不存在拖欠工资情况及重大质量问题、重大安全事故，未因违规或违约解除合同。我方在投标期间没有处于被责令停业或财产被接管或冻结或被暂停参加投标活动的处罚阶段。</w:t>
      </w:r>
    </w:p>
    <w:p w14:paraId="26AFBAD4">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5.我方保证上述信息的完整、客观、真实、准确，若在本项目的招标投标的全过程中，被查实我方提供的资料及上述承诺不属实，或提供的相关资料不属实或不满足</w:t>
      </w:r>
      <w:r>
        <w:rPr>
          <w:rFonts w:hint="eastAsia" w:ascii="宋体" w:hAnsi="宋体" w:eastAsia="宋体" w:cs="宋体"/>
          <w:color w:val="auto"/>
          <w:sz w:val="24"/>
          <w:lang w:eastAsia="zh-CN"/>
        </w:rPr>
        <w:t>投标文件</w:t>
      </w:r>
      <w:r>
        <w:rPr>
          <w:rFonts w:hint="eastAsia" w:ascii="宋体" w:hAnsi="宋体" w:eastAsia="宋体" w:cs="宋体"/>
          <w:color w:val="auto"/>
          <w:sz w:val="24"/>
        </w:rPr>
        <w:t>的要求，则</w:t>
      </w:r>
      <w:r>
        <w:rPr>
          <w:rFonts w:hint="eastAsia" w:ascii="宋体" w:hAnsi="宋体" w:cs="宋体"/>
          <w:color w:val="auto"/>
          <w:sz w:val="24"/>
          <w:lang w:eastAsia="zh-CN"/>
        </w:rPr>
        <w:t>采购人</w:t>
      </w:r>
      <w:r>
        <w:rPr>
          <w:rFonts w:hint="eastAsia" w:ascii="宋体" w:hAnsi="宋体" w:eastAsia="宋体" w:cs="宋体"/>
          <w:color w:val="auto"/>
          <w:sz w:val="24"/>
        </w:rPr>
        <w:t>有权取消我方的投标及中标资格，且我方将无条件并愿意承担我方因提供虚假材料谋骗取中标、成交所引起的一切法律后果（包括经济损失）。</w:t>
      </w:r>
    </w:p>
    <w:p w14:paraId="3FBD988F">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特此声明！</w:t>
      </w:r>
    </w:p>
    <w:p w14:paraId="0C739BC9">
      <w:pPr>
        <w:pStyle w:val="28"/>
        <w:wordWrap w:val="0"/>
        <w:overflowPunct w:val="0"/>
        <w:topLinePunct/>
        <w:ind w:left="0" w:leftChars="0" w:firstLine="0" w:firstLineChars="0"/>
        <w:rPr>
          <w:rFonts w:hint="eastAsia" w:ascii="宋体" w:hAnsi="宋体" w:eastAsia="宋体" w:cs="宋体"/>
          <w:color w:val="auto"/>
        </w:rPr>
      </w:pPr>
    </w:p>
    <w:p w14:paraId="719AD6F9">
      <w:pPr>
        <w:wordWrap w:val="0"/>
        <w:overflowPunct w:val="0"/>
        <w:topLinePunct/>
        <w:spacing w:line="360" w:lineRule="auto"/>
        <w:jc w:val="left"/>
        <w:rPr>
          <w:rFonts w:hint="eastAsia" w:ascii="宋体" w:hAnsi="宋体" w:eastAsia="宋体" w:cs="宋体"/>
          <w:color w:val="auto"/>
          <w:sz w:val="24"/>
          <w:lang w:eastAsia="zh-CN"/>
        </w:rPr>
      </w:pPr>
    </w:p>
    <w:p w14:paraId="1592A329">
      <w:pPr>
        <w:wordWrap w:val="0"/>
        <w:overflowPunct w:val="0"/>
        <w:topLinePunct/>
        <w:spacing w:line="360" w:lineRule="auto"/>
        <w:jc w:val="left"/>
        <w:rPr>
          <w:rFonts w:hint="eastAsia" w:ascii="宋体" w:hAnsi="宋体" w:eastAsia="宋体" w:cs="宋体"/>
          <w:color w:val="auto"/>
          <w:sz w:val="24"/>
          <w:lang w:eastAsia="zh-CN"/>
        </w:rPr>
      </w:pPr>
    </w:p>
    <w:p w14:paraId="2A34FDF5">
      <w:pPr>
        <w:wordWrap w:val="0"/>
        <w:overflowPunct w:val="0"/>
        <w:topLinePunct/>
        <w:spacing w:line="360" w:lineRule="auto"/>
        <w:jc w:val="left"/>
        <w:rPr>
          <w:rFonts w:hint="eastAsia" w:ascii="宋体" w:hAnsi="宋体" w:eastAsia="宋体" w:cs="宋体"/>
          <w:color w:val="auto"/>
          <w:sz w:val="24"/>
          <w:lang w:eastAsia="zh-CN"/>
        </w:rPr>
      </w:pPr>
    </w:p>
    <w:p w14:paraId="2895AFBA">
      <w:pPr>
        <w:wordWrap w:val="0"/>
        <w:overflowPunct w:val="0"/>
        <w:topLinePunct/>
        <w:spacing w:line="360" w:lineRule="auto"/>
        <w:jc w:val="left"/>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5A3B11A5">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001D9637">
      <w:pPr>
        <w:wordWrap w:val="0"/>
        <w:overflowPunct w:val="0"/>
        <w:topLinePunct/>
        <w:jc w:val="left"/>
        <w:rPr>
          <w:rFonts w:hint="eastAsia" w:ascii="宋体" w:hAnsi="宋体" w:eastAsia="宋体" w:cs="宋体"/>
          <w:color w:val="auto"/>
          <w:sz w:val="24"/>
        </w:rPr>
      </w:pPr>
      <w:r>
        <w:rPr>
          <w:rFonts w:hint="eastAsia" w:ascii="宋体" w:hAnsi="宋体" w:eastAsia="宋体" w:cs="宋体"/>
          <w:color w:val="auto"/>
          <w:sz w:val="24"/>
        </w:rPr>
        <w:t>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4B49DC22">
      <w:pPr>
        <w:wordWrap w:val="0"/>
        <w:overflowPunct w:val="0"/>
        <w:topLinePunct/>
        <w:rPr>
          <w:rFonts w:hint="eastAsia" w:ascii="宋体" w:hAnsi="宋体" w:eastAsia="宋体" w:cs="宋体"/>
          <w:color w:val="auto"/>
          <w:szCs w:val="21"/>
        </w:rPr>
      </w:pPr>
    </w:p>
    <w:p w14:paraId="1B339001">
      <w:pPr>
        <w:wordWrap w:val="0"/>
        <w:overflowPunct w:val="0"/>
        <w:topLinePunct/>
        <w:spacing w:line="0" w:lineRule="atLeast"/>
        <w:ind w:firstLine="442" w:firstLineChars="200"/>
        <w:jc w:val="left"/>
        <w:rPr>
          <w:rFonts w:hint="eastAsia" w:ascii="宋体" w:hAnsi="宋体" w:eastAsia="宋体" w:cs="宋体"/>
          <w:b/>
          <w:bCs/>
          <w:color w:val="auto"/>
          <w:szCs w:val="21"/>
        </w:rPr>
      </w:pPr>
    </w:p>
    <w:p w14:paraId="0CC59AA5">
      <w:pPr>
        <w:pStyle w:val="66"/>
        <w:ind w:left="0" w:leftChars="0" w:firstLine="422" w:firstLineChars="200"/>
        <w:rPr>
          <w:rFonts w:hint="eastAsia" w:ascii="宋体" w:hAnsi="宋体" w:eastAsia="宋体" w:cs="宋体"/>
          <w:b/>
          <w:bCs/>
          <w:color w:val="auto"/>
          <w:szCs w:val="21"/>
        </w:rPr>
      </w:pPr>
    </w:p>
    <w:p w14:paraId="16C9BF6F">
      <w:pPr>
        <w:pStyle w:val="66"/>
        <w:ind w:left="0" w:leftChars="0" w:firstLine="422" w:firstLineChars="200"/>
        <w:rPr>
          <w:rFonts w:hint="eastAsia" w:ascii="宋体" w:hAnsi="宋体" w:eastAsia="宋体" w:cs="宋体"/>
          <w:b/>
          <w:bCs/>
          <w:color w:val="auto"/>
          <w:szCs w:val="21"/>
        </w:rPr>
      </w:pPr>
    </w:p>
    <w:p w14:paraId="7D3199D1">
      <w:pPr>
        <w:pStyle w:val="66"/>
        <w:ind w:left="0" w:leftChars="0" w:firstLine="422" w:firstLineChars="200"/>
        <w:rPr>
          <w:rFonts w:hint="eastAsia" w:ascii="宋体" w:hAnsi="宋体" w:eastAsia="宋体" w:cs="宋体"/>
          <w:b/>
          <w:bCs/>
          <w:color w:val="auto"/>
          <w:szCs w:val="21"/>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宋体" w:hAnsi="宋体" w:eastAsia="宋体" w:cs="宋体"/>
          <w:b/>
          <w:bCs/>
          <w:color w:val="auto"/>
          <w:szCs w:val="21"/>
        </w:rPr>
        <w:t>解释：参加采购活动前</w:t>
      </w:r>
      <w:r>
        <w:rPr>
          <w:rFonts w:hint="eastAsia" w:ascii="宋体" w:hAnsi="宋体" w:cs="宋体"/>
          <w:b/>
          <w:bCs/>
          <w:color w:val="auto"/>
          <w:szCs w:val="21"/>
          <w:lang w:val="en-US" w:eastAsia="zh-CN"/>
        </w:rPr>
        <w:t>3</w:t>
      </w:r>
      <w:r>
        <w:rPr>
          <w:rFonts w:hint="eastAsia" w:ascii="宋体" w:hAnsi="宋体" w:eastAsia="宋体" w:cs="宋体"/>
          <w:b/>
          <w:bCs/>
          <w:color w:val="auto"/>
          <w:szCs w:val="21"/>
        </w:rPr>
        <w:t>年内，在经营活动中没有重大违法记录：参照投标函相关承诺格式内容。重大违法记录，是指</w:t>
      </w:r>
      <w:r>
        <w:rPr>
          <w:rFonts w:hint="eastAsia" w:ascii="宋体" w:hAnsi="宋体" w:cs="宋体"/>
          <w:b/>
          <w:bCs/>
          <w:color w:val="auto"/>
          <w:szCs w:val="21"/>
          <w:lang w:eastAsia="zh-CN"/>
        </w:rPr>
        <w:t>供应商</w:t>
      </w:r>
      <w:r>
        <w:rPr>
          <w:rFonts w:hint="eastAsia" w:ascii="宋体" w:hAnsi="宋体" w:eastAsia="宋体" w:cs="宋体"/>
          <w:b/>
          <w:bCs/>
          <w:color w:val="auto"/>
          <w:szCs w:val="21"/>
        </w:rPr>
        <w:t>因违法经营受到刑事处罚或者责令停产停业、吊销许可证或者执照、较大数额罚款（</w:t>
      </w:r>
      <w:r>
        <w:rPr>
          <w:rFonts w:hint="eastAsia" w:ascii="宋体" w:hAnsi="宋体" w:eastAsia="宋体" w:cs="宋体"/>
          <w:b/>
          <w:bCs/>
          <w:color w:val="auto"/>
          <w:szCs w:val="21"/>
          <w:lang w:eastAsia="zh-CN"/>
        </w:rPr>
        <w:t>较大数额罚款是指200万元以上罚款</w:t>
      </w:r>
      <w:r>
        <w:rPr>
          <w:rFonts w:hint="eastAsia" w:ascii="宋体" w:hAnsi="宋体" w:eastAsia="宋体" w:cs="宋体"/>
          <w:b/>
          <w:bCs/>
          <w:color w:val="auto"/>
          <w:szCs w:val="21"/>
        </w:rPr>
        <w:t>）等行政处罚。</w:t>
      </w:r>
      <w:r>
        <w:rPr>
          <w:rFonts w:hint="eastAsia" w:ascii="宋体" w:hAnsi="宋体" w:cs="宋体"/>
          <w:b/>
          <w:bCs/>
          <w:color w:val="auto"/>
          <w:szCs w:val="21"/>
          <w:lang w:eastAsia="zh-CN"/>
        </w:rPr>
        <w:t>供应商</w:t>
      </w:r>
      <w:r>
        <w:rPr>
          <w:rFonts w:hint="eastAsia" w:ascii="宋体" w:hAnsi="宋体" w:eastAsia="宋体" w:cs="宋体"/>
          <w:b/>
          <w:bCs/>
          <w:color w:val="auto"/>
          <w:szCs w:val="21"/>
        </w:rPr>
        <w:t>在参加政府采购活动前</w:t>
      </w:r>
      <w:r>
        <w:rPr>
          <w:rFonts w:hint="eastAsia" w:ascii="宋体" w:hAnsi="宋体" w:cs="宋体"/>
          <w:b/>
          <w:bCs/>
          <w:color w:val="auto"/>
          <w:szCs w:val="21"/>
          <w:lang w:val="en-US" w:eastAsia="zh-CN"/>
        </w:rPr>
        <w:t>3</w:t>
      </w:r>
      <w:r>
        <w:rPr>
          <w:rFonts w:hint="eastAsia" w:ascii="宋体" w:hAnsi="宋体" w:eastAsia="宋体" w:cs="宋体"/>
          <w:b/>
          <w:bCs/>
          <w:color w:val="auto"/>
          <w:szCs w:val="21"/>
        </w:rPr>
        <w:t>年内因违法经营被禁止在一定期限内参加政府采购活动，期限届满的，可以参加政府采购活动。</w:t>
      </w:r>
      <w:bookmarkStart w:id="1503" w:name="_Toc11659"/>
      <w:bookmarkStart w:id="1504" w:name="_Toc423"/>
      <w:bookmarkStart w:id="1505" w:name="_Toc16458"/>
      <w:bookmarkStart w:id="1506" w:name="_Toc18125"/>
      <w:bookmarkStart w:id="1507" w:name="_Toc3236"/>
      <w:bookmarkStart w:id="1508" w:name="_Toc31196"/>
      <w:bookmarkStart w:id="1509" w:name="_Toc28798"/>
      <w:bookmarkStart w:id="1510" w:name="_Toc26414"/>
      <w:bookmarkStart w:id="1511" w:name="_Toc27915"/>
      <w:bookmarkStart w:id="1512" w:name="_Toc9639"/>
      <w:bookmarkStart w:id="1513" w:name="_Toc15161"/>
      <w:bookmarkStart w:id="1514" w:name="_Toc27336"/>
      <w:bookmarkStart w:id="1515" w:name="_Toc25115"/>
      <w:bookmarkStart w:id="1516" w:name="_Toc29298"/>
      <w:bookmarkStart w:id="1517" w:name="_Toc13604"/>
      <w:bookmarkStart w:id="1518" w:name="_Toc10094"/>
      <w:bookmarkStart w:id="1519" w:name="_Toc11016"/>
      <w:bookmarkStart w:id="1520" w:name="_Toc32760"/>
      <w:bookmarkStart w:id="1521" w:name="_Toc9599"/>
      <w:bookmarkStart w:id="1522" w:name="_Toc21558"/>
      <w:bookmarkStart w:id="1523" w:name="_Toc13406"/>
      <w:bookmarkStart w:id="1524" w:name="_Toc29489"/>
      <w:bookmarkStart w:id="1525" w:name="_Toc6906"/>
      <w:bookmarkStart w:id="1526" w:name="_Toc21278"/>
      <w:bookmarkStart w:id="1527" w:name="_Toc22564"/>
    </w:p>
    <w:p w14:paraId="2D768E6A">
      <w:pPr>
        <w:pStyle w:val="66"/>
        <w:ind w:left="0" w:leftChars="0" w:firstLine="0" w:firstLineChars="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六</w:t>
      </w:r>
      <w:r>
        <w:rPr>
          <w:rFonts w:hint="eastAsia" w:ascii="宋体" w:hAnsi="宋体" w:eastAsia="宋体" w:cs="宋体"/>
          <w:b/>
          <w:bCs/>
          <w:color w:val="auto"/>
          <w:sz w:val="28"/>
          <w:szCs w:val="28"/>
        </w:rPr>
        <w:t>、</w:t>
      </w:r>
      <w:bookmarkEnd w:id="1503"/>
      <w:bookmarkEnd w:id="1504"/>
      <w:bookmarkEnd w:id="1505"/>
      <w:bookmarkEnd w:id="1506"/>
      <w:bookmarkEnd w:id="1507"/>
      <w:bookmarkEnd w:id="1508"/>
      <w:bookmarkEnd w:id="1509"/>
      <w:bookmarkEnd w:id="1510"/>
      <w:bookmarkEnd w:id="1511"/>
      <w:r>
        <w:rPr>
          <w:rFonts w:hint="eastAsia" w:ascii="宋体" w:hAnsi="宋体" w:eastAsia="宋体" w:cs="宋体"/>
          <w:b/>
          <w:bCs/>
          <w:color w:val="auto"/>
          <w:sz w:val="28"/>
          <w:szCs w:val="28"/>
        </w:rPr>
        <w:t>法律、行政法规规定的其他条件</w:t>
      </w:r>
      <w:bookmarkEnd w:id="1512"/>
      <w:bookmarkEnd w:id="1513"/>
      <w:r>
        <w:rPr>
          <w:rFonts w:hint="eastAsia" w:ascii="宋体" w:hAnsi="宋体" w:eastAsia="宋体" w:cs="宋体"/>
          <w:b/>
          <w:bCs/>
          <w:color w:val="auto"/>
          <w:sz w:val="28"/>
          <w:szCs w:val="28"/>
          <w:lang w:val="en-US" w:eastAsia="zh-CN"/>
        </w:rPr>
        <w:t xml:space="preserve">（实质性格式） </w:t>
      </w:r>
    </w:p>
    <w:p w14:paraId="210E63E2">
      <w:pPr>
        <w:pStyle w:val="4"/>
        <w:tabs>
          <w:tab w:val="left" w:pos="900"/>
          <w:tab w:val="left" w:pos="1588"/>
        </w:tabs>
        <w:wordWrap w:val="0"/>
        <w:overflowPunct w:val="0"/>
        <w:topLinePunct/>
        <w:adjustRightInd/>
        <w:ind w:left="0" w:firstLine="0"/>
        <w:jc w:val="center"/>
        <w:textAlignment w:val="auto"/>
        <w:rPr>
          <w:rFonts w:hint="eastAsia" w:ascii="宋体" w:hAnsi="宋体" w:eastAsia="宋体" w:cs="宋体"/>
          <w:color w:val="auto"/>
          <w:sz w:val="24"/>
          <w:szCs w:val="24"/>
          <w:lang w:bidi="ar"/>
        </w:rPr>
      </w:pPr>
      <w:bookmarkStart w:id="1528" w:name="_Toc3079"/>
      <w:bookmarkStart w:id="1529" w:name="_Toc22023"/>
      <w:bookmarkStart w:id="1530" w:name="_Toc24546"/>
      <w:bookmarkStart w:id="1531" w:name="_Toc23157"/>
      <w:bookmarkStart w:id="1532" w:name="_Toc4613"/>
      <w:r>
        <w:rPr>
          <w:rFonts w:hint="eastAsia" w:ascii="宋体" w:hAnsi="宋体" w:eastAsia="宋体" w:cs="宋体"/>
          <w:b/>
          <w:bCs/>
          <w:color w:val="auto"/>
          <w:sz w:val="28"/>
          <w:szCs w:val="28"/>
        </w:rPr>
        <w:t>未被列入失信被执行人、重大税收违法案件当事人、政府采购严重违法失信行为名单的承诺函</w:t>
      </w:r>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p>
    <w:p w14:paraId="5E782FC7">
      <w:pPr>
        <w:pStyle w:val="684"/>
        <w:wordWrap w:val="0"/>
        <w:overflowPunct w:val="0"/>
        <w:topLinePunct/>
        <w:spacing w:before="0"/>
        <w:ind w:firstLine="0" w:firstLineChars="0"/>
        <w:jc w:val="left"/>
        <w:rPr>
          <w:rFonts w:hint="eastAsia" w:ascii="宋体" w:hAnsi="宋体" w:eastAsia="宋体" w:cs="宋体"/>
          <w:color w:val="auto"/>
        </w:rPr>
      </w:pPr>
    </w:p>
    <w:p w14:paraId="59090597">
      <w:pPr>
        <w:pStyle w:val="684"/>
        <w:wordWrap w:val="0"/>
        <w:overflowPunct w:val="0"/>
        <w:topLinePunct/>
        <w:spacing w:before="0"/>
        <w:ind w:firstLine="0" w:firstLineChars="0"/>
        <w:jc w:val="left"/>
        <w:rPr>
          <w:rFonts w:hint="eastAsia" w:ascii="宋体" w:hAnsi="宋体" w:eastAsia="宋体" w:cs="宋体"/>
          <w:color w:val="auto"/>
          <w:kern w:val="0"/>
          <w:lang w:bidi="ar"/>
        </w:rPr>
      </w:pPr>
      <w:r>
        <w:rPr>
          <w:rFonts w:hint="eastAsia" w:ascii="宋体" w:hAnsi="宋体" w:eastAsia="宋体" w:cs="宋体"/>
          <w:color w:val="auto"/>
          <w:sz w:val="24"/>
        </w:rPr>
        <w:t>致：</w:t>
      </w:r>
      <w:r>
        <w:rPr>
          <w:rFonts w:hint="eastAsia" w:ascii="宋体" w:hAnsi="宋体" w:cs="宋体"/>
          <w:color w:val="auto"/>
          <w:sz w:val="24"/>
          <w:szCs w:val="24"/>
          <w:u w:val="single"/>
          <w:lang w:val="en-US" w:eastAsia="zh-CN"/>
        </w:rPr>
        <w:t>南华县人民医院</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eastAsia="zh-CN"/>
        </w:rPr>
        <w:t xml:space="preserve">楚雄腾凯工程项目管理有限公司 </w:t>
      </w:r>
      <w:r>
        <w:rPr>
          <w:rFonts w:hint="eastAsia" w:ascii="宋体" w:hAnsi="宋体" w:cs="宋体"/>
          <w:i w:val="0"/>
          <w:iCs w:val="0"/>
          <w:color w:val="auto"/>
          <w:sz w:val="24"/>
          <w:szCs w:val="24"/>
          <w:u w:val="single"/>
          <w:lang w:val="en-US" w:eastAsia="zh-CN"/>
        </w:rPr>
        <w:t>（采购代理机构）</w:t>
      </w:r>
    </w:p>
    <w:p w14:paraId="3D751EAB">
      <w:pPr>
        <w:pStyle w:val="684"/>
        <w:wordWrap w:val="0"/>
        <w:overflowPunct w:val="0"/>
        <w:topLinePunct/>
        <w:spacing w:before="0"/>
        <w:ind w:firstLine="480"/>
        <w:jc w:val="left"/>
        <w:rPr>
          <w:rFonts w:hint="eastAsia" w:ascii="宋体" w:hAnsi="宋体" w:eastAsia="宋体" w:cs="宋体"/>
          <w:color w:val="auto"/>
          <w:kern w:val="0"/>
          <w:lang w:bidi="ar"/>
        </w:rPr>
      </w:pPr>
      <w:r>
        <w:rPr>
          <w:rFonts w:hint="eastAsia" w:ascii="宋体" w:hAnsi="宋体" w:eastAsia="宋体" w:cs="宋体"/>
          <w:color w:val="auto"/>
          <w:kern w:val="0"/>
          <w:lang w:bidi="ar"/>
        </w:rPr>
        <w:t>我公司依法参加贵单位组织的</w:t>
      </w:r>
      <w:r>
        <w:rPr>
          <w:rFonts w:hint="eastAsia" w:ascii="宋体" w:hAnsi="宋体" w:eastAsia="宋体" w:cs="宋体"/>
          <w:color w:val="auto"/>
        </w:rPr>
        <w:t>（</w:t>
      </w:r>
      <w:r>
        <w:rPr>
          <w:rFonts w:hint="eastAsia" w:ascii="宋体" w:hAnsi="宋体" w:eastAsia="宋体" w:cs="宋体"/>
          <w:color w:val="auto"/>
          <w:sz w:val="24"/>
          <w:lang w:eastAsia="zh-CN"/>
        </w:rPr>
        <w:t>项目名称：</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、项目编号：</w:t>
      </w:r>
      <w:r>
        <w:rPr>
          <w:rFonts w:hint="eastAsia" w:ascii="宋体" w:hAnsi="宋体" w:eastAsia="宋体" w:cs="宋体"/>
          <w:color w:val="auto"/>
          <w:sz w:val="24"/>
          <w:u w:val="single"/>
          <w:lang w:eastAsia="zh-CN"/>
        </w:rPr>
        <w:t xml:space="preserve">         </w:t>
      </w:r>
      <w:r>
        <w:rPr>
          <w:rFonts w:hint="eastAsia" w:ascii="宋体" w:hAnsi="宋体" w:eastAsia="宋体" w:cs="宋体"/>
          <w:color w:val="auto"/>
        </w:rPr>
        <w:t>）</w:t>
      </w:r>
      <w:r>
        <w:rPr>
          <w:rFonts w:hint="eastAsia" w:ascii="宋体" w:hAnsi="宋体" w:eastAsia="宋体" w:cs="宋体"/>
          <w:color w:val="auto"/>
          <w:u w:val="single"/>
          <w:lang w:eastAsia="zh-CN"/>
        </w:rPr>
        <w:t>公开招标</w:t>
      </w:r>
      <w:r>
        <w:rPr>
          <w:rFonts w:hint="eastAsia" w:ascii="宋体" w:hAnsi="宋体" w:eastAsia="宋体" w:cs="宋体"/>
          <w:color w:val="auto"/>
        </w:rPr>
        <w:t>采购活动</w:t>
      </w:r>
      <w:r>
        <w:rPr>
          <w:rFonts w:hint="eastAsia" w:ascii="宋体" w:hAnsi="宋体" w:eastAsia="宋体" w:cs="宋体"/>
          <w:color w:val="auto"/>
          <w:kern w:val="0"/>
          <w:lang w:bidi="ar"/>
        </w:rPr>
        <w:t>。现本公司郑重承诺：</w:t>
      </w:r>
    </w:p>
    <w:p w14:paraId="07E8E359">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1、我公司在参加政府采购活动前3年内未因违法经营被禁止在一定期限内参加政府采购活动，可以参加本次政府采购活动。</w:t>
      </w:r>
    </w:p>
    <w:p w14:paraId="3854C035">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2、我方未被列入“信用中国”网站失信被执行人名单。</w:t>
      </w:r>
    </w:p>
    <w:p w14:paraId="39072681">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3、我方未被列入“信用中国”网站重大税收违法案件当事人名单。</w:t>
      </w:r>
    </w:p>
    <w:p w14:paraId="4B9A6422">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4、我方未被列入“中国政府采购网”政府采购严重违法失信行为记录名单。</w:t>
      </w:r>
    </w:p>
    <w:p w14:paraId="1472050A">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以上承诺信息如有虚假或隐瞒，我方愿意承担一切后果，并不再寻求任何旨在减轻或免除法律责任的辩解。</w:t>
      </w:r>
      <w:r>
        <w:rPr>
          <w:rFonts w:hint="eastAsia" w:ascii="宋体" w:hAnsi="宋体" w:eastAsia="宋体" w:cs="宋体"/>
          <w:color w:val="auto"/>
          <w:sz w:val="24"/>
        </w:rPr>
        <w:t>如有不实，我方将无条件地退出本项目的采购活动，并遵照《</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》有关“提供虚假材料的规定”接受处罚</w:t>
      </w:r>
      <w:r>
        <w:rPr>
          <w:rFonts w:hint="eastAsia" w:ascii="宋体" w:hAnsi="宋体" w:eastAsia="宋体" w:cs="宋体"/>
          <w:color w:val="auto"/>
          <w:kern w:val="0"/>
          <w:sz w:val="24"/>
          <w:lang w:bidi="ar"/>
        </w:rPr>
        <w:t>。</w:t>
      </w:r>
    </w:p>
    <w:p w14:paraId="57F4BB03">
      <w:pPr>
        <w:wordWrap w:val="0"/>
        <w:overflowPunct w:val="0"/>
        <w:topLinePunct/>
        <w:spacing w:line="360" w:lineRule="auto"/>
        <w:jc w:val="both"/>
        <w:rPr>
          <w:rFonts w:hint="eastAsia" w:ascii="宋体" w:hAnsi="宋体" w:eastAsia="宋体" w:cs="宋体"/>
          <w:color w:val="auto"/>
          <w:sz w:val="24"/>
        </w:rPr>
      </w:pPr>
    </w:p>
    <w:p w14:paraId="547C97AF">
      <w:pPr>
        <w:wordWrap w:val="0"/>
        <w:overflowPunct w:val="0"/>
        <w:topLinePunct/>
        <w:spacing w:line="360" w:lineRule="auto"/>
        <w:jc w:val="center"/>
        <w:rPr>
          <w:rFonts w:hint="eastAsia" w:ascii="宋体" w:hAnsi="宋体" w:eastAsia="宋体" w:cs="宋体"/>
          <w:color w:val="auto"/>
          <w:sz w:val="24"/>
        </w:rPr>
      </w:pPr>
    </w:p>
    <w:p w14:paraId="2123FAFE">
      <w:pPr>
        <w:wordWrap w:val="0"/>
        <w:overflowPunct w:val="0"/>
        <w:topLinePunct/>
        <w:spacing w:line="360" w:lineRule="auto"/>
        <w:jc w:val="center"/>
        <w:rPr>
          <w:rFonts w:hint="eastAsia" w:ascii="宋体" w:hAnsi="宋体" w:eastAsia="宋体" w:cs="宋体"/>
          <w:color w:val="auto"/>
          <w:sz w:val="24"/>
          <w:lang w:eastAsia="zh-CN"/>
        </w:rPr>
      </w:pPr>
    </w:p>
    <w:p w14:paraId="002D23F9">
      <w:pPr>
        <w:wordWrap w:val="0"/>
        <w:overflowPunct w:val="0"/>
        <w:topLinePunct/>
        <w:spacing w:line="360" w:lineRule="auto"/>
        <w:jc w:val="center"/>
        <w:rPr>
          <w:rFonts w:hint="eastAsia" w:ascii="宋体" w:hAnsi="宋体" w:eastAsia="宋体" w:cs="宋体"/>
          <w:color w:val="auto"/>
          <w:sz w:val="24"/>
          <w:lang w:eastAsia="zh-CN"/>
        </w:rPr>
      </w:pPr>
    </w:p>
    <w:p w14:paraId="793E828A">
      <w:pPr>
        <w:wordWrap w:val="0"/>
        <w:overflowPunct w:val="0"/>
        <w:topLinePunct/>
        <w:spacing w:line="360" w:lineRule="auto"/>
        <w:jc w:val="center"/>
        <w:rPr>
          <w:rFonts w:hint="eastAsia" w:ascii="宋体" w:hAnsi="宋体" w:eastAsia="宋体" w:cs="宋体"/>
          <w:color w:val="auto"/>
          <w:sz w:val="24"/>
          <w:lang w:eastAsia="zh-CN"/>
        </w:rPr>
      </w:pPr>
    </w:p>
    <w:p w14:paraId="48F679A8">
      <w:pPr>
        <w:wordWrap w:val="0"/>
        <w:overflowPunct w:val="0"/>
        <w:topLinePunct/>
        <w:spacing w:line="360" w:lineRule="auto"/>
        <w:jc w:val="center"/>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0AB58705">
      <w:pPr>
        <w:pStyle w:val="684"/>
        <w:wordWrap w:val="0"/>
        <w:overflowPunct w:val="0"/>
        <w:topLinePunct/>
        <w:spacing w:before="0"/>
        <w:ind w:firstLine="480"/>
        <w:jc w:val="center"/>
        <w:rPr>
          <w:rFonts w:hint="eastAsia" w:ascii="宋体" w:hAnsi="宋体" w:eastAsia="宋体" w:cs="宋体"/>
          <w:color w:val="auto"/>
        </w:rPr>
      </w:pPr>
      <w:r>
        <w:rPr>
          <w:rFonts w:hint="eastAsia" w:ascii="宋体" w:hAnsi="宋体" w:eastAsia="宋体" w:cs="宋体"/>
          <w:color w:val="auto"/>
        </w:rPr>
        <w:t>日期：</w:t>
      </w:r>
      <w:r>
        <w:rPr>
          <w:rFonts w:hint="eastAsia" w:ascii="宋体" w:hAnsi="宋体" w:eastAsia="宋体" w:cs="宋体"/>
          <w:color w:val="auto"/>
          <w:u w:val="single"/>
        </w:rPr>
        <w:t xml:space="preserve">     </w:t>
      </w:r>
      <w:r>
        <w:rPr>
          <w:rFonts w:hint="eastAsia" w:ascii="宋体" w:hAnsi="宋体" w:eastAsia="宋体" w:cs="宋体"/>
          <w:color w:val="auto"/>
        </w:rPr>
        <w:t>年</w:t>
      </w:r>
      <w:r>
        <w:rPr>
          <w:rFonts w:hint="eastAsia" w:ascii="宋体" w:hAnsi="宋体" w:eastAsia="宋体" w:cs="宋体"/>
          <w:color w:val="auto"/>
          <w:u w:val="single"/>
        </w:rPr>
        <w:t xml:space="preserve">     </w:t>
      </w:r>
      <w:r>
        <w:rPr>
          <w:rFonts w:hint="eastAsia" w:ascii="宋体" w:hAnsi="宋体" w:eastAsia="宋体" w:cs="宋体"/>
          <w:color w:val="auto"/>
        </w:rPr>
        <w:t>月</w:t>
      </w:r>
      <w:r>
        <w:rPr>
          <w:rFonts w:hint="eastAsia" w:ascii="宋体" w:hAnsi="宋体" w:eastAsia="宋体" w:cs="宋体"/>
          <w:color w:val="auto"/>
          <w:u w:val="single"/>
        </w:rPr>
        <w:t xml:space="preserve">     </w:t>
      </w:r>
      <w:r>
        <w:rPr>
          <w:rFonts w:hint="eastAsia" w:ascii="宋体" w:hAnsi="宋体" w:eastAsia="宋体" w:cs="宋体"/>
          <w:color w:val="auto"/>
        </w:rPr>
        <w:t>日</w:t>
      </w:r>
    </w:p>
    <w:p w14:paraId="3E0744DA">
      <w:pPr>
        <w:pStyle w:val="684"/>
        <w:wordWrap w:val="0"/>
        <w:overflowPunct w:val="0"/>
        <w:topLinePunct/>
        <w:spacing w:before="0"/>
        <w:jc w:val="both"/>
        <w:rPr>
          <w:rFonts w:hint="eastAsia" w:ascii="宋体" w:hAnsi="宋体" w:eastAsia="宋体" w:cs="宋体"/>
          <w:color w:val="auto"/>
        </w:rPr>
      </w:pPr>
    </w:p>
    <w:p w14:paraId="4F9DE333">
      <w:pPr>
        <w:wordWrap w:val="0"/>
        <w:overflowPunct w:val="0"/>
        <w:topLinePunct/>
        <w:spacing w:line="0" w:lineRule="atLeast"/>
        <w:ind w:firstLine="482" w:firstLineChars="200"/>
        <w:jc w:val="left"/>
        <w:rPr>
          <w:rFonts w:hint="eastAsia" w:ascii="宋体" w:hAnsi="宋体" w:eastAsia="宋体" w:cs="宋体"/>
          <w:b/>
          <w:bCs/>
          <w:color w:val="auto"/>
          <w:sz w:val="24"/>
        </w:rPr>
      </w:pPr>
    </w:p>
    <w:p w14:paraId="3F47A2AA">
      <w:pPr>
        <w:pStyle w:val="65"/>
        <w:rPr>
          <w:rFonts w:hint="eastAsia" w:ascii="宋体" w:hAnsi="宋体" w:eastAsia="宋体" w:cs="宋体"/>
          <w:b/>
          <w:bCs/>
          <w:color w:val="auto"/>
          <w:sz w:val="21"/>
          <w:szCs w:val="21"/>
        </w:rPr>
      </w:pPr>
    </w:p>
    <w:p w14:paraId="257EB7C8">
      <w:pPr>
        <w:pStyle w:val="65"/>
        <w:rPr>
          <w:rFonts w:hint="eastAsia" w:ascii="宋体" w:hAnsi="宋体" w:eastAsia="宋体" w:cs="宋体"/>
          <w:b/>
          <w:bCs/>
          <w:color w:val="auto"/>
          <w:sz w:val="21"/>
          <w:szCs w:val="21"/>
        </w:rPr>
      </w:pPr>
    </w:p>
    <w:p w14:paraId="60B579B3">
      <w:pPr>
        <w:pStyle w:val="65"/>
        <w:rPr>
          <w:rFonts w:hint="eastAsia" w:ascii="宋体" w:hAnsi="宋体" w:eastAsia="宋体" w:cs="宋体"/>
          <w:b/>
          <w:bCs/>
          <w:color w:val="auto"/>
          <w:sz w:val="24"/>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宋体" w:hAnsi="宋体" w:eastAsia="宋体" w:cs="宋体"/>
          <w:b/>
          <w:bCs/>
          <w:color w:val="auto"/>
          <w:sz w:val="21"/>
          <w:szCs w:val="21"/>
        </w:rPr>
        <w:t>注：3年内因违法经营被禁止在一定期限内参加政府采购，处罚期限届满可以参加政府采购活动的，但应提供期限届满的证明材料。</w:t>
      </w:r>
      <w:bookmarkStart w:id="1533" w:name="_Toc16572"/>
      <w:bookmarkStart w:id="1534" w:name="_Toc18012"/>
      <w:bookmarkStart w:id="1535" w:name="_Toc25072"/>
      <w:bookmarkStart w:id="1536" w:name="_Toc7287"/>
      <w:bookmarkStart w:id="1537" w:name="_Toc4806"/>
      <w:bookmarkStart w:id="1538" w:name="_Toc3606"/>
      <w:bookmarkStart w:id="1539" w:name="_Toc28900"/>
      <w:bookmarkStart w:id="1540" w:name="_Toc4238"/>
      <w:bookmarkStart w:id="1541" w:name="_Toc23880"/>
      <w:bookmarkStart w:id="1542" w:name="_Toc16693"/>
      <w:bookmarkStart w:id="1543" w:name="_Toc32199"/>
    </w:p>
    <w:bookmarkEnd w:id="1533"/>
    <w:bookmarkEnd w:id="1534"/>
    <w:bookmarkEnd w:id="1535"/>
    <w:bookmarkEnd w:id="1536"/>
    <w:bookmarkEnd w:id="1537"/>
    <w:bookmarkEnd w:id="1538"/>
    <w:bookmarkEnd w:id="1539"/>
    <w:bookmarkEnd w:id="1540"/>
    <w:bookmarkEnd w:id="1541"/>
    <w:bookmarkEnd w:id="1542"/>
    <w:bookmarkEnd w:id="1543"/>
    <w:p w14:paraId="7A165AF6">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jc w:val="center"/>
        <w:textAlignment w:val="auto"/>
        <w:rPr>
          <w:rFonts w:hint="eastAsia" w:ascii="宋体" w:hAnsi="宋体" w:eastAsia="宋体" w:cs="宋体"/>
          <w:color w:val="auto"/>
          <w:sz w:val="40"/>
          <w:szCs w:val="24"/>
        </w:rPr>
      </w:pPr>
      <w:bookmarkStart w:id="1544" w:name="_Toc698"/>
      <w:bookmarkStart w:id="1545" w:name="_Toc19537"/>
      <w:bookmarkStart w:id="1546" w:name="_Toc120277425"/>
      <w:bookmarkStart w:id="1547" w:name="_Toc112677164"/>
      <w:bookmarkStart w:id="1548" w:name="_Toc22406"/>
      <w:bookmarkStart w:id="1549" w:name="_Toc9578"/>
      <w:bookmarkStart w:id="1550" w:name="_Toc7746"/>
      <w:bookmarkStart w:id="1551" w:name="_Toc23889"/>
      <w:bookmarkStart w:id="1552" w:name="_Toc22394"/>
      <w:bookmarkStart w:id="1553" w:name="_Toc31270"/>
      <w:bookmarkStart w:id="1554" w:name="_Toc27828"/>
      <w:bookmarkStart w:id="1555" w:name="_Toc7266"/>
      <w:bookmarkStart w:id="1556" w:name="_Toc15174"/>
      <w:bookmarkStart w:id="1557" w:name="_Toc20757"/>
      <w:bookmarkStart w:id="1558" w:name="_Toc1648"/>
      <w:bookmarkStart w:id="1559" w:name="_Toc21545"/>
      <w:r>
        <w:rPr>
          <w:rFonts w:hint="eastAsia" w:ascii="宋体" w:hAnsi="宋体" w:eastAsia="宋体" w:cs="宋体"/>
          <w:color w:val="auto"/>
          <w:sz w:val="28"/>
          <w:szCs w:val="28"/>
          <w:lang w:val="en-US" w:eastAsia="zh-CN"/>
        </w:rPr>
        <w:t>七、</w:t>
      </w:r>
      <w:r>
        <w:rPr>
          <w:rFonts w:hint="eastAsia" w:ascii="宋体" w:hAnsi="宋体" w:eastAsia="宋体" w:cs="宋体"/>
          <w:color w:val="auto"/>
          <w:sz w:val="28"/>
          <w:szCs w:val="28"/>
        </w:rPr>
        <w:t>无串通投标行为的承诺函</w:t>
      </w:r>
      <w:bookmarkEnd w:id="1544"/>
      <w:bookmarkEnd w:id="1545"/>
      <w:bookmarkEnd w:id="1546"/>
      <w:bookmarkEnd w:id="1547"/>
      <w:r>
        <w:rPr>
          <w:rFonts w:hint="eastAsia" w:ascii="宋体" w:hAnsi="宋体" w:eastAsia="宋体" w:cs="宋体"/>
          <w:color w:val="auto"/>
          <w:sz w:val="28"/>
          <w:szCs w:val="28"/>
          <w:lang w:val="en-US" w:eastAsia="zh-CN"/>
        </w:rPr>
        <w:t xml:space="preserve">（实质性格式） </w:t>
      </w:r>
    </w:p>
    <w:p w14:paraId="1604A921">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一、有下列情形之一的，属于恶意串通投标：</w:t>
      </w:r>
    </w:p>
    <w:p w14:paraId="0A793808">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（一）</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直接或者间接从采购人或者采购代理机构处获得其他</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的相关情况并修改其投标文件或者响应文件；</w:t>
      </w:r>
    </w:p>
    <w:p w14:paraId="67C54DD6">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（二）</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按照采购人或者采购代理机构的授意撤换、修改投标文件或者响应文件；</w:t>
      </w:r>
    </w:p>
    <w:p w14:paraId="712CAAA7">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（三）</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之间协商报价、技术方案等投标文件或者响应文件的实质性内容；</w:t>
      </w:r>
    </w:p>
    <w:p w14:paraId="2874BBCF">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（四）属于同一集团、协会、商会等组织成员的</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按照该组织要求协同参加政府采购活动；</w:t>
      </w:r>
    </w:p>
    <w:p w14:paraId="6A848FD7">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（五）</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之间事先约定由某一特定</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中标、成交；</w:t>
      </w:r>
    </w:p>
    <w:p w14:paraId="539E777B">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（六）</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之间商定部分</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放弃参加政府采购活动或者放弃中标、成交；</w:t>
      </w:r>
    </w:p>
    <w:p w14:paraId="3D4C0596">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（七）</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与采购人或者采购代理机构之间、</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相互之间，为谋求特定</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中标、成交或者排斥其他</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的其他串通行为。</w:t>
      </w:r>
    </w:p>
    <w:p w14:paraId="2A97C7DB">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宋体" w:hAnsi="宋体" w:eastAsia="宋体" w:cs="宋体"/>
          <w:color w:val="auto"/>
          <w:kern w:val="0"/>
          <w:sz w:val="24"/>
        </w:rPr>
      </w:pPr>
      <w:r>
        <w:rPr>
          <w:rFonts w:hint="eastAsia" w:ascii="宋体" w:hAnsi="宋体" w:eastAsia="宋体" w:cs="宋体"/>
          <w:b/>
          <w:color w:val="auto"/>
          <w:kern w:val="0"/>
          <w:sz w:val="24"/>
        </w:rPr>
        <w:t>二、有下列情形之一的，视为</w:t>
      </w:r>
      <w:r>
        <w:rPr>
          <w:rFonts w:hint="eastAsia" w:ascii="宋体" w:hAnsi="宋体" w:cs="宋体"/>
          <w:b/>
          <w:color w:val="auto"/>
          <w:kern w:val="0"/>
          <w:sz w:val="24"/>
          <w:lang w:eastAsia="zh-CN"/>
        </w:rPr>
        <w:t>供应商</w:t>
      </w:r>
      <w:r>
        <w:rPr>
          <w:rFonts w:hint="eastAsia" w:ascii="宋体" w:hAnsi="宋体" w:eastAsia="宋体" w:cs="宋体"/>
          <w:b/>
          <w:color w:val="auto"/>
          <w:kern w:val="0"/>
          <w:sz w:val="24"/>
        </w:rPr>
        <w:t>串通投标，其投标无效：</w:t>
      </w:r>
    </w:p>
    <w:p w14:paraId="2058894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（一）不同</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的投标文件由同一单位或者个人编制；</w:t>
      </w:r>
    </w:p>
    <w:p w14:paraId="748560A6">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（二）不同</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委托同一单位或者个人办理投标事宜；</w:t>
      </w:r>
    </w:p>
    <w:p w14:paraId="4BD20EE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（三）不同</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的投标文件载明的项目管理成员或者联系人员为同一人；</w:t>
      </w:r>
    </w:p>
    <w:p w14:paraId="55B6153D">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（四）不同</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的投标文件异常一致或者投标报价呈规律性差异；</w:t>
      </w:r>
    </w:p>
    <w:p w14:paraId="1BFB518F">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（五）不同</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的投标文件相互混装；</w:t>
      </w:r>
    </w:p>
    <w:p w14:paraId="139B160B">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（六）不同</w:t>
      </w:r>
      <w:r>
        <w:rPr>
          <w:rFonts w:hint="eastAsia" w:ascii="宋体" w:hAnsi="宋体" w:cs="宋体"/>
          <w:color w:val="auto"/>
          <w:kern w:val="0"/>
          <w:sz w:val="24"/>
          <w:lang w:eastAsia="zh-CN"/>
        </w:rPr>
        <w:t>供应商</w:t>
      </w:r>
      <w:r>
        <w:rPr>
          <w:rFonts w:hint="eastAsia" w:ascii="宋体" w:hAnsi="宋体" w:eastAsia="宋体" w:cs="宋体"/>
          <w:color w:val="auto"/>
          <w:kern w:val="0"/>
          <w:sz w:val="24"/>
        </w:rPr>
        <w:t>的投标保证金从同一单位或者个人的账户转出。</w:t>
      </w:r>
    </w:p>
    <w:p w14:paraId="14BE6614">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请</w:t>
      </w:r>
      <w:r>
        <w:rPr>
          <w:rFonts w:hint="eastAsia" w:ascii="宋体" w:hAnsi="宋体" w:cs="宋体"/>
          <w:b/>
          <w:color w:val="auto"/>
          <w:kern w:val="0"/>
          <w:sz w:val="24"/>
          <w:lang w:eastAsia="zh-CN"/>
        </w:rPr>
        <w:t>供应商</w:t>
      </w:r>
      <w:r>
        <w:rPr>
          <w:rFonts w:hint="eastAsia" w:ascii="宋体" w:hAnsi="宋体" w:eastAsia="宋体" w:cs="宋体"/>
          <w:b/>
          <w:color w:val="auto"/>
          <w:kern w:val="0"/>
          <w:sz w:val="24"/>
        </w:rPr>
        <w:t>出具是否存在上述情形的承诺函（内容自拟），如出现上述情形的，将向财政部门报告，依照政府采购法第七十七条第一款的规定追究法律责任。</w:t>
      </w:r>
    </w:p>
    <w:p w14:paraId="3EF9D243">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kern w:val="0"/>
          <w:sz w:val="24"/>
        </w:rPr>
      </w:pPr>
    </w:p>
    <w:p w14:paraId="1833672F">
      <w:pPr>
        <w:wordWrap w:val="0"/>
        <w:overflowPunct w:val="0"/>
        <w:topLinePunct/>
        <w:spacing w:line="360" w:lineRule="auto"/>
        <w:jc w:val="left"/>
        <w:rPr>
          <w:rFonts w:hint="eastAsia" w:ascii="宋体" w:hAnsi="宋体" w:eastAsia="宋体" w:cs="宋体"/>
          <w:color w:val="auto"/>
          <w:sz w:val="24"/>
          <w:lang w:eastAsia="zh-CN"/>
        </w:rPr>
      </w:pPr>
    </w:p>
    <w:p w14:paraId="4229FDAB">
      <w:pPr>
        <w:wordWrap w:val="0"/>
        <w:overflowPunct w:val="0"/>
        <w:topLinePunct/>
        <w:spacing w:line="360" w:lineRule="auto"/>
        <w:jc w:val="left"/>
        <w:rPr>
          <w:rFonts w:hint="eastAsia" w:ascii="宋体" w:hAnsi="宋体" w:eastAsia="宋体" w:cs="宋体"/>
          <w:color w:val="auto"/>
          <w:sz w:val="24"/>
          <w:lang w:eastAsia="zh-CN"/>
        </w:rPr>
      </w:pPr>
    </w:p>
    <w:p w14:paraId="604F0E51">
      <w:pPr>
        <w:wordWrap w:val="0"/>
        <w:overflowPunct w:val="0"/>
        <w:topLinePunct/>
        <w:spacing w:line="360" w:lineRule="auto"/>
        <w:jc w:val="left"/>
        <w:rPr>
          <w:rFonts w:hint="eastAsia" w:ascii="宋体" w:hAnsi="宋体" w:eastAsia="宋体" w:cs="宋体"/>
          <w:color w:val="auto"/>
          <w:sz w:val="24"/>
          <w:lang w:eastAsia="zh-CN"/>
        </w:rPr>
      </w:pPr>
    </w:p>
    <w:p w14:paraId="42EA3439">
      <w:pPr>
        <w:wordWrap w:val="0"/>
        <w:overflowPunct w:val="0"/>
        <w:topLinePunct/>
        <w:spacing w:line="360" w:lineRule="auto"/>
        <w:jc w:val="left"/>
        <w:rPr>
          <w:rFonts w:hint="eastAsia" w:ascii="宋体" w:hAnsi="宋体" w:eastAsia="宋体" w:cs="宋体"/>
          <w:color w:val="auto"/>
          <w:sz w:val="24"/>
        </w:rPr>
      </w:pPr>
      <w:r>
        <w:rPr>
          <w:rFonts w:hint="eastAsia" w:ascii="宋体" w:hAnsi="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591AE839">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549BFE8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color w:val="auto"/>
          <w:kern w:val="0"/>
          <w:sz w:val="24"/>
          <w:lang w:val="en-US" w:eastAsia="zh-CN"/>
        </w:rPr>
        <w:sectPr>
          <w:pgSz w:w="11906" w:h="16838"/>
          <w:pgMar w:top="1440" w:right="1080" w:bottom="1440" w:left="1080" w:header="709" w:footer="596"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宋体" w:hAnsi="宋体" w:eastAsia="宋体" w:cs="宋体"/>
          <w:color w:val="auto"/>
          <w:sz w:val="24"/>
        </w:rPr>
        <w:t>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6C53D5F0">
      <w:pPr>
        <w:jc w:val="cente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28"/>
          <w:szCs w:val="28"/>
          <w:lang w:val="en-US" w:eastAsia="zh-CN"/>
        </w:rPr>
        <w:t>八</w:t>
      </w:r>
      <w:r>
        <w:rPr>
          <w:rFonts w:hint="eastAsia" w:ascii="宋体" w:hAnsi="宋体" w:eastAsia="宋体" w:cs="宋体"/>
          <w:b/>
          <w:bCs/>
          <w:color w:val="auto"/>
          <w:sz w:val="28"/>
          <w:szCs w:val="28"/>
        </w:rPr>
        <w:t>、</w:t>
      </w:r>
      <w:bookmarkEnd w:id="1548"/>
      <w:bookmarkEnd w:id="1549"/>
      <w:bookmarkEnd w:id="1550"/>
      <w:bookmarkEnd w:id="1551"/>
      <w:bookmarkEnd w:id="1552"/>
      <w:bookmarkEnd w:id="1553"/>
      <w:bookmarkEnd w:id="1554"/>
      <w:bookmarkEnd w:id="1555"/>
      <w:bookmarkEnd w:id="1556"/>
      <w:bookmarkEnd w:id="1557"/>
      <w:bookmarkEnd w:id="1558"/>
      <w:bookmarkEnd w:id="1559"/>
      <w:r>
        <w:rPr>
          <w:rFonts w:hint="eastAsia" w:ascii="宋体" w:hAnsi="宋体" w:eastAsia="宋体" w:cs="宋体"/>
          <w:b/>
          <w:bCs/>
          <w:color w:val="auto"/>
          <w:sz w:val="28"/>
          <w:szCs w:val="28"/>
        </w:rPr>
        <w:t>本项目的特定资格</w:t>
      </w:r>
      <w:r>
        <w:rPr>
          <w:rFonts w:hint="eastAsia" w:ascii="宋体" w:hAnsi="宋体" w:eastAsia="宋体" w:cs="宋体"/>
          <w:b/>
          <w:bCs/>
          <w:color w:val="auto"/>
          <w:sz w:val="28"/>
          <w:szCs w:val="28"/>
          <w:lang w:val="en-US" w:eastAsia="zh-CN"/>
        </w:rPr>
        <w:t>证明文件（实质性格式）</w:t>
      </w:r>
      <w:r>
        <w:rPr>
          <w:rFonts w:hint="eastAsia" w:ascii="宋体" w:hAnsi="宋体" w:eastAsia="宋体" w:cs="宋体"/>
          <w:b/>
          <w:bCs/>
          <w:color w:val="auto"/>
          <w:sz w:val="32"/>
          <w:szCs w:val="32"/>
          <w:lang w:val="en-US" w:eastAsia="zh-CN"/>
        </w:rPr>
        <w:t xml:space="preserve"> </w:t>
      </w:r>
    </w:p>
    <w:p w14:paraId="31E072A7">
      <w:pPr>
        <w:pStyle w:val="4"/>
        <w:pageBreakBefore w:val="0"/>
        <w:widowControl w:val="0"/>
        <w:tabs>
          <w:tab w:val="left" w:pos="900"/>
          <w:tab w:val="left" w:pos="1588"/>
        </w:tabs>
        <w:kinsoku/>
        <w:wordWrap w:val="0"/>
        <w:overflowPunct w:val="0"/>
        <w:topLinePunct/>
        <w:autoSpaceDE/>
        <w:autoSpaceDN/>
        <w:bidi w:val="0"/>
        <w:adjustRightInd/>
        <w:snapToGrid/>
        <w:spacing w:before="0" w:after="0" w:line="360" w:lineRule="auto"/>
        <w:ind w:left="0" w:firstLine="0"/>
        <w:jc w:val="center"/>
        <w:textAlignment w:val="auto"/>
        <w:rPr>
          <w:rFonts w:hint="eastAsia" w:ascii="宋体" w:hAnsi="宋体" w:eastAsia="宋体" w:cs="宋体"/>
          <w:color w:val="auto"/>
        </w:rPr>
      </w:pPr>
      <w:bookmarkStart w:id="1560" w:name="_Toc16375"/>
      <w:bookmarkStart w:id="1561" w:name="_Toc32435"/>
      <w:bookmarkStart w:id="1562" w:name="_Toc12546"/>
      <w:bookmarkStart w:id="1563" w:name="_Toc11439"/>
      <w:bookmarkStart w:id="1564" w:name="_Toc24916"/>
      <w:bookmarkStart w:id="1565" w:name="_Toc7737"/>
      <w:bookmarkStart w:id="1566" w:name="_Toc18607"/>
      <w:bookmarkStart w:id="1567" w:name="_Toc145164067"/>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扫描件</w:t>
      </w:r>
      <w:r>
        <w:rPr>
          <w:rFonts w:hint="eastAsia" w:ascii="宋体" w:hAnsi="宋体" w:eastAsia="宋体" w:cs="宋体"/>
          <w:color w:val="auto"/>
          <w:sz w:val="24"/>
        </w:rPr>
        <w:t>加盖电子公章</w:t>
      </w:r>
      <w:r>
        <w:rPr>
          <w:rFonts w:hint="eastAsia" w:ascii="宋体" w:hAnsi="宋体" w:eastAsia="宋体" w:cs="宋体"/>
          <w:color w:val="auto"/>
          <w:sz w:val="24"/>
          <w:szCs w:val="24"/>
        </w:rPr>
        <w:t>）</w:t>
      </w:r>
      <w:bookmarkEnd w:id="1560"/>
      <w:bookmarkEnd w:id="1561"/>
      <w:bookmarkEnd w:id="1562"/>
      <w:bookmarkEnd w:id="1563"/>
      <w:bookmarkEnd w:id="1564"/>
      <w:bookmarkEnd w:id="1565"/>
      <w:bookmarkEnd w:id="1566"/>
    </w:p>
    <w:p w14:paraId="2A849B19">
      <w:pPr>
        <w:jc w:val="center"/>
        <w:rPr>
          <w:rFonts w:hint="eastAsia" w:ascii="宋体" w:hAnsi="宋体" w:cs="宋体"/>
          <w:color w:val="auto"/>
          <w:sz w:val="24"/>
          <w:lang w:val="en-US" w:eastAsia="zh-CN"/>
        </w:rPr>
      </w:pPr>
      <w:r>
        <w:rPr>
          <w:rFonts w:hint="eastAsia" w:ascii="宋体" w:hAnsi="宋体" w:eastAsia="宋体" w:cs="宋体"/>
          <w:color w:val="auto"/>
          <w:sz w:val="24"/>
        </w:rPr>
        <w:t>具体要求详见</w:t>
      </w:r>
      <w:r>
        <w:rPr>
          <w:rFonts w:hint="eastAsia" w:ascii="宋体" w:hAnsi="宋体" w:eastAsia="宋体" w:cs="宋体"/>
          <w:color w:val="auto"/>
          <w:sz w:val="24"/>
          <w:lang w:val="en-US" w:eastAsia="zh-CN"/>
        </w:rPr>
        <w:t>招标</w:t>
      </w:r>
      <w:r>
        <w:rPr>
          <w:rFonts w:hint="eastAsia" w:ascii="宋体" w:hAnsi="宋体" w:eastAsia="宋体" w:cs="宋体"/>
          <w:color w:val="auto"/>
          <w:sz w:val="24"/>
          <w:lang w:eastAsia="zh-CN"/>
        </w:rPr>
        <w:t>文件“</w:t>
      </w:r>
      <w:r>
        <w:rPr>
          <w:rFonts w:hint="eastAsia" w:ascii="宋体" w:hAnsi="宋体" w:eastAsia="宋体" w:cs="宋体"/>
          <w:color w:val="auto"/>
          <w:sz w:val="24"/>
          <w:lang w:eastAsia="zh-CN"/>
        </w:rPr>
        <w:fldChar w:fldCharType="begin"/>
      </w:r>
      <w:r>
        <w:rPr>
          <w:rFonts w:hint="eastAsia" w:ascii="宋体" w:hAnsi="宋体" w:eastAsia="宋体" w:cs="宋体"/>
          <w:color w:val="auto"/>
          <w:sz w:val="24"/>
          <w:lang w:eastAsia="zh-CN"/>
        </w:rPr>
        <w:instrText xml:space="preserve"> HYPERLINK \l _Toc25103 </w:instrText>
      </w:r>
      <w:r>
        <w:rPr>
          <w:rFonts w:hint="eastAsia" w:ascii="宋体" w:hAnsi="宋体" w:eastAsia="宋体" w:cs="宋体"/>
          <w:color w:val="auto"/>
          <w:sz w:val="24"/>
          <w:lang w:eastAsia="zh-CN"/>
        </w:rPr>
        <w:fldChar w:fldCharType="separate"/>
      </w:r>
      <w:r>
        <w:rPr>
          <w:rFonts w:hint="eastAsia" w:ascii="宋体" w:hAnsi="宋体" w:eastAsia="宋体" w:cs="宋体"/>
          <w:color w:val="auto"/>
          <w:sz w:val="24"/>
          <w:lang w:eastAsia="zh-CN"/>
        </w:rPr>
        <w:t>第一章</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eastAsia="zh-CN"/>
        </w:rPr>
        <w:t>招标公告</w:t>
      </w:r>
      <w:r>
        <w:rPr>
          <w:rFonts w:hint="eastAsia" w:ascii="宋体" w:hAnsi="宋体" w:eastAsia="宋体" w:cs="宋体"/>
          <w:color w:val="auto"/>
          <w:sz w:val="24"/>
          <w:lang w:eastAsia="zh-CN"/>
        </w:rPr>
        <w:fldChar w:fldCharType="end"/>
      </w:r>
      <w:r>
        <w:rPr>
          <w:rFonts w:hint="eastAsia" w:ascii="宋体" w:hAnsi="宋体" w:eastAsia="宋体" w:cs="宋体"/>
          <w:color w:val="auto"/>
          <w:sz w:val="24"/>
          <w:lang w:eastAsia="zh-CN"/>
        </w:rPr>
        <w:t>”</w:t>
      </w:r>
      <w:r>
        <w:rPr>
          <w:rFonts w:hint="eastAsia" w:ascii="宋体" w:hAnsi="宋体" w:cs="宋体"/>
          <w:color w:val="auto"/>
          <w:sz w:val="24"/>
          <w:lang w:val="en-US" w:eastAsia="zh-CN"/>
        </w:rPr>
        <w:t>及</w:t>
      </w:r>
      <w:r>
        <w:rPr>
          <w:rFonts w:hint="eastAsia" w:ascii="宋体" w:hAnsi="宋体" w:eastAsia="宋体" w:cs="宋体"/>
          <w:color w:val="auto"/>
          <w:sz w:val="24"/>
          <w:lang w:eastAsia="zh-CN"/>
        </w:rPr>
        <w:t>“</w:t>
      </w:r>
      <w:r>
        <w:rPr>
          <w:rFonts w:hint="eastAsia" w:ascii="宋体" w:hAnsi="宋体" w:cs="宋体"/>
          <w:color w:val="auto"/>
          <w:sz w:val="24"/>
          <w:lang w:val="en-US" w:eastAsia="zh-CN"/>
        </w:rPr>
        <w:t>第三章 评审办法</w:t>
      </w:r>
      <w:r>
        <w:rPr>
          <w:rFonts w:hint="eastAsia" w:ascii="宋体" w:hAnsi="宋体" w:eastAsia="宋体" w:cs="宋体"/>
          <w:color w:val="auto"/>
          <w:sz w:val="24"/>
          <w:lang w:eastAsia="zh-CN"/>
        </w:rPr>
        <w:t>”</w:t>
      </w:r>
      <w:r>
        <w:rPr>
          <w:rFonts w:hint="eastAsia" w:ascii="宋体" w:hAnsi="宋体" w:cs="宋体"/>
          <w:color w:val="auto"/>
          <w:sz w:val="24"/>
          <w:lang w:val="en-US" w:eastAsia="zh-CN"/>
        </w:rPr>
        <w:t>资格审查标准</w:t>
      </w:r>
    </w:p>
    <w:p w14:paraId="07BD212C">
      <w:pPr>
        <w:jc w:val="center"/>
        <w:rPr>
          <w:rFonts w:hint="eastAsia" w:ascii="宋体" w:hAnsi="宋体" w:eastAsia="宋体" w:cs="宋体"/>
          <w:color w:val="auto"/>
          <w:sz w:val="24"/>
        </w:rPr>
      </w:pPr>
      <w:r>
        <w:rPr>
          <w:rFonts w:hint="eastAsia" w:ascii="宋体" w:hAnsi="宋体" w:eastAsia="宋体" w:cs="宋体"/>
          <w:color w:val="auto"/>
          <w:sz w:val="24"/>
        </w:rPr>
        <w:t>相关要求。</w:t>
      </w:r>
    </w:p>
    <w:p w14:paraId="11A98009">
      <w:pPr>
        <w:rPr>
          <w:rFonts w:hint="eastAsia" w:ascii="宋体" w:hAnsi="宋体" w:eastAsia="宋体" w:cs="宋体"/>
          <w:color w:val="auto"/>
          <w:sz w:val="24"/>
        </w:rPr>
      </w:pPr>
      <w:r>
        <w:rPr>
          <w:rFonts w:hint="eastAsia" w:ascii="宋体" w:hAnsi="宋体" w:eastAsia="宋体" w:cs="宋体"/>
          <w:color w:val="auto"/>
          <w:sz w:val="24"/>
        </w:rPr>
        <w:br w:type="page"/>
      </w:r>
    </w:p>
    <w:p w14:paraId="60CF2CE3">
      <w:pPr>
        <w:pStyle w:val="65"/>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sz w:val="32"/>
          <w:szCs w:val="32"/>
        </w:rPr>
      </w:pPr>
      <w:r>
        <w:rPr>
          <w:rFonts w:hint="eastAsia" w:ascii="宋体" w:hAnsi="宋体" w:eastAsia="宋体" w:cs="宋体"/>
          <w:b/>
          <w:bCs/>
          <w:color w:val="auto"/>
          <w:sz w:val="28"/>
          <w:szCs w:val="28"/>
        </w:rPr>
        <w:t>资格声明函</w:t>
      </w:r>
      <w:r>
        <w:rPr>
          <w:rFonts w:hint="eastAsia" w:ascii="宋体" w:hAnsi="宋体" w:eastAsia="宋体" w:cs="宋体"/>
          <w:b/>
          <w:bCs/>
          <w:color w:val="auto"/>
          <w:sz w:val="28"/>
          <w:szCs w:val="28"/>
          <w:lang w:val="en-US" w:eastAsia="zh-CN"/>
        </w:rPr>
        <w:t>（实质性格式）</w:t>
      </w:r>
    </w:p>
    <w:p w14:paraId="35EF3D85">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rPr>
        <w:t>致：</w:t>
      </w:r>
      <w:r>
        <w:rPr>
          <w:rFonts w:hint="eastAsia" w:ascii="宋体" w:hAnsi="宋体" w:cs="宋体"/>
          <w:color w:val="auto"/>
          <w:sz w:val="24"/>
          <w:szCs w:val="24"/>
          <w:u w:val="single"/>
          <w:lang w:val="en-US" w:eastAsia="zh-CN"/>
        </w:rPr>
        <w:t>南华县人民医院</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eastAsia="zh-CN"/>
        </w:rPr>
        <w:t xml:space="preserve">楚雄腾凯工程项目管理有限公司 </w:t>
      </w:r>
      <w:r>
        <w:rPr>
          <w:rFonts w:hint="eastAsia" w:ascii="宋体" w:hAnsi="宋体" w:cs="宋体"/>
          <w:i w:val="0"/>
          <w:iCs w:val="0"/>
          <w:color w:val="auto"/>
          <w:sz w:val="24"/>
          <w:szCs w:val="24"/>
          <w:u w:val="single"/>
          <w:lang w:val="en-US" w:eastAsia="zh-CN"/>
        </w:rPr>
        <w:t>（采购代理机构）</w:t>
      </w:r>
    </w:p>
    <w:p w14:paraId="7DD2C3DF">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关于贵方组织的（</w:t>
      </w:r>
      <w:r>
        <w:rPr>
          <w:rFonts w:hint="eastAsia" w:ascii="宋体" w:hAnsi="宋体" w:eastAsia="宋体" w:cs="宋体"/>
          <w:color w:val="auto"/>
          <w:sz w:val="24"/>
          <w:szCs w:val="24"/>
          <w:lang w:eastAsia="zh-CN"/>
        </w:rPr>
        <w:t>项目名称：</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、项目编号：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eastAsia="zh-CN"/>
        </w:rPr>
        <w:t>公开招标</w:t>
      </w:r>
      <w:r>
        <w:rPr>
          <w:rFonts w:hint="eastAsia" w:ascii="宋体" w:hAnsi="宋体" w:eastAsia="宋体" w:cs="宋体"/>
          <w:color w:val="auto"/>
          <w:sz w:val="24"/>
          <w:szCs w:val="24"/>
        </w:rPr>
        <w:t>采购活动，我公司</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（公司名称）愿意参加，提供</w:t>
      </w:r>
      <w:r>
        <w:rPr>
          <w:rFonts w:hint="eastAsia" w:ascii="宋体" w:hAnsi="宋体" w:eastAsia="宋体" w:cs="宋体"/>
          <w:color w:val="auto"/>
          <w:sz w:val="24"/>
          <w:szCs w:val="24"/>
          <w:lang w:eastAsia="zh-CN"/>
        </w:rPr>
        <w:t>投标文件</w:t>
      </w:r>
      <w:r>
        <w:rPr>
          <w:rFonts w:hint="eastAsia" w:ascii="宋体" w:hAnsi="宋体" w:eastAsia="宋体" w:cs="宋体"/>
          <w:color w:val="auto"/>
          <w:sz w:val="24"/>
          <w:szCs w:val="24"/>
        </w:rPr>
        <w:t>中规定的货物及服务，并针对本项目的相关资格条款，我公司作出以下声明；</w:t>
      </w:r>
    </w:p>
    <w:p w14:paraId="5AEFB913">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宋体" w:hAnsi="宋体" w:eastAsia="宋体" w:cs="宋体"/>
          <w:color w:val="auto"/>
          <w:sz w:val="24"/>
          <w:szCs w:val="24"/>
          <w:highlight w:val="yellow"/>
          <w:lang w:val="en-US" w:eastAsia="zh-CN"/>
        </w:rPr>
      </w:pPr>
      <w:bookmarkStart w:id="1568" w:name="_Toc23865"/>
      <w:bookmarkStart w:id="1569" w:name="_Toc10065"/>
      <w:bookmarkStart w:id="1570" w:name="_Toc26981"/>
      <w:bookmarkStart w:id="1571" w:name="_Toc28986"/>
      <w:bookmarkStart w:id="1572" w:name="_Toc30423"/>
      <w:bookmarkStart w:id="1573" w:name="_Toc14160"/>
      <w:bookmarkStart w:id="1574" w:name="_Toc3450"/>
      <w:bookmarkStart w:id="1575" w:name="_Toc26904"/>
      <w:bookmarkStart w:id="1576" w:name="_Toc5283"/>
      <w:r>
        <w:rPr>
          <w:rFonts w:hint="eastAsia" w:ascii="宋体" w:hAnsi="宋体" w:eastAsia="宋体" w:cs="宋体"/>
          <w:color w:val="auto"/>
          <w:sz w:val="24"/>
          <w:szCs w:val="24"/>
        </w:rPr>
        <w:t>1.我公司是依法注册的法人，在法律上、财务上和运作上完全独立于</w:t>
      </w:r>
      <w:r>
        <w:rPr>
          <w:rFonts w:hint="eastAsia" w:ascii="宋体" w:hAnsi="宋体" w:cs="宋体"/>
          <w:color w:val="auto"/>
          <w:sz w:val="24"/>
          <w:szCs w:val="24"/>
          <w:u w:val="single"/>
          <w:lang w:val="en-US" w:eastAsia="zh-CN"/>
        </w:rPr>
        <w:t>南华县人民医院</w:t>
      </w:r>
      <w:r>
        <w:rPr>
          <w:rFonts w:hint="eastAsia" w:ascii="宋体" w:hAnsi="宋体" w:eastAsia="宋体" w:cs="宋体"/>
          <w:color w:val="auto"/>
          <w:sz w:val="24"/>
          <w:szCs w:val="24"/>
          <w:highlight w:val="none"/>
        </w:rPr>
        <w:t>及</w:t>
      </w:r>
      <w:r>
        <w:rPr>
          <w:rFonts w:hint="eastAsia" w:ascii="宋体" w:hAnsi="宋体" w:cs="宋体"/>
          <w:color w:val="auto"/>
          <w:sz w:val="24"/>
          <w:szCs w:val="24"/>
          <w:highlight w:val="none"/>
          <w:u w:val="single"/>
          <w:lang w:eastAsia="zh-CN"/>
        </w:rPr>
        <w:t xml:space="preserve">楚雄腾凯工程项目管理有限公司 </w:t>
      </w:r>
    </w:p>
    <w:p w14:paraId="51C00889">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宋体" w:hAnsi="宋体" w:eastAsia="宋体" w:cs="宋体"/>
          <w:color w:val="auto"/>
          <w:sz w:val="24"/>
          <w:szCs w:val="24"/>
          <w:lang w:val="en-US"/>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sz w:val="24"/>
          <w:szCs w:val="24"/>
        </w:rPr>
        <w:t>我公司</w:t>
      </w:r>
      <w:r>
        <w:rPr>
          <w:rFonts w:hint="eastAsia" w:ascii="宋体" w:hAnsi="宋体" w:eastAsia="宋体" w:cs="宋体"/>
          <w:b w:val="0"/>
          <w:bCs w:val="0"/>
          <w:color w:val="auto"/>
          <w:sz w:val="24"/>
          <w:szCs w:val="24"/>
          <w:lang w:eastAsia="zh-CN"/>
        </w:rPr>
        <w:t>遵守国家有关的法律、法令和条例，以及符合并承认和履行招标文件中的各项规定。</w:t>
      </w:r>
    </w:p>
    <w:p w14:paraId="310F5EA7">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bookmarkEnd w:id="1568"/>
      <w:bookmarkEnd w:id="1569"/>
      <w:bookmarkEnd w:id="1570"/>
      <w:bookmarkEnd w:id="1571"/>
      <w:bookmarkEnd w:id="1572"/>
      <w:bookmarkEnd w:id="1573"/>
      <w:bookmarkEnd w:id="1574"/>
      <w:bookmarkEnd w:id="1575"/>
      <w:bookmarkEnd w:id="1576"/>
      <w:r>
        <w:rPr>
          <w:rFonts w:hint="eastAsia" w:ascii="宋体" w:hAnsi="宋体" w:eastAsia="宋体" w:cs="宋体"/>
          <w:color w:val="auto"/>
          <w:sz w:val="24"/>
          <w:szCs w:val="24"/>
        </w:rPr>
        <w:t>我单位不属于政府采购法律、行政法规规定的公益一类事业单位</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使用事业编制且由财政拨款保障的群团组织（仅适用于政府购买服务项目）</w:t>
      </w:r>
      <w:r>
        <w:rPr>
          <w:rFonts w:hint="eastAsia" w:ascii="宋体" w:hAnsi="宋体" w:eastAsia="宋体" w:cs="宋体"/>
          <w:color w:val="auto"/>
          <w:sz w:val="24"/>
          <w:szCs w:val="24"/>
          <w:lang w:eastAsia="zh-CN"/>
        </w:rPr>
        <w:t>；</w:t>
      </w:r>
    </w:p>
    <w:p w14:paraId="701221EC">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我单位不存在为采购项目提供整体设计、规范编制或者项目管理、监理、检测等服务后，再参加该采购项目的其他采购活动的情形（单一来源采购项目除外）</w:t>
      </w:r>
      <w:r>
        <w:rPr>
          <w:rFonts w:hint="eastAsia" w:ascii="宋体" w:hAnsi="宋体" w:eastAsia="宋体" w:cs="宋体"/>
          <w:color w:val="auto"/>
          <w:sz w:val="24"/>
          <w:szCs w:val="24"/>
          <w:lang w:eastAsia="zh-CN"/>
        </w:rPr>
        <w:t>；</w:t>
      </w:r>
    </w:p>
    <w:p w14:paraId="77582714">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与我单位存在“单位负责人为同一人或者存在直接控股、管理关系”的其他法人单位信息如下（如有，不论其是否参加同一合同项下的政府采购活动均须填写）：</w:t>
      </w:r>
    </w:p>
    <w:tbl>
      <w:tblPr>
        <w:tblStyle w:val="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7"/>
        <w:gridCol w:w="5102"/>
        <w:gridCol w:w="3320"/>
      </w:tblGrid>
      <w:tr w14:paraId="29C06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0514C946">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5102" w:type="dxa"/>
            <w:noWrap w:val="0"/>
            <w:vAlign w:val="center"/>
          </w:tcPr>
          <w:p w14:paraId="7B1A0E18">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单位名称</w:t>
            </w:r>
          </w:p>
        </w:tc>
        <w:tc>
          <w:tcPr>
            <w:tcW w:w="3320" w:type="dxa"/>
            <w:noWrap w:val="0"/>
            <w:vAlign w:val="center"/>
          </w:tcPr>
          <w:p w14:paraId="69E61433">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相互关系</w:t>
            </w:r>
          </w:p>
        </w:tc>
      </w:tr>
      <w:tr w14:paraId="13822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5FD8510B">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5102" w:type="dxa"/>
            <w:noWrap w:val="0"/>
            <w:vAlign w:val="center"/>
          </w:tcPr>
          <w:p w14:paraId="6208BFE7">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c>
          <w:tcPr>
            <w:tcW w:w="3320" w:type="dxa"/>
            <w:noWrap w:val="0"/>
            <w:vAlign w:val="center"/>
          </w:tcPr>
          <w:p w14:paraId="0FE7E349">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r>
      <w:tr w14:paraId="4BFDF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2ABF3955">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5102" w:type="dxa"/>
            <w:noWrap w:val="0"/>
            <w:vAlign w:val="center"/>
          </w:tcPr>
          <w:p w14:paraId="53512CE8">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c>
          <w:tcPr>
            <w:tcW w:w="3320" w:type="dxa"/>
            <w:noWrap w:val="0"/>
            <w:vAlign w:val="center"/>
          </w:tcPr>
          <w:p w14:paraId="3164A9EF">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r>
      <w:tr w14:paraId="7622B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710FDE9E">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5102" w:type="dxa"/>
            <w:noWrap w:val="0"/>
            <w:vAlign w:val="center"/>
          </w:tcPr>
          <w:p w14:paraId="3E8B838B">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c>
          <w:tcPr>
            <w:tcW w:w="3320" w:type="dxa"/>
            <w:noWrap w:val="0"/>
            <w:vAlign w:val="center"/>
          </w:tcPr>
          <w:p w14:paraId="5E92C2D5">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r>
    </w:tbl>
    <w:p w14:paraId="62371C9E">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.我公司完全符合本项目的投标资格，我公司对上述声明内容事项真实性负责。如经查实上述承诺声明的内容事项存在虚假或未履行，本单位愿意接受相关处罚并追究法律责任。</w:t>
      </w:r>
    </w:p>
    <w:p w14:paraId="406B8B2A">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特此承诺！</w:t>
      </w:r>
    </w:p>
    <w:p w14:paraId="23BEEE2D">
      <w:pPr>
        <w:pStyle w:val="569"/>
        <w:keepNext w:val="0"/>
        <w:keepLines w:val="0"/>
        <w:pageBreakBefore w:val="0"/>
        <w:widowControl w:val="0"/>
        <w:kinsoku/>
        <w:autoSpaceDE w:val="0"/>
        <w:autoSpaceDN w:val="0"/>
        <w:bidi w:val="0"/>
        <w:adjustRightInd/>
        <w:snapToGrid/>
        <w:spacing w:before="63" w:beforeLines="20" w:after="63" w:afterLines="20" w:line="0" w:lineRule="atLeast"/>
        <w:ind w:left="0" w:leftChars="0" w:firstLine="0" w:firstLineChars="0"/>
        <w:jc w:val="left"/>
        <w:textAlignment w:val="baseline"/>
        <w:rPr>
          <w:rFonts w:hint="eastAsia" w:ascii="宋体" w:hAnsi="宋体" w:eastAsia="宋体" w:cs="宋体"/>
          <w:color w:val="auto"/>
          <w:kern w:val="0"/>
          <w:sz w:val="24"/>
          <w:szCs w:val="24"/>
          <w:u w:val="single"/>
        </w:rPr>
      </w:pPr>
    </w:p>
    <w:p w14:paraId="7A4E347B">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宋体" w:hAnsi="宋体" w:eastAsia="宋体" w:cs="宋体"/>
          <w:color w:val="auto"/>
          <w:sz w:val="24"/>
          <w:szCs w:val="24"/>
          <w:lang w:eastAsia="zh-CN"/>
        </w:rPr>
      </w:pPr>
    </w:p>
    <w:p w14:paraId="505E5E42">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宋体" w:hAnsi="宋体" w:eastAsia="宋体" w:cs="宋体"/>
          <w:color w:val="auto"/>
          <w:sz w:val="24"/>
          <w:szCs w:val="24"/>
          <w:lang w:eastAsia="zh-CN"/>
        </w:rPr>
      </w:pPr>
    </w:p>
    <w:p w14:paraId="40C05FF7">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宋体" w:hAnsi="宋体" w:eastAsia="宋体" w:cs="宋体"/>
          <w:color w:val="auto"/>
          <w:sz w:val="24"/>
          <w:szCs w:val="24"/>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rPr>
        <w:t>）</w:t>
      </w:r>
    </w:p>
    <w:p w14:paraId="47AF1AF3">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法定代表人（负责人）或授权委托人：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签字或电子签章</w:t>
      </w:r>
      <w:r>
        <w:rPr>
          <w:rFonts w:hint="eastAsia" w:ascii="宋体" w:hAnsi="宋体" w:eastAsia="宋体" w:cs="宋体"/>
          <w:color w:val="auto"/>
          <w:sz w:val="24"/>
          <w:szCs w:val="24"/>
        </w:rPr>
        <w:t>）</w:t>
      </w:r>
    </w:p>
    <w:p w14:paraId="37BE0058">
      <w:pPr>
        <w:keepNext w:val="0"/>
        <w:keepLines w:val="0"/>
        <w:pageBreakBefore w:val="0"/>
        <w:widowControl w:val="0"/>
        <w:kinsoku/>
        <w:bidi w:val="0"/>
        <w:adjustRightInd/>
        <w:snapToGrid/>
        <w:spacing w:before="63" w:beforeLines="20" w:after="63" w:afterLines="20" w:line="0" w:lineRule="atLeast"/>
        <w:jc w:val="left"/>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73A0881E">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宋体" w:hAnsi="宋体" w:eastAsia="宋体" w:cs="宋体"/>
          <w:b/>
          <w:color w:val="auto"/>
          <w:sz w:val="21"/>
          <w:szCs w:val="21"/>
        </w:rPr>
      </w:pPr>
    </w:p>
    <w:p w14:paraId="1CB30F3C">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宋体" w:hAnsi="宋体" w:eastAsia="宋体" w:cs="宋体"/>
          <w:b/>
          <w:color w:val="auto"/>
          <w:sz w:val="21"/>
          <w:szCs w:val="21"/>
        </w:rPr>
      </w:pPr>
    </w:p>
    <w:p w14:paraId="5556DA30">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宋体" w:hAnsi="宋体" w:eastAsia="宋体" w:cs="宋体"/>
          <w:b/>
          <w:color w:val="auto"/>
          <w:sz w:val="21"/>
          <w:szCs w:val="21"/>
        </w:rPr>
      </w:pPr>
    </w:p>
    <w:p w14:paraId="05DF25D3">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宋体" w:hAnsi="宋体" w:eastAsia="宋体" w:cs="宋体"/>
          <w:b/>
          <w:color w:val="auto"/>
          <w:sz w:val="21"/>
          <w:szCs w:val="21"/>
        </w:rPr>
      </w:pPr>
    </w:p>
    <w:p w14:paraId="6E89743D">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注：</w:t>
      </w:r>
    </w:p>
    <w:p w14:paraId="31114F8A">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1、单位负责人，是指单位法定代表人或者法律、行政法规规定代表单位行使职权的主要负责人。</w:t>
      </w:r>
    </w:p>
    <w:p w14:paraId="320788C7">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2、直接控股关系，</w:t>
      </w:r>
      <w:r>
        <w:rPr>
          <w:rFonts w:hint="eastAsia" w:ascii="宋体" w:hAnsi="宋体" w:eastAsia="宋体" w:cs="宋体"/>
          <w:b/>
          <w:color w:val="auto"/>
          <w:sz w:val="21"/>
          <w:szCs w:val="21"/>
          <w:shd w:val="clear" w:color="auto" w:fill="FFFFFF"/>
        </w:rPr>
        <w:t>是指单位或个人股东的直接控股关系；控股股东，是指其出资额占有限责任公司资本总额</w:t>
      </w:r>
      <w:r>
        <w:rPr>
          <w:rFonts w:hint="eastAsia" w:ascii="宋体" w:hAnsi="宋体" w:eastAsia="宋体" w:cs="宋体"/>
          <w:b/>
          <w:color w:val="auto"/>
          <w:sz w:val="21"/>
          <w:szCs w:val="21"/>
          <w:shd w:val="clear" w:color="auto" w:fill="FFFFFF"/>
          <w:lang w:eastAsia="zh-CN"/>
        </w:rPr>
        <w:t>50%</w:t>
      </w:r>
      <w:r>
        <w:rPr>
          <w:rFonts w:hint="eastAsia" w:ascii="宋体" w:hAnsi="宋体" w:eastAsia="宋体" w:cs="宋体"/>
          <w:b/>
          <w:color w:val="auto"/>
          <w:sz w:val="21"/>
          <w:szCs w:val="21"/>
          <w:shd w:val="clear" w:color="auto" w:fill="FFFFFF"/>
        </w:rPr>
        <w:t>以上或者其持有的股份占股份有限公司股本总额</w:t>
      </w:r>
      <w:r>
        <w:rPr>
          <w:rFonts w:hint="eastAsia" w:ascii="宋体" w:hAnsi="宋体" w:eastAsia="宋体" w:cs="宋体"/>
          <w:b/>
          <w:color w:val="auto"/>
          <w:sz w:val="21"/>
          <w:szCs w:val="21"/>
          <w:shd w:val="clear" w:color="auto" w:fill="FFFFFF"/>
          <w:lang w:eastAsia="zh-CN"/>
        </w:rPr>
        <w:t>50%</w:t>
      </w:r>
      <w:r>
        <w:rPr>
          <w:rFonts w:hint="eastAsia" w:ascii="宋体" w:hAnsi="宋体" w:eastAsia="宋体" w:cs="宋体"/>
          <w:b/>
          <w:color w:val="auto"/>
          <w:sz w:val="21"/>
          <w:szCs w:val="21"/>
          <w:shd w:val="clear" w:color="auto" w:fill="FFFFFF"/>
        </w:rPr>
        <w:t>以上的股东；出资额或者持有股份的比例虽然不足</w:t>
      </w:r>
      <w:r>
        <w:rPr>
          <w:rFonts w:hint="eastAsia" w:ascii="宋体" w:hAnsi="宋体" w:eastAsia="宋体" w:cs="宋体"/>
          <w:b/>
          <w:color w:val="auto"/>
          <w:sz w:val="21"/>
          <w:szCs w:val="21"/>
          <w:shd w:val="clear" w:color="auto" w:fill="FFFFFF"/>
          <w:lang w:eastAsia="zh-CN"/>
        </w:rPr>
        <w:t>50%</w:t>
      </w:r>
      <w:r>
        <w:rPr>
          <w:rFonts w:hint="eastAsia" w:ascii="宋体" w:hAnsi="宋体" w:eastAsia="宋体" w:cs="宋体"/>
          <w:b/>
          <w:color w:val="auto"/>
          <w:sz w:val="21"/>
          <w:szCs w:val="21"/>
          <w:shd w:val="clear" w:color="auto" w:fill="FFFFFF"/>
        </w:rPr>
        <w:t>，但依其出资额或者持有的股份所享有的表决权已足以对股东会、股东大会的决议产生重大影响的股东</w:t>
      </w:r>
      <w:r>
        <w:rPr>
          <w:rFonts w:hint="eastAsia" w:ascii="宋体" w:hAnsi="宋体" w:eastAsia="宋体" w:cs="宋体"/>
          <w:b/>
          <w:color w:val="auto"/>
          <w:sz w:val="21"/>
          <w:szCs w:val="21"/>
        </w:rPr>
        <w:t>。</w:t>
      </w:r>
    </w:p>
    <w:p w14:paraId="4D8C6E63">
      <w:pPr>
        <w:keepNext w:val="0"/>
        <w:keepLines w:val="0"/>
        <w:pageBreakBefore w:val="0"/>
        <w:widowControl w:val="0"/>
        <w:kinsoku/>
        <w:wordWrap w:val="0"/>
        <w:overflowPunct/>
        <w:topLinePunct/>
        <w:autoSpaceDE/>
        <w:autoSpaceDN/>
        <w:bidi w:val="0"/>
        <w:adjustRightInd/>
        <w:snapToGrid/>
        <w:spacing w:line="0" w:lineRule="atLeast"/>
        <w:ind w:firstLine="422" w:firstLineChars="200"/>
        <w:jc w:val="left"/>
        <w:textAlignment w:val="auto"/>
        <w:rPr>
          <w:rFonts w:hint="eastAsia" w:ascii="宋体" w:hAnsi="宋体" w:eastAsia="宋体" w:cs="宋体"/>
          <w:color w:val="auto"/>
          <w:sz w:val="24"/>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宋体" w:hAnsi="宋体" w:eastAsia="宋体" w:cs="宋体"/>
          <w:b/>
          <w:color w:val="auto"/>
          <w:sz w:val="21"/>
          <w:szCs w:val="21"/>
        </w:rPr>
        <w:t>3、直接管理关系，是指不具有出资持股关系的其他单位之间存在的直接管理与被管理关系，如上下级关系的事业单位和团体组织。</w:t>
      </w:r>
    </w:p>
    <w:bookmarkEnd w:id="1567"/>
    <w:p w14:paraId="66DF90E4">
      <w:pPr>
        <w:pStyle w:val="4"/>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1"/>
        <w:rPr>
          <w:rFonts w:hint="eastAsia" w:ascii="宋体" w:hAnsi="宋体" w:eastAsia="宋体" w:cs="宋体"/>
          <w:color w:val="auto"/>
          <w:sz w:val="22"/>
          <w:szCs w:val="22"/>
          <w:u w:val="none"/>
          <w:lang w:eastAsia="zh-CN"/>
        </w:rPr>
      </w:pPr>
      <w:bookmarkStart w:id="1577" w:name="_Toc19034"/>
      <w:bookmarkStart w:id="1578" w:name="_Toc14821"/>
      <w:r>
        <w:rPr>
          <w:rFonts w:hint="eastAsia" w:ascii="宋体" w:hAnsi="宋体" w:eastAsia="宋体" w:cs="宋体"/>
          <w:color w:val="auto"/>
          <w:sz w:val="28"/>
          <w:szCs w:val="28"/>
          <w:lang w:val="en-US" w:eastAsia="zh-CN"/>
        </w:rPr>
        <w:t>九</w:t>
      </w:r>
      <w:r>
        <w:rPr>
          <w:rFonts w:hint="eastAsia" w:ascii="宋体" w:hAnsi="宋体" w:eastAsia="宋体" w:cs="宋体"/>
          <w:color w:val="auto"/>
          <w:sz w:val="28"/>
          <w:szCs w:val="28"/>
          <w:lang w:eastAsia="zh-CN"/>
        </w:rPr>
        <w:t>、</w:t>
      </w:r>
      <w:bookmarkStart w:id="1579" w:name="_Toc89951843"/>
      <w:bookmarkStart w:id="1580" w:name="_Toc8006"/>
      <w:r>
        <w:rPr>
          <w:rFonts w:hint="eastAsia" w:ascii="宋体" w:hAnsi="宋体" w:eastAsia="宋体" w:cs="宋体"/>
          <w:color w:val="auto"/>
          <w:sz w:val="28"/>
          <w:szCs w:val="28"/>
          <w:lang w:eastAsia="zh-CN"/>
        </w:rPr>
        <w:t>投标保证金</w:t>
      </w:r>
      <w:bookmarkEnd w:id="1579"/>
      <w:bookmarkEnd w:id="1580"/>
      <w:r>
        <w:rPr>
          <w:rFonts w:hint="eastAsia" w:ascii="宋体" w:hAnsi="宋体" w:eastAsia="宋体" w:cs="宋体"/>
          <w:b/>
          <w:bCs/>
          <w:color w:val="auto"/>
          <w:spacing w:val="-1"/>
          <w:sz w:val="28"/>
          <w:szCs w:val="28"/>
        </w:rPr>
        <w:t>缴</w:t>
      </w:r>
      <w:r>
        <w:rPr>
          <w:rFonts w:hint="eastAsia" w:ascii="宋体" w:hAnsi="宋体" w:eastAsia="宋体" w:cs="宋体"/>
          <w:b/>
          <w:bCs/>
          <w:color w:val="auto"/>
          <w:sz w:val="28"/>
          <w:szCs w:val="28"/>
        </w:rPr>
        <w:t>纳证明</w:t>
      </w:r>
      <w:bookmarkEnd w:id="1577"/>
      <w:bookmarkEnd w:id="1578"/>
      <w:r>
        <w:rPr>
          <w:rFonts w:hint="eastAsia" w:ascii="宋体" w:hAnsi="宋体" w:eastAsia="宋体" w:cs="宋体"/>
          <w:b/>
          <w:bCs/>
          <w:color w:val="auto"/>
          <w:sz w:val="28"/>
          <w:szCs w:val="28"/>
          <w:lang w:val="en-US" w:eastAsia="zh-CN"/>
        </w:rPr>
        <w:t>（实质性格式）</w:t>
      </w:r>
    </w:p>
    <w:p w14:paraId="0AEEFB98">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rPr>
          <w:rFonts w:hint="eastAsia" w:ascii="宋体" w:hAnsi="宋体" w:eastAsia="宋体" w:cs="宋体"/>
          <w:i w:val="0"/>
          <w:iCs w:val="0"/>
          <w:color w:val="auto"/>
          <w:sz w:val="24"/>
          <w:szCs w:val="24"/>
        </w:rPr>
      </w:pPr>
      <w:r>
        <w:rPr>
          <w:rFonts w:hint="eastAsia" w:ascii="宋体" w:hAnsi="宋体" w:cs="宋体"/>
          <w:i w:val="0"/>
          <w:iCs w:val="0"/>
          <w:color w:val="auto"/>
          <w:sz w:val="24"/>
          <w:szCs w:val="24"/>
          <w:u w:val="none"/>
          <w:lang w:val="en-US" w:eastAsia="zh-CN"/>
        </w:rPr>
        <w:t>（采购代理机构）</w:t>
      </w:r>
      <w:r>
        <w:rPr>
          <w:rFonts w:hint="eastAsia" w:ascii="宋体" w:hAnsi="宋体" w:cs="宋体"/>
          <w:i w:val="0"/>
          <w:iCs w:val="0"/>
          <w:color w:val="auto"/>
          <w:sz w:val="24"/>
          <w:szCs w:val="24"/>
          <w:u w:val="single"/>
          <w:lang w:val="en-US" w:eastAsia="zh-CN"/>
        </w:rPr>
        <w:t xml:space="preserve"> 楚雄腾凯工程项目管理有限公司  </w:t>
      </w:r>
      <w:r>
        <w:rPr>
          <w:rFonts w:hint="eastAsia" w:ascii="宋体" w:hAnsi="宋体" w:eastAsia="宋体" w:cs="宋体"/>
          <w:i w:val="0"/>
          <w:iCs w:val="0"/>
          <w:color w:val="auto"/>
          <w:sz w:val="24"/>
          <w:szCs w:val="24"/>
          <w:u w:val="none"/>
        </w:rPr>
        <w:t>：</w:t>
      </w:r>
    </w:p>
    <w:p w14:paraId="2EFB73A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eastAsia="zh-CN"/>
        </w:rPr>
        <w:t>供应商</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参加贵单位组织的（</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lang w:val="zh-CN"/>
        </w:rPr>
        <w:t>项目编号</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highlight w:val="none"/>
          <w:u w:val="single"/>
          <w:lang w:val="en-US" w:eastAsia="zh-CN"/>
        </w:rPr>
        <w:t>公开招标</w:t>
      </w:r>
      <w:r>
        <w:rPr>
          <w:rFonts w:hint="eastAsia" w:ascii="宋体" w:hAnsi="宋体" w:eastAsia="宋体" w:cs="宋体"/>
          <w:color w:val="auto"/>
          <w:sz w:val="24"/>
          <w:highlight w:val="none"/>
          <w:lang w:val="en-US" w:eastAsia="zh-CN"/>
        </w:rPr>
        <w:t>采购活动</w:t>
      </w:r>
      <w:r>
        <w:rPr>
          <w:rFonts w:hint="eastAsia" w:ascii="宋体" w:hAnsi="宋体" w:eastAsia="宋体" w:cs="宋体"/>
          <w:color w:val="auto"/>
          <w:sz w:val="24"/>
          <w:szCs w:val="24"/>
        </w:rPr>
        <w:t>。按</w:t>
      </w:r>
      <w:r>
        <w:rPr>
          <w:rFonts w:hint="eastAsia" w:ascii="宋体" w:hAnsi="宋体" w:eastAsia="宋体" w:cs="宋体"/>
          <w:color w:val="auto"/>
          <w:sz w:val="24"/>
          <w:szCs w:val="24"/>
          <w:lang w:eastAsia="zh-CN"/>
        </w:rPr>
        <w:t>招标</w:t>
      </w:r>
      <w:r>
        <w:rPr>
          <w:rFonts w:hint="eastAsia" w:ascii="宋体" w:hAnsi="宋体" w:eastAsia="宋体" w:cs="宋体"/>
          <w:color w:val="auto"/>
          <w:sz w:val="24"/>
          <w:szCs w:val="24"/>
        </w:rPr>
        <w:t>文件的规定，已通过（转</w:t>
      </w:r>
      <w:r>
        <w:rPr>
          <w:rFonts w:hint="eastAsia" w:ascii="宋体" w:hAnsi="宋体" w:eastAsia="宋体" w:cs="宋体"/>
          <w:color w:val="auto"/>
          <w:sz w:val="24"/>
          <w:szCs w:val="24"/>
          <w:lang w:eastAsia="zh-CN"/>
        </w:rPr>
        <w:t>账</w:t>
      </w:r>
      <w:r>
        <w:rPr>
          <w:rFonts w:hint="eastAsia" w:ascii="宋体" w:hAnsi="宋体" w:eastAsia="宋体" w:cs="宋体"/>
          <w:color w:val="auto"/>
          <w:sz w:val="24"/>
          <w:szCs w:val="24"/>
        </w:rPr>
        <w:t>、银行汇款、支票、银行汇票等）</w:t>
      </w:r>
      <w:r>
        <w:rPr>
          <w:rFonts w:hint="eastAsia" w:ascii="宋体" w:hAnsi="宋体" w:eastAsia="宋体" w:cs="宋体"/>
          <w:color w:val="auto"/>
          <w:sz w:val="24"/>
          <w:szCs w:val="24"/>
          <w:lang w:eastAsia="zh-CN"/>
        </w:rPr>
        <w:t>非现金</w:t>
      </w:r>
      <w:r>
        <w:rPr>
          <w:rFonts w:hint="eastAsia" w:ascii="宋体" w:hAnsi="宋体" w:eastAsia="宋体" w:cs="宋体"/>
          <w:color w:val="auto"/>
          <w:sz w:val="24"/>
          <w:szCs w:val="24"/>
        </w:rPr>
        <w:t>形式</w:t>
      </w:r>
      <w:r>
        <w:rPr>
          <w:rFonts w:hint="eastAsia" w:ascii="宋体" w:hAnsi="宋体" w:eastAsia="宋体" w:cs="宋体"/>
          <w:color w:val="auto"/>
          <w:sz w:val="24"/>
          <w:szCs w:val="24"/>
          <w:lang w:eastAsia="zh-CN"/>
        </w:rPr>
        <w:t>缴纳</w:t>
      </w:r>
      <w:r>
        <w:rPr>
          <w:rFonts w:hint="eastAsia" w:ascii="宋体" w:hAnsi="宋体" w:eastAsia="宋体" w:cs="宋体"/>
          <w:color w:val="auto"/>
          <w:sz w:val="24"/>
          <w:szCs w:val="24"/>
        </w:rPr>
        <w:t>人民币</w:t>
      </w:r>
      <w:r>
        <w:rPr>
          <w:rFonts w:hint="eastAsia" w:ascii="宋体" w:hAnsi="宋体" w:eastAsia="宋体" w:cs="宋体"/>
          <w:color w:val="auto"/>
          <w:sz w:val="24"/>
          <w:szCs w:val="24"/>
          <w:u w:val="single"/>
        </w:rPr>
        <w:t xml:space="preserve">（大写）  　　  </w:t>
      </w:r>
      <w:r>
        <w:rPr>
          <w:rFonts w:hint="eastAsia" w:ascii="宋体" w:hAnsi="宋体" w:eastAsia="宋体" w:cs="宋体"/>
          <w:color w:val="auto"/>
          <w:sz w:val="24"/>
          <w:szCs w:val="24"/>
        </w:rPr>
        <w:t>元的投标保证金。</w:t>
      </w:r>
    </w:p>
    <w:p w14:paraId="48A5AC9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开票信息：</w:t>
      </w:r>
    </w:p>
    <w:p w14:paraId="5D4958F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名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称：</w:t>
      </w:r>
      <w:r>
        <w:rPr>
          <w:rFonts w:hint="eastAsia" w:ascii="宋体" w:hAnsi="宋体" w:eastAsia="宋体" w:cs="宋体"/>
          <w:color w:val="auto"/>
          <w:sz w:val="24"/>
          <w:szCs w:val="24"/>
          <w:u w:val="single"/>
        </w:rPr>
        <w:t xml:space="preserve">                     </w:t>
      </w:r>
    </w:p>
    <w:p w14:paraId="1F08A6C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纳税人识别号：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47DCE27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 址、电 话：</w:t>
      </w:r>
      <w:r>
        <w:rPr>
          <w:rFonts w:hint="eastAsia" w:ascii="宋体" w:hAnsi="宋体" w:eastAsia="宋体" w:cs="宋体"/>
          <w:color w:val="auto"/>
          <w:sz w:val="24"/>
          <w:szCs w:val="24"/>
          <w:u w:val="single"/>
        </w:rPr>
        <w:t xml:space="preserve">                     </w:t>
      </w:r>
    </w:p>
    <w:p w14:paraId="4EADAAB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 户 银 行 ：</w:t>
      </w:r>
      <w:r>
        <w:rPr>
          <w:rFonts w:hint="eastAsia" w:ascii="宋体" w:hAnsi="宋体" w:eastAsia="宋体" w:cs="宋体"/>
          <w:color w:val="auto"/>
          <w:sz w:val="24"/>
          <w:szCs w:val="24"/>
          <w:u w:val="single"/>
        </w:rPr>
        <w:t xml:space="preserve">                     </w:t>
      </w:r>
    </w:p>
    <w:p w14:paraId="2F5F235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账        号：</w:t>
      </w:r>
      <w:r>
        <w:rPr>
          <w:rFonts w:hint="eastAsia" w:ascii="宋体" w:hAnsi="宋体" w:eastAsia="宋体" w:cs="宋体"/>
          <w:color w:val="auto"/>
          <w:sz w:val="24"/>
          <w:szCs w:val="24"/>
          <w:u w:val="single"/>
        </w:rPr>
        <w:t xml:space="preserve">                     </w:t>
      </w:r>
    </w:p>
    <w:p w14:paraId="2EEF761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说明：上述要素的填写必须与银行转账或银行汇款凭证的要素一致，</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招标代理机构</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依据此凭证信息退还</w:t>
      </w:r>
      <w:r>
        <w:rPr>
          <w:rFonts w:hint="eastAsia" w:ascii="宋体" w:hAnsi="宋体" w:eastAsia="宋体" w:cs="宋体"/>
          <w:color w:val="auto"/>
          <w:sz w:val="24"/>
          <w:szCs w:val="24"/>
          <w:lang w:eastAsia="zh-CN"/>
        </w:rPr>
        <w:t>投标</w:t>
      </w:r>
      <w:r>
        <w:rPr>
          <w:rFonts w:hint="eastAsia" w:ascii="宋体" w:hAnsi="宋体" w:eastAsia="宋体" w:cs="宋体"/>
          <w:color w:val="auto"/>
          <w:sz w:val="24"/>
          <w:szCs w:val="24"/>
        </w:rPr>
        <w:t>保证金。</w:t>
      </w:r>
    </w:p>
    <w:p w14:paraId="1323F7FD">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outlineLvl w:val="2"/>
        <w:rPr>
          <w:rFonts w:hint="eastAsia" w:ascii="宋体" w:hAnsi="宋体" w:eastAsia="宋体" w:cs="宋体"/>
          <w:b/>
          <w:bCs/>
          <w:color w:val="auto"/>
          <w:sz w:val="24"/>
          <w:szCs w:val="24"/>
        </w:rPr>
      </w:pPr>
      <w:bookmarkStart w:id="1581" w:name="_Toc20192"/>
      <w:bookmarkStart w:id="1582" w:name="_Toc27200"/>
      <w:bookmarkStart w:id="1583" w:name="_Toc1753"/>
      <w:bookmarkStart w:id="1584" w:name="_Toc23440"/>
      <w:bookmarkStart w:id="1585" w:name="_Toc8068"/>
      <w:bookmarkStart w:id="1586" w:name="_Toc29555"/>
      <w:bookmarkStart w:id="1587" w:name="_Toc26681"/>
      <w:bookmarkStart w:id="1588" w:name="_Toc4111"/>
      <w:bookmarkStart w:id="1589" w:name="_Toc5356"/>
      <w:bookmarkStart w:id="1590" w:name="_Toc21748"/>
      <w:bookmarkStart w:id="1591" w:name="_Toc8676"/>
      <w:bookmarkStart w:id="1592" w:name="_Toc24446"/>
      <w:bookmarkStart w:id="1593" w:name="_Toc8799"/>
      <w:bookmarkStart w:id="1594" w:name="_Toc4664"/>
      <w:bookmarkStart w:id="1595" w:name="_Toc30390"/>
      <w:bookmarkStart w:id="1596" w:name="_Toc9888"/>
      <w:bookmarkStart w:id="1597" w:name="_Toc19467"/>
      <w:bookmarkStart w:id="1598" w:name="_Toc11719"/>
      <w:bookmarkStart w:id="1599" w:name="_Toc25243"/>
      <w:bookmarkStart w:id="1600" w:name="_Toc26762"/>
      <w:bookmarkStart w:id="1601" w:name="_Toc18949"/>
      <w:bookmarkStart w:id="1602" w:name="_Toc25495"/>
      <w:bookmarkStart w:id="1603" w:name="_Toc24540"/>
      <w:bookmarkStart w:id="1604" w:name="_Toc7519"/>
      <w:bookmarkStart w:id="1605" w:name="_Toc2179"/>
      <w:bookmarkStart w:id="1606" w:name="_Toc31994"/>
      <w:bookmarkStart w:id="1607" w:name="_Toc12219"/>
      <w:r>
        <w:rPr>
          <w:rFonts w:hint="eastAsia" w:ascii="宋体" w:hAnsi="宋体" w:eastAsia="宋体" w:cs="宋体"/>
          <w:b/>
          <w:bCs/>
          <w:color w:val="auto"/>
          <w:sz w:val="24"/>
          <w:szCs w:val="24"/>
        </w:rPr>
        <w:t>附：</w:t>
      </w:r>
      <w:r>
        <w:rPr>
          <w:rFonts w:hint="eastAsia" w:ascii="宋体" w:hAnsi="宋体" w:eastAsia="宋体" w:cs="宋体"/>
          <w:b/>
          <w:bCs/>
          <w:color w:val="auto"/>
          <w:sz w:val="24"/>
          <w:szCs w:val="24"/>
          <w:lang w:eastAsia="zh-CN"/>
        </w:rPr>
        <w:t>投标</w:t>
      </w:r>
      <w:r>
        <w:rPr>
          <w:rFonts w:hint="eastAsia" w:ascii="宋体" w:hAnsi="宋体" w:eastAsia="宋体" w:cs="宋体"/>
          <w:b/>
          <w:bCs/>
          <w:color w:val="auto"/>
          <w:sz w:val="24"/>
          <w:szCs w:val="24"/>
        </w:rPr>
        <w:t>保证金</w:t>
      </w:r>
      <w:r>
        <w:rPr>
          <w:rFonts w:hint="eastAsia" w:ascii="宋体" w:hAnsi="宋体" w:eastAsia="宋体" w:cs="宋体"/>
          <w:b/>
          <w:bCs/>
          <w:color w:val="auto"/>
          <w:sz w:val="24"/>
          <w:szCs w:val="24"/>
          <w:lang w:val="en-US" w:eastAsia="zh-CN"/>
        </w:rPr>
        <w:t>/保函、保险等</w:t>
      </w:r>
      <w:r>
        <w:rPr>
          <w:rFonts w:hint="eastAsia" w:ascii="宋体" w:hAnsi="宋体" w:eastAsia="宋体" w:cs="宋体"/>
          <w:b/>
          <w:bCs/>
          <w:color w:val="auto"/>
          <w:sz w:val="24"/>
          <w:szCs w:val="24"/>
        </w:rPr>
        <w:t>缴纳凭证</w:t>
      </w:r>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r>
        <w:rPr>
          <w:rFonts w:hint="eastAsia" w:ascii="宋体" w:hAnsi="宋体" w:eastAsia="宋体" w:cs="宋体"/>
          <w:b/>
          <w:bCs/>
          <w:color w:val="auto"/>
          <w:sz w:val="24"/>
          <w:szCs w:val="24"/>
        </w:rPr>
        <w:t xml:space="preserve"> </w:t>
      </w:r>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0"/>
      </w:tblGrid>
      <w:tr w14:paraId="0C99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8" w:hRule="atLeast"/>
          <w:jc w:val="center"/>
        </w:trPr>
        <w:tc>
          <w:tcPr>
            <w:tcW w:w="9300" w:type="dxa"/>
            <w:noWrap w:val="0"/>
            <w:vAlign w:val="top"/>
          </w:tcPr>
          <w:p w14:paraId="1D39691A">
            <w:pPr>
              <w:keepNext w:val="0"/>
              <w:keepLines w:val="0"/>
              <w:pageBreakBefore w:val="0"/>
              <w:widowControl w:val="0"/>
              <w:kinsoku/>
              <w:wordWrap w:val="0"/>
              <w:overflowPunct/>
              <w:topLinePunct/>
              <w:autoSpaceDE/>
              <w:autoSpaceDN/>
              <w:bidi w:val="0"/>
              <w:adjustRightInd/>
              <w:snapToGrid/>
              <w:spacing w:line="300" w:lineRule="auto"/>
              <w:ind w:left="0" w:leftChars="0" w:right="0"/>
              <w:jc w:val="center"/>
              <w:rPr>
                <w:rFonts w:hint="eastAsia" w:ascii="宋体" w:hAnsi="宋体" w:eastAsia="宋体" w:cs="宋体"/>
                <w:color w:val="auto"/>
                <w:szCs w:val="21"/>
              </w:rPr>
            </w:pPr>
          </w:p>
        </w:tc>
      </w:tr>
    </w:tbl>
    <w:p w14:paraId="3576EAE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p>
    <w:p w14:paraId="180F844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p>
    <w:p w14:paraId="429B08A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p>
    <w:p w14:paraId="4FA24F0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p>
    <w:p w14:paraId="294E748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252001A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u w:val="single"/>
          <w:lang w:eastAsia="zh-CN"/>
        </w:rPr>
      </w:pP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40EDA5DF">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44"/>
          <w:szCs w:val="44"/>
          <w:lang w:val="en-US" w:eastAsia="zh-CN"/>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62FCE7BE">
      <w:pPr>
        <w:pStyle w:val="4"/>
        <w:jc w:val="center"/>
        <w:rPr>
          <w:rFonts w:hint="eastAsia" w:ascii="宋体" w:hAnsi="宋体" w:eastAsia="宋体" w:cs="宋体"/>
          <w:b w:val="0"/>
          <w:color w:val="auto"/>
          <w:lang w:eastAsia="zh-CN"/>
        </w:rPr>
      </w:pPr>
      <w:r>
        <w:rPr>
          <w:rFonts w:hint="eastAsia" w:ascii="宋体" w:hAnsi="宋体" w:eastAsia="宋体" w:cs="宋体"/>
          <w:color w:val="auto"/>
          <w:sz w:val="24"/>
          <w:szCs w:val="24"/>
          <w:lang w:eastAsia="zh-CN"/>
        </w:rPr>
        <w:br w:type="page"/>
      </w:r>
      <w:r>
        <w:rPr>
          <w:rFonts w:hint="eastAsia" w:ascii="宋体" w:hAnsi="宋体" w:eastAsia="宋体" w:cs="宋体"/>
          <w:color w:val="auto"/>
          <w:sz w:val="44"/>
          <w:szCs w:val="44"/>
          <w:lang w:val="en-US" w:eastAsia="zh-CN"/>
        </w:rPr>
        <w:t>报价</w:t>
      </w:r>
      <w:r>
        <w:rPr>
          <w:rFonts w:hint="eastAsia" w:ascii="宋体" w:hAnsi="宋体" w:eastAsia="宋体" w:cs="宋体"/>
          <w:color w:val="auto"/>
          <w:sz w:val="44"/>
          <w:szCs w:val="44"/>
          <w:lang w:eastAsia="zh-CN"/>
        </w:rPr>
        <w:t>部分</w:t>
      </w:r>
    </w:p>
    <w:p w14:paraId="7D2DCAD3">
      <w:pPr>
        <w:rPr>
          <w:rFonts w:hint="eastAsia" w:ascii="宋体" w:hAnsi="宋体" w:eastAsia="宋体" w:cs="宋体"/>
          <w:b/>
          <w:bCs/>
          <w:color w:val="auto"/>
          <w:sz w:val="30"/>
          <w:szCs w:val="32"/>
          <w:lang w:eastAsia="zh-CN"/>
        </w:rPr>
      </w:pPr>
    </w:p>
    <w:p w14:paraId="4F10BDA3">
      <w:pPr>
        <w:pStyle w:val="4"/>
        <w:bidi w:val="0"/>
        <w:jc w:val="center"/>
        <w:rPr>
          <w:rFonts w:hint="eastAsia"/>
          <w:color w:val="auto"/>
          <w:sz w:val="28"/>
          <w:szCs w:val="28"/>
          <w:lang w:eastAsia="zh-CN"/>
        </w:rPr>
      </w:pPr>
      <w:r>
        <w:rPr>
          <w:rFonts w:hint="eastAsia"/>
          <w:color w:val="auto"/>
          <w:sz w:val="28"/>
          <w:szCs w:val="28"/>
          <w:lang w:val="en-US" w:eastAsia="zh-CN"/>
        </w:rPr>
        <w:t>一、</w:t>
      </w:r>
      <w:r>
        <w:rPr>
          <w:rFonts w:hint="eastAsia"/>
          <w:color w:val="auto"/>
          <w:sz w:val="28"/>
          <w:szCs w:val="28"/>
          <w:lang w:eastAsia="zh-CN"/>
        </w:rPr>
        <w:t>投标报价（唱标）一览表</w:t>
      </w:r>
      <w:r>
        <w:rPr>
          <w:rFonts w:hint="eastAsia"/>
          <w:color w:val="auto"/>
          <w:sz w:val="28"/>
          <w:szCs w:val="28"/>
          <w:lang w:val="en-US" w:eastAsia="zh-CN"/>
        </w:rPr>
        <w:t>（实质性格式）</w:t>
      </w:r>
    </w:p>
    <w:p w14:paraId="6FD48F69">
      <w:pPr>
        <w:keepNext w:val="0"/>
        <w:keepLines w:val="0"/>
        <w:pageBreakBefore w:val="0"/>
        <w:widowControl w:val="0"/>
        <w:numPr>
          <w:ilvl w:val="0"/>
          <w:numId w:val="0"/>
        </w:numPr>
        <w:kinsoku/>
        <w:wordWrap/>
        <w:overflowPunct w:val="0"/>
        <w:topLinePunct/>
        <w:autoSpaceDE/>
        <w:autoSpaceDN/>
        <w:bidi w:val="0"/>
        <w:adjustRightInd/>
        <w:snapToGrid/>
        <w:ind w:left="-92" w:leftChars="-42" w:firstLine="480" w:firstLineChars="200"/>
        <w:jc w:val="left"/>
        <w:rPr>
          <w:rFonts w:hint="eastAsia" w:ascii="宋体" w:hAnsi="宋体" w:eastAsia="宋体" w:cs="宋体"/>
          <w:color w:val="auto"/>
          <w:kern w:val="0"/>
          <w:sz w:val="24"/>
          <w:szCs w:val="24"/>
          <w:u w:val="single"/>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kern w:val="0"/>
          <w:sz w:val="24"/>
          <w:szCs w:val="24"/>
          <w:u w:val="single"/>
          <w:lang w:val="en-US" w:eastAsia="zh-CN"/>
        </w:rPr>
        <w:t xml:space="preserve">  </w:t>
      </w:r>
    </w:p>
    <w:p w14:paraId="16D6402E">
      <w:pPr>
        <w:keepNext w:val="0"/>
        <w:keepLines w:val="0"/>
        <w:pageBreakBefore w:val="0"/>
        <w:widowControl w:val="0"/>
        <w:kinsoku/>
        <w:wordWrap w:val="0"/>
        <w:overflowPunct w:val="0"/>
        <w:topLinePunct/>
        <w:autoSpaceDE/>
        <w:autoSpaceDN/>
        <w:bidi w:val="0"/>
        <w:adjustRightInd/>
        <w:snapToGrid/>
        <w:ind w:left="-92" w:leftChars="-42"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2B39EBC2">
      <w:pPr>
        <w:keepNext w:val="0"/>
        <w:keepLines w:val="0"/>
        <w:pageBreakBefore w:val="0"/>
        <w:widowControl w:val="0"/>
        <w:kinsoku/>
        <w:wordWrap w:val="0"/>
        <w:overflowPunct w:val="0"/>
        <w:topLinePunct/>
        <w:autoSpaceDE/>
        <w:autoSpaceDN/>
        <w:bidi w:val="0"/>
        <w:adjustRightInd/>
        <w:snapToGrid/>
        <w:ind w:left="-92" w:leftChars="-42" w:firstLine="480" w:firstLineChars="200"/>
        <w:rPr>
          <w:rFonts w:hint="eastAsia" w:ascii="宋体" w:hAnsi="宋体" w:eastAsia="宋体" w:cs="宋体"/>
          <w:color w:val="auto"/>
          <w:lang w:eastAsia="zh-CN"/>
        </w:rPr>
      </w:pPr>
      <w:r>
        <w:rPr>
          <w:rFonts w:hint="eastAsia" w:ascii="宋体" w:hAnsi="宋体" w:eastAsia="宋体" w:cs="宋体"/>
          <w:color w:val="auto"/>
          <w:sz w:val="24"/>
          <w:szCs w:val="24"/>
        </w:rPr>
        <w:t>金额单位：人民币 元</w:t>
      </w:r>
    </w:p>
    <w:tbl>
      <w:tblPr>
        <w:tblStyle w:val="67"/>
        <w:tblW w:w="945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410"/>
        <w:gridCol w:w="7040"/>
      </w:tblGrid>
      <w:tr w14:paraId="6F316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9" w:hRule="atLeast"/>
          <w:jc w:val="center"/>
        </w:trPr>
        <w:tc>
          <w:tcPr>
            <w:tcW w:w="2410" w:type="dxa"/>
            <w:noWrap w:val="0"/>
            <w:vAlign w:val="center"/>
          </w:tcPr>
          <w:p w14:paraId="16663AEE">
            <w:pPr>
              <w:ind w:firstLine="9" w:firstLineChars="4"/>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w:t>
            </w:r>
            <w:r>
              <w:rPr>
                <w:rFonts w:hint="eastAsia" w:ascii="宋体" w:hAnsi="宋体" w:cs="宋体"/>
                <w:color w:val="auto"/>
                <w:sz w:val="24"/>
                <w:szCs w:val="24"/>
                <w:lang w:val="en-US" w:eastAsia="zh-CN"/>
              </w:rPr>
              <w:t>总</w:t>
            </w:r>
            <w:r>
              <w:rPr>
                <w:rFonts w:hint="eastAsia" w:ascii="宋体" w:hAnsi="宋体" w:eastAsia="宋体" w:cs="宋体"/>
                <w:color w:val="auto"/>
                <w:sz w:val="24"/>
                <w:szCs w:val="24"/>
                <w:lang w:val="en-US" w:eastAsia="zh-CN"/>
              </w:rPr>
              <w:t>报价</w:t>
            </w:r>
          </w:p>
        </w:tc>
        <w:tc>
          <w:tcPr>
            <w:tcW w:w="7040" w:type="dxa"/>
            <w:tcBorders>
              <w:right w:val="single" w:color="auto" w:sz="4" w:space="0"/>
            </w:tcBorders>
            <w:noWrap w:val="0"/>
            <w:vAlign w:val="center"/>
          </w:tcPr>
          <w:p w14:paraId="343E8EBA">
            <w:pPr>
              <w:widowControl/>
              <w:rPr>
                <w:rFonts w:hint="eastAsia" w:ascii="宋体" w:hAnsi="宋体" w:cs="宋体"/>
                <w:color w:val="auto"/>
                <w:sz w:val="24"/>
                <w:szCs w:val="24"/>
                <w:u w:val="single"/>
                <w:lang w:val="en-US" w:eastAsia="zh-CN"/>
              </w:rPr>
            </w:pPr>
            <w:r>
              <w:rPr>
                <w:rFonts w:hint="eastAsia" w:ascii="宋体" w:hAnsi="宋体" w:eastAsia="宋体" w:cs="宋体"/>
                <w:color w:val="auto"/>
                <w:sz w:val="24"/>
                <w:szCs w:val="24"/>
              </w:rPr>
              <w:t>大写：</w:t>
            </w:r>
            <w:r>
              <w:rPr>
                <w:rFonts w:hint="eastAsia" w:ascii="宋体" w:hAnsi="宋体" w:cs="宋体"/>
                <w:color w:val="auto"/>
                <w:sz w:val="24"/>
                <w:szCs w:val="24"/>
                <w:u w:val="single"/>
                <w:lang w:val="en-US" w:eastAsia="zh-CN"/>
              </w:rPr>
              <w:t xml:space="preserve">                            </w:t>
            </w:r>
          </w:p>
          <w:p w14:paraId="35692158">
            <w:pPr>
              <w:pStyle w:val="28"/>
              <w:rPr>
                <w:rFonts w:hint="default"/>
                <w:color w:val="auto"/>
                <w:lang w:val="en-US" w:eastAsia="zh-CN"/>
              </w:rPr>
            </w:pPr>
          </w:p>
          <w:p w14:paraId="766ED1B7">
            <w:pPr>
              <w:widowControl/>
              <w:rPr>
                <w:rFonts w:hint="eastAsia" w:ascii="宋体" w:hAnsi="宋体" w:eastAsia="宋体" w:cs="宋体"/>
                <w:color w:val="auto"/>
                <w:sz w:val="24"/>
                <w:szCs w:val="24"/>
              </w:rPr>
            </w:pPr>
            <w:r>
              <w:rPr>
                <w:rFonts w:hint="eastAsia" w:ascii="宋体" w:hAnsi="宋体" w:eastAsia="宋体" w:cs="宋体"/>
                <w:color w:val="auto"/>
                <w:sz w:val="24"/>
                <w:szCs w:val="24"/>
              </w:rPr>
              <w:t>小写：</w:t>
            </w:r>
            <w:r>
              <w:rPr>
                <w:rFonts w:hint="eastAsia" w:ascii="宋体" w:hAnsi="宋体" w:cs="宋体"/>
                <w:color w:val="auto"/>
                <w:sz w:val="24"/>
                <w:szCs w:val="24"/>
                <w:u w:val="single"/>
                <w:lang w:val="en-US" w:eastAsia="zh-CN"/>
              </w:rPr>
              <w:t xml:space="preserve">                            </w:t>
            </w:r>
          </w:p>
        </w:tc>
      </w:tr>
      <w:tr w14:paraId="0A748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1" w:hRule="atLeast"/>
          <w:jc w:val="center"/>
        </w:trPr>
        <w:tc>
          <w:tcPr>
            <w:tcW w:w="2410" w:type="dxa"/>
            <w:noWrap w:val="0"/>
            <w:vAlign w:val="center"/>
          </w:tcPr>
          <w:p w14:paraId="68EE2F08">
            <w:pPr>
              <w:ind w:firstLine="9" w:firstLineChars="4"/>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服务期限</w:t>
            </w:r>
          </w:p>
        </w:tc>
        <w:tc>
          <w:tcPr>
            <w:tcW w:w="7040" w:type="dxa"/>
            <w:tcBorders>
              <w:right w:val="single" w:color="auto" w:sz="4" w:space="0"/>
            </w:tcBorders>
            <w:noWrap w:val="0"/>
            <w:vAlign w:val="center"/>
          </w:tcPr>
          <w:p w14:paraId="5B393821">
            <w:pPr>
              <w:widowControl/>
              <w:rPr>
                <w:rFonts w:hint="eastAsia" w:ascii="宋体" w:hAnsi="宋体" w:eastAsia="宋体" w:cs="宋体"/>
                <w:color w:val="auto"/>
                <w:sz w:val="24"/>
                <w:szCs w:val="24"/>
              </w:rPr>
            </w:pPr>
          </w:p>
        </w:tc>
      </w:tr>
      <w:tr w14:paraId="0F579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1" w:hRule="atLeast"/>
          <w:jc w:val="center"/>
        </w:trPr>
        <w:tc>
          <w:tcPr>
            <w:tcW w:w="2410" w:type="dxa"/>
            <w:noWrap w:val="0"/>
            <w:vAlign w:val="center"/>
          </w:tcPr>
          <w:p w14:paraId="7AB70201">
            <w:pPr>
              <w:ind w:firstLine="9" w:firstLineChars="4"/>
              <w:jc w:val="center"/>
              <w:rPr>
                <w:rFonts w:hint="eastAsia" w:ascii="宋体" w:hAnsi="宋体" w:eastAsia="宋体" w:cs="宋体"/>
                <w:color w:val="auto"/>
                <w:sz w:val="24"/>
                <w:szCs w:val="24"/>
              </w:rPr>
            </w:pPr>
            <w:r>
              <w:rPr>
                <w:rFonts w:hint="eastAsia" w:ascii="宋体" w:hAnsi="宋体" w:cs="宋体"/>
                <w:color w:val="auto"/>
                <w:sz w:val="24"/>
                <w:szCs w:val="24"/>
                <w:lang w:eastAsia="zh-CN"/>
              </w:rPr>
              <w:t>服务地点</w:t>
            </w:r>
          </w:p>
        </w:tc>
        <w:tc>
          <w:tcPr>
            <w:tcW w:w="7040" w:type="dxa"/>
            <w:tcBorders>
              <w:right w:val="single" w:color="auto" w:sz="4" w:space="0"/>
            </w:tcBorders>
            <w:noWrap w:val="0"/>
            <w:vAlign w:val="center"/>
          </w:tcPr>
          <w:p w14:paraId="30F2419E">
            <w:pPr>
              <w:widowControl/>
              <w:rPr>
                <w:rFonts w:hint="eastAsia" w:ascii="宋体" w:hAnsi="宋体" w:eastAsia="宋体" w:cs="宋体"/>
                <w:color w:val="auto"/>
                <w:sz w:val="24"/>
                <w:szCs w:val="24"/>
              </w:rPr>
            </w:pPr>
          </w:p>
        </w:tc>
      </w:tr>
      <w:tr w14:paraId="40BF3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2" w:hRule="atLeast"/>
          <w:jc w:val="center"/>
        </w:trPr>
        <w:tc>
          <w:tcPr>
            <w:tcW w:w="2410" w:type="dxa"/>
            <w:vMerge w:val="restart"/>
            <w:noWrap w:val="0"/>
            <w:vAlign w:val="center"/>
          </w:tcPr>
          <w:p w14:paraId="5F4BAE69">
            <w:pPr>
              <w:ind w:firstLine="9" w:firstLineChars="4"/>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投标保证金</w:t>
            </w:r>
          </w:p>
        </w:tc>
        <w:tc>
          <w:tcPr>
            <w:tcW w:w="7040" w:type="dxa"/>
            <w:tcBorders>
              <w:bottom w:val="single" w:color="auto" w:sz="4" w:space="0"/>
              <w:right w:val="single" w:color="auto" w:sz="4" w:space="0"/>
            </w:tcBorders>
            <w:noWrap w:val="0"/>
            <w:vAlign w:val="center"/>
          </w:tcPr>
          <w:p w14:paraId="63BF9669">
            <w:pP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金额：</w:t>
            </w:r>
          </w:p>
        </w:tc>
      </w:tr>
      <w:tr w14:paraId="48DFA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1" w:hRule="atLeast"/>
          <w:jc w:val="center"/>
        </w:trPr>
        <w:tc>
          <w:tcPr>
            <w:tcW w:w="2410" w:type="dxa"/>
            <w:vMerge w:val="continue"/>
            <w:noWrap w:val="0"/>
            <w:vAlign w:val="center"/>
          </w:tcPr>
          <w:p w14:paraId="464AF381">
            <w:pPr>
              <w:ind w:firstLine="9" w:firstLineChars="4"/>
              <w:jc w:val="center"/>
              <w:rPr>
                <w:rFonts w:hint="eastAsia" w:ascii="宋体" w:hAnsi="宋体" w:eastAsia="宋体" w:cs="宋体"/>
                <w:color w:val="auto"/>
                <w:sz w:val="24"/>
                <w:szCs w:val="24"/>
                <w:lang w:val="en-US" w:eastAsia="zh-CN"/>
              </w:rPr>
            </w:pPr>
          </w:p>
        </w:tc>
        <w:tc>
          <w:tcPr>
            <w:tcW w:w="7040" w:type="dxa"/>
            <w:tcBorders>
              <w:top w:val="single" w:color="auto" w:sz="4" w:space="0"/>
              <w:right w:val="single" w:color="auto" w:sz="4" w:space="0"/>
            </w:tcBorders>
            <w:noWrap w:val="0"/>
            <w:vAlign w:val="center"/>
          </w:tcPr>
          <w:p w14:paraId="2743D4EB">
            <w:pP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形式：</w:t>
            </w:r>
          </w:p>
        </w:tc>
      </w:tr>
      <w:tr w14:paraId="565FB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34" w:hRule="atLeast"/>
          <w:jc w:val="center"/>
        </w:trPr>
        <w:tc>
          <w:tcPr>
            <w:tcW w:w="2410" w:type="dxa"/>
            <w:noWrap w:val="0"/>
            <w:vAlign w:val="center"/>
          </w:tcPr>
          <w:p w14:paraId="035A7739">
            <w:pPr>
              <w:ind w:firstLine="9" w:firstLineChars="4"/>
              <w:jc w:val="center"/>
              <w:rPr>
                <w:rFonts w:hint="eastAsia" w:ascii="宋体" w:hAnsi="宋体" w:eastAsia="宋体" w:cs="宋体"/>
                <w:color w:val="auto"/>
                <w:sz w:val="24"/>
                <w:szCs w:val="24"/>
              </w:rPr>
            </w:pPr>
            <w:r>
              <w:rPr>
                <w:rFonts w:hint="eastAsia" w:ascii="宋体" w:hAnsi="宋体" w:eastAsia="宋体" w:cs="宋体"/>
                <w:color w:val="auto"/>
                <w:sz w:val="24"/>
                <w:szCs w:val="24"/>
              </w:rPr>
              <w:t>其他承诺或声明</w:t>
            </w:r>
          </w:p>
        </w:tc>
        <w:tc>
          <w:tcPr>
            <w:tcW w:w="7040" w:type="dxa"/>
            <w:tcBorders>
              <w:right w:val="single" w:color="auto" w:sz="4" w:space="0"/>
            </w:tcBorders>
            <w:noWrap w:val="0"/>
            <w:vAlign w:val="center"/>
          </w:tcPr>
          <w:p w14:paraId="3F1339D8">
            <w:pPr>
              <w:widowControl/>
              <w:rPr>
                <w:rFonts w:hint="eastAsia" w:ascii="宋体" w:hAnsi="宋体" w:eastAsia="宋体" w:cs="宋体"/>
                <w:color w:val="auto"/>
                <w:sz w:val="24"/>
                <w:szCs w:val="24"/>
              </w:rPr>
            </w:pPr>
          </w:p>
        </w:tc>
      </w:tr>
    </w:tbl>
    <w:p w14:paraId="7874F2E3">
      <w:pPr>
        <w:ind w:firstLine="441" w:firstLineChars="210"/>
        <w:rPr>
          <w:rFonts w:hint="eastAsia" w:ascii="宋体" w:hAnsi="宋体" w:eastAsia="宋体" w:cs="宋体"/>
          <w:color w:val="auto"/>
          <w:sz w:val="21"/>
          <w:szCs w:val="21"/>
          <w:lang w:eastAsia="zh-CN"/>
        </w:rPr>
      </w:pPr>
    </w:p>
    <w:p w14:paraId="61B16F25">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p>
    <w:p w14:paraId="22583160">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p>
    <w:p w14:paraId="73AFEEF9">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572EF039">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u w:val="single"/>
          <w:lang w:eastAsia="zh-CN"/>
        </w:rPr>
      </w:pP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6E782B36">
      <w:pPr>
        <w:jc w:val="center"/>
        <w:rPr>
          <w:rFonts w:hint="eastAsia" w:ascii="宋体" w:hAnsi="宋体" w:eastAsia="宋体" w:cs="宋体"/>
          <w:color w:val="auto"/>
          <w:szCs w:val="21"/>
          <w:lang w:eastAsia="zh-CN"/>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37CA1FA4">
      <w:pPr>
        <w:spacing w:line="360" w:lineRule="auto"/>
        <w:jc w:val="center"/>
        <w:rPr>
          <w:rFonts w:hint="eastAsia" w:ascii="宋体" w:hAnsi="宋体" w:eastAsia="宋体" w:cs="宋体"/>
          <w:color w:val="auto"/>
          <w:sz w:val="24"/>
          <w:szCs w:val="24"/>
          <w:lang w:eastAsia="zh-CN"/>
        </w:rPr>
        <w:sectPr>
          <w:pgSz w:w="12240" w:h="15840"/>
          <w:pgMar w:top="1440" w:right="1080" w:bottom="1440" w:left="1080" w:header="720" w:footer="720"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color w:val="auto"/>
          <w:szCs w:val="21"/>
          <w:lang w:eastAsia="zh-CN"/>
        </w:rPr>
        <w:br w:type="page"/>
      </w:r>
    </w:p>
    <w:p w14:paraId="5986848F">
      <w:pPr>
        <w:wordWrap w:val="0"/>
        <w:overflowPunct w:val="0"/>
        <w:topLinePunct/>
        <w:jc w:val="center"/>
        <w:outlineLvl w:val="1"/>
        <w:rPr>
          <w:rFonts w:hint="eastAsia" w:ascii="宋体" w:hAnsi="宋体" w:eastAsia="宋体" w:cs="宋体"/>
          <w:b/>
          <w:bCs/>
          <w:color w:val="auto"/>
          <w:sz w:val="28"/>
          <w:szCs w:val="28"/>
        </w:rPr>
      </w:pPr>
      <w:bookmarkStart w:id="1608" w:name="_Toc17678"/>
      <w:bookmarkStart w:id="1609" w:name="_Toc28150"/>
      <w:bookmarkStart w:id="1610" w:name="_Toc9958"/>
      <w:bookmarkStart w:id="1611" w:name="_Toc18779"/>
      <w:bookmarkStart w:id="1612" w:name="_Toc31594"/>
      <w:bookmarkStart w:id="1613" w:name="_Toc1243"/>
      <w:bookmarkStart w:id="1614" w:name="_Toc10617"/>
      <w:bookmarkStart w:id="1615" w:name="_Toc12820"/>
      <w:bookmarkStart w:id="1616" w:name="_Toc18503"/>
      <w:bookmarkStart w:id="1617" w:name="_Toc15773"/>
      <w:bookmarkStart w:id="1618" w:name="_Toc13697"/>
      <w:bookmarkStart w:id="1619" w:name="_Toc16894"/>
      <w:bookmarkStart w:id="1620" w:name="_Toc20751"/>
      <w:bookmarkStart w:id="1621" w:name="_Toc18520"/>
      <w:bookmarkStart w:id="1622" w:name="_Toc10871"/>
      <w:bookmarkStart w:id="1623" w:name="_Toc23358"/>
      <w:bookmarkStart w:id="1624" w:name="_Toc19116"/>
      <w:bookmarkStart w:id="1625" w:name="_Toc805"/>
      <w:bookmarkStart w:id="1626" w:name="_Toc9431"/>
      <w:bookmarkStart w:id="1627" w:name="_Toc31224"/>
      <w:bookmarkStart w:id="1628" w:name="_Toc18849"/>
      <w:bookmarkStart w:id="1629" w:name="_Toc15176"/>
      <w:bookmarkStart w:id="1630" w:name="_Toc17170"/>
      <w:bookmarkStart w:id="1631" w:name="_Toc30860"/>
      <w:bookmarkStart w:id="1632" w:name="_Toc32557"/>
      <w:r>
        <w:rPr>
          <w:rFonts w:hint="eastAsia" w:ascii="宋体" w:hAnsi="宋体" w:cs="宋体"/>
          <w:b/>
          <w:bCs/>
          <w:color w:val="auto"/>
          <w:sz w:val="28"/>
          <w:szCs w:val="28"/>
          <w:lang w:val="en-US" w:eastAsia="zh-CN"/>
        </w:rPr>
        <w:t>二</w:t>
      </w:r>
      <w:r>
        <w:rPr>
          <w:rFonts w:hint="eastAsia" w:ascii="宋体" w:hAnsi="宋体" w:eastAsia="宋体" w:cs="宋体"/>
          <w:b/>
          <w:bCs/>
          <w:color w:val="auto"/>
          <w:sz w:val="28"/>
          <w:szCs w:val="28"/>
          <w:lang w:val="zh-CN" w:eastAsia="zh-CN"/>
        </w:rPr>
        <w:t>、</w:t>
      </w:r>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r>
        <w:rPr>
          <w:rFonts w:hint="eastAsia" w:ascii="宋体" w:hAnsi="宋体" w:eastAsia="宋体" w:cs="宋体"/>
          <w:b/>
          <w:bCs/>
          <w:color w:val="auto"/>
          <w:sz w:val="28"/>
          <w:szCs w:val="28"/>
          <w:lang w:eastAsia="zh-CN"/>
        </w:rPr>
        <w:t>落实政府采购政策</w:t>
      </w:r>
      <w:bookmarkEnd w:id="1631"/>
      <w:bookmarkEnd w:id="1632"/>
    </w:p>
    <w:p w14:paraId="4BE0005A">
      <w:pPr>
        <w:wordWrap w:val="0"/>
        <w:overflowPunct w:val="0"/>
        <w:topLinePunct/>
        <w:jc w:val="center"/>
        <w:outlineLvl w:val="1"/>
        <w:rPr>
          <w:rFonts w:hint="eastAsia" w:ascii="宋体" w:hAnsi="宋体" w:eastAsia="宋体" w:cs="宋体"/>
          <w:color w:val="auto"/>
          <w:szCs w:val="30"/>
        </w:rPr>
      </w:pPr>
    </w:p>
    <w:p w14:paraId="42926935">
      <w:pPr>
        <w:wordWrap w:val="0"/>
        <w:overflowPunct w:val="0"/>
        <w:topLinePunct/>
        <w:spacing w:line="360" w:lineRule="auto"/>
        <w:jc w:val="left"/>
        <w:rPr>
          <w:rFonts w:hint="eastAsia" w:ascii="宋体" w:hAnsi="宋体" w:eastAsia="宋体" w:cs="宋体"/>
          <w:color w:val="auto"/>
          <w:sz w:val="24"/>
          <w:lang w:val="zh-CN"/>
        </w:rPr>
      </w:pPr>
      <w:r>
        <w:rPr>
          <w:rFonts w:hint="eastAsia" w:ascii="宋体" w:hAnsi="宋体" w:eastAsia="宋体" w:cs="宋体"/>
          <w:color w:val="auto"/>
          <w:sz w:val="24"/>
          <w:lang w:val="zh-CN"/>
        </w:rPr>
        <w:t>说明：</w:t>
      </w:r>
    </w:p>
    <w:p w14:paraId="1DDBFBAC">
      <w:pPr>
        <w:wordWrap w:val="0"/>
        <w:overflowPunct w:val="0"/>
        <w:topLinePunct/>
        <w:spacing w:line="360" w:lineRule="auto"/>
        <w:ind w:firstLine="480" w:firstLineChars="200"/>
        <w:jc w:val="left"/>
        <w:rPr>
          <w:rFonts w:hint="eastAsia" w:ascii="宋体" w:hAnsi="宋体" w:eastAsia="宋体" w:cs="宋体"/>
          <w:color w:val="auto"/>
          <w:sz w:val="24"/>
          <w:lang w:val="zh-CN"/>
        </w:rPr>
      </w:pPr>
      <w:r>
        <w:rPr>
          <w:rFonts w:hint="eastAsia" w:ascii="宋体" w:hAnsi="宋体" w:eastAsia="宋体" w:cs="宋体"/>
          <w:color w:val="auto"/>
          <w:sz w:val="24"/>
          <w:lang w:val="zh-CN"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w:t>
      </w:r>
      <w:r>
        <w:rPr>
          <w:rFonts w:hint="eastAsia" w:ascii="宋体" w:hAnsi="宋体" w:cs="宋体"/>
          <w:color w:val="auto"/>
          <w:sz w:val="24"/>
          <w:lang w:val="zh-CN" w:eastAsia="zh-CN"/>
        </w:rPr>
        <w:t>供应商</w:t>
      </w:r>
      <w:r>
        <w:rPr>
          <w:rFonts w:hint="eastAsia" w:ascii="宋体" w:hAnsi="宋体" w:eastAsia="宋体" w:cs="宋体"/>
          <w:color w:val="auto"/>
          <w:sz w:val="24"/>
          <w:lang w:val="zh-CN" w:eastAsia="zh-CN"/>
        </w:rPr>
        <w:t xml:space="preserve">出具。联合体投标的，《中小企业声明函》可由牵头人出具。 </w:t>
      </w:r>
    </w:p>
    <w:p w14:paraId="19A99666">
      <w:pPr>
        <w:wordWrap w:val="0"/>
        <w:overflowPunct w:val="0"/>
        <w:topLinePunct/>
        <w:spacing w:line="360" w:lineRule="auto"/>
        <w:ind w:firstLine="480" w:firstLineChars="200"/>
        <w:jc w:val="left"/>
        <w:rPr>
          <w:rFonts w:hint="eastAsia" w:ascii="宋体" w:hAnsi="宋体" w:eastAsia="宋体" w:cs="宋体"/>
          <w:color w:val="auto"/>
          <w:sz w:val="24"/>
          <w:lang w:val="zh-CN"/>
        </w:rPr>
      </w:pPr>
      <w:r>
        <w:rPr>
          <w:rFonts w:hint="eastAsia" w:ascii="宋体" w:hAnsi="宋体" w:eastAsia="宋体" w:cs="宋体"/>
          <w:color w:val="auto"/>
          <w:sz w:val="24"/>
          <w:lang w:val="zh-CN" w:eastAsia="zh-CN"/>
        </w:rPr>
        <w:t>2）对于联合体中由中小企业承担的部分，或者分包给中小企业的部分，必须全部由中小企业制造、承建或者承接。</w:t>
      </w:r>
      <w:r>
        <w:rPr>
          <w:rFonts w:hint="eastAsia" w:ascii="宋体" w:hAnsi="宋体" w:cs="宋体"/>
          <w:color w:val="auto"/>
          <w:sz w:val="24"/>
          <w:lang w:val="zh-CN" w:eastAsia="zh-CN"/>
        </w:rPr>
        <w:t>供应商</w:t>
      </w:r>
      <w:r>
        <w:rPr>
          <w:rFonts w:hint="eastAsia" w:ascii="宋体" w:hAnsi="宋体" w:eastAsia="宋体" w:cs="宋体"/>
          <w:color w:val="auto"/>
          <w:sz w:val="24"/>
          <w:lang w:val="zh-CN" w:eastAsia="zh-CN"/>
        </w:rPr>
        <w:t xml:space="preserve">应当在声明函“标的名称”部分标明联合体中中小企业承担的具体内容或者中小企业的具体分包内容。 </w:t>
      </w:r>
    </w:p>
    <w:p w14:paraId="166E77DC">
      <w:pPr>
        <w:wordWrap w:val="0"/>
        <w:overflowPunct w:val="0"/>
        <w:topLinePunct/>
        <w:spacing w:line="360" w:lineRule="auto"/>
        <w:ind w:firstLine="480" w:firstLineChars="200"/>
        <w:jc w:val="left"/>
        <w:rPr>
          <w:rFonts w:hint="eastAsia" w:ascii="宋体" w:hAnsi="宋体" w:eastAsia="宋体" w:cs="宋体"/>
          <w:color w:val="auto"/>
          <w:sz w:val="24"/>
          <w:lang w:val="zh-CN"/>
        </w:rPr>
      </w:pPr>
      <w:r>
        <w:rPr>
          <w:rFonts w:hint="eastAsia" w:ascii="宋体" w:hAnsi="宋体" w:eastAsia="宋体" w:cs="宋体"/>
          <w:color w:val="auto"/>
          <w:sz w:val="24"/>
          <w:lang w:val="zh-CN" w:eastAsia="zh-CN"/>
        </w:rPr>
        <w:t>3）对于多标的采购项目，</w:t>
      </w:r>
      <w:r>
        <w:rPr>
          <w:rFonts w:hint="eastAsia" w:ascii="宋体" w:hAnsi="宋体" w:cs="宋体"/>
          <w:color w:val="auto"/>
          <w:sz w:val="24"/>
          <w:lang w:val="zh-CN" w:eastAsia="zh-CN"/>
        </w:rPr>
        <w:t>供应商</w:t>
      </w:r>
      <w:r>
        <w:rPr>
          <w:rFonts w:hint="eastAsia" w:ascii="宋体" w:hAnsi="宋体" w:eastAsia="宋体" w:cs="宋体"/>
          <w:color w:val="auto"/>
          <w:sz w:val="24"/>
          <w:lang w:val="zh-CN" w:eastAsia="zh-CN"/>
        </w:rPr>
        <w:t>应充分、准确地了解所提供货物的制造企业、提供服务的承接企业信息。对相关情况了解不清楚的，不建议填报本声明函。</w:t>
      </w:r>
    </w:p>
    <w:p w14:paraId="73CF786B">
      <w:pPr>
        <w:wordWrap w:val="0"/>
        <w:overflowPunct w:val="0"/>
        <w:topLinePunct/>
        <w:spacing w:line="360" w:lineRule="auto"/>
        <w:ind w:firstLine="480" w:firstLineChars="200"/>
        <w:jc w:val="left"/>
        <w:rPr>
          <w:rFonts w:hint="eastAsia" w:ascii="宋体" w:hAnsi="宋体" w:eastAsia="宋体" w:cs="宋体"/>
          <w:color w:val="auto"/>
          <w:sz w:val="24"/>
          <w:lang w:val="zh-CN"/>
        </w:rPr>
      </w:pPr>
      <w:r>
        <w:rPr>
          <w:rFonts w:hint="eastAsia" w:ascii="宋体" w:hAnsi="宋体" w:eastAsia="宋体" w:cs="宋体"/>
          <w:color w:val="auto"/>
          <w:sz w:val="24"/>
          <w:lang w:val="zh-CN" w:eastAsia="zh-CN"/>
        </w:rPr>
        <w:t>4）温馨提示：为方便广大中小企业识别企业规模类型，工业和信息化部组织开发了中小企业规模类型自测小程序，在国务院客户端和工业和信息化部网站上均有链接，</w:t>
      </w:r>
      <w:r>
        <w:rPr>
          <w:rFonts w:hint="eastAsia" w:ascii="宋体" w:hAnsi="宋体" w:cs="宋体"/>
          <w:color w:val="auto"/>
          <w:sz w:val="24"/>
          <w:lang w:val="zh-CN" w:eastAsia="zh-CN"/>
        </w:rPr>
        <w:t>供应商</w:t>
      </w:r>
      <w:r>
        <w:rPr>
          <w:rFonts w:hint="eastAsia" w:ascii="宋体" w:hAnsi="宋体" w:eastAsia="宋体" w:cs="宋体"/>
          <w:color w:val="auto"/>
          <w:sz w:val="24"/>
          <w:lang w:val="zh-CN" w:eastAsia="zh-CN"/>
        </w:rPr>
        <w:t>填写所属的行业和指标数据可自动生成企业规模类型测试结果。本项目中小企业划分标准所属行业详见第二章《</w:t>
      </w:r>
      <w:r>
        <w:rPr>
          <w:rFonts w:hint="eastAsia" w:ascii="宋体" w:hAnsi="宋体" w:cs="宋体"/>
          <w:color w:val="auto"/>
          <w:sz w:val="24"/>
          <w:lang w:val="zh-CN" w:eastAsia="zh-CN"/>
        </w:rPr>
        <w:t>供应商</w:t>
      </w:r>
      <w:r>
        <w:rPr>
          <w:rFonts w:hint="eastAsia" w:ascii="宋体" w:hAnsi="宋体" w:eastAsia="宋体" w:cs="宋体"/>
          <w:color w:val="auto"/>
          <w:sz w:val="24"/>
          <w:lang w:val="zh-CN" w:eastAsia="zh-CN"/>
        </w:rPr>
        <w:t>须知》，如在该程序中未找到本项目文件规定的中小企业划分标准所属行业，则按照《关于印发中小企业划型标准规定的通知（工信部联企业﹝2011﹞300 号）》及本项目文件规定的中小企业划分标准所属行业执行。</w:t>
      </w:r>
    </w:p>
    <w:p w14:paraId="374FFF9D">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2"/>
        <w:rPr>
          <w:rFonts w:hint="eastAsia" w:ascii="宋体" w:hAnsi="宋体" w:eastAsia="宋体" w:cs="宋体"/>
          <w:b/>
          <w:bCs/>
          <w:color w:val="auto"/>
          <w:sz w:val="30"/>
          <w:szCs w:val="30"/>
          <w:lang w:val="en-US" w:eastAsia="zh-CN"/>
        </w:rPr>
        <w:sectPr>
          <w:pgSz w:w="11906" w:h="16838"/>
          <w:pgMar w:top="1134" w:right="1134" w:bottom="1134" w:left="1134" w:header="720" w:footer="720" w:gutter="0"/>
          <w:pgBorders>
            <w:top w:val="none" w:sz="0" w:space="0"/>
            <w:left w:val="none" w:sz="0" w:space="0"/>
            <w:bottom w:val="none" w:sz="0" w:space="0"/>
            <w:right w:val="none" w:sz="0" w:space="0"/>
          </w:pgBorders>
          <w:pgNumType w:fmt="decimal"/>
          <w:cols w:space="720" w:num="1"/>
          <w:rtlGutter w:val="0"/>
        </w:sectPr>
      </w:pPr>
      <w:bookmarkStart w:id="1633" w:name="_Toc6169"/>
      <w:bookmarkStart w:id="1634" w:name="_Toc10388"/>
      <w:bookmarkStart w:id="1635" w:name="_Toc9189"/>
      <w:bookmarkStart w:id="1636" w:name="_Toc31097"/>
      <w:bookmarkStart w:id="1637" w:name="_Toc13683"/>
      <w:bookmarkStart w:id="1638" w:name="_Toc11649"/>
      <w:bookmarkStart w:id="1639" w:name="_Toc29581"/>
      <w:bookmarkStart w:id="1640" w:name="_Toc31351"/>
      <w:bookmarkStart w:id="1641" w:name="_Toc16149"/>
      <w:bookmarkStart w:id="1642" w:name="_Toc6532"/>
      <w:bookmarkStart w:id="1643" w:name="_Toc15831"/>
      <w:bookmarkStart w:id="1644" w:name="_Toc18460"/>
      <w:bookmarkStart w:id="1645" w:name="_Toc30990"/>
      <w:bookmarkStart w:id="1646" w:name="_Toc29070"/>
      <w:bookmarkStart w:id="1647" w:name="_Toc3382"/>
      <w:bookmarkStart w:id="1648" w:name="_Toc13096"/>
      <w:bookmarkStart w:id="1649" w:name="_Toc25444"/>
      <w:bookmarkStart w:id="1650" w:name="_Toc4362"/>
      <w:bookmarkStart w:id="1651" w:name="_Toc5567"/>
      <w:bookmarkStart w:id="1652" w:name="_Toc4785"/>
      <w:bookmarkStart w:id="1653" w:name="_Toc29802"/>
      <w:bookmarkStart w:id="1654" w:name="_Toc7953"/>
      <w:bookmarkStart w:id="1655" w:name="_Toc32564"/>
      <w:bookmarkStart w:id="1656" w:name="_Toc9989"/>
      <w:bookmarkStart w:id="1657" w:name="_Toc3101"/>
    </w:p>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p w14:paraId="2C4903AB">
      <w:pPr>
        <w:keepNext w:val="0"/>
        <w:keepLines w:val="0"/>
        <w:pageBreakBefore w:val="0"/>
        <w:widowControl w:val="0"/>
        <w:suppressLineNumbers w:val="0"/>
        <w:kinsoku/>
        <w:wordWrap w:val="0"/>
        <w:overflowPunct/>
        <w:topLinePunct/>
        <w:autoSpaceDE/>
        <w:autoSpaceDN/>
        <w:bidi w:val="0"/>
        <w:adjustRightInd/>
        <w:snapToGrid/>
        <w:ind w:left="0" w:leftChars="0" w:right="0"/>
        <w:jc w:val="center"/>
        <w:rPr>
          <w:rFonts w:hint="eastAsia" w:ascii="宋体" w:hAnsi="宋体" w:eastAsia="宋体" w:cs="宋体"/>
          <w:color w:val="auto"/>
          <w:sz w:val="21"/>
          <w:szCs w:val="21"/>
        </w:rPr>
      </w:pPr>
      <w:bookmarkStart w:id="1658" w:name="_Toc1572"/>
      <w:bookmarkStart w:id="1659" w:name="_Toc23749"/>
      <w:bookmarkStart w:id="1660" w:name="_Toc27655"/>
      <w:bookmarkStart w:id="1661" w:name="_Toc31050"/>
      <w:bookmarkStart w:id="1662" w:name="_Toc31247"/>
      <w:bookmarkStart w:id="1663" w:name="_Toc13642"/>
      <w:bookmarkStart w:id="1664" w:name="_Toc3522"/>
      <w:bookmarkStart w:id="1665" w:name="_Toc12525"/>
      <w:bookmarkStart w:id="1666" w:name="_Toc30821"/>
      <w:bookmarkStart w:id="1667" w:name="_Toc5927"/>
      <w:bookmarkStart w:id="1668" w:name="_Toc12749"/>
      <w:bookmarkStart w:id="1669" w:name="_Toc31390"/>
      <w:bookmarkStart w:id="1670" w:name="_Toc23027"/>
      <w:bookmarkStart w:id="1671" w:name="_Toc8038"/>
      <w:bookmarkStart w:id="1672" w:name="_Toc13592"/>
      <w:bookmarkStart w:id="1673" w:name="_Toc28166"/>
      <w:bookmarkStart w:id="1674" w:name="_Toc3944"/>
      <w:bookmarkStart w:id="1675" w:name="_Toc12660"/>
      <w:bookmarkStart w:id="1676" w:name="_Toc24407"/>
      <w:bookmarkStart w:id="1677" w:name="_Toc8964"/>
      <w:bookmarkStart w:id="1678" w:name="_Toc12561"/>
      <w:bookmarkStart w:id="1679" w:name="_Toc515908228"/>
      <w:bookmarkStart w:id="1680" w:name="_Toc991"/>
      <w:bookmarkStart w:id="1681" w:name="_Toc19525"/>
      <w:bookmarkStart w:id="1682" w:name="_Toc4282"/>
      <w:bookmarkStart w:id="1683" w:name="_Toc17945"/>
      <w:bookmarkStart w:id="1684" w:name="_Toc18540"/>
      <w:bookmarkStart w:id="1685" w:name="_Toc30489"/>
      <w:r>
        <w:rPr>
          <w:rFonts w:hint="eastAsia" w:ascii="宋体" w:hAnsi="宋体" w:eastAsia="宋体" w:cs="宋体"/>
          <w:b/>
          <w:bCs/>
          <w:color w:val="auto"/>
          <w:kern w:val="0"/>
          <w:sz w:val="28"/>
          <w:szCs w:val="28"/>
          <w:lang w:val="en-US" w:eastAsia="zh-CN" w:bidi="ar"/>
        </w:rPr>
        <w:t>中小企业声明函（服务）</w:t>
      </w:r>
    </w:p>
    <w:p w14:paraId="09E5B24C">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color w:val="auto"/>
          <w:kern w:val="0"/>
          <w:sz w:val="24"/>
          <w:szCs w:val="24"/>
          <w:lang w:val="en-US" w:eastAsia="zh-CN" w:bidi="ar"/>
        </w:rPr>
      </w:pPr>
    </w:p>
    <w:p w14:paraId="2CE52DA1">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本公司（联合体）郑重声明，根据《政府采购促进中小企业发展管理办法》（财库﹝2020﹞46 号）的规定，本公司（联合体）参加</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（单位名称）的</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w:t>
      </w:r>
      <w:r>
        <w:rPr>
          <w:rFonts w:hint="eastAsia" w:ascii="宋体" w:hAnsi="宋体" w:eastAsia="宋体" w:cs="宋体"/>
          <w:i/>
          <w:iCs/>
          <w:color w:val="auto"/>
          <w:kern w:val="0"/>
          <w:sz w:val="24"/>
          <w:szCs w:val="24"/>
          <w:lang w:val="en-US" w:eastAsia="zh-CN" w:bidi="ar"/>
        </w:rPr>
        <w:t>项目名称</w:t>
      </w:r>
      <w:r>
        <w:rPr>
          <w:rFonts w:hint="eastAsia" w:ascii="宋体" w:hAnsi="宋体" w:eastAsia="宋体" w:cs="宋体"/>
          <w:i w:val="0"/>
          <w:iCs w:val="0"/>
          <w:color w:val="auto"/>
          <w:kern w:val="0"/>
          <w:sz w:val="24"/>
          <w:szCs w:val="24"/>
          <w:lang w:val="en-US" w:eastAsia="zh-CN" w:bidi="ar"/>
        </w:rPr>
        <w:t xml:space="preserve">）采购活动，服务全部由符合政策要求的中小企业承接。相关企业（含联合体中的中小企业、签订分包意向协议的中小企业）的具体情况如下： </w:t>
      </w:r>
    </w:p>
    <w:p w14:paraId="75029F1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1. </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标的名称</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，属于</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采购文件中明确的所属行业</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val="0"/>
          <w:iCs w:val="0"/>
          <w:color w:val="auto"/>
          <w:kern w:val="0"/>
          <w:sz w:val="24"/>
          <w:szCs w:val="24"/>
          <w:lang w:val="en-US" w:eastAsia="zh-CN" w:bidi="ar"/>
        </w:rPr>
        <w:t>；承建（承接）企业为</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企业名称</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val="0"/>
          <w:iCs w:val="0"/>
          <w:color w:val="auto"/>
          <w:kern w:val="0"/>
          <w:sz w:val="24"/>
          <w:szCs w:val="24"/>
          <w:lang w:val="en-US" w:eastAsia="zh-CN" w:bidi="ar"/>
        </w:rPr>
        <w:t>，从业人员</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人，营业收入为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万元，资产总额为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万元，属于</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中型企业、小型企业、微型企业</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val="0"/>
          <w:iCs w:val="0"/>
          <w:color w:val="auto"/>
          <w:kern w:val="0"/>
          <w:sz w:val="24"/>
          <w:szCs w:val="24"/>
          <w:lang w:val="en-US" w:eastAsia="zh-CN" w:bidi="ar"/>
        </w:rPr>
        <w:t xml:space="preserve">； </w:t>
      </w:r>
    </w:p>
    <w:p w14:paraId="0DC6E47B">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2. </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标的名称</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，属于</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采购文件中明确的所属行业</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val="0"/>
          <w:iCs w:val="0"/>
          <w:color w:val="auto"/>
          <w:kern w:val="0"/>
          <w:sz w:val="24"/>
          <w:szCs w:val="24"/>
          <w:lang w:val="en-US" w:eastAsia="zh-CN" w:bidi="ar"/>
        </w:rPr>
        <w:t>；承建（承接）企业为</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企业名称</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val="0"/>
          <w:iCs w:val="0"/>
          <w:color w:val="auto"/>
          <w:kern w:val="0"/>
          <w:sz w:val="24"/>
          <w:szCs w:val="24"/>
          <w:lang w:val="en-US" w:eastAsia="zh-CN" w:bidi="ar"/>
        </w:rPr>
        <w:t>，从业人员人，营业收入为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万元，资产总额为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万元，属于（</w:t>
      </w:r>
      <w:r>
        <w:rPr>
          <w:rFonts w:hint="eastAsia" w:ascii="宋体" w:hAnsi="宋体" w:eastAsia="宋体" w:cs="宋体"/>
          <w:i/>
          <w:iCs/>
          <w:color w:val="auto"/>
          <w:kern w:val="0"/>
          <w:sz w:val="24"/>
          <w:szCs w:val="24"/>
          <w:lang w:val="en-US" w:eastAsia="zh-CN" w:bidi="ar"/>
        </w:rPr>
        <w:t>中型企业、小型企业、微型企业</w:t>
      </w:r>
      <w:r>
        <w:rPr>
          <w:rFonts w:hint="eastAsia" w:ascii="宋体" w:hAnsi="宋体" w:eastAsia="宋体" w:cs="宋体"/>
          <w:i w:val="0"/>
          <w:iCs w:val="0"/>
          <w:color w:val="auto"/>
          <w:kern w:val="0"/>
          <w:sz w:val="24"/>
          <w:szCs w:val="24"/>
          <w:lang w:val="en-US" w:eastAsia="zh-CN" w:bidi="ar"/>
        </w:rPr>
        <w:t xml:space="preserve">）； </w:t>
      </w:r>
    </w:p>
    <w:p w14:paraId="3D2BFBC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 </w:t>
      </w:r>
    </w:p>
    <w:p w14:paraId="0DAD8C4A">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以上企业，不属于大企业的分支机构，不存在控股股东为大企业的情形，也不存在与大企业的负责人为同一人的情形。 </w:t>
      </w:r>
    </w:p>
    <w:p w14:paraId="769BA383">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rPr>
      </w:pPr>
      <w:r>
        <w:rPr>
          <w:rFonts w:hint="eastAsia" w:ascii="宋体" w:hAnsi="宋体" w:eastAsia="宋体" w:cs="宋体"/>
          <w:i w:val="0"/>
          <w:iCs w:val="0"/>
          <w:color w:val="auto"/>
          <w:kern w:val="0"/>
          <w:sz w:val="24"/>
          <w:szCs w:val="24"/>
          <w:lang w:val="en-US" w:eastAsia="zh-CN" w:bidi="ar"/>
        </w:rPr>
        <w:t>本企业对上述声明内容的真实性负责。如有虚假，将依法承担相应责任</w:t>
      </w:r>
      <w:r>
        <w:rPr>
          <w:rFonts w:hint="eastAsia" w:ascii="宋体" w:hAnsi="宋体" w:eastAsia="宋体" w:cs="宋体"/>
          <w:i w:val="0"/>
          <w:iCs w:val="0"/>
          <w:color w:val="auto"/>
          <w:kern w:val="0"/>
          <w:sz w:val="31"/>
          <w:szCs w:val="31"/>
          <w:lang w:val="en-US" w:eastAsia="zh-CN" w:bidi="ar"/>
        </w:rPr>
        <w:t xml:space="preserve">。 </w:t>
      </w:r>
    </w:p>
    <w:p w14:paraId="1D099A1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670DDD0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13AC345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02C0335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55915BA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3BBC171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1329706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75236AE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企业名称：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（盖章）</w:t>
      </w:r>
    </w:p>
    <w:p w14:paraId="385E3F23">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79DEB3E7">
      <w:pPr>
        <w:pStyle w:val="28"/>
        <w:keepNext w:val="0"/>
        <w:keepLines w:val="0"/>
        <w:pageBreakBefore w:val="0"/>
        <w:widowControl w:val="0"/>
        <w:kinsoku/>
        <w:wordWrap w:val="0"/>
        <w:overflowPunct/>
        <w:topLinePunct/>
        <w:autoSpaceDE/>
        <w:autoSpaceDN/>
        <w:bidi w:val="0"/>
        <w:adjustRightInd/>
        <w:snapToGrid/>
        <w:ind w:left="0" w:leftChars="0" w:right="0" w:firstLine="480" w:firstLineChars="200"/>
        <w:rPr>
          <w:rFonts w:hint="eastAsia" w:ascii="宋体" w:hAnsi="宋体" w:eastAsia="宋体" w:cs="宋体"/>
          <w:color w:val="auto"/>
          <w:sz w:val="24"/>
          <w:szCs w:val="24"/>
          <w:lang w:val="en-US" w:eastAsia="zh-CN"/>
        </w:rPr>
      </w:pPr>
    </w:p>
    <w:p w14:paraId="54513A9F">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宋体" w:hAnsi="宋体" w:eastAsia="宋体" w:cs="宋体"/>
          <w:color w:val="auto"/>
          <w:sz w:val="21"/>
          <w:szCs w:val="21"/>
          <w:lang w:val="en-US" w:eastAsia="zh-CN"/>
        </w:rPr>
      </w:pPr>
    </w:p>
    <w:p w14:paraId="3A27C6DB">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宋体" w:hAnsi="宋体" w:eastAsia="宋体" w:cs="宋体"/>
          <w:color w:val="auto"/>
          <w:sz w:val="21"/>
          <w:szCs w:val="21"/>
          <w:lang w:val="en-US" w:eastAsia="zh-CN"/>
        </w:rPr>
      </w:pPr>
    </w:p>
    <w:p w14:paraId="51D898E8">
      <w:pPr>
        <w:pStyle w:val="63"/>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left"/>
        <w:outlineLvl w:val="1"/>
        <w:rPr>
          <w:rFonts w:hint="eastAsia" w:ascii="宋体" w:hAnsi="宋体" w:eastAsia="宋体" w:cs="宋体"/>
          <w:color w:val="auto"/>
          <w:sz w:val="21"/>
          <w:szCs w:val="21"/>
          <w:lang w:val="en-US" w:eastAsia="zh-CN"/>
        </w:rPr>
      </w:pPr>
      <w:bookmarkStart w:id="1686" w:name="_Toc23496"/>
      <w:bookmarkStart w:id="1687" w:name="_Toc32609"/>
      <w:bookmarkStart w:id="1688" w:name="_Toc17693"/>
    </w:p>
    <w:p w14:paraId="0636C207">
      <w:pPr>
        <w:pStyle w:val="63"/>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left"/>
        <w:outlineLvl w:val="1"/>
        <w:rPr>
          <w:rFonts w:hint="eastAsia" w:ascii="宋体" w:hAnsi="宋体" w:eastAsia="宋体" w:cs="宋体"/>
          <w:bCs w:val="0"/>
          <w:color w:val="auto"/>
          <w:sz w:val="30"/>
          <w:szCs w:val="30"/>
          <w:lang w:val="zh-CN"/>
        </w:rPr>
        <w:sectPr>
          <w:pgSz w:w="11906" w:h="16838"/>
          <w:pgMar w:top="1134" w:right="1134" w:bottom="1134" w:left="1134" w:header="720" w:footer="720" w:gutter="0"/>
          <w:pgBorders>
            <w:top w:val="none" w:sz="0" w:space="0"/>
            <w:left w:val="none" w:sz="0" w:space="0"/>
            <w:bottom w:val="none" w:sz="0" w:space="0"/>
            <w:right w:val="none" w:sz="0" w:space="0"/>
          </w:pgBorders>
          <w:pgNumType w:fmt="decimal"/>
          <w:cols w:space="720" w:num="1"/>
          <w:rtlGutter w:val="0"/>
        </w:sectPr>
      </w:pPr>
      <w:r>
        <w:rPr>
          <w:rFonts w:hint="eastAsia" w:ascii="宋体" w:hAnsi="宋体" w:eastAsia="宋体" w:cs="宋体"/>
          <w:color w:val="auto"/>
          <w:sz w:val="21"/>
          <w:szCs w:val="21"/>
          <w:lang w:val="en-US" w:eastAsia="zh-CN"/>
        </w:rPr>
        <w:t>注：从业人员、营业收入、资产总额填报上一年度数据，无上一年度数据的新成立企业可不填报。</w:t>
      </w:r>
      <w:bookmarkEnd w:id="1686"/>
      <w:bookmarkEnd w:id="1687"/>
      <w:bookmarkEnd w:id="1688"/>
    </w:p>
    <w:p w14:paraId="75AA3562">
      <w:pPr>
        <w:pStyle w:val="63"/>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center"/>
        <w:outlineLvl w:val="1"/>
        <w:rPr>
          <w:rFonts w:hint="eastAsia" w:ascii="宋体" w:hAnsi="宋体" w:eastAsia="宋体" w:cs="宋体"/>
          <w:b w:val="0"/>
          <w:color w:val="auto"/>
          <w:sz w:val="30"/>
          <w:szCs w:val="30"/>
        </w:rPr>
      </w:pPr>
      <w:bookmarkStart w:id="1689" w:name="_Toc25597"/>
      <w:bookmarkStart w:id="1690" w:name="_Toc3342"/>
      <w:r>
        <w:rPr>
          <w:rFonts w:hint="eastAsia" w:ascii="宋体" w:hAnsi="宋体" w:eastAsia="宋体" w:cs="宋体"/>
          <w:bCs w:val="0"/>
          <w:color w:val="auto"/>
          <w:sz w:val="28"/>
          <w:szCs w:val="28"/>
          <w:lang w:val="zh-CN"/>
        </w:rPr>
        <w:t>残疾人</w:t>
      </w:r>
      <w:r>
        <w:rPr>
          <w:rFonts w:hint="eastAsia" w:ascii="宋体" w:hAnsi="宋体" w:eastAsia="宋体" w:cs="宋体"/>
          <w:bCs w:val="0"/>
          <w:color w:val="auto"/>
          <w:sz w:val="28"/>
          <w:szCs w:val="28"/>
        </w:rPr>
        <w:t>福利性单位声明函</w:t>
      </w:r>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9"/>
      <w:bookmarkEnd w:id="1690"/>
    </w:p>
    <w:p w14:paraId="34D65B2A">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宋体" w:hAnsi="宋体" w:eastAsia="宋体" w:cs="宋体"/>
          <w:color w:val="auto"/>
          <w:sz w:val="24"/>
        </w:rPr>
      </w:pPr>
    </w:p>
    <w:p w14:paraId="4153A26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宋体" w:hAnsi="宋体" w:eastAsia="宋体" w:cs="宋体"/>
          <w:color w:val="auto"/>
          <w:sz w:val="24"/>
        </w:rPr>
      </w:pPr>
      <w:r>
        <w:rPr>
          <w:rFonts w:hint="eastAsia" w:ascii="宋体" w:hAnsi="宋体" w:eastAsia="宋体" w:cs="宋体"/>
          <w:color w:val="auto"/>
          <w:sz w:val="24"/>
        </w:rPr>
        <w:t>本单位郑重声明，根据《财政部、民政部、中国残疾人联合会关于促进残疾人就业政府采购政策的通知》（财库〔2017〕141号）的规定，本单位为符合条件的残疾人福利性单位，本单位在职职工人数为</w:t>
      </w:r>
      <w:r>
        <w:rPr>
          <w:rFonts w:hint="eastAsia" w:ascii="宋体" w:hAnsi="宋体" w:eastAsia="宋体" w:cs="宋体"/>
          <w:color w:val="auto"/>
          <w:sz w:val="24"/>
          <w:u w:val="single"/>
        </w:rPr>
        <w:t xml:space="preserve">       </w:t>
      </w:r>
      <w:r>
        <w:rPr>
          <w:rFonts w:hint="eastAsia" w:ascii="宋体" w:hAnsi="宋体" w:eastAsia="宋体" w:cs="宋体"/>
          <w:color w:val="auto"/>
          <w:sz w:val="24"/>
        </w:rPr>
        <w:t>人，安置的残疾人人数</w:t>
      </w:r>
      <w:r>
        <w:rPr>
          <w:rFonts w:hint="eastAsia" w:ascii="宋体" w:hAnsi="宋体" w:eastAsia="宋体" w:cs="宋体"/>
          <w:color w:val="auto"/>
          <w:sz w:val="24"/>
          <w:u w:val="single"/>
        </w:rPr>
        <w:t xml:space="preserve">      </w:t>
      </w:r>
      <w:r>
        <w:rPr>
          <w:rFonts w:hint="eastAsia" w:ascii="宋体" w:hAnsi="宋体" w:eastAsia="宋体" w:cs="宋体"/>
          <w:color w:val="auto"/>
          <w:sz w:val="24"/>
        </w:rPr>
        <w:t>人。且本单位参加</w:t>
      </w:r>
      <w:r>
        <w:rPr>
          <w:rFonts w:hint="eastAsia" w:ascii="宋体" w:hAnsi="宋体" w:eastAsia="宋体" w:cs="宋体"/>
          <w:color w:val="auto"/>
          <w:sz w:val="24"/>
          <w:u w:val="single"/>
        </w:rPr>
        <w:t xml:space="preserve">      </w:t>
      </w:r>
      <w:r>
        <w:rPr>
          <w:rFonts w:hint="eastAsia" w:ascii="宋体" w:hAnsi="宋体" w:eastAsia="宋体" w:cs="宋体"/>
          <w:color w:val="auto"/>
          <w:sz w:val="24"/>
        </w:rPr>
        <w:t>单位的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2C8858A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495C91D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宋体" w:hAnsi="宋体" w:eastAsia="宋体" w:cs="宋体"/>
          <w:color w:val="auto"/>
          <w:sz w:val="24"/>
        </w:rPr>
      </w:pPr>
    </w:p>
    <w:p w14:paraId="0730178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rPr>
      </w:pPr>
      <w:r>
        <w:rPr>
          <w:rFonts w:hint="eastAsia" w:ascii="宋体" w:hAnsi="宋体" w:eastAsia="宋体" w:cs="宋体"/>
          <w:color w:val="auto"/>
          <w:sz w:val="24"/>
        </w:rPr>
        <w:t>注：若无此项内容，可不</w:t>
      </w:r>
      <w:r>
        <w:rPr>
          <w:rFonts w:hint="eastAsia" w:ascii="宋体" w:hAnsi="宋体" w:eastAsia="宋体" w:cs="宋体"/>
          <w:color w:val="auto"/>
          <w:sz w:val="24"/>
          <w:lang w:eastAsia="zh-CN"/>
        </w:rPr>
        <w:t>填写</w:t>
      </w:r>
      <w:r>
        <w:rPr>
          <w:rFonts w:hint="eastAsia" w:ascii="宋体" w:hAnsi="宋体" w:eastAsia="宋体" w:cs="宋体"/>
          <w:color w:val="auto"/>
          <w:sz w:val="24"/>
        </w:rPr>
        <w:t>此函。</w:t>
      </w:r>
    </w:p>
    <w:p w14:paraId="6C2AC33D">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宋体" w:hAnsi="宋体" w:eastAsia="宋体" w:cs="宋体"/>
          <w:color w:val="auto"/>
          <w:kern w:val="0"/>
          <w:sz w:val="24"/>
          <w:lang w:val="zh-CN"/>
        </w:rPr>
      </w:pPr>
    </w:p>
    <w:p w14:paraId="64D05D7F">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宋体" w:hAnsi="宋体" w:eastAsia="宋体" w:cs="宋体"/>
          <w:color w:val="auto"/>
          <w:kern w:val="0"/>
          <w:sz w:val="24"/>
          <w:lang w:val="zh-CN"/>
        </w:rPr>
      </w:pPr>
    </w:p>
    <w:p w14:paraId="01D71906">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宋体" w:hAnsi="宋体" w:eastAsia="宋体" w:cs="宋体"/>
          <w:color w:val="auto"/>
          <w:kern w:val="0"/>
          <w:sz w:val="24"/>
          <w:lang w:val="zh-CN"/>
        </w:rPr>
      </w:pPr>
    </w:p>
    <w:p w14:paraId="7DDD695F">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宋体" w:hAnsi="宋体" w:eastAsia="宋体" w:cs="宋体"/>
          <w:color w:val="auto"/>
          <w:kern w:val="0"/>
          <w:sz w:val="24"/>
          <w:lang w:val="zh-CN"/>
        </w:rPr>
      </w:pPr>
    </w:p>
    <w:p w14:paraId="0ECB38E9">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宋体" w:hAnsi="宋体" w:eastAsia="宋体" w:cs="宋体"/>
          <w:color w:val="auto"/>
          <w:kern w:val="0"/>
          <w:sz w:val="24"/>
          <w:lang w:val="zh-CN"/>
        </w:rPr>
      </w:pPr>
    </w:p>
    <w:p w14:paraId="524BA14C">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13FC53FC">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6CB46F54">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1D7B58AC">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00AAFC09">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08EE2CC9">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209EFC3C">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16B80AF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30AC0D3E">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23589B12">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r>
        <w:rPr>
          <w:rFonts w:hint="eastAsia" w:ascii="宋体" w:hAnsi="宋体" w:cs="宋体"/>
          <w:color w:val="auto"/>
          <w:kern w:val="0"/>
          <w:sz w:val="24"/>
          <w:lang w:val="zh-CN"/>
        </w:rPr>
        <w:t>供应商</w:t>
      </w:r>
      <w:r>
        <w:rPr>
          <w:rFonts w:hint="eastAsia" w:ascii="宋体" w:hAnsi="宋体" w:eastAsia="宋体" w:cs="宋体"/>
          <w:color w:val="auto"/>
          <w:kern w:val="0"/>
          <w:sz w:val="24"/>
          <w:lang w:val="zh-CN"/>
        </w:rPr>
        <w:t>：</w:t>
      </w:r>
      <w:r>
        <w:rPr>
          <w:rFonts w:hint="eastAsia" w:ascii="宋体" w:hAnsi="宋体" w:eastAsia="宋体" w:cs="宋体"/>
          <w:color w:val="auto"/>
          <w:kern w:val="0"/>
          <w:sz w:val="24"/>
          <w:u w:val="single"/>
          <w:lang w:val="zh-CN"/>
        </w:rPr>
        <w:t xml:space="preserve">             </w:t>
      </w:r>
      <w:r>
        <w:rPr>
          <w:rFonts w:hint="eastAsia" w:ascii="宋体" w:hAnsi="宋体" w:eastAsia="宋体" w:cs="宋体"/>
          <w:color w:val="auto"/>
          <w:kern w:val="0"/>
          <w:sz w:val="24"/>
          <w:u w:val="single"/>
          <w:lang w:val="en-US" w:eastAsia="zh-CN"/>
        </w:rPr>
        <w:t xml:space="preserve">            </w:t>
      </w:r>
      <w:r>
        <w:rPr>
          <w:rFonts w:hint="eastAsia" w:ascii="宋体" w:hAnsi="宋体" w:eastAsia="宋体" w:cs="宋体"/>
          <w:color w:val="auto"/>
          <w:kern w:val="0"/>
          <w:sz w:val="24"/>
          <w:lang w:val="zh-CN"/>
        </w:rPr>
        <w:t>（</w:t>
      </w:r>
      <w:r>
        <w:rPr>
          <w:rFonts w:hint="eastAsia" w:ascii="宋体" w:hAnsi="宋体" w:eastAsia="宋体" w:cs="宋体"/>
          <w:color w:val="auto"/>
          <w:kern w:val="0"/>
          <w:sz w:val="24"/>
          <w:lang w:val="en-US" w:eastAsia="zh-CN"/>
        </w:rPr>
        <w:t>盖章</w:t>
      </w:r>
      <w:r>
        <w:rPr>
          <w:rFonts w:hint="eastAsia" w:ascii="宋体" w:hAnsi="宋体" w:eastAsia="宋体" w:cs="宋体"/>
          <w:color w:val="auto"/>
          <w:kern w:val="0"/>
          <w:sz w:val="24"/>
          <w:lang w:val="zh-CN"/>
        </w:rPr>
        <w:t>）</w:t>
      </w:r>
    </w:p>
    <w:p w14:paraId="4056751D">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val="0"/>
          <w:bCs w:val="0"/>
          <w:color w:val="auto"/>
          <w:kern w:val="0"/>
          <w:sz w:val="24"/>
          <w:lang w:val="zh-CN"/>
        </w:rPr>
      </w:pPr>
    </w:p>
    <w:p w14:paraId="1F8426A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val="0"/>
          <w:bCs w:val="0"/>
          <w:color w:val="auto"/>
          <w:kern w:val="0"/>
          <w:sz w:val="24"/>
          <w:lang w:val="zh-CN"/>
        </w:rPr>
        <w:sectPr>
          <w:pgSz w:w="11906" w:h="16838"/>
          <w:pgMar w:top="1134" w:right="1134" w:bottom="1134" w:left="1134" w:header="720" w:footer="720" w:gutter="0"/>
          <w:pgBorders>
            <w:top w:val="none" w:sz="0" w:space="0"/>
            <w:left w:val="none" w:sz="0" w:space="0"/>
            <w:bottom w:val="none" w:sz="0" w:space="0"/>
            <w:right w:val="none" w:sz="0" w:space="0"/>
          </w:pgBorders>
          <w:pgNumType w:fmt="decimal"/>
          <w:cols w:space="720" w:num="1"/>
          <w:rtlGutter w:val="0"/>
        </w:sectPr>
      </w:pPr>
      <w:r>
        <w:rPr>
          <w:rFonts w:hint="eastAsia" w:ascii="宋体" w:hAnsi="宋体" w:eastAsia="宋体" w:cs="宋体"/>
          <w:b w:val="0"/>
          <w:bCs w:val="0"/>
          <w:color w:val="auto"/>
          <w:kern w:val="0"/>
          <w:sz w:val="24"/>
          <w:lang w:val="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35904326">
      <w:pPr>
        <w:pStyle w:val="61"/>
        <w:keepNext w:val="0"/>
        <w:keepLines w:val="0"/>
        <w:pageBreakBefore w:val="0"/>
        <w:widowControl w:val="0"/>
        <w:suppressLineNumbers w:val="0"/>
        <w:kinsoku/>
        <w:wordWrap w:val="0"/>
        <w:overflowPunct/>
        <w:topLinePunct/>
        <w:autoSpaceDE/>
        <w:autoSpaceDN/>
        <w:bidi w:val="0"/>
        <w:adjustRightInd/>
        <w:snapToGrid/>
        <w:spacing w:before="0" w:beforeAutospacing="0" w:after="0" w:afterAutospacing="0" w:line="360" w:lineRule="auto"/>
        <w:ind w:left="0" w:leftChars="0" w:right="0"/>
        <w:jc w:val="center"/>
        <w:textAlignment w:val="auto"/>
        <w:outlineLvl w:val="1"/>
        <w:rPr>
          <w:rFonts w:hint="eastAsia" w:ascii="宋体" w:hAnsi="宋体" w:eastAsia="宋体" w:cs="宋体"/>
          <w:color w:val="auto"/>
          <w:sz w:val="22"/>
          <w:szCs w:val="22"/>
        </w:rPr>
      </w:pPr>
      <w:bookmarkStart w:id="1691" w:name="_Toc24860"/>
      <w:bookmarkStart w:id="1692" w:name="_Toc21829"/>
      <w:bookmarkStart w:id="1693" w:name="_Toc17582"/>
      <w:bookmarkStart w:id="1694" w:name="_Toc20260"/>
      <w:bookmarkStart w:id="1695" w:name="_Toc18265"/>
      <w:bookmarkStart w:id="1696" w:name="_Toc12345"/>
      <w:bookmarkStart w:id="1697" w:name="_Toc5961"/>
      <w:bookmarkStart w:id="1698" w:name="_Toc14312"/>
      <w:bookmarkStart w:id="1699" w:name="_Toc19429"/>
      <w:bookmarkStart w:id="1700" w:name="_Toc21220"/>
      <w:bookmarkStart w:id="1701" w:name="_Toc23316"/>
      <w:bookmarkStart w:id="1702" w:name="_Toc24011"/>
      <w:bookmarkStart w:id="1703" w:name="_Toc4256"/>
      <w:bookmarkStart w:id="1704" w:name="_Toc3658"/>
      <w:bookmarkStart w:id="1705" w:name="_Toc18227"/>
      <w:bookmarkStart w:id="1706" w:name="_Toc7575"/>
      <w:bookmarkStart w:id="1707" w:name="_Toc19777"/>
      <w:bookmarkStart w:id="1708" w:name="_Toc27186"/>
      <w:bookmarkStart w:id="1709" w:name="_Toc6778"/>
      <w:bookmarkStart w:id="1710" w:name="_Toc7854"/>
      <w:bookmarkStart w:id="1711" w:name="_Toc25936"/>
      <w:bookmarkStart w:id="1712" w:name="_Toc31166"/>
      <w:bookmarkStart w:id="1713" w:name="_Toc451"/>
      <w:bookmarkStart w:id="1714" w:name="_Toc24184"/>
      <w:bookmarkStart w:id="1715" w:name="_Toc21948"/>
      <w:bookmarkStart w:id="1716" w:name="_Toc4375"/>
      <w:bookmarkStart w:id="1717" w:name="_Toc27539"/>
      <w:bookmarkStart w:id="1718" w:name="_Toc3712"/>
      <w:r>
        <w:rPr>
          <w:rFonts w:hint="eastAsia" w:ascii="宋体" w:hAnsi="宋体" w:eastAsia="宋体" w:cs="宋体"/>
          <w:b/>
          <w:bCs/>
          <w:color w:val="auto"/>
          <w:sz w:val="28"/>
          <w:szCs w:val="28"/>
        </w:rPr>
        <w:t>监狱企业声明函</w:t>
      </w:r>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p>
    <w:p w14:paraId="08769FC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p>
    <w:p w14:paraId="6775CE0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本公司郑重声明，根据《关于政府采购支持监狱企业发展有关问题的通知》（财库[2014]68 号）的规定，本公司为监狱企业。</w:t>
      </w:r>
    </w:p>
    <w:p w14:paraId="7D126CE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根据上述标准，我公司属于监狱企业的理由为：</w:t>
      </w:r>
    </w:p>
    <w:p w14:paraId="76C1929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宋体" w:hAnsi="宋体" w:eastAsia="宋体" w:cs="宋体"/>
          <w:color w:val="auto"/>
          <w:sz w:val="24"/>
          <w:szCs w:val="24"/>
          <w:lang w:val="en-US" w:eastAsia="zh-CN"/>
        </w:rPr>
      </w:pPr>
      <w:bookmarkStart w:id="1719" w:name="_Toc7890"/>
      <w:bookmarkStart w:id="1720" w:name="_Toc20595"/>
      <w:bookmarkStart w:id="1721" w:name="_Toc2104"/>
      <w:bookmarkStart w:id="1722" w:name="_Toc13508"/>
      <w:bookmarkStart w:id="1723" w:name="_Toc6373"/>
      <w:bookmarkStart w:id="1724" w:name="_Toc26209"/>
      <w:bookmarkStart w:id="1725" w:name="_Toc28812"/>
      <w:bookmarkStart w:id="1726" w:name="_Toc21660"/>
      <w:bookmarkStart w:id="1727" w:name="_Toc32680"/>
      <w:bookmarkStart w:id="1728" w:name="_Toc31990"/>
      <w:bookmarkStart w:id="1729" w:name="_Toc9022"/>
      <w:bookmarkStart w:id="1730" w:name="_Toc6171"/>
      <w:bookmarkStart w:id="1731" w:name="_Toc30129"/>
      <w:bookmarkStart w:id="1732" w:name="_Toc11261"/>
      <w:bookmarkStart w:id="1733" w:name="_Toc2869"/>
      <w:bookmarkStart w:id="1734" w:name="_Toc10980"/>
      <w:bookmarkStart w:id="1735" w:name="_Toc23466"/>
      <w:bookmarkStart w:id="1736" w:name="_Toc21415"/>
      <w:bookmarkStart w:id="1737" w:name="_Toc17052"/>
      <w:bookmarkStart w:id="1738" w:name="_Toc139"/>
      <w:bookmarkStart w:id="1739" w:name="_Toc20412"/>
      <w:bookmarkStart w:id="1740" w:name="_Toc5764"/>
      <w:bookmarkStart w:id="1741" w:name="_Toc22432"/>
      <w:bookmarkStart w:id="1742" w:name="_Toc9956"/>
      <w:bookmarkStart w:id="1743" w:name="_Toc9548"/>
      <w:bookmarkStart w:id="1744" w:name="_Toc9210"/>
      <w:bookmarkStart w:id="1745" w:name="_Toc22729"/>
      <w:bookmarkStart w:id="1746" w:name="_Toc26304"/>
      <w:bookmarkStart w:id="1747" w:name="_Toc22325"/>
      <w:bookmarkStart w:id="1748" w:name="_Toc4816"/>
      <w:bookmarkStart w:id="1749" w:name="_Toc28879"/>
      <w:bookmarkStart w:id="1750" w:name="_Toc17344"/>
      <w:bookmarkStart w:id="1751" w:name="_Toc24342"/>
      <w:bookmarkStart w:id="1752" w:name="_Toc28"/>
      <w:r>
        <w:rPr>
          <w:rFonts w:hint="eastAsia" w:ascii="宋体" w:hAnsi="宋体" w:eastAsia="宋体" w:cs="宋体"/>
          <w:color w:val="auto"/>
          <w:sz w:val="24"/>
          <w:szCs w:val="24"/>
          <w:lang w:val="en-US" w:eastAsia="zh-CN"/>
        </w:rPr>
        <w:t>1、</w:t>
      </w:r>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p>
    <w:p w14:paraId="328F716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宋体" w:hAnsi="宋体" w:eastAsia="宋体" w:cs="宋体"/>
          <w:color w:val="auto"/>
          <w:sz w:val="24"/>
          <w:szCs w:val="24"/>
          <w:lang w:val="en-US" w:eastAsia="zh-CN"/>
        </w:rPr>
      </w:pPr>
      <w:bookmarkStart w:id="1753" w:name="_Toc18997"/>
      <w:bookmarkStart w:id="1754" w:name="_Toc25974"/>
      <w:bookmarkStart w:id="1755" w:name="_Toc7389"/>
      <w:bookmarkStart w:id="1756" w:name="_Toc25807"/>
      <w:bookmarkStart w:id="1757" w:name="_Toc12669"/>
      <w:bookmarkStart w:id="1758" w:name="_Toc11720"/>
      <w:bookmarkStart w:id="1759" w:name="_Toc25751"/>
      <w:bookmarkStart w:id="1760" w:name="_Toc14473"/>
      <w:bookmarkStart w:id="1761" w:name="_Toc1257"/>
      <w:bookmarkStart w:id="1762" w:name="_Toc29815"/>
      <w:bookmarkStart w:id="1763" w:name="_Toc27202"/>
      <w:bookmarkStart w:id="1764" w:name="_Toc9330"/>
      <w:bookmarkStart w:id="1765" w:name="_Toc11746"/>
      <w:bookmarkStart w:id="1766" w:name="_Toc29889"/>
      <w:bookmarkStart w:id="1767" w:name="_Toc8098"/>
      <w:bookmarkStart w:id="1768" w:name="_Toc565"/>
      <w:bookmarkStart w:id="1769" w:name="_Toc32561"/>
      <w:bookmarkStart w:id="1770" w:name="_Toc7385"/>
      <w:bookmarkStart w:id="1771" w:name="_Toc17825"/>
      <w:bookmarkStart w:id="1772" w:name="_Toc17536"/>
      <w:bookmarkStart w:id="1773" w:name="_Toc10259"/>
      <w:bookmarkStart w:id="1774" w:name="_Toc19413"/>
      <w:bookmarkStart w:id="1775" w:name="_Toc12358"/>
      <w:bookmarkStart w:id="1776" w:name="_Toc22544"/>
      <w:bookmarkStart w:id="1777" w:name="_Toc22253"/>
      <w:bookmarkStart w:id="1778" w:name="_Toc17261"/>
      <w:bookmarkStart w:id="1779" w:name="_Toc2698"/>
      <w:bookmarkStart w:id="1780" w:name="_Toc13724"/>
      <w:bookmarkStart w:id="1781" w:name="_Toc26415"/>
      <w:bookmarkStart w:id="1782" w:name="_Toc21190"/>
      <w:bookmarkStart w:id="1783" w:name="_Toc4584"/>
      <w:bookmarkStart w:id="1784" w:name="_Toc12984"/>
      <w:bookmarkStart w:id="1785" w:name="_Toc10850"/>
      <w:bookmarkStart w:id="1786" w:name="_Toc25186"/>
      <w:r>
        <w:rPr>
          <w:rFonts w:hint="eastAsia" w:ascii="宋体" w:hAnsi="宋体" w:eastAsia="宋体" w:cs="宋体"/>
          <w:color w:val="auto"/>
          <w:sz w:val="24"/>
          <w:szCs w:val="24"/>
          <w:lang w:val="en-US" w:eastAsia="zh-CN"/>
        </w:rPr>
        <w:t>2、</w:t>
      </w:r>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p>
    <w:p w14:paraId="594C5DB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宋体" w:hAnsi="宋体" w:eastAsia="宋体" w:cs="宋体"/>
          <w:color w:val="auto"/>
          <w:sz w:val="24"/>
          <w:szCs w:val="24"/>
          <w:lang w:val="en-US" w:eastAsia="zh-CN"/>
        </w:rPr>
      </w:pPr>
      <w:bookmarkStart w:id="1787" w:name="_Toc12955"/>
      <w:bookmarkStart w:id="1788" w:name="_Toc25372"/>
      <w:bookmarkStart w:id="1789" w:name="_Toc11055"/>
      <w:bookmarkStart w:id="1790" w:name="_Toc31364"/>
      <w:bookmarkStart w:id="1791" w:name="_Toc10774"/>
      <w:bookmarkStart w:id="1792" w:name="_Toc20592"/>
      <w:bookmarkStart w:id="1793" w:name="_Toc5554"/>
      <w:bookmarkStart w:id="1794" w:name="_Toc27931"/>
      <w:bookmarkStart w:id="1795" w:name="_Toc31171"/>
      <w:bookmarkStart w:id="1796" w:name="_Toc22728"/>
      <w:bookmarkStart w:id="1797" w:name="_Toc6007"/>
      <w:bookmarkStart w:id="1798" w:name="_Toc13396"/>
      <w:bookmarkStart w:id="1799" w:name="_Toc7053"/>
      <w:bookmarkStart w:id="1800" w:name="_Toc30903"/>
      <w:bookmarkStart w:id="1801" w:name="_Toc24087"/>
      <w:bookmarkStart w:id="1802" w:name="_Toc32267"/>
      <w:bookmarkStart w:id="1803" w:name="_Toc7295"/>
      <w:bookmarkStart w:id="1804" w:name="_Toc29881"/>
      <w:bookmarkStart w:id="1805" w:name="_Toc1464"/>
      <w:bookmarkStart w:id="1806" w:name="_Toc27872"/>
      <w:bookmarkStart w:id="1807" w:name="_Toc8022"/>
      <w:bookmarkStart w:id="1808" w:name="_Toc249"/>
      <w:bookmarkStart w:id="1809" w:name="_Toc9734"/>
      <w:bookmarkStart w:id="1810" w:name="_Toc11156"/>
      <w:bookmarkStart w:id="1811" w:name="_Toc3580"/>
      <w:bookmarkStart w:id="1812" w:name="_Toc686"/>
      <w:bookmarkStart w:id="1813" w:name="_Toc15504"/>
      <w:bookmarkStart w:id="1814" w:name="_Toc4947"/>
      <w:bookmarkStart w:id="1815" w:name="_Toc1948"/>
      <w:bookmarkStart w:id="1816" w:name="_Toc23118"/>
      <w:bookmarkStart w:id="1817" w:name="_Toc18044"/>
      <w:bookmarkStart w:id="1818" w:name="_Toc19333"/>
      <w:bookmarkStart w:id="1819" w:name="_Toc24635"/>
      <w:bookmarkStart w:id="1820" w:name="_Toc17337"/>
      <w:r>
        <w:rPr>
          <w:rFonts w:hint="eastAsia" w:ascii="宋体" w:hAnsi="宋体" w:eastAsia="宋体" w:cs="宋体"/>
          <w:color w:val="auto"/>
          <w:sz w:val="24"/>
          <w:szCs w:val="24"/>
          <w:lang w:val="en-US" w:eastAsia="zh-CN"/>
        </w:rPr>
        <w:t>3、</w:t>
      </w:r>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p>
    <w:p w14:paraId="53C44BA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lang w:val="en-US" w:eastAsia="zh-CN"/>
        </w:rPr>
      </w:pPr>
      <w:r>
        <w:rPr>
          <w:rFonts w:hint="eastAsia" w:ascii="宋体" w:hAnsi="宋体" w:eastAsia="宋体" w:cs="宋体"/>
          <w:color w:val="auto"/>
          <w:sz w:val="24"/>
          <w:szCs w:val="24"/>
          <w:lang w:val="en-US" w:eastAsia="zh-CN"/>
        </w:rPr>
        <w:t>…</w:t>
      </w:r>
    </w:p>
    <w:p w14:paraId="75D3E60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本公司为参加（</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rPr>
        <w:t>项目编号</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highlight w:val="none"/>
          <w:u w:val="single"/>
          <w:lang w:val="en-US" w:eastAsia="zh-CN"/>
        </w:rPr>
        <w:t xml:space="preserve"> 公开招标 </w:t>
      </w:r>
      <w:r>
        <w:rPr>
          <w:rFonts w:hint="eastAsia" w:ascii="宋体" w:hAnsi="宋体" w:eastAsia="宋体" w:cs="宋体"/>
          <w:color w:val="auto"/>
          <w:sz w:val="24"/>
          <w:highlight w:val="none"/>
          <w:lang w:val="en-US" w:eastAsia="zh-CN"/>
        </w:rPr>
        <w:t>采购活动</w:t>
      </w:r>
      <w:r>
        <w:rPr>
          <w:rFonts w:hint="eastAsia" w:ascii="宋体" w:hAnsi="宋体" w:eastAsia="宋体" w:cs="宋体"/>
          <w:color w:val="auto"/>
          <w:sz w:val="24"/>
          <w:szCs w:val="24"/>
        </w:rPr>
        <w:t>提供本企业提供服务。</w:t>
      </w:r>
    </w:p>
    <w:p w14:paraId="797ECD0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本公司对上述声明的真实性负责。如有虚假，将依法承担相应责任。</w:t>
      </w:r>
    </w:p>
    <w:p w14:paraId="24196A2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p>
    <w:p w14:paraId="636D5F1A">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6394F883">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34B6F6E8">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1F2F5D3A">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317B1499">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662CFAB6">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7F9B14C9">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48983629">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39C169AC">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lang w:val="en-US" w:eastAsia="zh-CN"/>
        </w:rPr>
      </w:pPr>
    </w:p>
    <w:p w14:paraId="6FC4C2C2">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70AE2EB4">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4E2D7CFA">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6CD915DC">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74DFDA1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宋体" w:hAnsi="宋体" w:eastAsia="宋体" w:cs="宋体"/>
          <w:color w:val="auto"/>
          <w:sz w:val="24"/>
          <w:szCs w:val="24"/>
          <w:lang w:val="en-US" w:eastAsia="zh-CN"/>
        </w:rPr>
      </w:pPr>
      <w:bookmarkStart w:id="1821" w:name="_Toc3444"/>
      <w:bookmarkStart w:id="1822" w:name="_Toc27772"/>
      <w:bookmarkStart w:id="1823" w:name="_Toc29094"/>
      <w:bookmarkStart w:id="1824" w:name="_Toc13262"/>
      <w:bookmarkStart w:id="1825" w:name="_Toc13699"/>
      <w:bookmarkStart w:id="1826" w:name="_Toc17540"/>
      <w:bookmarkStart w:id="1827" w:name="_Toc32349"/>
      <w:bookmarkStart w:id="1828" w:name="_Toc25161"/>
      <w:bookmarkStart w:id="1829" w:name="_Toc3864"/>
      <w:bookmarkStart w:id="1830" w:name="_Toc29567"/>
      <w:bookmarkStart w:id="1831" w:name="_Toc30945"/>
      <w:bookmarkStart w:id="1832" w:name="_Toc31757"/>
      <w:bookmarkStart w:id="1833" w:name="_Toc25944"/>
      <w:bookmarkStart w:id="1834" w:name="_Toc14387"/>
      <w:bookmarkStart w:id="1835" w:name="_Toc15689"/>
      <w:bookmarkStart w:id="1836" w:name="_Toc18210"/>
      <w:bookmarkStart w:id="1837" w:name="_Toc23531"/>
      <w:bookmarkStart w:id="1838" w:name="_Toc28772"/>
      <w:bookmarkStart w:id="1839" w:name="_Toc32185"/>
      <w:bookmarkStart w:id="1840" w:name="_Toc19474"/>
      <w:bookmarkStart w:id="1841" w:name="_Toc7623"/>
      <w:bookmarkStart w:id="1842" w:name="_Toc1622"/>
      <w:bookmarkStart w:id="1843" w:name="_Toc4834"/>
      <w:bookmarkStart w:id="1844" w:name="_Toc22484"/>
      <w:bookmarkStart w:id="1845" w:name="_Toc16202"/>
      <w:bookmarkStart w:id="1846" w:name="_Toc20546"/>
      <w:bookmarkStart w:id="1847" w:name="_Toc25524"/>
      <w:bookmarkStart w:id="1848" w:name="_Toc32504"/>
      <w:bookmarkStart w:id="1849" w:name="_Toc13225"/>
      <w:bookmarkStart w:id="1850" w:name="_Toc26600"/>
      <w:bookmarkStart w:id="1851" w:name="_Toc25033"/>
      <w:bookmarkStart w:id="1852" w:name="_Toc24558"/>
      <w:bookmarkStart w:id="1853" w:name="_Toc28320"/>
      <w:bookmarkStart w:id="1854" w:name="_Toc3669"/>
    </w:p>
    <w:p w14:paraId="5A944341">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宋体" w:hAnsi="宋体" w:eastAsia="宋体" w:cs="宋体"/>
          <w:color w:val="auto"/>
          <w:sz w:val="24"/>
          <w:szCs w:val="24"/>
          <w:lang w:val="en-US" w:eastAsia="zh-CN"/>
        </w:rPr>
      </w:pPr>
    </w:p>
    <w:p w14:paraId="29E0897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宋体" w:hAnsi="宋体" w:eastAsia="宋体" w:cs="宋体"/>
          <w:color w:val="auto"/>
          <w:sz w:val="24"/>
          <w:szCs w:val="24"/>
          <w:lang w:val="en-US" w:eastAsia="zh-CN"/>
        </w:rPr>
      </w:pPr>
    </w:p>
    <w:p w14:paraId="21C1A85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宋体" w:hAnsi="宋体" w:eastAsia="宋体" w:cs="宋体"/>
          <w:color w:val="auto"/>
          <w:sz w:val="24"/>
          <w:szCs w:val="24"/>
          <w:lang w:val="en-US" w:eastAsia="zh-CN"/>
        </w:rPr>
      </w:pPr>
    </w:p>
    <w:p w14:paraId="76AB67D3">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宋体" w:hAnsi="宋体" w:eastAsia="宋体" w:cs="宋体"/>
          <w:color w:val="auto"/>
          <w:sz w:val="24"/>
          <w:szCs w:val="24"/>
          <w:u w:val="none"/>
          <w:lang w:val="en-US" w:eastAsia="zh-CN"/>
        </w:rPr>
      </w:pP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lang w:val="en-US" w:eastAsia="zh-CN"/>
        </w:rPr>
        <w:t>盖章</w:t>
      </w:r>
      <w:r>
        <w:rPr>
          <w:rFonts w:hint="eastAsia" w:ascii="宋体" w:hAnsi="宋体" w:eastAsia="宋体" w:cs="宋体"/>
          <w:color w:val="auto"/>
          <w:sz w:val="24"/>
          <w:szCs w:val="24"/>
          <w:u w:val="none"/>
          <w:lang w:val="en-US" w:eastAsia="zh-CN"/>
        </w:rPr>
        <w:t>）</w:t>
      </w:r>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p>
    <w:p w14:paraId="69C5B91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6D3DF91A">
      <w:pPr>
        <w:pStyle w:val="28"/>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color w:val="auto"/>
          <w:lang w:val="zh-CN"/>
        </w:rPr>
        <w:sectPr>
          <w:pgSz w:w="11906" w:h="16838"/>
          <w:pgMar w:top="1134" w:right="1134" w:bottom="1134" w:left="1134" w:header="720" w:footer="720" w:gutter="0"/>
          <w:pgBorders>
            <w:top w:val="none" w:sz="0" w:space="0"/>
            <w:left w:val="none" w:sz="0" w:space="0"/>
            <w:bottom w:val="none" w:sz="0" w:space="0"/>
            <w:right w:val="none" w:sz="0" w:space="0"/>
          </w:pgBorders>
          <w:pgNumType w:fmt="decimal"/>
          <w:cols w:space="720" w:num="1"/>
          <w:rtlGutter w:val="0"/>
        </w:sectPr>
      </w:pPr>
      <w:r>
        <w:rPr>
          <w:rFonts w:hint="eastAsia" w:ascii="宋体" w:hAnsi="宋体" w:eastAsia="宋体" w:cs="宋体"/>
          <w:color w:val="auto"/>
          <w:sz w:val="24"/>
          <w:szCs w:val="24"/>
          <w:lang w:val="en-US"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2E80D706">
      <w:pPr>
        <w:keepNext w:val="0"/>
        <w:keepLines w:val="0"/>
        <w:pageBreakBefore w:val="0"/>
        <w:widowControl w:val="0"/>
        <w:numPr>
          <w:ilvl w:val="0"/>
          <w:numId w:val="0"/>
        </w:numPr>
        <w:kinsoku/>
        <w:wordWrap w:val="0"/>
        <w:overflowPunct/>
        <w:topLinePunct/>
        <w:autoSpaceDE/>
        <w:autoSpaceDN/>
        <w:bidi w:val="0"/>
        <w:adjustRightInd/>
        <w:snapToGrid/>
        <w:ind w:left="0" w:leftChars="0" w:right="0" w:rightChars="0"/>
        <w:jc w:val="center"/>
        <w:outlineLvl w:val="2"/>
        <w:rPr>
          <w:rFonts w:hint="eastAsia" w:ascii="宋体" w:hAnsi="宋体" w:eastAsia="宋体" w:cs="宋体"/>
          <w:b/>
          <w:bCs/>
          <w:color w:val="auto"/>
          <w:sz w:val="24"/>
          <w:szCs w:val="24"/>
          <w:lang w:val="en-US" w:eastAsia="zh-CN"/>
        </w:rPr>
      </w:pPr>
      <w:bookmarkStart w:id="1855" w:name="_Toc17838"/>
      <w:bookmarkStart w:id="1856" w:name="_Toc5332"/>
      <w:bookmarkStart w:id="1857" w:name="_Toc13019"/>
      <w:bookmarkStart w:id="1858" w:name="_Toc15638"/>
      <w:bookmarkStart w:id="1859" w:name="_Toc12538"/>
      <w:bookmarkStart w:id="1860" w:name="_Toc5221"/>
      <w:bookmarkStart w:id="1861" w:name="_Toc7083"/>
      <w:bookmarkStart w:id="1862" w:name="_Toc31359"/>
      <w:bookmarkStart w:id="1863" w:name="_Toc25190"/>
      <w:r>
        <w:rPr>
          <w:rFonts w:hint="eastAsia" w:ascii="宋体" w:hAnsi="宋体" w:cs="宋体"/>
          <w:b/>
          <w:bCs/>
          <w:color w:val="auto"/>
          <w:sz w:val="28"/>
          <w:szCs w:val="28"/>
          <w:lang w:val="en-US" w:eastAsia="zh-CN"/>
        </w:rPr>
        <w:t>三</w:t>
      </w:r>
      <w:r>
        <w:rPr>
          <w:rFonts w:hint="eastAsia" w:ascii="宋体" w:hAnsi="宋体" w:eastAsia="宋体" w:cs="宋体"/>
          <w:b/>
          <w:bCs/>
          <w:color w:val="auto"/>
          <w:sz w:val="28"/>
          <w:szCs w:val="28"/>
          <w:lang w:val="en-US" w:eastAsia="zh-CN"/>
        </w:rPr>
        <w:t>、</w:t>
      </w:r>
      <w:bookmarkStart w:id="1864" w:name="_Toc19607"/>
      <w:r>
        <w:rPr>
          <w:rFonts w:hint="eastAsia" w:ascii="宋体" w:hAnsi="宋体" w:eastAsia="宋体" w:cs="宋体"/>
          <w:b/>
          <w:bCs/>
          <w:color w:val="auto"/>
          <w:sz w:val="28"/>
          <w:szCs w:val="28"/>
          <w:lang w:val="en-US" w:eastAsia="zh-CN"/>
        </w:rPr>
        <w:t>环保标志产品、节能产品</w:t>
      </w:r>
      <w:bookmarkEnd w:id="1855"/>
      <w:bookmarkEnd w:id="1856"/>
      <w:bookmarkEnd w:id="1857"/>
      <w:bookmarkEnd w:id="1858"/>
      <w:bookmarkEnd w:id="1859"/>
      <w:bookmarkEnd w:id="1860"/>
      <w:bookmarkEnd w:id="1861"/>
      <w:bookmarkEnd w:id="1862"/>
      <w:bookmarkEnd w:id="1863"/>
      <w:bookmarkEnd w:id="1864"/>
      <w:r>
        <w:rPr>
          <w:rFonts w:hint="eastAsia" w:ascii="宋体" w:hAnsi="宋体" w:cs="宋体"/>
          <w:b/>
          <w:bCs/>
          <w:color w:val="auto"/>
          <w:sz w:val="28"/>
          <w:szCs w:val="28"/>
          <w:lang w:val="en-US" w:eastAsia="zh-CN"/>
        </w:rPr>
        <w:t>（若有）</w:t>
      </w:r>
    </w:p>
    <w:p w14:paraId="43139F46">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480" w:firstLineChars="20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按照政府采购有关政策的要求，在本次投标的货物中，采用符合政策的环保标志产品、节能产品介绍说明如下：</w:t>
      </w:r>
    </w:p>
    <w:tbl>
      <w:tblPr>
        <w:tblStyle w:val="68"/>
        <w:tblW w:w="10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0"/>
        <w:gridCol w:w="2004"/>
        <w:gridCol w:w="1800"/>
        <w:gridCol w:w="1176"/>
        <w:gridCol w:w="2042"/>
        <w:gridCol w:w="1398"/>
      </w:tblGrid>
      <w:tr w14:paraId="5270A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1750" w:type="dxa"/>
            <w:noWrap w:val="0"/>
            <w:vAlign w:val="center"/>
          </w:tcPr>
          <w:p w14:paraId="587FDC61">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类别</w:t>
            </w:r>
          </w:p>
        </w:tc>
        <w:tc>
          <w:tcPr>
            <w:tcW w:w="2004" w:type="dxa"/>
            <w:noWrap w:val="0"/>
            <w:vAlign w:val="center"/>
          </w:tcPr>
          <w:p w14:paraId="10ABEFD6">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主要产品/技术名称（规格型号、注册商标）</w:t>
            </w:r>
          </w:p>
        </w:tc>
        <w:tc>
          <w:tcPr>
            <w:tcW w:w="1800" w:type="dxa"/>
            <w:noWrap w:val="0"/>
            <w:vAlign w:val="center"/>
          </w:tcPr>
          <w:p w14:paraId="6EC544F5">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制造商/开发商</w:t>
            </w:r>
          </w:p>
        </w:tc>
        <w:tc>
          <w:tcPr>
            <w:tcW w:w="1176" w:type="dxa"/>
            <w:noWrap w:val="0"/>
            <w:vAlign w:val="center"/>
          </w:tcPr>
          <w:p w14:paraId="7EC7576C">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认证证书编号</w:t>
            </w:r>
          </w:p>
        </w:tc>
        <w:tc>
          <w:tcPr>
            <w:tcW w:w="2042" w:type="dxa"/>
            <w:noWrap w:val="0"/>
            <w:vAlign w:val="center"/>
          </w:tcPr>
          <w:p w14:paraId="4ED44C78">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环保标志产品、节能</w:t>
            </w:r>
            <w:r>
              <w:rPr>
                <w:rFonts w:hint="eastAsia" w:ascii="宋体" w:hAnsi="宋体" w:eastAsia="宋体" w:cs="宋体"/>
                <w:color w:val="auto"/>
                <w:sz w:val="24"/>
                <w:szCs w:val="24"/>
                <w:vertAlign w:val="baseline"/>
                <w:lang w:val="en-US" w:eastAsia="zh-CN"/>
              </w:rPr>
              <w:t>产品金额小计</w:t>
            </w:r>
          </w:p>
        </w:tc>
        <w:tc>
          <w:tcPr>
            <w:tcW w:w="1398" w:type="dxa"/>
            <w:noWrap w:val="0"/>
            <w:vAlign w:val="center"/>
          </w:tcPr>
          <w:p w14:paraId="211228A6">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lang w:val="en-US" w:eastAsia="zh-CN"/>
              </w:rPr>
            </w:pPr>
            <w:r>
              <w:rPr>
                <w:rFonts w:hint="eastAsia" w:ascii="宋体" w:hAnsi="宋体" w:eastAsia="宋体" w:cs="宋体"/>
                <w:color w:val="auto"/>
                <w:sz w:val="24"/>
                <w:szCs w:val="24"/>
                <w:lang w:val="en-US" w:eastAsia="zh-CN"/>
              </w:rPr>
              <w:t>备注</w:t>
            </w:r>
            <w:r>
              <w:rPr>
                <w:rFonts w:hint="eastAsia" w:ascii="宋体" w:hAnsi="宋体" w:eastAsia="宋体" w:cs="宋体"/>
                <w:color w:val="auto"/>
                <w:sz w:val="24"/>
                <w:szCs w:val="24"/>
                <w:vertAlign w:val="baseline"/>
                <w:lang w:val="en-US" w:eastAsia="zh-CN"/>
              </w:rPr>
              <w:t>（证书页码）</w:t>
            </w:r>
          </w:p>
        </w:tc>
      </w:tr>
      <w:tr w14:paraId="03CF3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50" w:type="dxa"/>
            <w:vMerge w:val="restart"/>
            <w:noWrap w:val="0"/>
            <w:vAlign w:val="center"/>
          </w:tcPr>
          <w:p w14:paraId="0C100B69">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环保标志产品</w:t>
            </w:r>
          </w:p>
        </w:tc>
        <w:tc>
          <w:tcPr>
            <w:tcW w:w="2004" w:type="dxa"/>
            <w:noWrap w:val="0"/>
            <w:vAlign w:val="center"/>
          </w:tcPr>
          <w:p w14:paraId="7F32CFA1">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w:t>
            </w:r>
          </w:p>
        </w:tc>
        <w:tc>
          <w:tcPr>
            <w:tcW w:w="1800" w:type="dxa"/>
            <w:noWrap w:val="0"/>
            <w:vAlign w:val="center"/>
          </w:tcPr>
          <w:p w14:paraId="2C1EB87D">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176" w:type="dxa"/>
            <w:noWrap w:val="0"/>
            <w:vAlign w:val="center"/>
          </w:tcPr>
          <w:p w14:paraId="7235D0A0">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42" w:type="dxa"/>
            <w:noWrap w:val="0"/>
            <w:vAlign w:val="center"/>
          </w:tcPr>
          <w:p w14:paraId="5A985A17">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398" w:type="dxa"/>
            <w:noWrap w:val="0"/>
            <w:vAlign w:val="center"/>
          </w:tcPr>
          <w:p w14:paraId="17769FF0">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r>
      <w:tr w14:paraId="1D985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50" w:type="dxa"/>
            <w:vMerge w:val="continue"/>
            <w:noWrap w:val="0"/>
            <w:vAlign w:val="center"/>
          </w:tcPr>
          <w:p w14:paraId="7F557658">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04" w:type="dxa"/>
            <w:noWrap w:val="0"/>
            <w:vAlign w:val="center"/>
          </w:tcPr>
          <w:p w14:paraId="5D0B4C0E">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w:t>
            </w:r>
          </w:p>
        </w:tc>
        <w:tc>
          <w:tcPr>
            <w:tcW w:w="1800" w:type="dxa"/>
            <w:noWrap w:val="0"/>
            <w:vAlign w:val="center"/>
          </w:tcPr>
          <w:p w14:paraId="6719A466">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176" w:type="dxa"/>
            <w:noWrap w:val="0"/>
            <w:vAlign w:val="center"/>
          </w:tcPr>
          <w:p w14:paraId="78D3AB44">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42" w:type="dxa"/>
            <w:noWrap w:val="0"/>
            <w:vAlign w:val="center"/>
          </w:tcPr>
          <w:p w14:paraId="2B6A786E">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398" w:type="dxa"/>
            <w:noWrap w:val="0"/>
            <w:vAlign w:val="center"/>
          </w:tcPr>
          <w:p w14:paraId="7E54931B">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r>
      <w:tr w14:paraId="16C8E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noWrap w:val="0"/>
            <w:vAlign w:val="center"/>
          </w:tcPr>
          <w:p w14:paraId="5DDDA62D">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04" w:type="dxa"/>
            <w:noWrap w:val="0"/>
            <w:vAlign w:val="center"/>
          </w:tcPr>
          <w:p w14:paraId="78CEAEAD">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w:t>
            </w:r>
          </w:p>
        </w:tc>
        <w:tc>
          <w:tcPr>
            <w:tcW w:w="1800" w:type="dxa"/>
            <w:noWrap w:val="0"/>
            <w:vAlign w:val="center"/>
          </w:tcPr>
          <w:p w14:paraId="0420DC54">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176" w:type="dxa"/>
            <w:noWrap w:val="0"/>
            <w:vAlign w:val="center"/>
          </w:tcPr>
          <w:p w14:paraId="7A662C1E">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42" w:type="dxa"/>
            <w:noWrap w:val="0"/>
            <w:vAlign w:val="center"/>
          </w:tcPr>
          <w:p w14:paraId="03F6015F">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398" w:type="dxa"/>
            <w:noWrap w:val="0"/>
            <w:vAlign w:val="center"/>
          </w:tcPr>
          <w:p w14:paraId="68E02ED5">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r>
      <w:tr w14:paraId="1CBE9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noWrap w:val="0"/>
            <w:vAlign w:val="center"/>
          </w:tcPr>
          <w:p w14:paraId="31EE8B2D">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04" w:type="dxa"/>
            <w:noWrap w:val="0"/>
            <w:vAlign w:val="center"/>
          </w:tcPr>
          <w:p w14:paraId="4587EFDD">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w:t>
            </w:r>
          </w:p>
        </w:tc>
        <w:tc>
          <w:tcPr>
            <w:tcW w:w="1800" w:type="dxa"/>
            <w:noWrap w:val="0"/>
            <w:vAlign w:val="center"/>
          </w:tcPr>
          <w:p w14:paraId="6239E8F9">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176" w:type="dxa"/>
            <w:noWrap w:val="0"/>
            <w:vAlign w:val="center"/>
          </w:tcPr>
          <w:p w14:paraId="3293BEE0">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42" w:type="dxa"/>
            <w:noWrap w:val="0"/>
            <w:vAlign w:val="center"/>
          </w:tcPr>
          <w:p w14:paraId="0A4F3135">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398" w:type="dxa"/>
            <w:noWrap w:val="0"/>
            <w:vAlign w:val="center"/>
          </w:tcPr>
          <w:p w14:paraId="6584B38E">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r>
      <w:tr w14:paraId="1B08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3754" w:type="dxa"/>
            <w:gridSpan w:val="2"/>
            <w:noWrap w:val="0"/>
            <w:vAlign w:val="center"/>
          </w:tcPr>
          <w:p w14:paraId="304B7514">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both"/>
              <w:rPr>
                <w:rFonts w:hint="eastAsia" w:ascii="宋体" w:hAnsi="宋体" w:eastAsia="宋体" w:cs="宋体"/>
                <w:color w:val="auto"/>
                <w:kern w:val="2"/>
                <w:sz w:val="24"/>
                <w:szCs w:val="24"/>
                <w:u w:val="single"/>
                <w:vertAlign w:val="baseline"/>
                <w:lang w:val="en-US" w:eastAsia="zh-CN" w:bidi="ar-SA"/>
              </w:rPr>
            </w:pPr>
            <w:r>
              <w:rPr>
                <w:rFonts w:hint="eastAsia" w:ascii="宋体" w:hAnsi="宋体" w:eastAsia="宋体" w:cs="宋体"/>
                <w:color w:val="auto"/>
                <w:kern w:val="2"/>
                <w:sz w:val="24"/>
                <w:szCs w:val="24"/>
                <w:vertAlign w:val="baseline"/>
                <w:lang w:val="en-US" w:eastAsia="zh-CN" w:bidi="ar-SA"/>
              </w:rPr>
              <w:t>金额：</w:t>
            </w:r>
            <w:r>
              <w:rPr>
                <w:rFonts w:hint="eastAsia" w:ascii="宋体" w:hAnsi="宋体" w:eastAsia="宋体" w:cs="宋体"/>
                <w:color w:val="auto"/>
                <w:kern w:val="2"/>
                <w:sz w:val="24"/>
                <w:szCs w:val="24"/>
                <w:u w:val="single"/>
                <w:vertAlign w:val="baseline"/>
                <w:lang w:val="en-US" w:eastAsia="zh-CN" w:bidi="ar-SA"/>
              </w:rPr>
              <w:t xml:space="preserve">                </w:t>
            </w:r>
          </w:p>
        </w:tc>
        <w:tc>
          <w:tcPr>
            <w:tcW w:w="6416" w:type="dxa"/>
            <w:gridSpan w:val="4"/>
            <w:noWrap w:val="0"/>
            <w:vAlign w:val="center"/>
          </w:tcPr>
          <w:p w14:paraId="08194618">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宋体" w:hAnsi="宋体" w:eastAsia="宋体" w:cs="宋体"/>
                <w:color w:val="auto"/>
                <w:kern w:val="2"/>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使用价值量占总金额比重（累计</w:t>
            </w:r>
            <w:r>
              <w:rPr>
                <w:rFonts w:hint="eastAsia" w:ascii="宋体" w:hAnsi="宋体" w:eastAsia="宋体" w:cs="宋体"/>
                <w:color w:val="auto"/>
                <w:sz w:val="24"/>
                <w:szCs w:val="24"/>
                <w:u w:val="single"/>
                <w:vertAlign w:val="baseline"/>
                <w:lang w:val="en-US" w:eastAsia="zh-CN"/>
              </w:rPr>
              <w:t xml:space="preserve">    </w:t>
            </w:r>
            <w:r>
              <w:rPr>
                <w:rFonts w:hint="eastAsia" w:ascii="宋体" w:hAnsi="宋体" w:eastAsia="宋体" w:cs="宋体"/>
                <w:color w:val="auto"/>
                <w:sz w:val="24"/>
                <w:szCs w:val="24"/>
                <w:u w:val="none"/>
                <w:vertAlign w:val="baseline"/>
                <w:lang w:val="en-US" w:eastAsia="zh-CN"/>
              </w:rPr>
              <w:t>%</w:t>
            </w:r>
            <w:r>
              <w:rPr>
                <w:rFonts w:hint="eastAsia" w:ascii="宋体" w:hAnsi="宋体" w:eastAsia="宋体" w:cs="宋体"/>
                <w:color w:val="auto"/>
                <w:sz w:val="24"/>
                <w:szCs w:val="24"/>
                <w:vertAlign w:val="baseline"/>
                <w:lang w:val="en-US" w:eastAsia="zh-CN"/>
              </w:rPr>
              <w:t>）</w:t>
            </w:r>
          </w:p>
        </w:tc>
      </w:tr>
      <w:tr w14:paraId="01EBC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restart"/>
            <w:noWrap w:val="0"/>
            <w:vAlign w:val="center"/>
          </w:tcPr>
          <w:p w14:paraId="4D53757D">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节能产品</w:t>
            </w:r>
          </w:p>
        </w:tc>
        <w:tc>
          <w:tcPr>
            <w:tcW w:w="2004" w:type="dxa"/>
            <w:noWrap w:val="0"/>
            <w:vAlign w:val="center"/>
          </w:tcPr>
          <w:p w14:paraId="7731E22A">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宋体" w:hAnsi="宋体" w:eastAsia="宋体" w:cs="宋体"/>
                <w:color w:val="auto"/>
                <w:sz w:val="24"/>
                <w:szCs w:val="24"/>
                <w:vertAlign w:val="baseline"/>
                <w:lang w:val="en-US" w:eastAsia="zh-CN" w:bidi="zh-CN"/>
              </w:rPr>
            </w:pPr>
            <w:r>
              <w:rPr>
                <w:rFonts w:hint="eastAsia" w:ascii="宋体" w:hAnsi="宋体" w:eastAsia="宋体" w:cs="宋体"/>
                <w:color w:val="auto"/>
                <w:sz w:val="24"/>
                <w:szCs w:val="24"/>
                <w:vertAlign w:val="baseline"/>
                <w:lang w:val="en-US" w:eastAsia="zh-CN"/>
              </w:rPr>
              <w:t>1</w:t>
            </w:r>
          </w:p>
        </w:tc>
        <w:tc>
          <w:tcPr>
            <w:tcW w:w="1800" w:type="dxa"/>
            <w:noWrap w:val="0"/>
            <w:vAlign w:val="center"/>
          </w:tcPr>
          <w:p w14:paraId="6AFF67D7">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176" w:type="dxa"/>
            <w:noWrap w:val="0"/>
            <w:vAlign w:val="center"/>
          </w:tcPr>
          <w:p w14:paraId="74A8B3EE">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42" w:type="dxa"/>
            <w:noWrap w:val="0"/>
            <w:vAlign w:val="center"/>
          </w:tcPr>
          <w:p w14:paraId="14240D1F">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398" w:type="dxa"/>
            <w:noWrap w:val="0"/>
            <w:vAlign w:val="center"/>
          </w:tcPr>
          <w:p w14:paraId="09BFA560">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r>
      <w:tr w14:paraId="4FDD3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noWrap w:val="0"/>
            <w:vAlign w:val="center"/>
          </w:tcPr>
          <w:p w14:paraId="3D82822B">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04" w:type="dxa"/>
            <w:noWrap w:val="0"/>
            <w:vAlign w:val="center"/>
          </w:tcPr>
          <w:p w14:paraId="636DF96B">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宋体" w:hAnsi="宋体" w:eastAsia="宋体" w:cs="宋体"/>
                <w:color w:val="auto"/>
                <w:sz w:val="24"/>
                <w:szCs w:val="24"/>
                <w:vertAlign w:val="baseline"/>
                <w:lang w:val="en-US" w:eastAsia="zh-CN" w:bidi="zh-CN"/>
              </w:rPr>
            </w:pPr>
            <w:r>
              <w:rPr>
                <w:rFonts w:hint="eastAsia" w:ascii="宋体" w:hAnsi="宋体" w:eastAsia="宋体" w:cs="宋体"/>
                <w:color w:val="auto"/>
                <w:sz w:val="24"/>
                <w:szCs w:val="24"/>
                <w:vertAlign w:val="baseline"/>
                <w:lang w:val="en-US" w:eastAsia="zh-CN"/>
              </w:rPr>
              <w:t>2</w:t>
            </w:r>
          </w:p>
        </w:tc>
        <w:tc>
          <w:tcPr>
            <w:tcW w:w="1800" w:type="dxa"/>
            <w:noWrap w:val="0"/>
            <w:vAlign w:val="center"/>
          </w:tcPr>
          <w:p w14:paraId="0C29CB11">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176" w:type="dxa"/>
            <w:noWrap w:val="0"/>
            <w:vAlign w:val="center"/>
          </w:tcPr>
          <w:p w14:paraId="0641687F">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42" w:type="dxa"/>
            <w:noWrap w:val="0"/>
            <w:vAlign w:val="center"/>
          </w:tcPr>
          <w:p w14:paraId="6D84B5E1">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398" w:type="dxa"/>
            <w:noWrap w:val="0"/>
            <w:vAlign w:val="center"/>
          </w:tcPr>
          <w:p w14:paraId="5ADC8B21">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r>
      <w:tr w14:paraId="3090C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noWrap w:val="0"/>
            <w:vAlign w:val="center"/>
          </w:tcPr>
          <w:p w14:paraId="70DBDF1F">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04" w:type="dxa"/>
            <w:noWrap w:val="0"/>
            <w:vAlign w:val="center"/>
          </w:tcPr>
          <w:p w14:paraId="6BDBBC9F">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宋体" w:hAnsi="宋体" w:eastAsia="宋体" w:cs="宋体"/>
                <w:color w:val="auto"/>
                <w:sz w:val="24"/>
                <w:szCs w:val="24"/>
                <w:vertAlign w:val="baseline"/>
                <w:lang w:val="en-US" w:eastAsia="zh-CN" w:bidi="zh-CN"/>
              </w:rPr>
            </w:pPr>
            <w:r>
              <w:rPr>
                <w:rFonts w:hint="eastAsia" w:ascii="宋体" w:hAnsi="宋体" w:eastAsia="宋体" w:cs="宋体"/>
                <w:color w:val="auto"/>
                <w:sz w:val="24"/>
                <w:szCs w:val="24"/>
                <w:vertAlign w:val="baseline"/>
                <w:lang w:val="en-US" w:eastAsia="zh-CN"/>
              </w:rPr>
              <w:t>3</w:t>
            </w:r>
          </w:p>
        </w:tc>
        <w:tc>
          <w:tcPr>
            <w:tcW w:w="1800" w:type="dxa"/>
            <w:noWrap w:val="0"/>
            <w:vAlign w:val="center"/>
          </w:tcPr>
          <w:p w14:paraId="64937D52">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176" w:type="dxa"/>
            <w:noWrap w:val="0"/>
            <w:vAlign w:val="center"/>
          </w:tcPr>
          <w:p w14:paraId="2D823374">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42" w:type="dxa"/>
            <w:noWrap w:val="0"/>
            <w:vAlign w:val="center"/>
          </w:tcPr>
          <w:p w14:paraId="130C2219">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398" w:type="dxa"/>
            <w:noWrap w:val="0"/>
            <w:vAlign w:val="center"/>
          </w:tcPr>
          <w:p w14:paraId="50E97649">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r>
      <w:tr w14:paraId="4CAA3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noWrap w:val="0"/>
            <w:vAlign w:val="center"/>
          </w:tcPr>
          <w:p w14:paraId="7B5D3380">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04" w:type="dxa"/>
            <w:noWrap w:val="0"/>
            <w:vAlign w:val="center"/>
          </w:tcPr>
          <w:p w14:paraId="1EBBA477">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宋体" w:hAnsi="宋体" w:eastAsia="宋体" w:cs="宋体"/>
                <w:color w:val="auto"/>
                <w:sz w:val="24"/>
                <w:szCs w:val="24"/>
                <w:vertAlign w:val="baseline"/>
                <w:lang w:val="en-US" w:eastAsia="zh-CN" w:bidi="zh-CN"/>
              </w:rPr>
            </w:pPr>
            <w:r>
              <w:rPr>
                <w:rFonts w:hint="eastAsia" w:ascii="宋体" w:hAnsi="宋体" w:eastAsia="宋体" w:cs="宋体"/>
                <w:color w:val="auto"/>
                <w:sz w:val="24"/>
                <w:szCs w:val="24"/>
                <w:vertAlign w:val="baseline"/>
                <w:lang w:val="en-US" w:eastAsia="zh-CN"/>
              </w:rPr>
              <w:t>…</w:t>
            </w:r>
          </w:p>
        </w:tc>
        <w:tc>
          <w:tcPr>
            <w:tcW w:w="1800" w:type="dxa"/>
            <w:noWrap w:val="0"/>
            <w:vAlign w:val="center"/>
          </w:tcPr>
          <w:p w14:paraId="2345AA99">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176" w:type="dxa"/>
            <w:noWrap w:val="0"/>
            <w:vAlign w:val="center"/>
          </w:tcPr>
          <w:p w14:paraId="5D3AA13B">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2042" w:type="dxa"/>
            <w:noWrap w:val="0"/>
            <w:vAlign w:val="center"/>
          </w:tcPr>
          <w:p w14:paraId="1424275B">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c>
          <w:tcPr>
            <w:tcW w:w="1398" w:type="dxa"/>
            <w:noWrap w:val="0"/>
            <w:vAlign w:val="center"/>
          </w:tcPr>
          <w:p w14:paraId="3EDB1F36">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vertAlign w:val="baseline"/>
                <w:lang w:val="en-US" w:eastAsia="zh-CN"/>
              </w:rPr>
            </w:pPr>
          </w:p>
        </w:tc>
      </w:tr>
      <w:tr w14:paraId="7F2E5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754" w:type="dxa"/>
            <w:gridSpan w:val="2"/>
            <w:noWrap w:val="0"/>
            <w:vAlign w:val="center"/>
          </w:tcPr>
          <w:p w14:paraId="62D593B1">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both"/>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kern w:val="2"/>
                <w:sz w:val="24"/>
                <w:szCs w:val="24"/>
                <w:vertAlign w:val="baseline"/>
                <w:lang w:val="en-US" w:eastAsia="zh-CN" w:bidi="ar-SA"/>
              </w:rPr>
              <w:t>金额：</w:t>
            </w:r>
            <w:r>
              <w:rPr>
                <w:rFonts w:hint="eastAsia" w:ascii="宋体" w:hAnsi="宋体" w:eastAsia="宋体" w:cs="宋体"/>
                <w:color w:val="auto"/>
                <w:kern w:val="2"/>
                <w:sz w:val="24"/>
                <w:szCs w:val="24"/>
                <w:u w:val="single"/>
                <w:vertAlign w:val="baseline"/>
                <w:lang w:val="en-US" w:eastAsia="zh-CN" w:bidi="ar-SA"/>
              </w:rPr>
              <w:t xml:space="preserve">                </w:t>
            </w:r>
          </w:p>
        </w:tc>
        <w:tc>
          <w:tcPr>
            <w:tcW w:w="6416" w:type="dxa"/>
            <w:gridSpan w:val="4"/>
            <w:noWrap w:val="0"/>
            <w:vAlign w:val="center"/>
          </w:tcPr>
          <w:p w14:paraId="00348DC4">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使用价值量占总金额比重（累计</w:t>
            </w:r>
            <w:r>
              <w:rPr>
                <w:rFonts w:hint="eastAsia" w:ascii="宋体" w:hAnsi="宋体" w:eastAsia="宋体" w:cs="宋体"/>
                <w:color w:val="auto"/>
                <w:sz w:val="24"/>
                <w:szCs w:val="24"/>
                <w:u w:val="single"/>
                <w:vertAlign w:val="baseline"/>
                <w:lang w:val="en-US" w:eastAsia="zh-CN"/>
              </w:rPr>
              <w:t xml:space="preserve">    </w:t>
            </w:r>
            <w:r>
              <w:rPr>
                <w:rFonts w:hint="eastAsia" w:ascii="宋体" w:hAnsi="宋体" w:eastAsia="宋体" w:cs="宋体"/>
                <w:color w:val="auto"/>
                <w:sz w:val="24"/>
                <w:szCs w:val="24"/>
                <w:u w:val="none"/>
                <w:vertAlign w:val="baseline"/>
                <w:lang w:val="en-US" w:eastAsia="zh-CN"/>
              </w:rPr>
              <w:t>%</w:t>
            </w:r>
            <w:r>
              <w:rPr>
                <w:rFonts w:hint="eastAsia" w:ascii="宋体" w:hAnsi="宋体" w:eastAsia="宋体" w:cs="宋体"/>
                <w:color w:val="auto"/>
                <w:sz w:val="24"/>
                <w:szCs w:val="24"/>
                <w:vertAlign w:val="baseline"/>
                <w:lang w:val="en-US" w:eastAsia="zh-CN"/>
              </w:rPr>
              <w:t>）</w:t>
            </w:r>
          </w:p>
        </w:tc>
      </w:tr>
    </w:tbl>
    <w:p w14:paraId="386CF1BF">
      <w:pPr>
        <w:pStyle w:val="28"/>
        <w:keepNext w:val="0"/>
        <w:keepLines w:val="0"/>
        <w:pageBreakBefore w:val="0"/>
        <w:widowControl w:val="0"/>
        <w:numPr>
          <w:ilvl w:val="0"/>
          <w:numId w:val="0"/>
        </w:numPr>
        <w:kinsoku/>
        <w:wordWrap w:val="0"/>
        <w:overflowPunct/>
        <w:topLinePunct/>
        <w:autoSpaceDE/>
        <w:autoSpaceDN/>
        <w:bidi w:val="0"/>
        <w:adjustRightInd/>
        <w:snapToGrid/>
        <w:spacing w:line="0" w:lineRule="atLeast"/>
        <w:ind w:left="0" w:leftChars="0" w:right="0" w:rightChars="0" w:firstLine="0" w:firstLineChars="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注：1.本表可选填。</w:t>
      </w:r>
    </w:p>
    <w:p w14:paraId="7F8B59E0">
      <w:pPr>
        <w:pStyle w:val="28"/>
        <w:keepNext w:val="0"/>
        <w:keepLines w:val="0"/>
        <w:pageBreakBefore w:val="0"/>
        <w:widowControl w:val="0"/>
        <w:numPr>
          <w:ilvl w:val="0"/>
          <w:numId w:val="0"/>
        </w:numPr>
        <w:kinsoku/>
        <w:wordWrap w:val="0"/>
        <w:overflowPunct/>
        <w:topLinePunct/>
        <w:autoSpaceDE/>
        <w:autoSpaceDN/>
        <w:bidi w:val="0"/>
        <w:adjustRightInd/>
        <w:snapToGrid/>
        <w:spacing w:line="0" w:lineRule="atLeast"/>
        <w:ind w:left="0" w:leftChars="0" w:right="0" w:rightChars="0"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2.节能产品、环境标志产品根据财政部、国家发展改革委最新公布的节能产品政府采购清单确定。  </w:t>
      </w:r>
    </w:p>
    <w:p w14:paraId="5FB52885">
      <w:pPr>
        <w:pStyle w:val="28"/>
        <w:keepNext w:val="0"/>
        <w:keepLines w:val="0"/>
        <w:pageBreakBefore w:val="0"/>
        <w:widowControl w:val="0"/>
        <w:numPr>
          <w:ilvl w:val="0"/>
          <w:numId w:val="0"/>
        </w:numPr>
        <w:kinsoku/>
        <w:wordWrap w:val="0"/>
        <w:overflowPunct/>
        <w:topLinePunct/>
        <w:autoSpaceDE/>
        <w:autoSpaceDN/>
        <w:bidi w:val="0"/>
        <w:adjustRightInd/>
        <w:snapToGrid/>
        <w:spacing w:line="0" w:lineRule="atLeast"/>
        <w:ind w:left="0" w:leftChars="0" w:right="0" w:rightChars="0"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3.如所投产品为节能产品、环境标志产品（强制采购产品除外），必须按规定格式逐项填写，否则评审时不予加分。</w:t>
      </w:r>
    </w:p>
    <w:p w14:paraId="25A38997">
      <w:pPr>
        <w:pStyle w:val="28"/>
        <w:keepNext w:val="0"/>
        <w:keepLines w:val="0"/>
        <w:pageBreakBefore w:val="0"/>
        <w:widowControl w:val="0"/>
        <w:tabs>
          <w:tab w:val="left" w:pos="2937"/>
        </w:tabs>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宋体" w:hAnsi="宋体" w:eastAsia="宋体" w:cs="宋体"/>
          <w:color w:val="auto"/>
          <w:spacing w:val="-1"/>
          <w:sz w:val="24"/>
          <w:szCs w:val="24"/>
        </w:rPr>
      </w:pPr>
      <w:r>
        <w:rPr>
          <w:rFonts w:hint="eastAsia" w:ascii="宋体" w:hAnsi="宋体" w:eastAsia="宋体" w:cs="宋体"/>
          <w:color w:val="auto"/>
          <w:sz w:val="21"/>
          <w:szCs w:val="21"/>
          <w:lang w:val="en-US" w:eastAsia="zh-CN"/>
        </w:rPr>
        <w:t>4.“环保标志产品、节能产品”是属于国家行业主管部门颁布的清单目录中的产品，须填写认证证书编号，并同时提供有效期内的证书扫描件或“中国政府采购网”截图附后。</w:t>
      </w:r>
    </w:p>
    <w:p w14:paraId="61C09526">
      <w:pPr>
        <w:pStyle w:val="28"/>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pacing w:val="-1"/>
          <w:sz w:val="24"/>
          <w:szCs w:val="24"/>
        </w:rPr>
      </w:pPr>
    </w:p>
    <w:p w14:paraId="29FC8072">
      <w:pPr>
        <w:pStyle w:val="28"/>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pacing w:val="-1"/>
          <w:sz w:val="24"/>
          <w:szCs w:val="24"/>
          <w:lang w:eastAsia="zh-CN"/>
        </w:rPr>
      </w:pPr>
    </w:p>
    <w:p w14:paraId="3EB89193">
      <w:pPr>
        <w:pStyle w:val="28"/>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pacing w:val="-1"/>
          <w:sz w:val="24"/>
          <w:szCs w:val="24"/>
          <w:lang w:eastAsia="zh-CN"/>
        </w:rPr>
      </w:pPr>
    </w:p>
    <w:p w14:paraId="7902D8F4">
      <w:pPr>
        <w:pStyle w:val="28"/>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pacing w:val="-1"/>
          <w:sz w:val="24"/>
          <w:szCs w:val="24"/>
          <w:lang w:eastAsia="zh-CN"/>
        </w:rPr>
      </w:pPr>
    </w:p>
    <w:p w14:paraId="3E72B1F5">
      <w:pPr>
        <w:pStyle w:val="28"/>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u w:val="none"/>
          <w:lang w:val="en-US" w:eastAsia="zh-CN"/>
        </w:rPr>
      </w:pPr>
      <w:r>
        <w:rPr>
          <w:rFonts w:hint="eastAsia" w:cs="宋体"/>
          <w:color w:val="auto"/>
          <w:spacing w:val="-1"/>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rPr>
        <w:t>加盖电子公章</w:t>
      </w:r>
      <w:r>
        <w:rPr>
          <w:rFonts w:hint="eastAsia" w:ascii="宋体" w:hAnsi="宋体" w:eastAsia="宋体" w:cs="宋体"/>
          <w:color w:val="auto"/>
          <w:sz w:val="24"/>
          <w:szCs w:val="24"/>
          <w:u w:val="none"/>
          <w:lang w:val="en-US" w:eastAsia="zh-CN"/>
        </w:rPr>
        <w:t>）</w:t>
      </w:r>
    </w:p>
    <w:p w14:paraId="373564E7">
      <w:pPr>
        <w:pStyle w:val="28"/>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u w:val="none"/>
          <w:lang w:val="en-US"/>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34A0EAD2">
      <w:pPr>
        <w:pStyle w:val="28"/>
        <w:spacing w:after="0" w:line="360" w:lineRule="auto"/>
        <w:jc w:val="center"/>
        <w:rPr>
          <w:rStyle w:val="91"/>
          <w:rFonts w:hint="eastAsia" w:ascii="宋体" w:hAnsi="宋体" w:eastAsia="宋体" w:cs="宋体"/>
          <w:color w:val="auto"/>
          <w:lang w:val="en-US" w:eastAsia="zh-CN"/>
        </w:rPr>
      </w:pPr>
      <w:r>
        <w:rPr>
          <w:rFonts w:hint="eastAsia" w:ascii="宋体" w:hAnsi="宋体" w:eastAsia="宋体" w:cs="宋体"/>
          <w:color w:val="auto"/>
          <w:sz w:val="24"/>
          <w:szCs w:val="24"/>
        </w:rPr>
        <w:t>日</w:t>
      </w:r>
      <w:r>
        <w:rPr>
          <w:rFonts w:hint="eastAsia" w:ascii="宋体" w:hAnsi="宋体" w:eastAsia="宋体" w:cs="宋体"/>
          <w:color w:val="auto"/>
          <w:sz w:val="24"/>
          <w:szCs w:val="24"/>
        </w:rPr>
        <w:tab/>
      </w:r>
      <w:r>
        <w:rPr>
          <w:rFonts w:hint="eastAsia" w:ascii="宋体" w:hAnsi="宋体" w:eastAsia="宋体" w:cs="宋体"/>
          <w:color w:val="auto"/>
          <w:sz w:val="24"/>
          <w:szCs w:val="24"/>
        </w:rPr>
        <w:t>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5D811F3E">
      <w:pPr>
        <w:pStyle w:val="28"/>
        <w:spacing w:after="0" w:line="360" w:lineRule="auto"/>
        <w:jc w:val="center"/>
        <w:rPr>
          <w:rStyle w:val="91"/>
          <w:rFonts w:hint="eastAsia"/>
          <w:color w:val="auto"/>
          <w:lang w:val="en-US" w:eastAsia="zh-CN"/>
        </w:rPr>
      </w:pPr>
    </w:p>
    <w:p w14:paraId="37BB3F4B">
      <w:pPr>
        <w:pStyle w:val="3"/>
        <w:bidi w:val="0"/>
        <w:outlineLvl w:val="9"/>
        <w:rPr>
          <w:rFonts w:hint="eastAsia"/>
          <w:color w:val="auto"/>
          <w:lang w:eastAsia="zh-CN"/>
        </w:rPr>
        <w:sectPr>
          <w:pgSz w:w="11906" w:h="16838"/>
          <w:pgMar w:top="1440" w:right="1080" w:bottom="1440" w:left="1080" w:header="709" w:footer="596" w:gutter="0"/>
          <w:pgBorders>
            <w:top w:val="none" w:sz="0" w:space="0"/>
            <w:left w:val="none" w:sz="0" w:space="0"/>
            <w:bottom w:val="none" w:sz="0" w:space="0"/>
            <w:right w:val="none" w:sz="0" w:space="0"/>
          </w:pgBorders>
          <w:pgNumType w:fmt="decimal"/>
          <w:cols w:space="720" w:num="1"/>
          <w:titlePg/>
          <w:docGrid w:linePitch="299" w:charSpace="0"/>
        </w:sectPr>
      </w:pPr>
    </w:p>
    <w:p w14:paraId="6F5A4883">
      <w:pPr>
        <w:pStyle w:val="3"/>
        <w:bidi w:val="0"/>
        <w:rPr>
          <w:rFonts w:hint="eastAsia" w:ascii="宋体" w:hAnsi="宋体" w:eastAsia="宋体" w:cs="宋体"/>
          <w:b/>
          <w:bCs/>
          <w:color w:val="auto"/>
          <w:szCs w:val="32"/>
          <w:lang w:eastAsia="zh-CN"/>
        </w:rPr>
      </w:pPr>
      <w:r>
        <w:rPr>
          <w:rFonts w:hint="eastAsia"/>
          <w:color w:val="auto"/>
          <w:lang w:eastAsia="zh-CN"/>
        </w:rPr>
        <w:t>技术、</w:t>
      </w:r>
      <w:r>
        <w:rPr>
          <w:rFonts w:hint="eastAsia"/>
          <w:color w:val="auto"/>
          <w:lang w:val="en-US" w:eastAsia="zh-CN"/>
        </w:rPr>
        <w:t>商务</w:t>
      </w:r>
      <w:r>
        <w:rPr>
          <w:rFonts w:hint="eastAsia"/>
          <w:color w:val="auto"/>
          <w:lang w:eastAsia="zh-CN"/>
        </w:rPr>
        <w:t>部分</w:t>
      </w:r>
    </w:p>
    <w:p w14:paraId="7D2E08ED">
      <w:pPr>
        <w:pStyle w:val="4"/>
        <w:jc w:val="center"/>
        <w:rPr>
          <w:rFonts w:hint="eastAsia" w:ascii="宋体" w:hAnsi="宋体" w:eastAsia="宋体" w:cs="宋体"/>
          <w:color w:val="auto"/>
          <w:lang w:eastAsia="zh-CN"/>
        </w:rPr>
      </w:pPr>
      <w:r>
        <w:rPr>
          <w:rFonts w:hint="eastAsia" w:ascii="宋体" w:hAnsi="宋体" w:cs="宋体"/>
          <w:color w:val="auto"/>
          <w:lang w:val="en-US" w:eastAsia="zh-CN"/>
        </w:rPr>
        <w:t>一</w:t>
      </w:r>
      <w:r>
        <w:rPr>
          <w:rFonts w:hint="eastAsia" w:ascii="宋体" w:hAnsi="宋体" w:eastAsia="宋体" w:cs="宋体"/>
          <w:color w:val="auto"/>
          <w:lang w:val="en-US" w:eastAsia="zh-CN"/>
        </w:rPr>
        <w:t>、</w:t>
      </w:r>
      <w:r>
        <w:rPr>
          <w:rFonts w:hint="eastAsia" w:ascii="宋体" w:hAnsi="宋体" w:eastAsia="宋体" w:cs="宋体"/>
          <w:color w:val="auto"/>
          <w:lang w:eastAsia="zh-CN"/>
        </w:rPr>
        <w:t>技术参数偏离表</w:t>
      </w:r>
      <w:r>
        <w:rPr>
          <w:rFonts w:hint="eastAsia" w:ascii="宋体" w:hAnsi="宋体" w:eastAsia="宋体" w:cs="宋体"/>
          <w:color w:val="auto"/>
          <w:lang w:val="en-US" w:eastAsia="zh-CN"/>
        </w:rPr>
        <w:t>（实质性格式）</w:t>
      </w:r>
    </w:p>
    <w:tbl>
      <w:tblPr>
        <w:tblStyle w:val="67"/>
        <w:tblW w:w="1079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8"/>
        <w:gridCol w:w="1938"/>
        <w:gridCol w:w="720"/>
        <w:gridCol w:w="2172"/>
        <w:gridCol w:w="1985"/>
        <w:gridCol w:w="1168"/>
        <w:gridCol w:w="900"/>
        <w:gridCol w:w="1168"/>
      </w:tblGrid>
      <w:tr w14:paraId="520320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center"/>
          </w:tcPr>
          <w:p w14:paraId="43E3F916">
            <w:pPr>
              <w:jc w:val="center"/>
              <w:rPr>
                <w:rFonts w:hint="eastAsia" w:ascii="宋体" w:hAnsi="宋体" w:eastAsia="宋体" w:cs="宋体"/>
                <w:color w:val="auto"/>
                <w:szCs w:val="21"/>
              </w:rPr>
            </w:pPr>
            <w:r>
              <w:rPr>
                <w:rFonts w:hint="eastAsia" w:ascii="宋体" w:hAnsi="宋体" w:eastAsia="宋体" w:cs="宋体"/>
                <w:color w:val="auto"/>
                <w:szCs w:val="21"/>
              </w:rPr>
              <w:t>序号</w:t>
            </w:r>
          </w:p>
        </w:tc>
        <w:tc>
          <w:tcPr>
            <w:tcW w:w="1938" w:type="dxa"/>
            <w:noWrap w:val="0"/>
            <w:vAlign w:val="center"/>
          </w:tcPr>
          <w:p w14:paraId="2438B2E0">
            <w:pPr>
              <w:jc w:val="center"/>
              <w:rPr>
                <w:rFonts w:hint="eastAsia" w:ascii="宋体" w:hAnsi="宋体" w:eastAsia="宋体" w:cs="宋体"/>
                <w:color w:val="auto"/>
                <w:szCs w:val="21"/>
              </w:rPr>
            </w:pPr>
            <w:r>
              <w:rPr>
                <w:rFonts w:hint="eastAsia" w:ascii="宋体" w:hAnsi="宋体" w:cs="宋体"/>
                <w:color w:val="auto"/>
                <w:szCs w:val="21"/>
                <w:lang w:val="en-US" w:eastAsia="zh-CN"/>
              </w:rPr>
              <w:t>项目</w:t>
            </w:r>
            <w:r>
              <w:rPr>
                <w:rFonts w:hint="eastAsia" w:ascii="宋体" w:hAnsi="宋体" w:eastAsia="宋体" w:cs="宋体"/>
                <w:color w:val="auto"/>
                <w:szCs w:val="21"/>
              </w:rPr>
              <w:t>名称</w:t>
            </w:r>
          </w:p>
        </w:tc>
        <w:tc>
          <w:tcPr>
            <w:tcW w:w="720" w:type="dxa"/>
            <w:noWrap w:val="0"/>
            <w:vAlign w:val="center"/>
          </w:tcPr>
          <w:p w14:paraId="41A652CF">
            <w:pPr>
              <w:jc w:val="center"/>
              <w:rPr>
                <w:rFonts w:hint="eastAsia" w:ascii="宋体" w:hAnsi="宋体" w:eastAsia="宋体" w:cs="宋体"/>
                <w:color w:val="auto"/>
                <w:szCs w:val="21"/>
              </w:rPr>
            </w:pPr>
            <w:r>
              <w:rPr>
                <w:rFonts w:hint="eastAsia" w:ascii="宋体" w:hAnsi="宋体" w:eastAsia="宋体" w:cs="宋体"/>
                <w:color w:val="auto"/>
                <w:szCs w:val="21"/>
              </w:rPr>
              <w:t>数量</w:t>
            </w:r>
          </w:p>
        </w:tc>
        <w:tc>
          <w:tcPr>
            <w:tcW w:w="2172" w:type="dxa"/>
            <w:noWrap w:val="0"/>
            <w:vAlign w:val="center"/>
          </w:tcPr>
          <w:p w14:paraId="3BAA4E46">
            <w:pPr>
              <w:jc w:val="center"/>
              <w:rPr>
                <w:rFonts w:hint="eastAsia" w:ascii="宋体" w:hAnsi="宋体" w:eastAsia="宋体" w:cs="宋体"/>
                <w:color w:val="auto"/>
                <w:szCs w:val="21"/>
                <w:lang w:eastAsia="zh-CN"/>
              </w:rPr>
            </w:pPr>
            <w:r>
              <w:rPr>
                <w:rFonts w:hint="eastAsia" w:ascii="宋体" w:hAnsi="宋体" w:eastAsia="宋体" w:cs="宋体"/>
                <w:color w:val="auto"/>
                <w:szCs w:val="21"/>
                <w:lang w:eastAsia="zh-CN"/>
              </w:rPr>
              <w:t>招标文件技术</w:t>
            </w:r>
          </w:p>
          <w:p w14:paraId="684A3340">
            <w:pPr>
              <w:jc w:val="center"/>
              <w:rPr>
                <w:rFonts w:hint="eastAsia" w:ascii="宋体" w:hAnsi="宋体" w:eastAsia="宋体" w:cs="宋体"/>
                <w:color w:val="auto"/>
                <w:szCs w:val="21"/>
                <w:lang w:eastAsia="zh-CN"/>
              </w:rPr>
            </w:pPr>
            <w:r>
              <w:rPr>
                <w:rFonts w:hint="eastAsia" w:ascii="宋体" w:hAnsi="宋体" w:eastAsia="宋体" w:cs="宋体"/>
                <w:color w:val="auto"/>
                <w:szCs w:val="21"/>
                <w:lang w:eastAsia="zh-CN"/>
              </w:rPr>
              <w:t>规范、要求</w:t>
            </w:r>
          </w:p>
        </w:tc>
        <w:tc>
          <w:tcPr>
            <w:tcW w:w="1985" w:type="dxa"/>
            <w:noWrap w:val="0"/>
            <w:vAlign w:val="center"/>
          </w:tcPr>
          <w:p w14:paraId="312CC150">
            <w:pPr>
              <w:jc w:val="center"/>
              <w:rPr>
                <w:rFonts w:hint="eastAsia" w:ascii="宋体" w:hAnsi="宋体" w:eastAsia="宋体" w:cs="宋体"/>
                <w:color w:val="auto"/>
                <w:szCs w:val="21"/>
              </w:rPr>
            </w:pPr>
            <w:r>
              <w:rPr>
                <w:rFonts w:hint="eastAsia" w:ascii="宋体" w:hAnsi="宋体" w:eastAsia="宋体" w:cs="宋体"/>
                <w:color w:val="auto"/>
                <w:szCs w:val="21"/>
              </w:rPr>
              <w:t>投标文件</w:t>
            </w:r>
          </w:p>
          <w:p w14:paraId="4ABAB294">
            <w:pPr>
              <w:jc w:val="center"/>
              <w:rPr>
                <w:rFonts w:hint="eastAsia" w:ascii="宋体" w:hAnsi="宋体" w:eastAsia="宋体" w:cs="宋体"/>
                <w:color w:val="auto"/>
                <w:szCs w:val="21"/>
              </w:rPr>
            </w:pPr>
            <w:r>
              <w:rPr>
                <w:rFonts w:hint="eastAsia" w:ascii="宋体" w:hAnsi="宋体" w:eastAsia="宋体" w:cs="宋体"/>
                <w:color w:val="auto"/>
                <w:szCs w:val="21"/>
              </w:rPr>
              <w:t>对应规范</w:t>
            </w:r>
          </w:p>
        </w:tc>
        <w:tc>
          <w:tcPr>
            <w:tcW w:w="1168" w:type="dxa"/>
            <w:noWrap w:val="0"/>
            <w:vAlign w:val="center"/>
          </w:tcPr>
          <w:p w14:paraId="213D0377">
            <w:pPr>
              <w:jc w:val="center"/>
              <w:rPr>
                <w:rFonts w:hint="eastAsia" w:ascii="宋体" w:hAnsi="宋体" w:eastAsia="宋体" w:cs="宋体"/>
                <w:color w:val="auto"/>
                <w:szCs w:val="21"/>
              </w:rPr>
            </w:pPr>
            <w:r>
              <w:rPr>
                <w:rFonts w:hint="eastAsia" w:ascii="宋体" w:hAnsi="宋体" w:eastAsia="宋体" w:cs="宋体"/>
                <w:color w:val="auto"/>
                <w:szCs w:val="21"/>
              </w:rPr>
              <w:t>正偏离/响应/负偏离</w:t>
            </w:r>
          </w:p>
        </w:tc>
        <w:tc>
          <w:tcPr>
            <w:tcW w:w="900" w:type="dxa"/>
            <w:noWrap w:val="0"/>
            <w:vAlign w:val="center"/>
          </w:tcPr>
          <w:p w14:paraId="17678CC3">
            <w:pPr>
              <w:jc w:val="center"/>
              <w:rPr>
                <w:rFonts w:hint="eastAsia" w:ascii="宋体" w:hAnsi="宋体" w:eastAsia="宋体" w:cs="宋体"/>
                <w:color w:val="auto"/>
                <w:szCs w:val="21"/>
              </w:rPr>
            </w:pPr>
            <w:r>
              <w:rPr>
                <w:rFonts w:hint="eastAsia" w:ascii="宋体" w:hAnsi="宋体" w:eastAsia="宋体" w:cs="宋体"/>
                <w:color w:val="auto"/>
                <w:szCs w:val="21"/>
              </w:rPr>
              <w:t>备注</w:t>
            </w:r>
          </w:p>
        </w:tc>
        <w:tc>
          <w:tcPr>
            <w:tcW w:w="1168" w:type="dxa"/>
            <w:noWrap w:val="0"/>
            <w:vAlign w:val="top"/>
          </w:tcPr>
          <w:p w14:paraId="028509AC">
            <w:pPr>
              <w:jc w:val="center"/>
              <w:rPr>
                <w:rFonts w:hint="eastAsia" w:ascii="宋体" w:hAnsi="宋体" w:eastAsia="宋体" w:cs="宋体"/>
                <w:color w:val="auto"/>
                <w:szCs w:val="21"/>
                <w:lang w:eastAsia="zh-CN"/>
              </w:rPr>
            </w:pPr>
            <w:r>
              <w:rPr>
                <w:rFonts w:hint="eastAsia" w:ascii="宋体" w:hAnsi="宋体" w:eastAsia="宋体" w:cs="宋体"/>
                <w:color w:val="auto"/>
                <w:szCs w:val="21"/>
                <w:lang w:eastAsia="zh-CN"/>
              </w:rPr>
              <w:t>证明材料投标文件所在位置</w:t>
            </w:r>
          </w:p>
        </w:tc>
      </w:tr>
      <w:tr w14:paraId="7636D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32AC849F">
            <w:pPr>
              <w:rPr>
                <w:rFonts w:hint="eastAsia" w:ascii="宋体" w:hAnsi="宋体" w:eastAsia="宋体" w:cs="宋体"/>
                <w:color w:val="auto"/>
                <w:szCs w:val="21"/>
                <w:lang w:eastAsia="zh-CN"/>
              </w:rPr>
            </w:pPr>
          </w:p>
        </w:tc>
        <w:tc>
          <w:tcPr>
            <w:tcW w:w="1938" w:type="dxa"/>
            <w:noWrap w:val="0"/>
            <w:vAlign w:val="top"/>
          </w:tcPr>
          <w:p w14:paraId="233766B5">
            <w:pPr>
              <w:rPr>
                <w:rFonts w:hint="eastAsia" w:ascii="宋体" w:hAnsi="宋体" w:eastAsia="宋体" w:cs="宋体"/>
                <w:color w:val="auto"/>
                <w:szCs w:val="21"/>
                <w:lang w:eastAsia="zh-CN"/>
              </w:rPr>
            </w:pPr>
          </w:p>
        </w:tc>
        <w:tc>
          <w:tcPr>
            <w:tcW w:w="720" w:type="dxa"/>
            <w:noWrap w:val="0"/>
            <w:vAlign w:val="top"/>
          </w:tcPr>
          <w:p w14:paraId="4F6D8B6F">
            <w:pPr>
              <w:rPr>
                <w:rFonts w:hint="eastAsia" w:ascii="宋体" w:hAnsi="宋体" w:eastAsia="宋体" w:cs="宋体"/>
                <w:color w:val="auto"/>
                <w:szCs w:val="21"/>
                <w:lang w:eastAsia="zh-CN"/>
              </w:rPr>
            </w:pPr>
          </w:p>
        </w:tc>
        <w:tc>
          <w:tcPr>
            <w:tcW w:w="2172" w:type="dxa"/>
            <w:noWrap w:val="0"/>
            <w:vAlign w:val="top"/>
          </w:tcPr>
          <w:p w14:paraId="235FAFA6">
            <w:pPr>
              <w:rPr>
                <w:rFonts w:hint="eastAsia" w:ascii="宋体" w:hAnsi="宋体" w:eastAsia="宋体" w:cs="宋体"/>
                <w:color w:val="auto"/>
                <w:szCs w:val="21"/>
                <w:lang w:eastAsia="zh-CN"/>
              </w:rPr>
            </w:pPr>
          </w:p>
        </w:tc>
        <w:tc>
          <w:tcPr>
            <w:tcW w:w="1985" w:type="dxa"/>
            <w:noWrap w:val="0"/>
            <w:vAlign w:val="top"/>
          </w:tcPr>
          <w:p w14:paraId="0712B31A">
            <w:pPr>
              <w:rPr>
                <w:rFonts w:hint="eastAsia" w:ascii="宋体" w:hAnsi="宋体" w:eastAsia="宋体" w:cs="宋体"/>
                <w:color w:val="auto"/>
                <w:szCs w:val="21"/>
                <w:lang w:eastAsia="zh-CN"/>
              </w:rPr>
            </w:pPr>
          </w:p>
        </w:tc>
        <w:tc>
          <w:tcPr>
            <w:tcW w:w="1168" w:type="dxa"/>
            <w:noWrap w:val="0"/>
            <w:vAlign w:val="top"/>
          </w:tcPr>
          <w:p w14:paraId="413678CB">
            <w:pPr>
              <w:rPr>
                <w:rFonts w:hint="eastAsia" w:ascii="宋体" w:hAnsi="宋体" w:eastAsia="宋体" w:cs="宋体"/>
                <w:color w:val="auto"/>
                <w:szCs w:val="21"/>
                <w:lang w:eastAsia="zh-CN"/>
              </w:rPr>
            </w:pPr>
          </w:p>
        </w:tc>
        <w:tc>
          <w:tcPr>
            <w:tcW w:w="900" w:type="dxa"/>
            <w:noWrap w:val="0"/>
            <w:vAlign w:val="top"/>
          </w:tcPr>
          <w:p w14:paraId="010FE4FE">
            <w:pPr>
              <w:rPr>
                <w:rFonts w:hint="eastAsia" w:ascii="宋体" w:hAnsi="宋体" w:eastAsia="宋体" w:cs="宋体"/>
                <w:color w:val="auto"/>
                <w:szCs w:val="21"/>
                <w:lang w:eastAsia="zh-CN"/>
              </w:rPr>
            </w:pPr>
          </w:p>
        </w:tc>
        <w:tc>
          <w:tcPr>
            <w:tcW w:w="1168" w:type="dxa"/>
            <w:noWrap w:val="0"/>
            <w:vAlign w:val="top"/>
          </w:tcPr>
          <w:p w14:paraId="65225BD8">
            <w:pPr>
              <w:rPr>
                <w:rFonts w:hint="eastAsia" w:ascii="宋体" w:hAnsi="宋体" w:eastAsia="宋体" w:cs="宋体"/>
                <w:color w:val="auto"/>
                <w:szCs w:val="21"/>
                <w:lang w:eastAsia="zh-CN"/>
              </w:rPr>
            </w:pPr>
          </w:p>
        </w:tc>
      </w:tr>
      <w:tr w14:paraId="4366E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5301B600">
            <w:pPr>
              <w:rPr>
                <w:rFonts w:hint="eastAsia" w:ascii="宋体" w:hAnsi="宋体" w:eastAsia="宋体" w:cs="宋体"/>
                <w:color w:val="auto"/>
                <w:szCs w:val="21"/>
                <w:lang w:eastAsia="zh-CN"/>
              </w:rPr>
            </w:pPr>
          </w:p>
        </w:tc>
        <w:tc>
          <w:tcPr>
            <w:tcW w:w="1938" w:type="dxa"/>
            <w:noWrap w:val="0"/>
            <w:vAlign w:val="top"/>
          </w:tcPr>
          <w:p w14:paraId="13C8DE02">
            <w:pPr>
              <w:rPr>
                <w:rFonts w:hint="eastAsia" w:ascii="宋体" w:hAnsi="宋体" w:eastAsia="宋体" w:cs="宋体"/>
                <w:color w:val="auto"/>
                <w:szCs w:val="21"/>
                <w:lang w:eastAsia="zh-CN"/>
              </w:rPr>
            </w:pPr>
          </w:p>
        </w:tc>
        <w:tc>
          <w:tcPr>
            <w:tcW w:w="720" w:type="dxa"/>
            <w:noWrap w:val="0"/>
            <w:vAlign w:val="top"/>
          </w:tcPr>
          <w:p w14:paraId="34735734">
            <w:pPr>
              <w:rPr>
                <w:rFonts w:hint="eastAsia" w:ascii="宋体" w:hAnsi="宋体" w:eastAsia="宋体" w:cs="宋体"/>
                <w:color w:val="auto"/>
                <w:szCs w:val="21"/>
                <w:lang w:eastAsia="zh-CN"/>
              </w:rPr>
            </w:pPr>
          </w:p>
        </w:tc>
        <w:tc>
          <w:tcPr>
            <w:tcW w:w="2172" w:type="dxa"/>
            <w:noWrap w:val="0"/>
            <w:vAlign w:val="top"/>
          </w:tcPr>
          <w:p w14:paraId="39E22795">
            <w:pPr>
              <w:rPr>
                <w:rFonts w:hint="eastAsia" w:ascii="宋体" w:hAnsi="宋体" w:eastAsia="宋体" w:cs="宋体"/>
                <w:color w:val="auto"/>
                <w:szCs w:val="21"/>
                <w:lang w:eastAsia="zh-CN"/>
              </w:rPr>
            </w:pPr>
          </w:p>
        </w:tc>
        <w:tc>
          <w:tcPr>
            <w:tcW w:w="1985" w:type="dxa"/>
            <w:noWrap w:val="0"/>
            <w:vAlign w:val="top"/>
          </w:tcPr>
          <w:p w14:paraId="4F39DC01">
            <w:pPr>
              <w:rPr>
                <w:rFonts w:hint="eastAsia" w:ascii="宋体" w:hAnsi="宋体" w:eastAsia="宋体" w:cs="宋体"/>
                <w:color w:val="auto"/>
                <w:szCs w:val="21"/>
                <w:lang w:eastAsia="zh-CN"/>
              </w:rPr>
            </w:pPr>
          </w:p>
        </w:tc>
        <w:tc>
          <w:tcPr>
            <w:tcW w:w="1168" w:type="dxa"/>
            <w:noWrap w:val="0"/>
            <w:vAlign w:val="top"/>
          </w:tcPr>
          <w:p w14:paraId="1509E7BC">
            <w:pPr>
              <w:rPr>
                <w:rFonts w:hint="eastAsia" w:ascii="宋体" w:hAnsi="宋体" w:eastAsia="宋体" w:cs="宋体"/>
                <w:color w:val="auto"/>
                <w:szCs w:val="21"/>
                <w:lang w:eastAsia="zh-CN"/>
              </w:rPr>
            </w:pPr>
          </w:p>
        </w:tc>
        <w:tc>
          <w:tcPr>
            <w:tcW w:w="900" w:type="dxa"/>
            <w:noWrap w:val="0"/>
            <w:vAlign w:val="top"/>
          </w:tcPr>
          <w:p w14:paraId="5A5A994E">
            <w:pPr>
              <w:rPr>
                <w:rFonts w:hint="eastAsia" w:ascii="宋体" w:hAnsi="宋体" w:eastAsia="宋体" w:cs="宋体"/>
                <w:color w:val="auto"/>
                <w:szCs w:val="21"/>
                <w:lang w:eastAsia="zh-CN"/>
              </w:rPr>
            </w:pPr>
          </w:p>
        </w:tc>
        <w:tc>
          <w:tcPr>
            <w:tcW w:w="1168" w:type="dxa"/>
            <w:noWrap w:val="0"/>
            <w:vAlign w:val="top"/>
          </w:tcPr>
          <w:p w14:paraId="7223A012">
            <w:pPr>
              <w:rPr>
                <w:rFonts w:hint="eastAsia" w:ascii="宋体" w:hAnsi="宋体" w:eastAsia="宋体" w:cs="宋体"/>
                <w:color w:val="auto"/>
                <w:szCs w:val="21"/>
                <w:lang w:eastAsia="zh-CN"/>
              </w:rPr>
            </w:pPr>
          </w:p>
        </w:tc>
      </w:tr>
      <w:tr w14:paraId="5845C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494F76E3">
            <w:pPr>
              <w:rPr>
                <w:rFonts w:hint="eastAsia" w:ascii="宋体" w:hAnsi="宋体" w:eastAsia="宋体" w:cs="宋体"/>
                <w:color w:val="auto"/>
                <w:szCs w:val="21"/>
                <w:lang w:eastAsia="zh-CN"/>
              </w:rPr>
            </w:pPr>
          </w:p>
        </w:tc>
        <w:tc>
          <w:tcPr>
            <w:tcW w:w="1938" w:type="dxa"/>
            <w:noWrap w:val="0"/>
            <w:vAlign w:val="top"/>
          </w:tcPr>
          <w:p w14:paraId="6B17FF85">
            <w:pPr>
              <w:rPr>
                <w:rFonts w:hint="eastAsia" w:ascii="宋体" w:hAnsi="宋体" w:eastAsia="宋体" w:cs="宋体"/>
                <w:color w:val="auto"/>
                <w:szCs w:val="21"/>
                <w:lang w:eastAsia="zh-CN"/>
              </w:rPr>
            </w:pPr>
          </w:p>
        </w:tc>
        <w:tc>
          <w:tcPr>
            <w:tcW w:w="720" w:type="dxa"/>
            <w:noWrap w:val="0"/>
            <w:vAlign w:val="top"/>
          </w:tcPr>
          <w:p w14:paraId="3B16F71E">
            <w:pPr>
              <w:rPr>
                <w:rFonts w:hint="eastAsia" w:ascii="宋体" w:hAnsi="宋体" w:eastAsia="宋体" w:cs="宋体"/>
                <w:color w:val="auto"/>
                <w:szCs w:val="21"/>
                <w:lang w:eastAsia="zh-CN"/>
              </w:rPr>
            </w:pPr>
          </w:p>
        </w:tc>
        <w:tc>
          <w:tcPr>
            <w:tcW w:w="2172" w:type="dxa"/>
            <w:noWrap w:val="0"/>
            <w:vAlign w:val="top"/>
          </w:tcPr>
          <w:p w14:paraId="22B01A2C">
            <w:pPr>
              <w:rPr>
                <w:rFonts w:hint="eastAsia" w:ascii="宋体" w:hAnsi="宋体" w:eastAsia="宋体" w:cs="宋体"/>
                <w:color w:val="auto"/>
                <w:szCs w:val="21"/>
                <w:lang w:eastAsia="zh-CN"/>
              </w:rPr>
            </w:pPr>
          </w:p>
        </w:tc>
        <w:tc>
          <w:tcPr>
            <w:tcW w:w="1985" w:type="dxa"/>
            <w:noWrap w:val="0"/>
            <w:vAlign w:val="top"/>
          </w:tcPr>
          <w:p w14:paraId="3E0AC3DF">
            <w:pPr>
              <w:rPr>
                <w:rFonts w:hint="eastAsia" w:ascii="宋体" w:hAnsi="宋体" w:eastAsia="宋体" w:cs="宋体"/>
                <w:color w:val="auto"/>
                <w:szCs w:val="21"/>
                <w:lang w:eastAsia="zh-CN"/>
              </w:rPr>
            </w:pPr>
          </w:p>
        </w:tc>
        <w:tc>
          <w:tcPr>
            <w:tcW w:w="1168" w:type="dxa"/>
            <w:noWrap w:val="0"/>
            <w:vAlign w:val="top"/>
          </w:tcPr>
          <w:p w14:paraId="746C7387">
            <w:pPr>
              <w:rPr>
                <w:rFonts w:hint="eastAsia" w:ascii="宋体" w:hAnsi="宋体" w:eastAsia="宋体" w:cs="宋体"/>
                <w:color w:val="auto"/>
                <w:szCs w:val="21"/>
                <w:lang w:eastAsia="zh-CN"/>
              </w:rPr>
            </w:pPr>
          </w:p>
        </w:tc>
        <w:tc>
          <w:tcPr>
            <w:tcW w:w="900" w:type="dxa"/>
            <w:noWrap w:val="0"/>
            <w:vAlign w:val="top"/>
          </w:tcPr>
          <w:p w14:paraId="1BBB1EA2">
            <w:pPr>
              <w:rPr>
                <w:rFonts w:hint="eastAsia" w:ascii="宋体" w:hAnsi="宋体" w:eastAsia="宋体" w:cs="宋体"/>
                <w:color w:val="auto"/>
                <w:szCs w:val="21"/>
                <w:lang w:eastAsia="zh-CN"/>
              </w:rPr>
            </w:pPr>
          </w:p>
        </w:tc>
        <w:tc>
          <w:tcPr>
            <w:tcW w:w="1168" w:type="dxa"/>
            <w:noWrap w:val="0"/>
            <w:vAlign w:val="top"/>
          </w:tcPr>
          <w:p w14:paraId="165108AC">
            <w:pPr>
              <w:rPr>
                <w:rFonts w:hint="eastAsia" w:ascii="宋体" w:hAnsi="宋体" w:eastAsia="宋体" w:cs="宋体"/>
                <w:color w:val="auto"/>
                <w:szCs w:val="21"/>
                <w:lang w:eastAsia="zh-CN"/>
              </w:rPr>
            </w:pPr>
          </w:p>
        </w:tc>
      </w:tr>
      <w:tr w14:paraId="1163E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191BCC60">
            <w:pPr>
              <w:rPr>
                <w:rFonts w:hint="eastAsia" w:ascii="宋体" w:hAnsi="宋体" w:eastAsia="宋体" w:cs="宋体"/>
                <w:color w:val="auto"/>
                <w:szCs w:val="21"/>
                <w:lang w:eastAsia="zh-CN"/>
              </w:rPr>
            </w:pPr>
          </w:p>
        </w:tc>
        <w:tc>
          <w:tcPr>
            <w:tcW w:w="1938" w:type="dxa"/>
            <w:noWrap w:val="0"/>
            <w:vAlign w:val="top"/>
          </w:tcPr>
          <w:p w14:paraId="7E3D9587">
            <w:pPr>
              <w:rPr>
                <w:rFonts w:hint="eastAsia" w:ascii="宋体" w:hAnsi="宋体" w:eastAsia="宋体" w:cs="宋体"/>
                <w:color w:val="auto"/>
                <w:szCs w:val="21"/>
                <w:lang w:eastAsia="zh-CN"/>
              </w:rPr>
            </w:pPr>
          </w:p>
        </w:tc>
        <w:tc>
          <w:tcPr>
            <w:tcW w:w="720" w:type="dxa"/>
            <w:noWrap w:val="0"/>
            <w:vAlign w:val="top"/>
          </w:tcPr>
          <w:p w14:paraId="43AB5EAB">
            <w:pPr>
              <w:rPr>
                <w:rFonts w:hint="eastAsia" w:ascii="宋体" w:hAnsi="宋体" w:eastAsia="宋体" w:cs="宋体"/>
                <w:color w:val="auto"/>
                <w:szCs w:val="21"/>
                <w:lang w:eastAsia="zh-CN"/>
              </w:rPr>
            </w:pPr>
          </w:p>
        </w:tc>
        <w:tc>
          <w:tcPr>
            <w:tcW w:w="2172" w:type="dxa"/>
            <w:noWrap w:val="0"/>
            <w:vAlign w:val="top"/>
          </w:tcPr>
          <w:p w14:paraId="2132F2CE">
            <w:pPr>
              <w:rPr>
                <w:rFonts w:hint="eastAsia" w:ascii="宋体" w:hAnsi="宋体" w:eastAsia="宋体" w:cs="宋体"/>
                <w:color w:val="auto"/>
                <w:szCs w:val="21"/>
                <w:lang w:eastAsia="zh-CN"/>
              </w:rPr>
            </w:pPr>
          </w:p>
        </w:tc>
        <w:tc>
          <w:tcPr>
            <w:tcW w:w="1985" w:type="dxa"/>
            <w:noWrap w:val="0"/>
            <w:vAlign w:val="top"/>
          </w:tcPr>
          <w:p w14:paraId="2072AA0B">
            <w:pPr>
              <w:rPr>
                <w:rFonts w:hint="eastAsia" w:ascii="宋体" w:hAnsi="宋体" w:eastAsia="宋体" w:cs="宋体"/>
                <w:color w:val="auto"/>
                <w:szCs w:val="21"/>
                <w:lang w:eastAsia="zh-CN"/>
              </w:rPr>
            </w:pPr>
          </w:p>
        </w:tc>
        <w:tc>
          <w:tcPr>
            <w:tcW w:w="1168" w:type="dxa"/>
            <w:noWrap w:val="0"/>
            <w:vAlign w:val="top"/>
          </w:tcPr>
          <w:p w14:paraId="0E8C8D12">
            <w:pPr>
              <w:rPr>
                <w:rFonts w:hint="eastAsia" w:ascii="宋体" w:hAnsi="宋体" w:eastAsia="宋体" w:cs="宋体"/>
                <w:color w:val="auto"/>
                <w:szCs w:val="21"/>
                <w:lang w:eastAsia="zh-CN"/>
              </w:rPr>
            </w:pPr>
          </w:p>
        </w:tc>
        <w:tc>
          <w:tcPr>
            <w:tcW w:w="900" w:type="dxa"/>
            <w:noWrap w:val="0"/>
            <w:vAlign w:val="top"/>
          </w:tcPr>
          <w:p w14:paraId="05C8ECC9">
            <w:pPr>
              <w:rPr>
                <w:rFonts w:hint="eastAsia" w:ascii="宋体" w:hAnsi="宋体" w:eastAsia="宋体" w:cs="宋体"/>
                <w:color w:val="auto"/>
                <w:szCs w:val="21"/>
                <w:lang w:eastAsia="zh-CN"/>
              </w:rPr>
            </w:pPr>
          </w:p>
        </w:tc>
        <w:tc>
          <w:tcPr>
            <w:tcW w:w="1168" w:type="dxa"/>
            <w:noWrap w:val="0"/>
            <w:vAlign w:val="top"/>
          </w:tcPr>
          <w:p w14:paraId="30F68362">
            <w:pPr>
              <w:rPr>
                <w:rFonts w:hint="eastAsia" w:ascii="宋体" w:hAnsi="宋体" w:eastAsia="宋体" w:cs="宋体"/>
                <w:color w:val="auto"/>
                <w:szCs w:val="21"/>
                <w:lang w:eastAsia="zh-CN"/>
              </w:rPr>
            </w:pPr>
          </w:p>
        </w:tc>
      </w:tr>
      <w:tr w14:paraId="1FF0B7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03F562FB">
            <w:pPr>
              <w:rPr>
                <w:rFonts w:hint="eastAsia" w:ascii="宋体" w:hAnsi="宋体" w:eastAsia="宋体" w:cs="宋体"/>
                <w:color w:val="auto"/>
                <w:szCs w:val="21"/>
                <w:lang w:eastAsia="zh-CN"/>
              </w:rPr>
            </w:pPr>
          </w:p>
        </w:tc>
        <w:tc>
          <w:tcPr>
            <w:tcW w:w="1938" w:type="dxa"/>
            <w:noWrap w:val="0"/>
            <w:vAlign w:val="top"/>
          </w:tcPr>
          <w:p w14:paraId="39F83ABD">
            <w:pPr>
              <w:rPr>
                <w:rFonts w:hint="eastAsia" w:ascii="宋体" w:hAnsi="宋体" w:eastAsia="宋体" w:cs="宋体"/>
                <w:color w:val="auto"/>
                <w:szCs w:val="21"/>
                <w:lang w:eastAsia="zh-CN"/>
              </w:rPr>
            </w:pPr>
          </w:p>
        </w:tc>
        <w:tc>
          <w:tcPr>
            <w:tcW w:w="720" w:type="dxa"/>
            <w:noWrap w:val="0"/>
            <w:vAlign w:val="top"/>
          </w:tcPr>
          <w:p w14:paraId="5EA28F03">
            <w:pPr>
              <w:rPr>
                <w:rFonts w:hint="eastAsia" w:ascii="宋体" w:hAnsi="宋体" w:eastAsia="宋体" w:cs="宋体"/>
                <w:color w:val="auto"/>
                <w:szCs w:val="21"/>
                <w:lang w:eastAsia="zh-CN"/>
              </w:rPr>
            </w:pPr>
          </w:p>
        </w:tc>
        <w:tc>
          <w:tcPr>
            <w:tcW w:w="2172" w:type="dxa"/>
            <w:noWrap w:val="0"/>
            <w:vAlign w:val="top"/>
          </w:tcPr>
          <w:p w14:paraId="75AF779E">
            <w:pPr>
              <w:rPr>
                <w:rFonts w:hint="eastAsia" w:ascii="宋体" w:hAnsi="宋体" w:eastAsia="宋体" w:cs="宋体"/>
                <w:color w:val="auto"/>
                <w:szCs w:val="21"/>
                <w:lang w:eastAsia="zh-CN"/>
              </w:rPr>
            </w:pPr>
          </w:p>
        </w:tc>
        <w:tc>
          <w:tcPr>
            <w:tcW w:w="1985" w:type="dxa"/>
            <w:noWrap w:val="0"/>
            <w:vAlign w:val="top"/>
          </w:tcPr>
          <w:p w14:paraId="097F32A8">
            <w:pPr>
              <w:rPr>
                <w:rFonts w:hint="eastAsia" w:ascii="宋体" w:hAnsi="宋体" w:eastAsia="宋体" w:cs="宋体"/>
                <w:color w:val="auto"/>
                <w:szCs w:val="21"/>
                <w:lang w:eastAsia="zh-CN"/>
              </w:rPr>
            </w:pPr>
          </w:p>
        </w:tc>
        <w:tc>
          <w:tcPr>
            <w:tcW w:w="1168" w:type="dxa"/>
            <w:noWrap w:val="0"/>
            <w:vAlign w:val="top"/>
          </w:tcPr>
          <w:p w14:paraId="7B4ABADE">
            <w:pPr>
              <w:rPr>
                <w:rFonts w:hint="eastAsia" w:ascii="宋体" w:hAnsi="宋体" w:eastAsia="宋体" w:cs="宋体"/>
                <w:color w:val="auto"/>
                <w:szCs w:val="21"/>
                <w:lang w:eastAsia="zh-CN"/>
              </w:rPr>
            </w:pPr>
          </w:p>
        </w:tc>
        <w:tc>
          <w:tcPr>
            <w:tcW w:w="900" w:type="dxa"/>
            <w:noWrap w:val="0"/>
            <w:vAlign w:val="top"/>
          </w:tcPr>
          <w:p w14:paraId="4AC25A36">
            <w:pPr>
              <w:rPr>
                <w:rFonts w:hint="eastAsia" w:ascii="宋体" w:hAnsi="宋体" w:eastAsia="宋体" w:cs="宋体"/>
                <w:color w:val="auto"/>
                <w:szCs w:val="21"/>
                <w:lang w:eastAsia="zh-CN"/>
              </w:rPr>
            </w:pPr>
          </w:p>
        </w:tc>
        <w:tc>
          <w:tcPr>
            <w:tcW w:w="1168" w:type="dxa"/>
            <w:noWrap w:val="0"/>
            <w:vAlign w:val="top"/>
          </w:tcPr>
          <w:p w14:paraId="55998457">
            <w:pPr>
              <w:rPr>
                <w:rFonts w:hint="eastAsia" w:ascii="宋体" w:hAnsi="宋体" w:eastAsia="宋体" w:cs="宋体"/>
                <w:color w:val="auto"/>
                <w:szCs w:val="21"/>
                <w:lang w:eastAsia="zh-CN"/>
              </w:rPr>
            </w:pPr>
          </w:p>
        </w:tc>
      </w:tr>
      <w:tr w14:paraId="01E01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505461B6">
            <w:pPr>
              <w:rPr>
                <w:rFonts w:hint="eastAsia" w:ascii="宋体" w:hAnsi="宋体" w:eastAsia="宋体" w:cs="宋体"/>
                <w:color w:val="auto"/>
                <w:szCs w:val="21"/>
                <w:lang w:eastAsia="zh-CN"/>
              </w:rPr>
            </w:pPr>
          </w:p>
        </w:tc>
        <w:tc>
          <w:tcPr>
            <w:tcW w:w="1938" w:type="dxa"/>
            <w:noWrap w:val="0"/>
            <w:vAlign w:val="top"/>
          </w:tcPr>
          <w:p w14:paraId="4875F23C">
            <w:pPr>
              <w:rPr>
                <w:rFonts w:hint="eastAsia" w:ascii="宋体" w:hAnsi="宋体" w:eastAsia="宋体" w:cs="宋体"/>
                <w:color w:val="auto"/>
                <w:szCs w:val="21"/>
                <w:lang w:eastAsia="zh-CN"/>
              </w:rPr>
            </w:pPr>
          </w:p>
        </w:tc>
        <w:tc>
          <w:tcPr>
            <w:tcW w:w="720" w:type="dxa"/>
            <w:noWrap w:val="0"/>
            <w:vAlign w:val="top"/>
          </w:tcPr>
          <w:p w14:paraId="667F5480">
            <w:pPr>
              <w:rPr>
                <w:rFonts w:hint="eastAsia" w:ascii="宋体" w:hAnsi="宋体" w:eastAsia="宋体" w:cs="宋体"/>
                <w:color w:val="auto"/>
                <w:szCs w:val="21"/>
                <w:lang w:eastAsia="zh-CN"/>
              </w:rPr>
            </w:pPr>
          </w:p>
        </w:tc>
        <w:tc>
          <w:tcPr>
            <w:tcW w:w="2172" w:type="dxa"/>
            <w:noWrap w:val="0"/>
            <w:vAlign w:val="top"/>
          </w:tcPr>
          <w:p w14:paraId="0281FE3A">
            <w:pPr>
              <w:rPr>
                <w:rFonts w:hint="eastAsia" w:ascii="宋体" w:hAnsi="宋体" w:eastAsia="宋体" w:cs="宋体"/>
                <w:color w:val="auto"/>
                <w:szCs w:val="21"/>
                <w:lang w:eastAsia="zh-CN"/>
              </w:rPr>
            </w:pPr>
          </w:p>
        </w:tc>
        <w:tc>
          <w:tcPr>
            <w:tcW w:w="1985" w:type="dxa"/>
            <w:noWrap w:val="0"/>
            <w:vAlign w:val="top"/>
          </w:tcPr>
          <w:p w14:paraId="5911F766">
            <w:pPr>
              <w:rPr>
                <w:rFonts w:hint="eastAsia" w:ascii="宋体" w:hAnsi="宋体" w:eastAsia="宋体" w:cs="宋体"/>
                <w:color w:val="auto"/>
                <w:szCs w:val="21"/>
                <w:lang w:eastAsia="zh-CN"/>
              </w:rPr>
            </w:pPr>
          </w:p>
        </w:tc>
        <w:tc>
          <w:tcPr>
            <w:tcW w:w="1168" w:type="dxa"/>
            <w:noWrap w:val="0"/>
            <w:vAlign w:val="top"/>
          </w:tcPr>
          <w:p w14:paraId="12BC63FD">
            <w:pPr>
              <w:rPr>
                <w:rFonts w:hint="eastAsia" w:ascii="宋体" w:hAnsi="宋体" w:eastAsia="宋体" w:cs="宋体"/>
                <w:color w:val="auto"/>
                <w:szCs w:val="21"/>
                <w:lang w:eastAsia="zh-CN"/>
              </w:rPr>
            </w:pPr>
          </w:p>
        </w:tc>
        <w:tc>
          <w:tcPr>
            <w:tcW w:w="900" w:type="dxa"/>
            <w:noWrap w:val="0"/>
            <w:vAlign w:val="top"/>
          </w:tcPr>
          <w:p w14:paraId="33DDF3E7">
            <w:pPr>
              <w:rPr>
                <w:rFonts w:hint="eastAsia" w:ascii="宋体" w:hAnsi="宋体" w:eastAsia="宋体" w:cs="宋体"/>
                <w:color w:val="auto"/>
                <w:szCs w:val="21"/>
                <w:lang w:eastAsia="zh-CN"/>
              </w:rPr>
            </w:pPr>
          </w:p>
        </w:tc>
        <w:tc>
          <w:tcPr>
            <w:tcW w:w="1168" w:type="dxa"/>
            <w:noWrap w:val="0"/>
            <w:vAlign w:val="top"/>
          </w:tcPr>
          <w:p w14:paraId="392BE3DB">
            <w:pPr>
              <w:rPr>
                <w:rFonts w:hint="eastAsia" w:ascii="宋体" w:hAnsi="宋体" w:eastAsia="宋体" w:cs="宋体"/>
                <w:color w:val="auto"/>
                <w:szCs w:val="21"/>
                <w:lang w:eastAsia="zh-CN"/>
              </w:rPr>
            </w:pPr>
          </w:p>
        </w:tc>
      </w:tr>
    </w:tbl>
    <w:p w14:paraId="15C4BE60">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填表说明：</w:t>
      </w:r>
    </w:p>
    <w:p w14:paraId="1E2D7ECD">
      <w:pPr>
        <w:keepNext w:val="0"/>
        <w:keepLines w:val="0"/>
        <w:pageBreakBefore w:val="0"/>
        <w:widowControl w:val="0"/>
        <w:kinsoku/>
        <w:wordWrap/>
        <w:overflowPunct/>
        <w:topLinePunct w:val="0"/>
        <w:autoSpaceDE/>
        <w:autoSpaceDN/>
        <w:bidi w:val="0"/>
        <w:adjustRightInd/>
        <w:snapToGrid/>
        <w:spacing w:line="0" w:lineRule="atLeast"/>
        <w:ind w:firstLine="440" w:firstLineChars="2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cs="宋体"/>
          <w:color w:val="auto"/>
          <w:highlight w:val="none"/>
          <w:lang w:val="en-US" w:eastAsia="zh-CN"/>
        </w:rPr>
        <w:t>供应商</w:t>
      </w:r>
      <w:r>
        <w:rPr>
          <w:rFonts w:hint="eastAsia" w:ascii="宋体" w:hAnsi="宋体" w:eastAsia="宋体" w:cs="宋体"/>
          <w:color w:val="auto"/>
          <w:highlight w:val="none"/>
          <w:lang w:val="en-US" w:eastAsia="zh-CN"/>
        </w:rPr>
        <w:t>应根据</w:t>
      </w:r>
      <w:r>
        <w:rPr>
          <w:rFonts w:hint="eastAsia" w:ascii="宋体" w:hAnsi="宋体" w:cs="宋体"/>
          <w:color w:val="auto"/>
          <w:highlight w:val="none"/>
          <w:lang w:val="en-US" w:eastAsia="zh-CN"/>
        </w:rPr>
        <w:t>采购标的技术要求</w:t>
      </w:r>
      <w:r>
        <w:rPr>
          <w:rFonts w:hint="eastAsia" w:ascii="宋体" w:hAnsi="宋体" w:eastAsia="宋体" w:cs="宋体"/>
          <w:color w:val="auto"/>
          <w:highlight w:val="none"/>
          <w:lang w:val="en-US" w:eastAsia="zh-CN"/>
        </w:rPr>
        <w:t xml:space="preserve">、对照招标文件要求在“偏离情况”栏注明“正偏离”“负偏离”或“无偏离”。 </w:t>
      </w:r>
    </w:p>
    <w:p w14:paraId="42A39814">
      <w:pPr>
        <w:keepNext w:val="0"/>
        <w:keepLines w:val="0"/>
        <w:pageBreakBefore w:val="0"/>
        <w:widowControl w:val="0"/>
        <w:kinsoku/>
        <w:wordWrap/>
        <w:overflowPunct/>
        <w:topLinePunct w:val="0"/>
        <w:autoSpaceDE/>
        <w:autoSpaceDN/>
        <w:bidi w:val="0"/>
        <w:adjustRightInd/>
        <w:snapToGrid/>
        <w:spacing w:line="0" w:lineRule="atLeast"/>
        <w:ind w:firstLine="440" w:firstLineChars="200"/>
        <w:jc w:val="left"/>
        <w:textAlignment w:val="auto"/>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供应商</w:t>
      </w:r>
      <w:r>
        <w:rPr>
          <w:rFonts w:hint="eastAsia" w:ascii="宋体" w:hAnsi="宋体" w:eastAsia="宋体" w:cs="宋体"/>
          <w:color w:val="auto"/>
          <w:highlight w:val="none"/>
          <w:lang w:val="en-US" w:eastAsia="zh-CN"/>
        </w:rPr>
        <w:t>应</w:t>
      </w:r>
      <w:r>
        <w:rPr>
          <w:rFonts w:hint="eastAsia" w:ascii="宋体" w:hAnsi="宋体" w:cs="宋体"/>
          <w:color w:val="auto"/>
          <w:highlight w:val="none"/>
          <w:lang w:val="en-US" w:eastAsia="zh-CN"/>
        </w:rPr>
        <w:t>按招标文件技术</w:t>
      </w:r>
      <w:r>
        <w:rPr>
          <w:rFonts w:hint="eastAsia" w:ascii="宋体" w:hAnsi="宋体" w:eastAsia="宋体" w:cs="宋体"/>
          <w:color w:val="auto"/>
          <w:highlight w:val="none"/>
          <w:lang w:val="en-US" w:eastAsia="zh-CN"/>
        </w:rPr>
        <w:t>(服务)</w:t>
      </w:r>
      <w:r>
        <w:rPr>
          <w:rFonts w:hint="eastAsia" w:ascii="宋体" w:hAnsi="宋体" w:cs="宋体"/>
          <w:color w:val="auto"/>
          <w:highlight w:val="none"/>
          <w:lang w:val="en-US" w:eastAsia="zh-CN"/>
        </w:rPr>
        <w:t>参数要求逐条应答，招标文件要求提供证明材料的须按要求提供证明材料，否则视为不响应招标文件要求，该参数对应招标文件要求扣分。</w:t>
      </w:r>
    </w:p>
    <w:p w14:paraId="7E81DDDF">
      <w:pPr>
        <w:keepNext w:val="0"/>
        <w:keepLines w:val="0"/>
        <w:pageBreakBefore w:val="0"/>
        <w:widowControl w:val="0"/>
        <w:kinsoku/>
        <w:wordWrap/>
        <w:overflowPunct/>
        <w:topLinePunct w:val="0"/>
        <w:autoSpaceDE/>
        <w:autoSpaceDN/>
        <w:bidi w:val="0"/>
        <w:adjustRightInd/>
        <w:snapToGrid/>
        <w:spacing w:line="0" w:lineRule="atLeast"/>
        <w:ind w:firstLine="440" w:firstLineChars="200"/>
        <w:jc w:val="left"/>
        <w:textAlignment w:val="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（3）招标文件技术</w:t>
      </w:r>
      <w:r>
        <w:rPr>
          <w:rFonts w:hint="eastAsia" w:ascii="宋体" w:hAnsi="宋体" w:eastAsia="宋体" w:cs="宋体"/>
          <w:color w:val="auto"/>
          <w:highlight w:val="none"/>
          <w:lang w:val="en-US" w:eastAsia="zh-CN"/>
        </w:rPr>
        <w:t>(服务)</w:t>
      </w:r>
      <w:r>
        <w:rPr>
          <w:rFonts w:hint="eastAsia" w:ascii="宋体" w:hAnsi="宋体" w:cs="宋体"/>
          <w:color w:val="auto"/>
          <w:highlight w:val="none"/>
          <w:lang w:val="en-US" w:eastAsia="zh-CN"/>
        </w:rPr>
        <w:t>参数要求中</w:t>
      </w:r>
      <w:r>
        <w:rPr>
          <w:rFonts w:hint="eastAsia" w:ascii="宋体" w:hAnsi="宋体" w:eastAsia="宋体" w:cs="宋体"/>
          <w:color w:val="auto"/>
          <w:highlight w:val="none"/>
          <w:lang w:val="en-US" w:eastAsia="zh-CN"/>
        </w:rPr>
        <w:t>标注“▲”号的为重要技术(服务)参数，不满足将导致严重扣分。</w:t>
      </w:r>
    </w:p>
    <w:p w14:paraId="18DE5F72">
      <w:pPr>
        <w:keepNext w:val="0"/>
        <w:keepLines w:val="0"/>
        <w:pageBreakBefore w:val="0"/>
        <w:widowControl w:val="0"/>
        <w:kinsoku/>
        <w:wordWrap/>
        <w:overflowPunct/>
        <w:topLinePunct w:val="0"/>
        <w:autoSpaceDE/>
        <w:autoSpaceDN/>
        <w:bidi w:val="0"/>
        <w:adjustRightInd/>
        <w:snapToGrid/>
        <w:spacing w:line="0" w:lineRule="atLeast"/>
        <w:ind w:firstLine="442" w:firstLineChars="200"/>
        <w:jc w:val="left"/>
        <w:textAlignment w:val="auto"/>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（3）招标文件技术</w:t>
      </w:r>
      <w:r>
        <w:rPr>
          <w:rFonts w:hint="eastAsia" w:ascii="宋体" w:hAnsi="宋体" w:eastAsia="宋体" w:cs="宋体"/>
          <w:b/>
          <w:bCs/>
          <w:color w:val="auto"/>
          <w:highlight w:val="none"/>
          <w:lang w:val="en-US" w:eastAsia="zh-CN"/>
        </w:rPr>
        <w:t>(服务)</w:t>
      </w:r>
      <w:r>
        <w:rPr>
          <w:rFonts w:hint="eastAsia" w:ascii="宋体" w:hAnsi="宋体" w:cs="宋体"/>
          <w:b/>
          <w:bCs/>
          <w:color w:val="auto"/>
          <w:highlight w:val="none"/>
          <w:lang w:val="en-US" w:eastAsia="zh-CN"/>
        </w:rPr>
        <w:t>参数要求中</w:t>
      </w:r>
      <w:r>
        <w:rPr>
          <w:rFonts w:hint="eastAsia" w:ascii="宋体" w:hAnsi="宋体" w:eastAsia="宋体" w:cs="宋体"/>
          <w:b/>
          <w:bCs/>
          <w:color w:val="auto"/>
          <w:highlight w:val="none"/>
          <w:lang w:val="en-US" w:eastAsia="zh-CN"/>
        </w:rPr>
        <w:t>标注“★”号的为实质性技术(服务)参数，投标人必须全部响应</w:t>
      </w:r>
      <w:r>
        <w:rPr>
          <w:rFonts w:hint="eastAsia" w:ascii="宋体" w:hAnsi="宋体" w:cs="宋体"/>
          <w:b/>
          <w:bCs/>
          <w:color w:val="auto"/>
          <w:highlight w:val="none"/>
          <w:lang w:val="en-US" w:eastAsia="zh-CN"/>
        </w:rPr>
        <w:t>并逐条应答</w:t>
      </w:r>
      <w:r>
        <w:rPr>
          <w:rFonts w:hint="eastAsia" w:ascii="宋体" w:hAnsi="宋体" w:eastAsia="宋体" w:cs="宋体"/>
          <w:b/>
          <w:bCs/>
          <w:color w:val="auto"/>
          <w:highlight w:val="none"/>
          <w:lang w:val="en-US" w:eastAsia="zh-CN"/>
        </w:rPr>
        <w:t>，实质性技术(服务)参数要求提供证明材料的投标人须按招标文件要求提供证明材料，实质性技术(服务)参数不符合招标文件要求或未按招标文件要求提供证明材料的均视为不响应招标文件要求，作废标处理。</w:t>
      </w:r>
    </w:p>
    <w:p w14:paraId="2B94D75D">
      <w:pPr>
        <w:wordWrap w:val="0"/>
        <w:overflowPunct w:val="0"/>
        <w:topLinePunct/>
        <w:spacing w:line="360" w:lineRule="auto"/>
        <w:jc w:val="center"/>
        <w:rPr>
          <w:rFonts w:hint="eastAsia" w:ascii="宋体" w:hAnsi="宋体" w:eastAsia="宋体" w:cs="宋体"/>
          <w:b w:val="0"/>
          <w:bCs/>
          <w:color w:val="auto"/>
          <w:sz w:val="24"/>
          <w:lang w:eastAsia="zh-CN"/>
        </w:rPr>
      </w:pPr>
    </w:p>
    <w:p w14:paraId="3B1A7D03">
      <w:pPr>
        <w:wordWrap w:val="0"/>
        <w:overflowPunct w:val="0"/>
        <w:topLinePunct/>
        <w:spacing w:line="360" w:lineRule="auto"/>
        <w:jc w:val="center"/>
        <w:rPr>
          <w:rFonts w:hint="eastAsia" w:ascii="宋体" w:hAnsi="宋体" w:eastAsia="宋体" w:cs="宋体"/>
          <w:b w:val="0"/>
          <w:bCs/>
          <w:color w:val="auto"/>
          <w:sz w:val="24"/>
        </w:rPr>
      </w:pPr>
      <w:r>
        <w:rPr>
          <w:rFonts w:hint="eastAsia" w:ascii="宋体" w:hAnsi="宋体" w:cs="宋体"/>
          <w:b w:val="0"/>
          <w:bCs/>
          <w:color w:val="auto"/>
          <w:sz w:val="24"/>
          <w:lang w:eastAsia="zh-CN"/>
        </w:rPr>
        <w:t>供应商</w:t>
      </w:r>
      <w:r>
        <w:rPr>
          <w:rFonts w:hint="eastAsia" w:ascii="宋体" w:hAnsi="宋体" w:eastAsia="宋体" w:cs="宋体"/>
          <w:b w:val="0"/>
          <w:bCs/>
          <w:color w:val="auto"/>
          <w:sz w:val="24"/>
        </w:rPr>
        <w:t>：</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u w:val="single"/>
          <w:lang w:eastAsia="zh-CN"/>
        </w:rPr>
        <w:t>（</w:t>
      </w:r>
      <w:r>
        <w:rPr>
          <w:rFonts w:hint="eastAsia" w:ascii="宋体" w:hAnsi="宋体" w:eastAsia="宋体" w:cs="宋体"/>
          <w:color w:val="auto"/>
          <w:sz w:val="24"/>
        </w:rPr>
        <w:t>加盖电子公章</w:t>
      </w:r>
      <w:r>
        <w:rPr>
          <w:rFonts w:hint="eastAsia" w:ascii="宋体" w:hAnsi="宋体" w:eastAsia="宋体" w:cs="宋体"/>
          <w:b w:val="0"/>
          <w:bCs/>
          <w:color w:val="auto"/>
          <w:sz w:val="24"/>
          <w:lang w:eastAsia="zh-CN"/>
        </w:rPr>
        <w:t>）</w:t>
      </w:r>
    </w:p>
    <w:p w14:paraId="332E8CD8">
      <w:pPr>
        <w:wordWrap w:val="0"/>
        <w:overflowPunct w:val="0"/>
        <w:topLinePunct/>
        <w:spacing w:line="360" w:lineRule="auto"/>
        <w:jc w:val="center"/>
        <w:rPr>
          <w:rFonts w:hint="eastAsia" w:ascii="宋体" w:hAnsi="宋体" w:eastAsia="宋体" w:cs="宋体"/>
          <w:b w:val="0"/>
          <w:bCs/>
          <w:color w:val="auto"/>
          <w:sz w:val="24"/>
          <w:u w:val="single"/>
        </w:rPr>
      </w:pPr>
      <w:r>
        <w:rPr>
          <w:rFonts w:hint="eastAsia" w:ascii="宋体" w:hAnsi="宋体" w:eastAsia="宋体" w:cs="宋体"/>
          <w:b w:val="0"/>
          <w:bCs/>
          <w:color w:val="auto"/>
          <w:sz w:val="24"/>
        </w:rPr>
        <w:t>法定代表人（负责人）或授权委托人：</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（电子签章）</w:t>
      </w:r>
    </w:p>
    <w:p w14:paraId="52575353">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b w:val="0"/>
          <w:bCs/>
          <w:color w:val="auto"/>
          <w:sz w:val="24"/>
        </w:rPr>
        <w:sectPr>
          <w:pgSz w:w="11906" w:h="16838"/>
          <w:pgMar w:top="1440" w:right="1080" w:bottom="1440" w:left="1080" w:header="709" w:footer="596" w:gutter="0"/>
          <w:pgBorders>
            <w:top w:val="none" w:sz="0" w:space="0"/>
            <w:left w:val="none" w:sz="0" w:space="0"/>
            <w:bottom w:val="none" w:sz="0" w:space="0"/>
            <w:right w:val="none" w:sz="0" w:space="0"/>
          </w:pgBorders>
          <w:pgNumType w:fmt="decimal"/>
          <w:cols w:space="720" w:num="1"/>
          <w:titlePg/>
          <w:docGrid w:linePitch="299" w:charSpace="0"/>
        </w:sectPr>
      </w:pPr>
      <w:r>
        <w:rPr>
          <w:rFonts w:hint="eastAsia" w:ascii="宋体" w:hAnsi="宋体" w:eastAsia="宋体" w:cs="宋体"/>
          <w:b w:val="0"/>
          <w:bCs/>
          <w:color w:val="auto"/>
          <w:sz w:val="24"/>
        </w:rPr>
        <w:t>日期：</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年</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月</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日</w:t>
      </w:r>
    </w:p>
    <w:p w14:paraId="7FF48DB0">
      <w:pPr>
        <w:pStyle w:val="28"/>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附件（若有）：</w:t>
      </w:r>
    </w:p>
    <w:p w14:paraId="0CE36F65">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jc w:val="center"/>
        <w:textAlignment w:val="auto"/>
        <w:rPr>
          <w:rFonts w:hint="default" w:ascii="宋体" w:hAnsi="宋体" w:eastAsia="宋体" w:cs="宋体"/>
          <w:color w:val="auto"/>
          <w:sz w:val="24"/>
          <w:szCs w:val="24"/>
          <w:lang w:val="en-US" w:eastAsia="zh-CN"/>
        </w:rPr>
      </w:pPr>
      <w:r>
        <w:rPr>
          <w:rFonts w:hint="eastAsia" w:cs="宋体"/>
          <w:color w:val="auto"/>
          <w:sz w:val="32"/>
          <w:szCs w:val="32"/>
          <w:lang w:val="en-US" w:eastAsia="zh-CN"/>
        </w:rPr>
        <w:t>证明材料</w:t>
      </w:r>
    </w:p>
    <w:p w14:paraId="357082ED">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b/>
          <w:bCs/>
          <w:color w:val="auto"/>
          <w:sz w:val="24"/>
          <w:szCs w:val="24"/>
          <w:lang w:val="en-US" w:eastAsia="zh-CN"/>
        </w:rPr>
        <w:sectPr>
          <w:pgSz w:w="11906" w:h="16838"/>
          <w:pgMar w:top="1134" w:right="1134" w:bottom="1134" w:left="1134" w:header="709" w:footer="596"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宋体" w:hAnsi="宋体" w:eastAsia="宋体" w:cs="宋体"/>
          <w:color w:val="auto"/>
          <w:sz w:val="24"/>
          <w:szCs w:val="24"/>
        </w:rPr>
        <w:t>根据招标文件</w:t>
      </w:r>
      <w:r>
        <w:rPr>
          <w:rFonts w:hint="eastAsia" w:ascii="宋体" w:hAnsi="宋体" w:eastAsia="宋体" w:cs="宋体"/>
          <w:color w:val="auto"/>
          <w:sz w:val="24"/>
          <w:szCs w:val="24"/>
          <w:lang w:eastAsia="zh-CN"/>
        </w:rPr>
        <w:t>“第</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lang w:eastAsia="zh-CN"/>
        </w:rPr>
        <w:t>章</w:t>
      </w:r>
      <w:r>
        <w:rPr>
          <w:rFonts w:hint="eastAsia" w:ascii="宋体" w:hAnsi="宋体" w:eastAsia="宋体" w:cs="宋体"/>
          <w:color w:val="auto"/>
          <w:sz w:val="24"/>
          <w:szCs w:val="24"/>
          <w:lang w:val="en-US" w:eastAsia="zh-CN"/>
        </w:rPr>
        <w:t xml:space="preserve"> 采购需求及要求</w:t>
      </w:r>
      <w:r>
        <w:rPr>
          <w:rFonts w:hint="eastAsia" w:ascii="宋体" w:hAnsi="宋体" w:eastAsia="宋体" w:cs="宋体"/>
          <w:color w:val="auto"/>
          <w:sz w:val="24"/>
          <w:szCs w:val="24"/>
          <w:lang w:eastAsia="zh-CN"/>
        </w:rPr>
        <w:t>”</w:t>
      </w:r>
      <w:r>
        <w:rPr>
          <w:rFonts w:hint="eastAsia" w:ascii="宋体" w:hAnsi="宋体" w:cs="宋体"/>
          <w:color w:val="auto"/>
          <w:sz w:val="24"/>
          <w:szCs w:val="24"/>
          <w:lang w:val="en-US" w:eastAsia="zh-CN"/>
        </w:rPr>
        <w:t>提供相关证明材料</w:t>
      </w:r>
      <w:r>
        <w:rPr>
          <w:rFonts w:hint="eastAsia" w:ascii="宋体" w:hAnsi="宋体" w:cs="宋体"/>
          <w:color w:val="auto"/>
          <w:sz w:val="24"/>
          <w:szCs w:val="24"/>
          <w:lang w:eastAsia="zh-CN"/>
        </w:rPr>
        <w:t>，</w:t>
      </w:r>
      <w:r>
        <w:rPr>
          <w:rFonts w:hint="eastAsia" w:ascii="宋体" w:hAnsi="宋体" w:eastAsia="宋体" w:cs="宋体"/>
          <w:color w:val="auto"/>
          <w:sz w:val="24"/>
          <w:szCs w:val="24"/>
        </w:rPr>
        <w:t>格式由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自拟。</w:t>
      </w:r>
    </w:p>
    <w:p w14:paraId="51766F40">
      <w:pPr>
        <w:pStyle w:val="4"/>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bCs/>
          <w:color w:val="auto"/>
          <w:szCs w:val="30"/>
          <w:lang w:eastAsia="zh-CN"/>
        </w:rPr>
      </w:pPr>
      <w:bookmarkStart w:id="1865" w:name="_Toc12948"/>
      <w:bookmarkStart w:id="1866" w:name="_Toc12564"/>
      <w:bookmarkStart w:id="1867" w:name="_Toc11374"/>
      <w:r>
        <w:rPr>
          <w:rFonts w:hint="eastAsia" w:ascii="宋体" w:hAnsi="宋体" w:cs="宋体"/>
          <w:color w:val="auto"/>
          <w:lang w:val="en-US" w:eastAsia="zh-CN"/>
        </w:rPr>
        <w:t>二</w:t>
      </w:r>
      <w:r>
        <w:rPr>
          <w:rFonts w:hint="eastAsia" w:ascii="宋体" w:hAnsi="宋体" w:eastAsia="宋体" w:cs="宋体"/>
          <w:color w:val="auto"/>
          <w:lang w:val="en-US" w:eastAsia="zh-CN"/>
        </w:rPr>
        <w:t>、</w:t>
      </w:r>
      <w:r>
        <w:rPr>
          <w:rFonts w:hint="eastAsia" w:ascii="宋体" w:hAnsi="宋体" w:eastAsia="宋体" w:cs="宋体"/>
          <w:color w:val="auto"/>
          <w:lang w:eastAsia="zh-CN"/>
        </w:rPr>
        <w:t>廉洁承诺书</w:t>
      </w:r>
      <w:bookmarkEnd w:id="1865"/>
      <w:bookmarkEnd w:id="1866"/>
      <w:bookmarkEnd w:id="1867"/>
      <w:r>
        <w:rPr>
          <w:rFonts w:hint="eastAsia" w:ascii="宋体" w:hAnsi="宋体" w:eastAsia="宋体" w:cs="宋体"/>
          <w:color w:val="auto"/>
          <w:lang w:val="en-US" w:eastAsia="zh-CN"/>
        </w:rPr>
        <w:t>（实质性格式）</w:t>
      </w:r>
    </w:p>
    <w:p w14:paraId="0585F10F">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color w:val="auto"/>
          <w:sz w:val="30"/>
          <w:szCs w:val="30"/>
          <w:lang w:eastAsia="zh-CN"/>
        </w:rPr>
      </w:pPr>
    </w:p>
    <w:p w14:paraId="3010C228">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bCs/>
          <w:color w:val="auto"/>
          <w:spacing w:val="40"/>
          <w:sz w:val="32"/>
          <w:szCs w:val="28"/>
          <w:lang w:eastAsia="zh-CN"/>
        </w:rPr>
      </w:pPr>
    </w:p>
    <w:p w14:paraId="135833C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本企业参与</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rPr>
        <w:t>项目编号</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，现做如下承诺：</w:t>
      </w:r>
    </w:p>
    <w:p w14:paraId="29A1025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1、所提供的一切材料都是真实、有效、合法的。</w:t>
      </w:r>
    </w:p>
    <w:p w14:paraId="1B16779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2、不与其他</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串通投标，不损害采购人或其他</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的合法权益。</w:t>
      </w:r>
    </w:p>
    <w:p w14:paraId="0B5AA03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3、不转让、出租、出借资质证书、人员岗位证书或以其他方式允许他人以本企业名义投标。</w:t>
      </w:r>
    </w:p>
    <w:p w14:paraId="1690A27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4、不与采购人或采购代理机构串通投标，损害国家利益、社会公共利益或者他人的合法权益。</w:t>
      </w:r>
    </w:p>
    <w:p w14:paraId="64F981B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5、不向采购人、</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委员会成员、监督人员行贿。</w:t>
      </w:r>
    </w:p>
    <w:p w14:paraId="7FFDAEB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6、不扰乱招标投标活动正常秩序。</w:t>
      </w:r>
    </w:p>
    <w:p w14:paraId="000495A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7、不进行虚假恶意投诉。</w:t>
      </w:r>
    </w:p>
    <w:p w14:paraId="7547992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8、因违反法律法规、规章被查处的，不干预案件查处。</w:t>
      </w:r>
    </w:p>
    <w:p w14:paraId="07AAC97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如出现上述行为，本</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自愿承担相关责任，接受招标投标监督管理部门、纪检监察部门或司法机关调查处理。给采购人造成损失的，依法承担赔偿责任。</w:t>
      </w:r>
    </w:p>
    <w:p w14:paraId="6A41E879">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78914C51">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11C24388">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7B25E804">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320E141B">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740F94B2">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16BC46B7">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10749F49">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1AD4D623">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573A4517">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4B6DD6CC">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lang w:eastAsia="zh-CN"/>
        </w:rPr>
      </w:pPr>
    </w:p>
    <w:p w14:paraId="53B32A5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p>
    <w:p w14:paraId="0A8144A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21B6C19A">
      <w:pPr>
        <w:pStyle w:val="4"/>
        <w:keepNext w:val="0"/>
        <w:keepLines w:val="0"/>
        <w:pageBreakBefore w:val="0"/>
        <w:widowControl w:val="0"/>
        <w:kinsoku/>
        <w:wordWrap w:val="0"/>
        <w:overflowPunct w:val="0"/>
        <w:topLinePunct/>
        <w:autoSpaceDE/>
        <w:autoSpaceDN/>
        <w:bidi w:val="0"/>
        <w:adjustRightInd/>
        <w:snapToGrid/>
        <w:spacing w:line="360" w:lineRule="auto"/>
        <w:jc w:val="center"/>
        <w:outlineLvl w:val="1"/>
        <w:rPr>
          <w:rFonts w:hint="eastAsia" w:ascii="宋体" w:hAnsi="宋体" w:eastAsia="宋体" w:cs="宋体"/>
          <w:b w:val="0"/>
          <w:bCs w:val="0"/>
          <w:color w:val="auto"/>
          <w:sz w:val="32"/>
          <w:szCs w:val="32"/>
          <w:lang w:val="en-US" w:eastAsia="zh-CN"/>
        </w:rPr>
      </w:pPr>
      <w:r>
        <w:rPr>
          <w:rFonts w:hint="eastAsia" w:ascii="宋体" w:hAnsi="宋体" w:eastAsia="宋体" w:cs="宋体"/>
          <w:b w:val="0"/>
          <w:bCs w:val="0"/>
          <w:color w:val="auto"/>
          <w:sz w:val="24"/>
          <w:szCs w:val="24"/>
          <w:lang w:eastAsia="zh-CN"/>
        </w:rPr>
        <w:t>日期：</w:t>
      </w:r>
      <w:r>
        <w:rPr>
          <w:rFonts w:hint="eastAsia" w:ascii="宋体" w:hAnsi="宋体" w:eastAsia="宋体" w:cs="宋体"/>
          <w:b w:val="0"/>
          <w:bCs w:val="0"/>
          <w:color w:val="auto"/>
          <w:sz w:val="24"/>
          <w:szCs w:val="24"/>
          <w:u w:val="single"/>
          <w:lang w:eastAsia="zh-CN"/>
        </w:rPr>
        <w:t xml:space="preserve">     </w:t>
      </w:r>
      <w:r>
        <w:rPr>
          <w:rFonts w:hint="eastAsia" w:ascii="宋体" w:hAnsi="宋体" w:eastAsia="宋体" w:cs="宋体"/>
          <w:b w:val="0"/>
          <w:bCs w:val="0"/>
          <w:color w:val="auto"/>
          <w:sz w:val="24"/>
          <w:szCs w:val="24"/>
          <w:lang w:eastAsia="zh-CN"/>
        </w:rPr>
        <w:t>年</w:t>
      </w:r>
      <w:r>
        <w:rPr>
          <w:rFonts w:hint="eastAsia" w:ascii="宋体" w:hAnsi="宋体" w:eastAsia="宋体" w:cs="宋体"/>
          <w:b w:val="0"/>
          <w:bCs w:val="0"/>
          <w:color w:val="auto"/>
          <w:sz w:val="24"/>
          <w:szCs w:val="24"/>
          <w:u w:val="single"/>
          <w:lang w:eastAsia="zh-CN"/>
        </w:rPr>
        <w:t xml:space="preserve">     </w:t>
      </w:r>
      <w:r>
        <w:rPr>
          <w:rFonts w:hint="eastAsia" w:ascii="宋体" w:hAnsi="宋体" w:eastAsia="宋体" w:cs="宋体"/>
          <w:b w:val="0"/>
          <w:bCs w:val="0"/>
          <w:color w:val="auto"/>
          <w:sz w:val="24"/>
          <w:szCs w:val="24"/>
          <w:lang w:eastAsia="zh-CN"/>
        </w:rPr>
        <w:t>月</w:t>
      </w:r>
      <w:r>
        <w:rPr>
          <w:rFonts w:hint="eastAsia" w:ascii="宋体" w:hAnsi="宋体" w:eastAsia="宋体" w:cs="宋体"/>
          <w:b w:val="0"/>
          <w:bCs w:val="0"/>
          <w:color w:val="auto"/>
          <w:sz w:val="24"/>
          <w:szCs w:val="24"/>
          <w:u w:val="single"/>
          <w:lang w:eastAsia="zh-CN"/>
        </w:rPr>
        <w:t xml:space="preserve">     </w:t>
      </w:r>
      <w:r>
        <w:rPr>
          <w:rFonts w:hint="eastAsia" w:ascii="宋体" w:hAnsi="宋体" w:eastAsia="宋体" w:cs="宋体"/>
          <w:b w:val="0"/>
          <w:bCs w:val="0"/>
          <w:color w:val="auto"/>
          <w:sz w:val="24"/>
          <w:szCs w:val="24"/>
          <w:lang w:eastAsia="zh-CN"/>
        </w:rPr>
        <w:t>日</w:t>
      </w:r>
    </w:p>
    <w:p w14:paraId="2781978A">
      <w:pPr>
        <w:pStyle w:val="4"/>
        <w:keepNext w:val="0"/>
        <w:keepLines w:val="0"/>
        <w:pageBreakBefore w:val="0"/>
        <w:widowControl w:val="0"/>
        <w:kinsoku/>
        <w:wordWrap w:val="0"/>
        <w:overflowPunct w:val="0"/>
        <w:topLinePunct/>
        <w:autoSpaceDE/>
        <w:autoSpaceDN/>
        <w:bidi w:val="0"/>
        <w:adjustRightInd/>
        <w:snapToGrid/>
        <w:spacing w:line="360" w:lineRule="auto"/>
        <w:jc w:val="center"/>
        <w:outlineLvl w:val="1"/>
        <w:rPr>
          <w:rFonts w:hint="eastAsia" w:ascii="宋体" w:hAnsi="宋体" w:eastAsia="宋体" w:cs="宋体"/>
          <w:color w:val="auto"/>
          <w:sz w:val="32"/>
          <w:szCs w:val="32"/>
          <w:lang w:val="en-US" w:eastAsia="zh-CN"/>
        </w:rPr>
      </w:pPr>
    </w:p>
    <w:p w14:paraId="5A17A99B">
      <w:pPr>
        <w:pStyle w:val="4"/>
        <w:keepNext w:val="0"/>
        <w:keepLines w:val="0"/>
        <w:pageBreakBefore w:val="0"/>
        <w:widowControl w:val="0"/>
        <w:kinsoku/>
        <w:wordWrap w:val="0"/>
        <w:overflowPunct w:val="0"/>
        <w:topLinePunct/>
        <w:autoSpaceDE/>
        <w:autoSpaceDN/>
        <w:bidi w:val="0"/>
        <w:adjustRightInd/>
        <w:snapToGrid/>
        <w:spacing w:line="360" w:lineRule="auto"/>
        <w:jc w:val="center"/>
        <w:outlineLvl w:val="1"/>
        <w:rPr>
          <w:rFonts w:hint="eastAsia" w:ascii="宋体" w:hAnsi="宋体" w:eastAsia="宋体" w:cs="宋体"/>
          <w:color w:val="auto"/>
          <w:sz w:val="32"/>
          <w:szCs w:val="32"/>
          <w:lang w:val="en-US" w:eastAsia="zh-CN"/>
        </w:rPr>
      </w:pPr>
    </w:p>
    <w:p w14:paraId="263F3D91">
      <w:pPr>
        <w:rPr>
          <w:rFonts w:hint="eastAsia" w:ascii="宋体" w:hAnsi="宋体" w:cs="宋体"/>
          <w:color w:val="auto"/>
          <w:sz w:val="32"/>
          <w:szCs w:val="32"/>
          <w:lang w:val="en-US" w:eastAsia="zh-CN"/>
        </w:rPr>
      </w:pPr>
      <w:r>
        <w:rPr>
          <w:rFonts w:hint="eastAsia" w:ascii="宋体" w:hAnsi="宋体" w:cs="宋体"/>
          <w:color w:val="auto"/>
          <w:sz w:val="32"/>
          <w:szCs w:val="32"/>
          <w:lang w:val="en-US" w:eastAsia="zh-CN"/>
        </w:rPr>
        <w:br w:type="page"/>
      </w:r>
    </w:p>
    <w:p w14:paraId="2CB5CE10">
      <w:pPr>
        <w:pStyle w:val="4"/>
        <w:keepNext w:val="0"/>
        <w:keepLines w:val="0"/>
        <w:pageBreakBefore w:val="0"/>
        <w:widowControl w:val="0"/>
        <w:kinsoku/>
        <w:wordWrap w:val="0"/>
        <w:overflowPunct w:val="0"/>
        <w:topLinePunct/>
        <w:autoSpaceDE/>
        <w:autoSpaceDN/>
        <w:bidi w:val="0"/>
        <w:adjustRightInd/>
        <w:snapToGrid/>
        <w:spacing w:line="360" w:lineRule="auto"/>
        <w:jc w:val="center"/>
        <w:outlineLvl w:val="1"/>
        <w:rPr>
          <w:rFonts w:hint="eastAsia" w:ascii="宋体" w:hAnsi="宋体" w:eastAsia="宋体" w:cs="宋体"/>
          <w:b/>
          <w:bCs/>
          <w:color w:val="auto"/>
          <w:spacing w:val="40"/>
          <w:sz w:val="32"/>
          <w:szCs w:val="28"/>
          <w:lang w:eastAsia="zh-CN"/>
        </w:rPr>
      </w:pPr>
      <w:r>
        <w:rPr>
          <w:rFonts w:hint="eastAsia" w:ascii="宋体" w:hAnsi="宋体" w:cs="宋体"/>
          <w:color w:val="auto"/>
          <w:sz w:val="32"/>
          <w:szCs w:val="32"/>
          <w:lang w:val="en-US" w:eastAsia="zh-CN"/>
        </w:rPr>
        <w:t>三</w:t>
      </w:r>
      <w:r>
        <w:rPr>
          <w:rFonts w:hint="eastAsia" w:ascii="宋体" w:hAnsi="宋体" w:eastAsia="宋体" w:cs="宋体"/>
          <w:color w:val="auto"/>
          <w:sz w:val="32"/>
          <w:szCs w:val="32"/>
          <w:lang w:val="en-US" w:eastAsia="zh-CN"/>
        </w:rPr>
        <w:t>、知识产权声明函（实质性格式）</w:t>
      </w:r>
    </w:p>
    <w:p w14:paraId="4A7EDE3E">
      <w:pPr>
        <w:keepNext w:val="0"/>
        <w:keepLines w:val="0"/>
        <w:pageBreakBefore w:val="0"/>
        <w:widowControl w:val="0"/>
        <w:kinsoku/>
        <w:wordWrap w:val="0"/>
        <w:overflowPunct w:val="0"/>
        <w:topLinePunct/>
        <w:autoSpaceDE/>
        <w:autoSpaceDN/>
        <w:bidi w:val="0"/>
        <w:adjustRightInd/>
        <w:snapToGrid/>
        <w:spacing w:line="520" w:lineRule="exact"/>
        <w:jc w:val="left"/>
        <w:rPr>
          <w:rFonts w:hint="eastAsia" w:ascii="宋体" w:hAnsi="宋体" w:eastAsia="宋体" w:cs="宋体"/>
          <w:color w:val="auto"/>
          <w:sz w:val="24"/>
          <w:szCs w:val="24"/>
          <w:lang w:eastAsia="zh-CN"/>
        </w:rPr>
      </w:pPr>
      <w:r>
        <w:rPr>
          <w:rFonts w:hint="eastAsia" w:ascii="宋体" w:hAnsi="宋体" w:cs="宋体"/>
          <w:color w:val="auto"/>
          <w:sz w:val="24"/>
          <w:szCs w:val="24"/>
          <w:u w:val="single"/>
          <w:lang w:val="en-US" w:eastAsia="zh-CN"/>
        </w:rPr>
        <w:t>南华县人民医院</w:t>
      </w:r>
      <w:r>
        <w:rPr>
          <w:rFonts w:hint="eastAsia" w:ascii="宋体" w:hAnsi="宋体" w:eastAsia="宋体" w:cs="宋体"/>
          <w:color w:val="auto"/>
          <w:sz w:val="24"/>
          <w:szCs w:val="24"/>
          <w:lang w:eastAsia="zh-CN"/>
        </w:rPr>
        <w:t>：</w:t>
      </w:r>
    </w:p>
    <w:p w14:paraId="0A14CC5C">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我公司</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eastAsia="zh-CN"/>
        </w:rPr>
        <w:t>供应商</w:t>
      </w:r>
      <w:r>
        <w:rPr>
          <w:rFonts w:hint="eastAsia" w:ascii="宋体" w:hAnsi="宋体" w:eastAsia="宋体" w:cs="宋体"/>
          <w:color w:val="auto"/>
          <w:sz w:val="24"/>
          <w:szCs w:val="24"/>
          <w:u w:val="single"/>
          <w:lang w:eastAsia="zh-CN"/>
        </w:rPr>
        <w:t>名称）</w:t>
      </w:r>
      <w:r>
        <w:rPr>
          <w:rFonts w:hint="eastAsia" w:ascii="宋体" w:hAnsi="宋体" w:eastAsia="宋体" w:cs="宋体"/>
          <w:color w:val="auto"/>
          <w:sz w:val="24"/>
          <w:szCs w:val="24"/>
          <w:lang w:eastAsia="zh-CN"/>
        </w:rPr>
        <w:t>已详细阅读了</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highlight w:val="none"/>
          <w:u w:val="single"/>
          <w:lang w:val="en-US" w:eastAsia="zh-CN"/>
        </w:rPr>
        <w:t xml:space="preserve"> 公开招标 </w:t>
      </w:r>
      <w:r>
        <w:rPr>
          <w:rFonts w:hint="eastAsia" w:ascii="宋体" w:hAnsi="宋体" w:eastAsia="宋体" w:cs="宋体"/>
          <w:color w:val="auto"/>
          <w:sz w:val="24"/>
          <w:highlight w:val="none"/>
          <w:lang w:val="en-US" w:eastAsia="zh-CN"/>
        </w:rPr>
        <w:t>采购活动</w:t>
      </w:r>
      <w:r>
        <w:rPr>
          <w:rFonts w:hint="eastAsia" w:ascii="宋体" w:hAnsi="宋体" w:eastAsia="宋体" w:cs="宋体"/>
          <w:color w:val="auto"/>
          <w:sz w:val="24"/>
          <w:szCs w:val="24"/>
          <w:lang w:eastAsia="zh-CN"/>
        </w:rPr>
        <w:t>，现承诺声明：</w:t>
      </w:r>
    </w:p>
    <w:p w14:paraId="386DD344">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本单位保证在本项目使用的任何产品和服务（包括部分使用）时，不会产生因第三方提出侵犯其专利权、商标权或其他知识产权而引起的法律和经济纠纷，如因专利权、商标权或其他知识产权而引起法律和经济纠纷，由本单位承担所有相关责任。</w:t>
      </w:r>
    </w:p>
    <w:p w14:paraId="62C5D18F">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w:t>
      </w:r>
      <w:r>
        <w:rPr>
          <w:rFonts w:hint="eastAsia" w:ascii="宋体" w:hAnsi="宋体" w:cs="宋体"/>
          <w:color w:val="auto"/>
          <w:sz w:val="24"/>
          <w:szCs w:val="24"/>
          <w:lang w:eastAsia="zh-CN"/>
        </w:rPr>
        <w:t>采购人</w:t>
      </w:r>
      <w:r>
        <w:rPr>
          <w:rFonts w:hint="eastAsia" w:ascii="宋体" w:hAnsi="宋体" w:eastAsia="宋体" w:cs="宋体"/>
          <w:color w:val="auto"/>
          <w:sz w:val="24"/>
          <w:szCs w:val="24"/>
          <w:lang w:eastAsia="zh-CN"/>
        </w:rPr>
        <w:t>享有本项目实施过程中产生的知识成果及知识产权。</w:t>
      </w:r>
    </w:p>
    <w:p w14:paraId="6EEA6797">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（三）本单位声明如果在项目实施过程中涉及采用自有知识成果，本单位提供使用自有知识成果的相关资料并为其真实性单独负责，在使用该知识成果后，本单位提供开发接口和开发手册等技术文档给</w:t>
      </w:r>
      <w:r>
        <w:rPr>
          <w:rFonts w:hint="eastAsia" w:ascii="宋体" w:hAnsi="宋体" w:cs="宋体"/>
          <w:color w:val="auto"/>
          <w:sz w:val="24"/>
          <w:szCs w:val="24"/>
          <w:lang w:eastAsia="zh-CN"/>
        </w:rPr>
        <w:t>采购人</w:t>
      </w:r>
      <w:r>
        <w:rPr>
          <w:rFonts w:hint="eastAsia" w:ascii="宋体" w:hAnsi="宋体" w:eastAsia="宋体" w:cs="宋体"/>
          <w:color w:val="auto"/>
          <w:sz w:val="24"/>
          <w:szCs w:val="24"/>
          <w:lang w:eastAsia="zh-CN"/>
        </w:rPr>
        <w:t>，并承诺提供无限期技术支持，</w:t>
      </w:r>
      <w:r>
        <w:rPr>
          <w:rFonts w:hint="eastAsia" w:ascii="宋体" w:hAnsi="宋体" w:cs="宋体"/>
          <w:color w:val="auto"/>
          <w:sz w:val="24"/>
          <w:szCs w:val="24"/>
          <w:lang w:eastAsia="zh-CN"/>
        </w:rPr>
        <w:t>采购人</w:t>
      </w:r>
      <w:r>
        <w:rPr>
          <w:rFonts w:hint="eastAsia" w:ascii="宋体" w:hAnsi="宋体" w:eastAsia="宋体" w:cs="宋体"/>
          <w:color w:val="auto"/>
          <w:sz w:val="24"/>
          <w:szCs w:val="24"/>
          <w:lang w:eastAsia="zh-CN"/>
        </w:rPr>
        <w:t>享有永久使用权（含</w:t>
      </w:r>
      <w:r>
        <w:rPr>
          <w:rFonts w:hint="eastAsia" w:ascii="宋体" w:hAnsi="宋体" w:cs="宋体"/>
          <w:color w:val="auto"/>
          <w:sz w:val="24"/>
          <w:szCs w:val="24"/>
          <w:lang w:eastAsia="zh-CN"/>
        </w:rPr>
        <w:t>采购人</w:t>
      </w:r>
      <w:r>
        <w:rPr>
          <w:rFonts w:hint="eastAsia" w:ascii="宋体" w:hAnsi="宋体" w:eastAsia="宋体" w:cs="宋体"/>
          <w:color w:val="auto"/>
          <w:sz w:val="24"/>
          <w:szCs w:val="24"/>
          <w:lang w:eastAsia="zh-CN"/>
        </w:rPr>
        <w:t>委托第三方在该项目后续开发的使用权）。</w:t>
      </w:r>
    </w:p>
    <w:p w14:paraId="78067346">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（四）如采用本单位所拥有的知识产权，本单位承诺在本项目投标报价中已经包括合法获取该知识产权的相关费用。</w:t>
      </w:r>
    </w:p>
    <w:p w14:paraId="408C6529">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本公司对上述承诺声明内容和事项真实性负责。如经查实上述承诺声明的内容事项存在虚假或未履行，本单位愿意接受以提供虚假材料谋取中标追究法律责任。</w:t>
      </w:r>
    </w:p>
    <w:p w14:paraId="775FD90D">
      <w:pPr>
        <w:pStyle w:val="684"/>
        <w:keepNext w:val="0"/>
        <w:keepLines w:val="0"/>
        <w:pageBreakBefore w:val="0"/>
        <w:widowControl w:val="0"/>
        <w:kinsoku/>
        <w:wordWrap w:val="0"/>
        <w:overflowPunct w:val="0"/>
        <w:topLinePunct/>
        <w:autoSpaceDE/>
        <w:autoSpaceDN/>
        <w:bidi w:val="0"/>
        <w:adjustRightInd/>
        <w:snapToGrid/>
        <w:ind w:left="0" w:leftChars="0" w:firstLine="0" w:firstLineChars="0"/>
        <w:rPr>
          <w:rFonts w:hint="eastAsia" w:ascii="宋体" w:hAnsi="宋体" w:eastAsia="宋体" w:cs="宋体"/>
          <w:color w:val="auto"/>
          <w:sz w:val="24"/>
          <w:szCs w:val="24"/>
          <w:lang w:eastAsia="zh-CN"/>
        </w:rPr>
      </w:pPr>
    </w:p>
    <w:p w14:paraId="5CD48C0A">
      <w:pPr>
        <w:pStyle w:val="684"/>
        <w:keepNext w:val="0"/>
        <w:keepLines w:val="0"/>
        <w:pageBreakBefore w:val="0"/>
        <w:widowControl w:val="0"/>
        <w:kinsoku/>
        <w:wordWrap w:val="0"/>
        <w:overflowPunct w:val="0"/>
        <w:topLinePunct/>
        <w:autoSpaceDE/>
        <w:autoSpaceDN/>
        <w:bidi w:val="0"/>
        <w:adjustRightInd/>
        <w:snapToGrid/>
        <w:ind w:left="0" w:leftChars="0" w:firstLine="0" w:firstLineChars="0"/>
        <w:rPr>
          <w:rFonts w:hint="eastAsia" w:ascii="宋体" w:hAnsi="宋体" w:eastAsia="宋体" w:cs="宋体"/>
          <w:color w:val="auto"/>
          <w:sz w:val="24"/>
          <w:szCs w:val="24"/>
          <w:lang w:eastAsia="zh-CN"/>
        </w:rPr>
      </w:pPr>
    </w:p>
    <w:p w14:paraId="66FC60CF">
      <w:pPr>
        <w:pStyle w:val="684"/>
        <w:keepNext w:val="0"/>
        <w:keepLines w:val="0"/>
        <w:pageBreakBefore w:val="0"/>
        <w:widowControl w:val="0"/>
        <w:kinsoku/>
        <w:wordWrap w:val="0"/>
        <w:overflowPunct w:val="0"/>
        <w:topLinePunct/>
        <w:autoSpaceDE/>
        <w:autoSpaceDN/>
        <w:bidi w:val="0"/>
        <w:adjustRightInd/>
        <w:snapToGrid/>
        <w:ind w:left="0" w:leftChars="0" w:firstLine="0" w:firstLineChars="0"/>
        <w:rPr>
          <w:rFonts w:hint="eastAsia" w:ascii="宋体" w:hAnsi="宋体" w:eastAsia="宋体" w:cs="宋体"/>
          <w:color w:val="auto"/>
          <w:sz w:val="24"/>
          <w:szCs w:val="24"/>
          <w:lang w:eastAsia="zh-CN"/>
        </w:rPr>
      </w:pPr>
    </w:p>
    <w:p w14:paraId="128FF477">
      <w:pPr>
        <w:pStyle w:val="684"/>
        <w:keepNext w:val="0"/>
        <w:keepLines w:val="0"/>
        <w:pageBreakBefore w:val="0"/>
        <w:widowControl w:val="0"/>
        <w:kinsoku/>
        <w:wordWrap w:val="0"/>
        <w:overflowPunct w:val="0"/>
        <w:topLinePunct/>
        <w:autoSpaceDE/>
        <w:autoSpaceDN/>
        <w:bidi w:val="0"/>
        <w:adjustRightInd/>
        <w:snapToGrid/>
        <w:rPr>
          <w:rFonts w:hint="eastAsia" w:ascii="宋体" w:hAnsi="宋体" w:eastAsia="宋体" w:cs="宋体"/>
          <w:color w:val="auto"/>
          <w:sz w:val="24"/>
          <w:szCs w:val="24"/>
          <w:lang w:eastAsia="zh-CN"/>
        </w:rPr>
      </w:pPr>
    </w:p>
    <w:p w14:paraId="098288F8">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74383A0A">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1A92E13C">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sectPr>
          <w:pgSz w:w="11906" w:h="16838"/>
          <w:pgMar w:top="1440" w:right="1080" w:bottom="1440" w:left="1080" w:header="709" w:footer="596" w:gutter="0"/>
          <w:pgBorders>
            <w:top w:val="none" w:sz="0" w:space="0"/>
            <w:left w:val="none" w:sz="0" w:space="0"/>
            <w:bottom w:val="none" w:sz="0" w:space="0"/>
            <w:right w:val="none" w:sz="0" w:space="0"/>
          </w:pgBorders>
          <w:pgNumType w:fmt="decimal"/>
          <w:cols w:space="720" w:num="1"/>
          <w:titlePg/>
          <w:docGrid w:linePitch="299" w:charSpace="0"/>
        </w:sect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r>
        <w:rPr>
          <w:rFonts w:hint="eastAsia" w:ascii="宋体" w:hAnsi="宋体" w:eastAsia="宋体" w:cs="宋体"/>
          <w:color w:val="auto"/>
          <w:sz w:val="18"/>
          <w:szCs w:val="18"/>
          <w:lang w:eastAsia="zh-CN"/>
        </w:rPr>
        <w:br w:type="page"/>
      </w:r>
    </w:p>
    <w:p w14:paraId="05AE4AD1">
      <w:pPr>
        <w:pStyle w:val="36"/>
        <w:keepNext w:val="0"/>
        <w:keepLines w:val="0"/>
        <w:pageBreakBefore w:val="0"/>
        <w:widowControl w:val="0"/>
        <w:kinsoku/>
        <w:wordWrap w:val="0"/>
        <w:overflowPunct w:val="0"/>
        <w:topLinePunct/>
        <w:autoSpaceDE/>
        <w:autoSpaceDN/>
        <w:bidi w:val="0"/>
        <w:adjustRightInd/>
        <w:snapToGrid/>
        <w:spacing w:line="360" w:lineRule="auto"/>
        <w:jc w:val="center"/>
        <w:outlineLvl w:val="2"/>
        <w:rPr>
          <w:rFonts w:hint="eastAsia" w:ascii="宋体" w:hAnsi="宋体" w:eastAsia="宋体" w:cs="宋体"/>
          <w:b/>
          <w:color w:val="auto"/>
          <w:sz w:val="28"/>
          <w:szCs w:val="28"/>
        </w:rPr>
      </w:pPr>
      <w:r>
        <w:rPr>
          <w:rStyle w:val="685"/>
          <w:rFonts w:hint="eastAsia" w:hAnsi="宋体" w:cs="宋体"/>
          <w:color w:val="auto"/>
          <w:sz w:val="32"/>
          <w:szCs w:val="32"/>
          <w:lang w:val="en-US"/>
        </w:rPr>
        <w:t>四</w:t>
      </w:r>
      <w:r>
        <w:rPr>
          <w:rStyle w:val="685"/>
          <w:rFonts w:hint="eastAsia" w:ascii="宋体" w:hAnsi="宋体" w:eastAsia="宋体" w:cs="宋体"/>
          <w:color w:val="auto"/>
          <w:sz w:val="32"/>
          <w:szCs w:val="32"/>
          <w:lang w:val="en-US"/>
        </w:rPr>
        <w:t>、</w:t>
      </w:r>
      <w:r>
        <w:rPr>
          <w:rStyle w:val="685"/>
          <w:rFonts w:hint="eastAsia" w:ascii="宋体" w:hAnsi="宋体" w:eastAsia="宋体" w:cs="宋体"/>
          <w:color w:val="auto"/>
          <w:sz w:val="32"/>
          <w:szCs w:val="32"/>
        </w:rPr>
        <w:t>商务响应偏离表</w:t>
      </w:r>
      <w:r>
        <w:rPr>
          <w:rStyle w:val="685"/>
          <w:rFonts w:hint="eastAsia" w:ascii="宋体" w:hAnsi="宋体" w:eastAsia="宋体" w:cs="宋体"/>
          <w:color w:val="auto"/>
          <w:sz w:val="32"/>
          <w:szCs w:val="32"/>
          <w:lang w:val="en-US" w:eastAsia="zh-CN"/>
        </w:rPr>
        <w:t>（实质性格式）</w:t>
      </w:r>
    </w:p>
    <w:p w14:paraId="62BFC4B6">
      <w:pPr>
        <w:keepNext w:val="0"/>
        <w:keepLines w:val="0"/>
        <w:pageBreakBefore w:val="0"/>
        <w:widowControl w:val="0"/>
        <w:kinsoku/>
        <w:wordWrap/>
        <w:overflowPunct w:val="0"/>
        <w:topLinePunct/>
        <w:autoSpaceDE/>
        <w:autoSpaceDN/>
        <w:bidi w:val="0"/>
        <w:adjustRightInd/>
        <w:snapToGrid/>
        <w:ind w:left="-92" w:leftChars="-42"/>
        <w:jc w:val="left"/>
        <w:rPr>
          <w:rFonts w:hint="eastAsia" w:ascii="宋体" w:hAnsi="宋体" w:eastAsia="宋体" w:cs="宋体"/>
          <w:color w:val="auto"/>
          <w:kern w:val="0"/>
          <w:sz w:val="24"/>
          <w:szCs w:val="24"/>
          <w:u w:val="single"/>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02BDD86A">
      <w:pPr>
        <w:keepNext w:val="0"/>
        <w:keepLines w:val="0"/>
        <w:pageBreakBefore w:val="0"/>
        <w:widowControl w:val="0"/>
        <w:kinsoku/>
        <w:wordWrap w:val="0"/>
        <w:overflowPunct w:val="0"/>
        <w:topLinePunct/>
        <w:autoSpaceDE/>
        <w:autoSpaceDN/>
        <w:bidi w:val="0"/>
        <w:adjustRightInd/>
        <w:snapToGrid/>
        <w:ind w:left="-92" w:leftChars="-42"/>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项目编号：</w:t>
      </w:r>
      <w:r>
        <w:rPr>
          <w:rFonts w:hint="eastAsia" w:ascii="宋体" w:hAnsi="宋体" w:eastAsia="宋体" w:cs="宋体"/>
          <w:color w:val="auto"/>
          <w:sz w:val="24"/>
          <w:szCs w:val="24"/>
          <w:u w:val="single"/>
          <w:lang w:val="en-US" w:eastAsia="zh-CN"/>
        </w:rPr>
        <w:t xml:space="preserve">                             </w:t>
      </w:r>
    </w:p>
    <w:p w14:paraId="6CD303A2">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参加</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应逐条对应</w:t>
      </w:r>
      <w:r>
        <w:rPr>
          <w:rFonts w:hint="eastAsia" w:ascii="宋体" w:hAnsi="宋体" w:eastAsia="宋体" w:cs="宋体"/>
          <w:color w:val="auto"/>
          <w:sz w:val="24"/>
          <w:szCs w:val="24"/>
          <w:lang w:eastAsia="zh-CN"/>
        </w:rPr>
        <w:t>采购文件</w:t>
      </w:r>
      <w:r>
        <w:rPr>
          <w:rFonts w:hint="eastAsia" w:ascii="宋体" w:hAnsi="宋体" w:eastAsia="宋体" w:cs="宋体"/>
          <w:b/>
          <w:bCs/>
          <w:color w:val="auto"/>
          <w:sz w:val="24"/>
          <w:szCs w:val="24"/>
          <w:lang w:eastAsia="zh-CN"/>
        </w:rPr>
        <w:t>“第</w:t>
      </w: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lang w:eastAsia="zh-CN"/>
        </w:rPr>
        <w:t>章</w:t>
      </w:r>
      <w:r>
        <w:rPr>
          <w:rFonts w:hint="eastAsia" w:ascii="宋体" w:hAnsi="宋体" w:eastAsia="宋体" w:cs="宋体"/>
          <w:b/>
          <w:bCs/>
          <w:color w:val="auto"/>
          <w:sz w:val="24"/>
          <w:szCs w:val="24"/>
          <w:lang w:val="en-US" w:eastAsia="zh-CN"/>
        </w:rPr>
        <w:t xml:space="preserve"> 采购需求及要求</w:t>
      </w:r>
      <w:r>
        <w:rPr>
          <w:rFonts w:hint="eastAsia" w:ascii="宋体" w:hAnsi="宋体" w:eastAsia="宋体" w:cs="宋体"/>
          <w:b/>
          <w:bCs/>
          <w:color w:val="auto"/>
          <w:sz w:val="24"/>
          <w:szCs w:val="24"/>
          <w:lang w:eastAsia="zh-CN"/>
        </w:rPr>
        <w:t>”</w:t>
      </w:r>
      <w:r>
        <w:rPr>
          <w:rFonts w:hint="eastAsia" w:ascii="宋体" w:hAnsi="宋体" w:eastAsia="宋体" w:cs="宋体"/>
          <w:color w:val="auto"/>
          <w:sz w:val="24"/>
          <w:szCs w:val="24"/>
        </w:rPr>
        <w:t>及</w:t>
      </w:r>
      <w:r>
        <w:rPr>
          <w:rFonts w:hint="eastAsia" w:ascii="宋体" w:hAnsi="宋体" w:eastAsia="宋体" w:cs="宋体"/>
          <w:b/>
          <w:bCs/>
          <w:color w:val="auto"/>
          <w:sz w:val="24"/>
          <w:szCs w:val="24"/>
          <w:lang w:eastAsia="zh-CN"/>
        </w:rPr>
        <w:t>“第</w:t>
      </w: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lang w:eastAsia="zh-CN"/>
        </w:rPr>
        <w:t>章</w:t>
      </w:r>
      <w:r>
        <w:rPr>
          <w:rFonts w:hint="eastAsia" w:ascii="宋体" w:hAnsi="宋体" w:eastAsia="宋体" w:cs="宋体"/>
          <w:b/>
          <w:bCs/>
          <w:color w:val="auto"/>
          <w:sz w:val="24"/>
          <w:szCs w:val="24"/>
          <w:lang w:val="en-US" w:eastAsia="zh-CN"/>
        </w:rPr>
        <w:t xml:space="preserve"> 合同条款及格式</w:t>
      </w:r>
      <w:r>
        <w:rPr>
          <w:rFonts w:hint="eastAsia" w:ascii="宋体" w:hAnsi="宋体" w:eastAsia="宋体" w:cs="宋体"/>
          <w:b/>
          <w:bCs/>
          <w:color w:val="auto"/>
          <w:sz w:val="24"/>
          <w:szCs w:val="24"/>
          <w:lang w:eastAsia="zh-CN"/>
        </w:rPr>
        <w:t>”</w:t>
      </w:r>
      <w:r>
        <w:rPr>
          <w:rFonts w:hint="eastAsia" w:ascii="宋体" w:hAnsi="宋体" w:eastAsia="宋体" w:cs="宋体"/>
          <w:color w:val="auto"/>
          <w:sz w:val="24"/>
          <w:szCs w:val="24"/>
        </w:rPr>
        <w:t>中要求的服务内容根据实际情况如实填写本表格。</w:t>
      </w:r>
    </w:p>
    <w:p w14:paraId="588E47BF">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A</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□我公司已详细阅读</w:t>
      </w:r>
      <w:r>
        <w:rPr>
          <w:rFonts w:hint="eastAsia" w:ascii="宋体" w:hAnsi="宋体" w:eastAsia="宋体" w:cs="宋体"/>
          <w:color w:val="auto"/>
          <w:sz w:val="24"/>
          <w:szCs w:val="24"/>
          <w:lang w:eastAsia="zh-CN"/>
        </w:rPr>
        <w:t>采购文件</w:t>
      </w:r>
      <w:r>
        <w:rPr>
          <w:rFonts w:hint="eastAsia" w:ascii="宋体" w:hAnsi="宋体" w:eastAsia="宋体" w:cs="宋体"/>
          <w:color w:val="auto"/>
          <w:sz w:val="24"/>
          <w:szCs w:val="24"/>
        </w:rPr>
        <w:t>中服务内容要求及主要合同条款，所有服务内容要求及主要合同条款均无偏离，成交后我公司将严格遵照执行。</w:t>
      </w:r>
    </w:p>
    <w:p w14:paraId="049A4577">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B</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□我公司已详细阅读</w:t>
      </w:r>
      <w:r>
        <w:rPr>
          <w:rFonts w:hint="eastAsia" w:ascii="宋体" w:hAnsi="宋体" w:eastAsia="宋体" w:cs="宋体"/>
          <w:color w:val="auto"/>
          <w:sz w:val="24"/>
          <w:szCs w:val="24"/>
          <w:lang w:eastAsia="zh-CN"/>
        </w:rPr>
        <w:t>采购文件</w:t>
      </w:r>
      <w:r>
        <w:rPr>
          <w:rFonts w:hint="eastAsia" w:ascii="宋体" w:hAnsi="宋体" w:eastAsia="宋体" w:cs="宋体"/>
          <w:color w:val="auto"/>
          <w:sz w:val="24"/>
          <w:szCs w:val="24"/>
        </w:rPr>
        <w:t>中服务内容要求及主要合同条款，除下述条款有偏离外，其余条款我公司均予以认可，成交后将严格遵照执行。</w:t>
      </w:r>
    </w:p>
    <w:tbl>
      <w:tblPr>
        <w:tblStyle w:val="67"/>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3875"/>
        <w:gridCol w:w="3336"/>
        <w:gridCol w:w="1365"/>
      </w:tblGrid>
      <w:tr w14:paraId="4A592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3" w:hRule="atLeast"/>
          <w:jc w:val="center"/>
        </w:trPr>
        <w:tc>
          <w:tcPr>
            <w:tcW w:w="820" w:type="dxa"/>
            <w:noWrap w:val="0"/>
            <w:vAlign w:val="center"/>
          </w:tcPr>
          <w:p w14:paraId="6CABBC43">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3875" w:type="dxa"/>
            <w:noWrap w:val="0"/>
            <w:vAlign w:val="center"/>
          </w:tcPr>
          <w:p w14:paraId="6CA05AC3">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采购文件</w:t>
            </w:r>
            <w:r>
              <w:rPr>
                <w:rFonts w:hint="eastAsia" w:ascii="宋体" w:hAnsi="宋体" w:eastAsia="宋体" w:cs="宋体"/>
                <w:color w:val="auto"/>
                <w:sz w:val="24"/>
                <w:szCs w:val="24"/>
              </w:rPr>
              <w:t>的服务内容条款要求</w:t>
            </w:r>
          </w:p>
        </w:tc>
        <w:tc>
          <w:tcPr>
            <w:tcW w:w="3336" w:type="dxa"/>
            <w:noWrap w:val="0"/>
            <w:vAlign w:val="center"/>
          </w:tcPr>
          <w:p w14:paraId="3F3A6A9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的服务内容条款</w:t>
            </w:r>
          </w:p>
        </w:tc>
        <w:tc>
          <w:tcPr>
            <w:tcW w:w="1365" w:type="dxa"/>
            <w:noWrap w:val="0"/>
            <w:vAlign w:val="center"/>
          </w:tcPr>
          <w:p w14:paraId="2218B053">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偏离说明</w:t>
            </w:r>
          </w:p>
        </w:tc>
      </w:tr>
      <w:tr w14:paraId="62715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820" w:type="dxa"/>
            <w:noWrap w:val="0"/>
            <w:vAlign w:val="center"/>
          </w:tcPr>
          <w:p w14:paraId="706BC95A">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875" w:type="dxa"/>
            <w:noWrap w:val="0"/>
            <w:vAlign w:val="center"/>
          </w:tcPr>
          <w:p w14:paraId="4AE8503A">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336" w:type="dxa"/>
            <w:noWrap w:val="0"/>
            <w:vAlign w:val="center"/>
          </w:tcPr>
          <w:p w14:paraId="42F69396">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1365" w:type="dxa"/>
            <w:noWrap w:val="0"/>
            <w:vAlign w:val="center"/>
          </w:tcPr>
          <w:p w14:paraId="15E2547F">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r>
      <w:tr w14:paraId="6FEE0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820" w:type="dxa"/>
            <w:noWrap w:val="0"/>
            <w:vAlign w:val="center"/>
          </w:tcPr>
          <w:p w14:paraId="3410A573">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875" w:type="dxa"/>
            <w:noWrap w:val="0"/>
            <w:vAlign w:val="center"/>
          </w:tcPr>
          <w:p w14:paraId="545F62BF">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336" w:type="dxa"/>
            <w:noWrap w:val="0"/>
            <w:vAlign w:val="center"/>
          </w:tcPr>
          <w:p w14:paraId="5AB5387A">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1365" w:type="dxa"/>
            <w:noWrap w:val="0"/>
            <w:vAlign w:val="center"/>
          </w:tcPr>
          <w:p w14:paraId="447C577B">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r>
      <w:tr w14:paraId="57990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820" w:type="dxa"/>
            <w:noWrap w:val="0"/>
            <w:vAlign w:val="center"/>
          </w:tcPr>
          <w:p w14:paraId="433A83CF">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875" w:type="dxa"/>
            <w:noWrap w:val="0"/>
            <w:vAlign w:val="center"/>
          </w:tcPr>
          <w:p w14:paraId="0564DC59">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336" w:type="dxa"/>
            <w:noWrap w:val="0"/>
            <w:vAlign w:val="center"/>
          </w:tcPr>
          <w:p w14:paraId="71594B84">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1365" w:type="dxa"/>
            <w:noWrap w:val="0"/>
            <w:vAlign w:val="center"/>
          </w:tcPr>
          <w:p w14:paraId="1F106F91">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r>
      <w:tr w14:paraId="0DE74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6" w:hRule="atLeast"/>
          <w:jc w:val="center"/>
        </w:trPr>
        <w:tc>
          <w:tcPr>
            <w:tcW w:w="820" w:type="dxa"/>
            <w:noWrap w:val="0"/>
            <w:vAlign w:val="center"/>
          </w:tcPr>
          <w:p w14:paraId="49D0DE04">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875" w:type="dxa"/>
            <w:noWrap w:val="0"/>
            <w:vAlign w:val="center"/>
          </w:tcPr>
          <w:p w14:paraId="68842518">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336" w:type="dxa"/>
            <w:noWrap w:val="0"/>
            <w:vAlign w:val="center"/>
          </w:tcPr>
          <w:p w14:paraId="7B5FA7AC">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1365" w:type="dxa"/>
            <w:noWrap w:val="0"/>
            <w:vAlign w:val="center"/>
          </w:tcPr>
          <w:p w14:paraId="270E3189">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r>
    </w:tbl>
    <w:p w14:paraId="0739C121">
      <w:pPr>
        <w:keepNext w:val="0"/>
        <w:keepLines w:val="0"/>
        <w:pageBreakBefore w:val="0"/>
        <w:widowControl w:val="0"/>
        <w:kinsoku/>
        <w:wordWrap w:val="0"/>
        <w:overflowPunct w:val="0"/>
        <w:topLinePunct/>
        <w:autoSpaceDE/>
        <w:autoSpaceDN/>
        <w:bidi w:val="0"/>
        <w:adjustRightInd/>
        <w:snapToGrid/>
        <w:spacing w:before="50" w:line="360" w:lineRule="auto"/>
        <w:rPr>
          <w:rFonts w:hint="eastAsia" w:ascii="宋体" w:hAnsi="宋体" w:eastAsia="宋体" w:cs="宋体"/>
          <w:color w:val="auto"/>
          <w:szCs w:val="21"/>
        </w:rPr>
      </w:pPr>
      <w:r>
        <w:rPr>
          <w:rFonts w:hint="eastAsia" w:ascii="宋体" w:hAnsi="宋体" w:eastAsia="宋体" w:cs="宋体"/>
          <w:b/>
          <w:bCs/>
          <w:color w:val="auto"/>
          <w:sz w:val="21"/>
          <w:szCs w:val="21"/>
        </w:rPr>
        <w:t>表格填写说明：</w:t>
      </w:r>
      <w:r>
        <w:rPr>
          <w:rFonts w:hint="eastAsia" w:ascii="宋体" w:hAnsi="宋体" w:cs="宋体"/>
          <w:b/>
          <w:bCs/>
          <w:color w:val="auto"/>
          <w:sz w:val="21"/>
          <w:szCs w:val="21"/>
          <w:lang w:eastAsia="zh-CN"/>
        </w:rPr>
        <w:t>供应商</w:t>
      </w:r>
      <w:r>
        <w:rPr>
          <w:rFonts w:hint="eastAsia" w:ascii="宋体" w:hAnsi="宋体" w:eastAsia="宋体" w:cs="宋体"/>
          <w:b/>
          <w:bCs/>
          <w:color w:val="auto"/>
          <w:sz w:val="21"/>
          <w:szCs w:val="21"/>
        </w:rPr>
        <w:t>根据实际情况，填写本表格，若无偏离，则勾选A项，签字盖章即可。若有偏离，则勾选B项，按表格要求及实际情况填写后，签字盖章</w:t>
      </w:r>
      <w:r>
        <w:rPr>
          <w:rFonts w:hint="eastAsia" w:ascii="宋体" w:hAnsi="宋体" w:eastAsia="宋体" w:cs="宋体"/>
          <w:b/>
          <w:bCs/>
          <w:color w:val="auto"/>
          <w:sz w:val="21"/>
          <w:szCs w:val="21"/>
          <w:lang w:eastAsia="zh-CN"/>
        </w:rPr>
        <w:t>。</w:t>
      </w:r>
      <w:r>
        <w:rPr>
          <w:rFonts w:hint="eastAsia" w:ascii="宋体" w:hAnsi="宋体" w:eastAsia="宋体" w:cs="宋体"/>
          <w:color w:val="auto"/>
          <w:szCs w:val="21"/>
        </w:rPr>
        <w:t xml:space="preserve"> </w:t>
      </w:r>
    </w:p>
    <w:p w14:paraId="2C7AA99D">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3C8646FD">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7D55BF2A">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38DA3EEF">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5F99EAFF">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both"/>
        <w:textAlignment w:val="auto"/>
        <w:rPr>
          <w:rFonts w:hint="eastAsia" w:ascii="宋体" w:hAnsi="宋体" w:eastAsia="宋体" w:cs="宋体"/>
          <w:color w:val="auto"/>
          <w:spacing w:val="-1"/>
          <w:sz w:val="24"/>
          <w:szCs w:val="24"/>
        </w:rPr>
      </w:pPr>
    </w:p>
    <w:p w14:paraId="2B8F7D67">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401761A8">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3D45C8A3">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7F8C6AB5">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z w:val="24"/>
          <w:szCs w:val="24"/>
          <w:u w:val="none"/>
          <w:lang w:val="en-US" w:eastAsia="zh-CN"/>
        </w:rPr>
      </w:pPr>
      <w:r>
        <w:rPr>
          <w:rFonts w:hint="eastAsia" w:cs="宋体"/>
          <w:color w:val="auto"/>
          <w:spacing w:val="-1"/>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rPr>
        <w:t>加盖电子公章</w:t>
      </w:r>
      <w:r>
        <w:rPr>
          <w:rFonts w:hint="eastAsia" w:ascii="宋体" w:hAnsi="宋体" w:eastAsia="宋体" w:cs="宋体"/>
          <w:color w:val="auto"/>
          <w:sz w:val="24"/>
          <w:szCs w:val="24"/>
          <w:u w:val="none"/>
          <w:lang w:val="en-US" w:eastAsia="zh-CN"/>
        </w:rPr>
        <w:t>）</w:t>
      </w:r>
    </w:p>
    <w:p w14:paraId="5E9C79FB">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z w:val="24"/>
          <w:szCs w:val="24"/>
          <w:u w:val="none"/>
          <w:lang w:val="en-US"/>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377F6E50">
      <w:pPr>
        <w:keepNext w:val="0"/>
        <w:keepLines w:val="0"/>
        <w:pageBreakBefore w:val="0"/>
        <w:widowControl w:val="0"/>
        <w:numPr>
          <w:ilvl w:val="0"/>
          <w:numId w:val="0"/>
        </w:numPr>
        <w:kinsoku/>
        <w:wordWrap w:val="0"/>
        <w:overflowPunct w:val="0"/>
        <w:topLinePunct/>
        <w:autoSpaceDE/>
        <w:autoSpaceDN/>
        <w:bidi w:val="0"/>
        <w:adjustRightInd/>
        <w:snapToGrid/>
        <w:ind w:right="0" w:rightChars="0"/>
        <w:jc w:val="center"/>
        <w:outlineLvl w:val="1"/>
        <w:rPr>
          <w:rFonts w:hint="eastAsia" w:ascii="宋体" w:hAnsi="宋体" w:eastAsia="宋体" w:cs="宋体"/>
          <w:b/>
          <w:bCs/>
          <w:color w:val="auto"/>
          <w:sz w:val="32"/>
          <w:szCs w:val="32"/>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color w:val="auto"/>
          <w:sz w:val="24"/>
          <w:szCs w:val="24"/>
        </w:rPr>
        <w:t>日</w:t>
      </w:r>
      <w:r>
        <w:rPr>
          <w:rFonts w:hint="eastAsia" w:ascii="宋体" w:hAnsi="宋体" w:eastAsia="宋体" w:cs="宋体"/>
          <w:color w:val="auto"/>
          <w:sz w:val="24"/>
          <w:szCs w:val="24"/>
        </w:rPr>
        <w:tab/>
      </w:r>
      <w:r>
        <w:rPr>
          <w:rFonts w:hint="eastAsia" w:ascii="宋体" w:hAnsi="宋体" w:eastAsia="宋体" w:cs="宋体"/>
          <w:color w:val="auto"/>
          <w:sz w:val="24"/>
          <w:szCs w:val="24"/>
        </w:rPr>
        <w:t>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705ED2EA">
      <w:pPr>
        <w:keepNext w:val="0"/>
        <w:keepLines w:val="0"/>
        <w:pageBreakBefore w:val="0"/>
        <w:widowControl w:val="0"/>
        <w:kinsoku/>
        <w:wordWrap/>
        <w:overflowPunct/>
        <w:topLinePunct/>
        <w:autoSpaceDE w:val="0"/>
        <w:autoSpaceDN/>
        <w:bidi w:val="0"/>
        <w:adjustRightInd/>
        <w:snapToGrid/>
        <w:spacing w:line="360" w:lineRule="auto"/>
        <w:jc w:val="center"/>
        <w:textAlignment w:val="baseline"/>
        <w:outlineLvl w:val="2"/>
        <w:rPr>
          <w:rFonts w:hint="eastAsia" w:ascii="宋体" w:hAnsi="宋体" w:eastAsia="宋体" w:cs="宋体"/>
          <w:color w:val="auto"/>
          <w:sz w:val="24"/>
          <w:szCs w:val="24"/>
          <w:lang w:eastAsia="zh-CN"/>
        </w:rPr>
      </w:pPr>
      <w:r>
        <w:rPr>
          <w:rFonts w:hint="eastAsia" w:ascii="宋体" w:hAnsi="宋体" w:cs="宋体"/>
          <w:b/>
          <w:bCs/>
          <w:color w:val="auto"/>
          <w:sz w:val="32"/>
          <w:szCs w:val="32"/>
          <w:lang w:val="en-US" w:eastAsia="zh-CN"/>
        </w:rPr>
        <w:t>五</w:t>
      </w:r>
      <w:r>
        <w:rPr>
          <w:rFonts w:hint="eastAsia" w:ascii="宋体" w:hAnsi="宋体" w:eastAsia="宋体" w:cs="宋体"/>
          <w:b/>
          <w:bCs/>
          <w:color w:val="auto"/>
          <w:sz w:val="32"/>
          <w:szCs w:val="32"/>
          <w:lang w:eastAsia="zh-CN"/>
        </w:rPr>
        <w:t>、</w:t>
      </w:r>
      <w:r>
        <w:rPr>
          <w:rFonts w:hint="eastAsia" w:ascii="宋体" w:hAnsi="宋体" w:eastAsia="宋体" w:cs="宋体"/>
          <w:b/>
          <w:bCs/>
          <w:color w:val="auto"/>
          <w:sz w:val="32"/>
          <w:szCs w:val="32"/>
        </w:rPr>
        <w:t>供货渠道与合作机构情况</w:t>
      </w:r>
      <w:r>
        <w:rPr>
          <w:rFonts w:hint="eastAsia" w:ascii="宋体" w:hAnsi="宋体" w:cs="宋体"/>
          <w:b/>
          <w:bCs/>
          <w:color w:val="auto"/>
          <w:sz w:val="32"/>
          <w:szCs w:val="32"/>
          <w:lang w:eastAsia="zh-CN"/>
        </w:rPr>
        <w:t>（</w:t>
      </w:r>
      <w:r>
        <w:rPr>
          <w:rFonts w:hint="eastAsia" w:ascii="宋体" w:hAnsi="宋体" w:eastAsia="宋体" w:cs="宋体"/>
          <w:b/>
          <w:bCs/>
          <w:color w:val="auto"/>
          <w:sz w:val="30"/>
          <w:szCs w:val="30"/>
          <w:lang w:val="en-US" w:eastAsia="zh-CN"/>
        </w:rPr>
        <w:t>若有</w:t>
      </w:r>
      <w:r>
        <w:rPr>
          <w:rFonts w:hint="eastAsia" w:ascii="宋体" w:hAnsi="宋体" w:cs="宋体"/>
          <w:b/>
          <w:bCs/>
          <w:color w:val="auto"/>
          <w:sz w:val="32"/>
          <w:szCs w:val="32"/>
          <w:lang w:eastAsia="zh-CN"/>
        </w:rPr>
        <w:t>）</w:t>
      </w:r>
    </w:p>
    <w:tbl>
      <w:tblPr>
        <w:tblStyle w:val="686"/>
        <w:tblW w:w="94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30"/>
        <w:gridCol w:w="5646"/>
        <w:gridCol w:w="2495"/>
      </w:tblGrid>
      <w:tr w14:paraId="3104D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000B9AE8">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分项</w:t>
            </w:r>
          </w:p>
        </w:tc>
        <w:tc>
          <w:tcPr>
            <w:tcW w:w="5646" w:type="dxa"/>
            <w:tcBorders>
              <w:left w:val="single" w:color="auto" w:sz="4" w:space="0"/>
            </w:tcBorders>
            <w:noWrap w:val="0"/>
            <w:vAlign w:val="center"/>
          </w:tcPr>
          <w:p w14:paraId="51BB1F81">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基 本 情 况</w:t>
            </w:r>
          </w:p>
        </w:tc>
        <w:tc>
          <w:tcPr>
            <w:tcW w:w="2495" w:type="dxa"/>
            <w:noWrap w:val="0"/>
            <w:vAlign w:val="center"/>
          </w:tcPr>
          <w:p w14:paraId="3F31D4F5">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联系人/联系电话/传真</w:t>
            </w:r>
          </w:p>
        </w:tc>
      </w:tr>
      <w:tr w14:paraId="4E89A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49B0AC42">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生产厂家</w:t>
            </w:r>
          </w:p>
        </w:tc>
        <w:tc>
          <w:tcPr>
            <w:tcW w:w="5646" w:type="dxa"/>
            <w:tcBorders>
              <w:left w:val="single" w:color="auto" w:sz="4" w:space="0"/>
            </w:tcBorders>
            <w:noWrap w:val="0"/>
            <w:vAlign w:val="center"/>
          </w:tcPr>
          <w:p w14:paraId="56A8C9FC">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单位名称：</w:t>
            </w:r>
            <w:r>
              <w:rPr>
                <w:rFonts w:hint="eastAsia" w:ascii="宋体" w:hAnsi="宋体" w:eastAsia="宋体" w:cs="宋体"/>
                <w:color w:val="auto"/>
                <w:sz w:val="24"/>
                <w:szCs w:val="24"/>
                <w:u w:val="single"/>
                <w:lang w:val="en-US" w:eastAsia="zh-CN"/>
              </w:rPr>
              <w:t xml:space="preserve">                     </w:t>
            </w:r>
          </w:p>
          <w:p w14:paraId="7507356D">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lang w:val="en-US" w:eastAsia="zh-CN"/>
              </w:rPr>
              <w:t xml:space="preserve">                     </w:t>
            </w:r>
          </w:p>
          <w:p w14:paraId="6C877B95">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销售负责人：</w:t>
            </w:r>
            <w:r>
              <w:rPr>
                <w:rFonts w:hint="eastAsia" w:ascii="宋体" w:hAnsi="宋体" w:eastAsia="宋体" w:cs="宋体"/>
                <w:color w:val="auto"/>
                <w:sz w:val="24"/>
                <w:szCs w:val="24"/>
                <w:u w:val="single"/>
                <w:lang w:val="en-US" w:eastAsia="zh-CN"/>
              </w:rPr>
              <w:t xml:space="preserve">                   </w:t>
            </w:r>
          </w:p>
        </w:tc>
        <w:tc>
          <w:tcPr>
            <w:tcW w:w="2495" w:type="dxa"/>
            <w:tcBorders>
              <w:bottom w:val="single" w:color="auto" w:sz="4" w:space="0"/>
            </w:tcBorders>
            <w:noWrap w:val="0"/>
            <w:vAlign w:val="center"/>
          </w:tcPr>
          <w:p w14:paraId="6CE63597">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姓名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p w14:paraId="20012DE2">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电话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p w14:paraId="5B39104F">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传真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tc>
      </w:tr>
      <w:tr w14:paraId="02ADC3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5"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2678FD4E">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关键设备合法来源渠道</w:t>
            </w:r>
          </w:p>
        </w:tc>
        <w:tc>
          <w:tcPr>
            <w:tcW w:w="5646" w:type="dxa"/>
            <w:tcBorders>
              <w:left w:val="single" w:color="auto" w:sz="4" w:space="0"/>
              <w:right w:val="single" w:color="auto" w:sz="4" w:space="0"/>
            </w:tcBorders>
            <w:noWrap w:val="0"/>
            <w:vAlign w:val="center"/>
          </w:tcPr>
          <w:p w14:paraId="3D84152D">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产品名称：</w:t>
            </w:r>
            <w:r>
              <w:rPr>
                <w:rFonts w:hint="eastAsia" w:ascii="宋体" w:hAnsi="宋体" w:eastAsia="宋体" w:cs="宋体"/>
                <w:color w:val="auto"/>
                <w:sz w:val="24"/>
                <w:szCs w:val="24"/>
                <w:u w:val="single"/>
                <w:lang w:val="en-US" w:eastAsia="zh-CN"/>
              </w:rPr>
              <w:t xml:space="preserve">                     </w:t>
            </w:r>
          </w:p>
          <w:p w14:paraId="602C1236">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制造/</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生产地：</w:t>
            </w:r>
            <w:r>
              <w:rPr>
                <w:rFonts w:hint="eastAsia" w:ascii="宋体" w:hAnsi="宋体" w:eastAsia="宋体" w:cs="宋体"/>
                <w:color w:val="auto"/>
                <w:sz w:val="24"/>
                <w:szCs w:val="24"/>
                <w:u w:val="single"/>
                <w:lang w:val="en-US" w:eastAsia="zh-CN"/>
              </w:rPr>
              <w:t xml:space="preserve">            </w:t>
            </w:r>
          </w:p>
          <w:p w14:paraId="6A8DBEA7">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经销总代理：</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销售负责人：</w:t>
            </w:r>
            <w:r>
              <w:rPr>
                <w:rFonts w:hint="eastAsia" w:ascii="宋体" w:hAnsi="宋体" w:eastAsia="宋体" w:cs="宋体"/>
                <w:color w:val="auto"/>
                <w:sz w:val="24"/>
                <w:szCs w:val="24"/>
                <w:u w:val="single"/>
                <w:lang w:val="en-US" w:eastAsia="zh-CN"/>
              </w:rPr>
              <w:t xml:space="preserve">      </w:t>
            </w:r>
          </w:p>
          <w:p w14:paraId="2638A546">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产品介绍和报价的权威网站：</w:t>
            </w:r>
            <w:r>
              <w:rPr>
                <w:rFonts w:hint="eastAsia" w:ascii="宋体" w:hAnsi="宋体" w:eastAsia="宋体" w:cs="宋体"/>
                <w:color w:val="auto"/>
                <w:sz w:val="24"/>
                <w:szCs w:val="24"/>
                <w:u w:val="single"/>
                <w:lang w:val="en-US" w:eastAsia="zh-CN"/>
              </w:rPr>
              <w:t xml:space="preserve">                    </w:t>
            </w:r>
          </w:p>
          <w:p w14:paraId="76BF7452">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产品合法来源验证查询专线：</w:t>
            </w:r>
            <w:r>
              <w:rPr>
                <w:rFonts w:hint="eastAsia" w:ascii="宋体" w:hAnsi="宋体" w:eastAsia="宋体" w:cs="宋体"/>
                <w:color w:val="auto"/>
                <w:sz w:val="24"/>
                <w:szCs w:val="24"/>
                <w:u w:val="single"/>
                <w:lang w:val="en-US" w:eastAsia="zh-CN"/>
              </w:rPr>
              <w:t xml:space="preserve">                    </w:t>
            </w:r>
          </w:p>
          <w:p w14:paraId="37B78EB1">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售后服务管理验证查询专线：</w:t>
            </w:r>
            <w:r>
              <w:rPr>
                <w:rFonts w:hint="eastAsia" w:ascii="宋体" w:hAnsi="宋体" w:eastAsia="宋体" w:cs="宋体"/>
                <w:color w:val="auto"/>
                <w:sz w:val="24"/>
                <w:szCs w:val="24"/>
                <w:u w:val="single"/>
                <w:lang w:val="en-US" w:eastAsia="zh-CN"/>
              </w:rPr>
              <w:t xml:space="preserve">                    </w:t>
            </w:r>
          </w:p>
        </w:tc>
        <w:tc>
          <w:tcPr>
            <w:tcW w:w="2495" w:type="dxa"/>
            <w:tcBorders>
              <w:top w:val="single" w:color="auto" w:sz="4" w:space="0"/>
              <w:left w:val="single" w:color="auto" w:sz="4" w:space="0"/>
              <w:bottom w:val="single" w:color="auto" w:sz="4" w:space="0"/>
              <w:right w:val="single" w:color="auto" w:sz="4" w:space="0"/>
            </w:tcBorders>
            <w:noWrap w:val="0"/>
            <w:vAlign w:val="center"/>
          </w:tcPr>
          <w:p w14:paraId="1E0CD8B5">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电话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p w14:paraId="5621CB3D">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传真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tc>
      </w:tr>
      <w:tr w14:paraId="763F7B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29CAB852">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设在</w:t>
            </w:r>
            <w:r>
              <w:rPr>
                <w:rFonts w:hint="eastAsia" w:ascii="宋体" w:hAnsi="宋体" w:eastAsia="宋体" w:cs="宋体"/>
                <w:color w:val="auto"/>
                <w:sz w:val="24"/>
                <w:szCs w:val="24"/>
                <w:lang w:eastAsia="zh-CN"/>
              </w:rPr>
              <w:t>云南</w:t>
            </w:r>
            <w:r>
              <w:rPr>
                <w:rFonts w:hint="eastAsia" w:ascii="宋体" w:hAnsi="宋体" w:eastAsia="宋体" w:cs="宋体"/>
                <w:color w:val="auto"/>
                <w:sz w:val="24"/>
                <w:szCs w:val="24"/>
              </w:rPr>
              <w:t>省内的售后服务机构情况</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若有</w:t>
            </w:r>
            <w:r>
              <w:rPr>
                <w:rFonts w:hint="eastAsia" w:ascii="宋体" w:hAnsi="宋体" w:eastAsia="宋体" w:cs="宋体"/>
                <w:color w:val="auto"/>
                <w:sz w:val="24"/>
                <w:szCs w:val="24"/>
                <w:lang w:eastAsia="zh-CN"/>
              </w:rPr>
              <w:t>）</w:t>
            </w:r>
          </w:p>
        </w:tc>
        <w:tc>
          <w:tcPr>
            <w:tcW w:w="5646" w:type="dxa"/>
            <w:tcBorders>
              <w:left w:val="single" w:color="auto" w:sz="4" w:space="0"/>
              <w:right w:val="single" w:color="auto" w:sz="4" w:space="0"/>
            </w:tcBorders>
            <w:noWrap w:val="0"/>
            <w:vAlign w:val="center"/>
          </w:tcPr>
          <w:p w14:paraId="3FD10B7C">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机构名称：</w:t>
            </w:r>
            <w:r>
              <w:rPr>
                <w:rFonts w:hint="eastAsia" w:ascii="宋体" w:hAnsi="宋体" w:eastAsia="宋体" w:cs="宋体"/>
                <w:color w:val="auto"/>
                <w:sz w:val="24"/>
                <w:szCs w:val="24"/>
                <w:u w:val="single"/>
                <w:lang w:val="en-US" w:eastAsia="zh-CN"/>
              </w:rPr>
              <w:t xml:space="preserve">                    </w:t>
            </w:r>
          </w:p>
          <w:p w14:paraId="2EBC065A">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lang w:val="en-US" w:eastAsia="zh-CN"/>
              </w:rPr>
              <w:t xml:space="preserve">                    </w:t>
            </w:r>
          </w:p>
          <w:p w14:paraId="66709577">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负 责 人：</w:t>
            </w:r>
            <w:r>
              <w:rPr>
                <w:rFonts w:hint="eastAsia" w:ascii="宋体" w:hAnsi="宋体" w:eastAsia="宋体" w:cs="宋体"/>
                <w:color w:val="auto"/>
                <w:sz w:val="24"/>
                <w:szCs w:val="24"/>
                <w:u w:val="single"/>
                <w:lang w:val="en-US" w:eastAsia="zh-CN"/>
              </w:rPr>
              <w:t xml:space="preserve">                    </w:t>
            </w:r>
          </w:p>
          <w:p w14:paraId="1DDEB002">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服务机构性质：企业自有/委托代理</w:t>
            </w:r>
          </w:p>
        </w:tc>
        <w:tc>
          <w:tcPr>
            <w:tcW w:w="2495" w:type="dxa"/>
            <w:tcBorders>
              <w:top w:val="single" w:color="auto" w:sz="4" w:space="0"/>
              <w:left w:val="single" w:color="auto" w:sz="4" w:space="0"/>
              <w:bottom w:val="single" w:color="auto" w:sz="4" w:space="0"/>
              <w:right w:val="single" w:color="auto" w:sz="4" w:space="0"/>
            </w:tcBorders>
            <w:noWrap w:val="0"/>
            <w:vAlign w:val="center"/>
          </w:tcPr>
          <w:p w14:paraId="56409277">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姓名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p w14:paraId="44795221">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电话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p w14:paraId="3CC3AB06">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传真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tc>
      </w:tr>
    </w:tbl>
    <w:p w14:paraId="032A78DF">
      <w:pPr>
        <w:pStyle w:val="28"/>
        <w:rPr>
          <w:rFonts w:hint="eastAsia" w:ascii="宋体" w:hAnsi="宋体" w:eastAsia="宋体" w:cs="宋体"/>
          <w:color w:val="auto"/>
          <w:sz w:val="24"/>
          <w:szCs w:val="24"/>
          <w:lang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color w:val="auto"/>
          <w:sz w:val="24"/>
          <w:szCs w:val="24"/>
          <w:lang w:eastAsia="zh-CN"/>
        </w:rPr>
        <w:t>注：须提供相关证明材料</w:t>
      </w:r>
    </w:p>
    <w:p w14:paraId="7D9D2A77">
      <w:pPr>
        <w:keepNext w:val="0"/>
        <w:keepLines w:val="0"/>
        <w:pageBreakBefore w:val="0"/>
        <w:widowControl w:val="0"/>
        <w:kinsoku/>
        <w:wordWrap w:val="0"/>
        <w:overflowPunct w:val="0"/>
        <w:topLinePunct/>
        <w:autoSpaceDE/>
        <w:autoSpaceDN/>
        <w:bidi w:val="0"/>
        <w:adjustRightInd/>
        <w:snapToGrid/>
        <w:jc w:val="center"/>
        <w:outlineLvl w:val="2"/>
        <w:rPr>
          <w:rFonts w:hint="eastAsia" w:ascii="宋体" w:hAnsi="宋体" w:eastAsia="宋体" w:cs="宋体"/>
          <w:color w:val="auto"/>
          <w:lang w:val="zh-CN" w:eastAsia="zh-CN"/>
        </w:rPr>
      </w:pPr>
      <w:r>
        <w:rPr>
          <w:rFonts w:hint="eastAsia" w:ascii="宋体" w:hAnsi="宋体" w:cs="宋体"/>
          <w:b/>
          <w:bCs/>
          <w:color w:val="auto"/>
          <w:sz w:val="32"/>
          <w:szCs w:val="32"/>
          <w:lang w:val="en-US" w:eastAsia="zh-CN"/>
        </w:rPr>
        <w:t>六</w:t>
      </w:r>
      <w:r>
        <w:rPr>
          <w:rFonts w:hint="eastAsia" w:ascii="宋体" w:hAnsi="宋体" w:eastAsia="宋体" w:cs="宋体"/>
          <w:b/>
          <w:bCs/>
          <w:color w:val="auto"/>
          <w:sz w:val="32"/>
          <w:szCs w:val="32"/>
          <w:lang w:val="en-US" w:eastAsia="zh-CN"/>
        </w:rPr>
        <w:t>、设备维保服务方案</w:t>
      </w:r>
    </w:p>
    <w:p w14:paraId="5FBB072E">
      <w:pPr>
        <w:spacing w:line="360" w:lineRule="auto"/>
        <w:jc w:val="center"/>
        <w:rPr>
          <w:rFonts w:hint="eastAsia" w:ascii="宋体" w:hAnsi="宋体"/>
          <w:snapToGrid w:val="0"/>
          <w:color w:val="auto"/>
          <w:kern w:val="0"/>
          <w:szCs w:val="20"/>
          <w:highlight w:val="none"/>
        </w:rPr>
      </w:pPr>
      <w:r>
        <w:rPr>
          <w:rFonts w:hint="eastAsia" w:ascii="宋体" w:hAnsi="宋体"/>
          <w:snapToGrid w:val="0"/>
          <w:color w:val="auto"/>
          <w:kern w:val="0"/>
          <w:szCs w:val="20"/>
          <w:highlight w:val="none"/>
        </w:rPr>
        <w:t>（格式自拟，内容由</w:t>
      </w:r>
      <w:r>
        <w:rPr>
          <w:rFonts w:hint="eastAsia" w:ascii="宋体" w:hAnsi="宋体"/>
          <w:snapToGrid w:val="0"/>
          <w:color w:val="auto"/>
          <w:kern w:val="0"/>
          <w:szCs w:val="20"/>
          <w:highlight w:val="none"/>
          <w:lang w:eastAsia="zh-CN"/>
        </w:rPr>
        <w:t>供应商</w:t>
      </w:r>
      <w:r>
        <w:rPr>
          <w:rFonts w:hint="eastAsia" w:ascii="宋体" w:hAnsi="宋体"/>
          <w:snapToGrid w:val="0"/>
          <w:color w:val="auto"/>
          <w:kern w:val="0"/>
          <w:szCs w:val="20"/>
          <w:highlight w:val="none"/>
        </w:rPr>
        <w:t>根据</w:t>
      </w:r>
      <w:r>
        <w:rPr>
          <w:rFonts w:hint="eastAsia" w:ascii="宋体" w:hAnsi="宋体"/>
          <w:snapToGrid w:val="0"/>
          <w:color w:val="auto"/>
          <w:kern w:val="0"/>
          <w:szCs w:val="20"/>
          <w:highlight w:val="none"/>
          <w:lang w:eastAsia="zh-CN"/>
        </w:rPr>
        <w:t>评审</w:t>
      </w:r>
      <w:r>
        <w:rPr>
          <w:rFonts w:hint="eastAsia" w:ascii="宋体" w:hAnsi="宋体"/>
          <w:snapToGrid w:val="0"/>
          <w:color w:val="auto"/>
          <w:kern w:val="0"/>
          <w:szCs w:val="20"/>
          <w:highlight w:val="none"/>
        </w:rPr>
        <w:t>办法并结合自身实际情况自行编写）</w:t>
      </w:r>
    </w:p>
    <w:p w14:paraId="24C502FB">
      <w:pPr>
        <w:wordWrap w:val="0"/>
        <w:overflowPunct w:val="0"/>
        <w:topLinePunct/>
        <w:spacing w:line="360" w:lineRule="auto"/>
        <w:jc w:val="both"/>
        <w:rPr>
          <w:rFonts w:hint="eastAsia" w:ascii="宋体" w:hAnsi="宋体" w:eastAsia="宋体" w:cs="宋体"/>
          <w:b w:val="0"/>
          <w:bCs/>
          <w:color w:val="auto"/>
          <w:sz w:val="24"/>
        </w:rPr>
      </w:pPr>
    </w:p>
    <w:p w14:paraId="1D9DAD7C">
      <w:pPr>
        <w:pStyle w:val="28"/>
        <w:rPr>
          <w:rFonts w:hint="eastAsia" w:ascii="宋体" w:hAnsi="宋体" w:eastAsia="宋体" w:cs="宋体"/>
          <w:b w:val="0"/>
          <w:bCs/>
          <w:color w:val="auto"/>
          <w:sz w:val="24"/>
        </w:rPr>
      </w:pPr>
    </w:p>
    <w:p w14:paraId="0D885DB2">
      <w:pPr>
        <w:rPr>
          <w:rFonts w:hint="eastAsia" w:ascii="宋体" w:hAnsi="宋体" w:eastAsia="宋体" w:cs="宋体"/>
          <w:b w:val="0"/>
          <w:bCs/>
          <w:color w:val="auto"/>
          <w:sz w:val="24"/>
        </w:rPr>
      </w:pPr>
    </w:p>
    <w:p w14:paraId="79E509E5">
      <w:pPr>
        <w:pStyle w:val="28"/>
        <w:rPr>
          <w:rFonts w:hint="eastAsia" w:ascii="宋体" w:hAnsi="宋体" w:eastAsia="宋体" w:cs="宋体"/>
          <w:b w:val="0"/>
          <w:bCs/>
          <w:color w:val="auto"/>
          <w:sz w:val="24"/>
        </w:rPr>
      </w:pPr>
    </w:p>
    <w:p w14:paraId="75159341">
      <w:pPr>
        <w:rPr>
          <w:rFonts w:hint="eastAsia" w:ascii="宋体" w:hAnsi="宋体" w:eastAsia="宋体" w:cs="宋体"/>
          <w:b w:val="0"/>
          <w:bCs/>
          <w:color w:val="auto"/>
          <w:sz w:val="24"/>
        </w:rPr>
      </w:pPr>
    </w:p>
    <w:p w14:paraId="55DEE56B">
      <w:pPr>
        <w:pStyle w:val="28"/>
        <w:rPr>
          <w:rFonts w:hint="eastAsia" w:ascii="宋体" w:hAnsi="宋体" w:eastAsia="宋体" w:cs="宋体"/>
          <w:b w:val="0"/>
          <w:bCs/>
          <w:color w:val="auto"/>
          <w:sz w:val="24"/>
        </w:rPr>
      </w:pPr>
    </w:p>
    <w:p w14:paraId="7CD3B47E">
      <w:pPr>
        <w:rPr>
          <w:rFonts w:hint="eastAsia" w:ascii="宋体" w:hAnsi="宋体" w:eastAsia="宋体" w:cs="宋体"/>
          <w:b w:val="0"/>
          <w:bCs/>
          <w:color w:val="auto"/>
          <w:sz w:val="24"/>
        </w:rPr>
      </w:pPr>
    </w:p>
    <w:p w14:paraId="3E38B525">
      <w:pPr>
        <w:pStyle w:val="28"/>
        <w:rPr>
          <w:rFonts w:hint="eastAsia" w:ascii="宋体" w:hAnsi="宋体" w:eastAsia="宋体" w:cs="宋体"/>
          <w:b w:val="0"/>
          <w:bCs/>
          <w:color w:val="auto"/>
          <w:sz w:val="24"/>
        </w:rPr>
      </w:pPr>
    </w:p>
    <w:p w14:paraId="7A805E9E">
      <w:pPr>
        <w:rPr>
          <w:rFonts w:hint="eastAsia" w:ascii="宋体" w:hAnsi="宋体" w:eastAsia="宋体" w:cs="宋体"/>
          <w:b w:val="0"/>
          <w:bCs/>
          <w:color w:val="auto"/>
          <w:sz w:val="24"/>
        </w:rPr>
      </w:pPr>
    </w:p>
    <w:p w14:paraId="0269CD16">
      <w:pPr>
        <w:pStyle w:val="28"/>
        <w:rPr>
          <w:rFonts w:hint="eastAsia" w:ascii="宋体" w:hAnsi="宋体" w:eastAsia="宋体" w:cs="宋体"/>
          <w:b w:val="0"/>
          <w:bCs/>
          <w:color w:val="auto"/>
          <w:sz w:val="24"/>
        </w:rPr>
      </w:pPr>
    </w:p>
    <w:p w14:paraId="6FD60709">
      <w:pPr>
        <w:rPr>
          <w:rFonts w:hint="eastAsia" w:ascii="宋体" w:hAnsi="宋体" w:eastAsia="宋体" w:cs="宋体"/>
          <w:b w:val="0"/>
          <w:bCs/>
          <w:color w:val="auto"/>
          <w:sz w:val="24"/>
        </w:rPr>
      </w:pPr>
    </w:p>
    <w:p w14:paraId="2BA7F42E">
      <w:pPr>
        <w:pStyle w:val="28"/>
        <w:rPr>
          <w:rFonts w:hint="eastAsia" w:ascii="宋体" w:hAnsi="宋体" w:eastAsia="宋体" w:cs="宋体"/>
          <w:b w:val="0"/>
          <w:bCs/>
          <w:color w:val="auto"/>
          <w:sz w:val="24"/>
        </w:rPr>
      </w:pPr>
    </w:p>
    <w:p w14:paraId="032B4A63">
      <w:pPr>
        <w:rPr>
          <w:rFonts w:hint="eastAsia" w:ascii="宋体" w:hAnsi="宋体" w:eastAsia="宋体" w:cs="宋体"/>
          <w:b w:val="0"/>
          <w:bCs/>
          <w:color w:val="auto"/>
          <w:sz w:val="24"/>
        </w:rPr>
      </w:pPr>
    </w:p>
    <w:p w14:paraId="4A713A4B">
      <w:pPr>
        <w:pStyle w:val="28"/>
        <w:rPr>
          <w:rFonts w:hint="eastAsia" w:ascii="宋体" w:hAnsi="宋体" w:eastAsia="宋体" w:cs="宋体"/>
          <w:b w:val="0"/>
          <w:bCs/>
          <w:color w:val="auto"/>
          <w:sz w:val="24"/>
        </w:rPr>
      </w:pPr>
    </w:p>
    <w:p w14:paraId="7D431980">
      <w:pPr>
        <w:rPr>
          <w:rFonts w:hint="eastAsia" w:ascii="宋体" w:hAnsi="宋体" w:eastAsia="宋体" w:cs="宋体"/>
          <w:b w:val="0"/>
          <w:bCs/>
          <w:color w:val="auto"/>
          <w:sz w:val="24"/>
        </w:rPr>
      </w:pPr>
    </w:p>
    <w:p w14:paraId="514E7C4B">
      <w:pPr>
        <w:pStyle w:val="28"/>
        <w:rPr>
          <w:rFonts w:hint="eastAsia" w:ascii="宋体" w:hAnsi="宋体" w:eastAsia="宋体" w:cs="宋体"/>
          <w:b w:val="0"/>
          <w:bCs/>
          <w:color w:val="auto"/>
          <w:sz w:val="24"/>
        </w:rPr>
      </w:pPr>
    </w:p>
    <w:p w14:paraId="555BF48D">
      <w:pPr>
        <w:rPr>
          <w:rFonts w:hint="eastAsia" w:ascii="宋体" w:hAnsi="宋体" w:eastAsia="宋体" w:cs="宋体"/>
          <w:b w:val="0"/>
          <w:bCs/>
          <w:color w:val="auto"/>
          <w:sz w:val="24"/>
        </w:rPr>
      </w:pPr>
    </w:p>
    <w:p w14:paraId="3A878F70">
      <w:pPr>
        <w:pStyle w:val="28"/>
        <w:rPr>
          <w:rFonts w:hint="eastAsia" w:ascii="宋体" w:hAnsi="宋体" w:eastAsia="宋体" w:cs="宋体"/>
          <w:b w:val="0"/>
          <w:bCs/>
          <w:color w:val="auto"/>
          <w:sz w:val="24"/>
        </w:rPr>
      </w:pPr>
    </w:p>
    <w:p w14:paraId="398B0AE2">
      <w:pPr>
        <w:rPr>
          <w:rFonts w:hint="eastAsia" w:ascii="宋体" w:hAnsi="宋体" w:eastAsia="宋体" w:cs="宋体"/>
          <w:b w:val="0"/>
          <w:bCs/>
          <w:color w:val="auto"/>
          <w:sz w:val="24"/>
        </w:rPr>
      </w:pPr>
    </w:p>
    <w:p w14:paraId="5D5D7BD6">
      <w:pPr>
        <w:pStyle w:val="28"/>
        <w:rPr>
          <w:rFonts w:hint="eastAsia" w:ascii="宋体" w:hAnsi="宋体" w:eastAsia="宋体" w:cs="宋体"/>
          <w:b w:val="0"/>
          <w:bCs/>
          <w:color w:val="auto"/>
          <w:sz w:val="24"/>
        </w:rPr>
      </w:pPr>
    </w:p>
    <w:p w14:paraId="52CCC294">
      <w:pPr>
        <w:rPr>
          <w:rFonts w:hint="eastAsia" w:ascii="宋体" w:hAnsi="宋体" w:eastAsia="宋体" w:cs="宋体"/>
          <w:b w:val="0"/>
          <w:bCs/>
          <w:color w:val="auto"/>
          <w:sz w:val="24"/>
        </w:rPr>
      </w:pPr>
    </w:p>
    <w:p w14:paraId="2AF5C9EA">
      <w:pPr>
        <w:pStyle w:val="28"/>
        <w:rPr>
          <w:rFonts w:hint="eastAsia" w:ascii="宋体" w:hAnsi="宋体" w:eastAsia="宋体" w:cs="宋体"/>
          <w:b w:val="0"/>
          <w:bCs/>
          <w:color w:val="auto"/>
          <w:sz w:val="24"/>
        </w:rPr>
      </w:pPr>
    </w:p>
    <w:p w14:paraId="169DA2C2">
      <w:pPr>
        <w:rPr>
          <w:rFonts w:hint="eastAsia" w:ascii="宋体" w:hAnsi="宋体" w:eastAsia="宋体" w:cs="宋体"/>
          <w:b w:val="0"/>
          <w:bCs/>
          <w:color w:val="auto"/>
          <w:sz w:val="24"/>
        </w:rPr>
      </w:pPr>
    </w:p>
    <w:p w14:paraId="3F639D71">
      <w:pPr>
        <w:pStyle w:val="28"/>
        <w:rPr>
          <w:rFonts w:hint="eastAsia"/>
          <w:color w:val="auto"/>
        </w:rPr>
      </w:pPr>
    </w:p>
    <w:p w14:paraId="4FD7533A">
      <w:pPr>
        <w:wordWrap w:val="0"/>
        <w:overflowPunct w:val="0"/>
        <w:topLinePunct/>
        <w:spacing w:line="360" w:lineRule="auto"/>
        <w:jc w:val="both"/>
        <w:rPr>
          <w:rFonts w:hint="eastAsia" w:ascii="宋体" w:hAnsi="宋体" w:eastAsia="宋体" w:cs="宋体"/>
          <w:b w:val="0"/>
          <w:bCs/>
          <w:color w:val="auto"/>
          <w:sz w:val="24"/>
        </w:rPr>
      </w:pPr>
    </w:p>
    <w:p w14:paraId="53CA5CD7">
      <w:pPr>
        <w:wordWrap w:val="0"/>
        <w:overflowPunct w:val="0"/>
        <w:topLinePunct/>
        <w:spacing w:line="360" w:lineRule="auto"/>
        <w:jc w:val="center"/>
        <w:rPr>
          <w:rFonts w:hint="eastAsia" w:ascii="宋体" w:hAnsi="宋体" w:eastAsia="宋体" w:cs="宋体"/>
          <w:b w:val="0"/>
          <w:bCs/>
          <w:color w:val="auto"/>
          <w:sz w:val="24"/>
        </w:rPr>
      </w:pPr>
      <w:r>
        <w:rPr>
          <w:rFonts w:hint="eastAsia" w:ascii="宋体" w:hAnsi="宋体" w:cs="宋体"/>
          <w:b w:val="0"/>
          <w:bCs/>
          <w:color w:val="auto"/>
          <w:sz w:val="24"/>
          <w:lang w:eastAsia="zh-CN"/>
        </w:rPr>
        <w:t>供应商</w:t>
      </w:r>
      <w:r>
        <w:rPr>
          <w:rFonts w:hint="eastAsia" w:ascii="宋体" w:hAnsi="宋体" w:eastAsia="宋体" w:cs="宋体"/>
          <w:b w:val="0"/>
          <w:bCs/>
          <w:color w:val="auto"/>
          <w:sz w:val="24"/>
        </w:rPr>
        <w:t>：</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u w:val="single"/>
          <w:lang w:eastAsia="zh-CN"/>
        </w:rPr>
        <w:t>（</w:t>
      </w:r>
      <w:r>
        <w:rPr>
          <w:rFonts w:hint="eastAsia" w:ascii="宋体" w:hAnsi="宋体" w:eastAsia="宋体" w:cs="宋体"/>
          <w:color w:val="auto"/>
          <w:sz w:val="24"/>
        </w:rPr>
        <w:t>加盖电子公章</w:t>
      </w:r>
      <w:r>
        <w:rPr>
          <w:rFonts w:hint="eastAsia" w:ascii="宋体" w:hAnsi="宋体" w:eastAsia="宋体" w:cs="宋体"/>
          <w:b w:val="0"/>
          <w:bCs/>
          <w:color w:val="auto"/>
          <w:sz w:val="24"/>
          <w:lang w:eastAsia="zh-CN"/>
        </w:rPr>
        <w:t>）</w:t>
      </w:r>
    </w:p>
    <w:p w14:paraId="1C06B933">
      <w:pPr>
        <w:wordWrap w:val="0"/>
        <w:overflowPunct w:val="0"/>
        <w:topLinePunct/>
        <w:spacing w:line="360" w:lineRule="auto"/>
        <w:jc w:val="center"/>
        <w:rPr>
          <w:rFonts w:hint="eastAsia" w:ascii="宋体" w:hAnsi="宋体" w:eastAsia="宋体" w:cs="宋体"/>
          <w:b w:val="0"/>
          <w:bCs/>
          <w:color w:val="auto"/>
          <w:sz w:val="24"/>
          <w:u w:val="single"/>
        </w:rPr>
      </w:pPr>
      <w:r>
        <w:rPr>
          <w:rFonts w:hint="eastAsia" w:ascii="宋体" w:hAnsi="宋体" w:eastAsia="宋体" w:cs="宋体"/>
          <w:b w:val="0"/>
          <w:bCs/>
          <w:color w:val="auto"/>
          <w:sz w:val="24"/>
        </w:rPr>
        <w:t>法定代表人（负责人）或授权委托人：</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w:t>
      </w:r>
      <w:r>
        <w:rPr>
          <w:rFonts w:hint="eastAsia" w:ascii="宋体" w:hAnsi="宋体" w:eastAsia="宋体" w:cs="宋体"/>
          <w:b w:val="0"/>
          <w:bCs/>
          <w:color w:val="auto"/>
          <w:sz w:val="24"/>
          <w:lang w:eastAsia="zh-CN"/>
        </w:rPr>
        <w:t>电子签章</w:t>
      </w:r>
      <w:r>
        <w:rPr>
          <w:rFonts w:hint="eastAsia" w:ascii="宋体" w:hAnsi="宋体" w:eastAsia="宋体" w:cs="宋体"/>
          <w:b w:val="0"/>
          <w:bCs/>
          <w:color w:val="auto"/>
          <w:sz w:val="24"/>
        </w:rPr>
        <w:t>）</w:t>
      </w:r>
    </w:p>
    <w:p w14:paraId="1100BDB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b w:val="0"/>
          <w:bCs/>
          <w:color w:val="auto"/>
          <w:sz w:val="24"/>
        </w:rPr>
        <w:t>日期：</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年</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月</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日</w:t>
      </w:r>
    </w:p>
    <w:p w14:paraId="57AA3CC4">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14:paraId="38D2C070">
      <w:pPr>
        <w:keepNext w:val="0"/>
        <w:keepLines w:val="0"/>
        <w:pageBreakBefore w:val="0"/>
        <w:widowControl w:val="0"/>
        <w:kinsoku/>
        <w:wordWrap w:val="0"/>
        <w:overflowPunct w:val="0"/>
        <w:topLinePunct/>
        <w:autoSpaceDE/>
        <w:autoSpaceDN/>
        <w:bidi w:val="0"/>
        <w:adjustRightInd/>
        <w:snapToGrid/>
        <w:jc w:val="center"/>
        <w:outlineLvl w:val="2"/>
        <w:rPr>
          <w:rFonts w:hint="eastAsia" w:ascii="宋体" w:hAnsi="宋体" w:eastAsia="宋体" w:cs="宋体"/>
          <w:color w:val="auto"/>
          <w:lang w:val="zh-CN" w:eastAsia="zh-CN"/>
        </w:rPr>
      </w:pPr>
      <w:r>
        <w:rPr>
          <w:rFonts w:hint="eastAsia" w:ascii="宋体" w:hAnsi="宋体" w:cs="宋体"/>
          <w:b/>
          <w:bCs/>
          <w:color w:val="auto"/>
          <w:sz w:val="32"/>
          <w:szCs w:val="32"/>
          <w:lang w:val="en-US" w:eastAsia="zh-CN"/>
        </w:rPr>
        <w:t>七</w:t>
      </w:r>
      <w:r>
        <w:rPr>
          <w:rFonts w:hint="eastAsia" w:ascii="宋体" w:hAnsi="宋体" w:eastAsia="宋体" w:cs="宋体"/>
          <w:b/>
          <w:bCs/>
          <w:color w:val="auto"/>
          <w:sz w:val="32"/>
          <w:szCs w:val="32"/>
          <w:lang w:val="en-US" w:eastAsia="zh-CN"/>
        </w:rPr>
        <w:t>、安全升级服务方案</w:t>
      </w:r>
    </w:p>
    <w:p w14:paraId="0E7572F2">
      <w:pPr>
        <w:spacing w:line="360" w:lineRule="auto"/>
        <w:jc w:val="center"/>
        <w:rPr>
          <w:rFonts w:hint="eastAsia" w:ascii="宋体" w:hAnsi="宋体"/>
          <w:snapToGrid w:val="0"/>
          <w:color w:val="auto"/>
          <w:kern w:val="0"/>
          <w:szCs w:val="20"/>
          <w:highlight w:val="none"/>
        </w:rPr>
      </w:pPr>
      <w:r>
        <w:rPr>
          <w:rFonts w:hint="eastAsia" w:ascii="宋体" w:hAnsi="宋体"/>
          <w:snapToGrid w:val="0"/>
          <w:color w:val="auto"/>
          <w:kern w:val="0"/>
          <w:szCs w:val="20"/>
          <w:highlight w:val="none"/>
        </w:rPr>
        <w:t>（格式自拟，内容由</w:t>
      </w:r>
      <w:r>
        <w:rPr>
          <w:rFonts w:hint="eastAsia" w:ascii="宋体" w:hAnsi="宋体"/>
          <w:snapToGrid w:val="0"/>
          <w:color w:val="auto"/>
          <w:kern w:val="0"/>
          <w:szCs w:val="20"/>
          <w:highlight w:val="none"/>
          <w:lang w:eastAsia="zh-CN"/>
        </w:rPr>
        <w:t>供应商</w:t>
      </w:r>
      <w:r>
        <w:rPr>
          <w:rFonts w:hint="eastAsia" w:ascii="宋体" w:hAnsi="宋体"/>
          <w:snapToGrid w:val="0"/>
          <w:color w:val="auto"/>
          <w:kern w:val="0"/>
          <w:szCs w:val="20"/>
          <w:highlight w:val="none"/>
        </w:rPr>
        <w:t>根据</w:t>
      </w:r>
      <w:r>
        <w:rPr>
          <w:rFonts w:hint="eastAsia" w:ascii="宋体" w:hAnsi="宋体"/>
          <w:snapToGrid w:val="0"/>
          <w:color w:val="auto"/>
          <w:kern w:val="0"/>
          <w:szCs w:val="20"/>
          <w:highlight w:val="none"/>
          <w:lang w:eastAsia="zh-CN"/>
        </w:rPr>
        <w:t>评审</w:t>
      </w:r>
      <w:r>
        <w:rPr>
          <w:rFonts w:hint="eastAsia" w:ascii="宋体" w:hAnsi="宋体"/>
          <w:snapToGrid w:val="0"/>
          <w:color w:val="auto"/>
          <w:kern w:val="0"/>
          <w:szCs w:val="20"/>
          <w:highlight w:val="none"/>
        </w:rPr>
        <w:t>办法并结合自身实际情况自行编写）</w:t>
      </w:r>
    </w:p>
    <w:p w14:paraId="014B8878">
      <w:pPr>
        <w:wordWrap w:val="0"/>
        <w:overflowPunct w:val="0"/>
        <w:topLinePunct/>
        <w:spacing w:line="360" w:lineRule="auto"/>
        <w:jc w:val="both"/>
        <w:rPr>
          <w:rFonts w:hint="eastAsia" w:ascii="宋体" w:hAnsi="宋体" w:eastAsia="宋体" w:cs="宋体"/>
          <w:b w:val="0"/>
          <w:bCs/>
          <w:color w:val="auto"/>
          <w:sz w:val="24"/>
        </w:rPr>
      </w:pPr>
    </w:p>
    <w:p w14:paraId="6502A8D0">
      <w:pPr>
        <w:pStyle w:val="28"/>
        <w:rPr>
          <w:rFonts w:hint="eastAsia" w:ascii="宋体" w:hAnsi="宋体" w:eastAsia="宋体" w:cs="宋体"/>
          <w:b w:val="0"/>
          <w:bCs/>
          <w:color w:val="auto"/>
          <w:sz w:val="24"/>
        </w:rPr>
      </w:pPr>
    </w:p>
    <w:p w14:paraId="1CAC662A">
      <w:pPr>
        <w:rPr>
          <w:rFonts w:hint="eastAsia" w:ascii="宋体" w:hAnsi="宋体" w:eastAsia="宋体" w:cs="宋体"/>
          <w:b w:val="0"/>
          <w:bCs/>
          <w:color w:val="auto"/>
          <w:sz w:val="24"/>
        </w:rPr>
      </w:pPr>
    </w:p>
    <w:p w14:paraId="1F51F4DA">
      <w:pPr>
        <w:pStyle w:val="28"/>
        <w:rPr>
          <w:rFonts w:hint="eastAsia" w:ascii="宋体" w:hAnsi="宋体" w:eastAsia="宋体" w:cs="宋体"/>
          <w:b w:val="0"/>
          <w:bCs/>
          <w:color w:val="auto"/>
          <w:sz w:val="24"/>
        </w:rPr>
      </w:pPr>
    </w:p>
    <w:p w14:paraId="6E39EABB">
      <w:pPr>
        <w:rPr>
          <w:rFonts w:hint="eastAsia" w:ascii="宋体" w:hAnsi="宋体" w:eastAsia="宋体" w:cs="宋体"/>
          <w:b w:val="0"/>
          <w:bCs/>
          <w:color w:val="auto"/>
          <w:sz w:val="24"/>
        </w:rPr>
      </w:pPr>
    </w:p>
    <w:p w14:paraId="5EF0D720">
      <w:pPr>
        <w:pStyle w:val="28"/>
        <w:rPr>
          <w:rFonts w:hint="eastAsia" w:ascii="宋体" w:hAnsi="宋体" w:eastAsia="宋体" w:cs="宋体"/>
          <w:b w:val="0"/>
          <w:bCs/>
          <w:color w:val="auto"/>
          <w:sz w:val="24"/>
        </w:rPr>
      </w:pPr>
    </w:p>
    <w:p w14:paraId="2BEF3730">
      <w:pPr>
        <w:rPr>
          <w:rFonts w:hint="eastAsia" w:ascii="宋体" w:hAnsi="宋体" w:eastAsia="宋体" w:cs="宋体"/>
          <w:b w:val="0"/>
          <w:bCs/>
          <w:color w:val="auto"/>
          <w:sz w:val="24"/>
        </w:rPr>
      </w:pPr>
    </w:p>
    <w:p w14:paraId="5170475D">
      <w:pPr>
        <w:pStyle w:val="28"/>
        <w:rPr>
          <w:rFonts w:hint="eastAsia" w:ascii="宋体" w:hAnsi="宋体" w:eastAsia="宋体" w:cs="宋体"/>
          <w:b w:val="0"/>
          <w:bCs/>
          <w:color w:val="auto"/>
          <w:sz w:val="24"/>
        </w:rPr>
      </w:pPr>
    </w:p>
    <w:p w14:paraId="726DD15B">
      <w:pPr>
        <w:rPr>
          <w:rFonts w:hint="eastAsia" w:ascii="宋体" w:hAnsi="宋体" w:eastAsia="宋体" w:cs="宋体"/>
          <w:b w:val="0"/>
          <w:bCs/>
          <w:color w:val="auto"/>
          <w:sz w:val="24"/>
        </w:rPr>
      </w:pPr>
    </w:p>
    <w:p w14:paraId="395F5591">
      <w:pPr>
        <w:pStyle w:val="28"/>
        <w:rPr>
          <w:rFonts w:hint="eastAsia" w:ascii="宋体" w:hAnsi="宋体" w:eastAsia="宋体" w:cs="宋体"/>
          <w:b w:val="0"/>
          <w:bCs/>
          <w:color w:val="auto"/>
          <w:sz w:val="24"/>
        </w:rPr>
      </w:pPr>
    </w:p>
    <w:p w14:paraId="55C16DB7">
      <w:pPr>
        <w:rPr>
          <w:rFonts w:hint="eastAsia" w:ascii="宋体" w:hAnsi="宋体" w:eastAsia="宋体" w:cs="宋体"/>
          <w:b w:val="0"/>
          <w:bCs/>
          <w:color w:val="auto"/>
          <w:sz w:val="24"/>
        </w:rPr>
      </w:pPr>
    </w:p>
    <w:p w14:paraId="083D8E21">
      <w:pPr>
        <w:pStyle w:val="28"/>
        <w:rPr>
          <w:rFonts w:hint="eastAsia" w:ascii="宋体" w:hAnsi="宋体" w:eastAsia="宋体" w:cs="宋体"/>
          <w:b w:val="0"/>
          <w:bCs/>
          <w:color w:val="auto"/>
          <w:sz w:val="24"/>
        </w:rPr>
      </w:pPr>
    </w:p>
    <w:p w14:paraId="531D4371">
      <w:pPr>
        <w:rPr>
          <w:rFonts w:hint="eastAsia" w:ascii="宋体" w:hAnsi="宋体" w:eastAsia="宋体" w:cs="宋体"/>
          <w:b w:val="0"/>
          <w:bCs/>
          <w:color w:val="auto"/>
          <w:sz w:val="24"/>
        </w:rPr>
      </w:pPr>
    </w:p>
    <w:p w14:paraId="0D9172C6">
      <w:pPr>
        <w:pStyle w:val="28"/>
        <w:rPr>
          <w:rFonts w:hint="eastAsia" w:ascii="宋体" w:hAnsi="宋体" w:eastAsia="宋体" w:cs="宋体"/>
          <w:b w:val="0"/>
          <w:bCs/>
          <w:color w:val="auto"/>
          <w:sz w:val="24"/>
        </w:rPr>
      </w:pPr>
    </w:p>
    <w:p w14:paraId="4BD5BC87">
      <w:pPr>
        <w:rPr>
          <w:rFonts w:hint="eastAsia" w:ascii="宋体" w:hAnsi="宋体" w:eastAsia="宋体" w:cs="宋体"/>
          <w:b w:val="0"/>
          <w:bCs/>
          <w:color w:val="auto"/>
          <w:sz w:val="24"/>
        </w:rPr>
      </w:pPr>
    </w:p>
    <w:p w14:paraId="350A4339">
      <w:pPr>
        <w:pStyle w:val="28"/>
        <w:rPr>
          <w:rFonts w:hint="eastAsia" w:ascii="宋体" w:hAnsi="宋体" w:eastAsia="宋体" w:cs="宋体"/>
          <w:b w:val="0"/>
          <w:bCs/>
          <w:color w:val="auto"/>
          <w:sz w:val="24"/>
        </w:rPr>
      </w:pPr>
    </w:p>
    <w:p w14:paraId="41966ED3">
      <w:pPr>
        <w:rPr>
          <w:rFonts w:hint="eastAsia" w:ascii="宋体" w:hAnsi="宋体" w:eastAsia="宋体" w:cs="宋体"/>
          <w:b w:val="0"/>
          <w:bCs/>
          <w:color w:val="auto"/>
          <w:sz w:val="24"/>
        </w:rPr>
      </w:pPr>
    </w:p>
    <w:p w14:paraId="5FF81E4A">
      <w:pPr>
        <w:pStyle w:val="28"/>
        <w:rPr>
          <w:rFonts w:hint="eastAsia" w:ascii="宋体" w:hAnsi="宋体" w:eastAsia="宋体" w:cs="宋体"/>
          <w:b w:val="0"/>
          <w:bCs/>
          <w:color w:val="auto"/>
          <w:sz w:val="24"/>
        </w:rPr>
      </w:pPr>
    </w:p>
    <w:p w14:paraId="7F2A17E7">
      <w:pPr>
        <w:rPr>
          <w:rFonts w:hint="eastAsia" w:ascii="宋体" w:hAnsi="宋体" w:eastAsia="宋体" w:cs="宋体"/>
          <w:b w:val="0"/>
          <w:bCs/>
          <w:color w:val="auto"/>
          <w:sz w:val="24"/>
        </w:rPr>
      </w:pPr>
    </w:p>
    <w:p w14:paraId="5B8AF795">
      <w:pPr>
        <w:pStyle w:val="28"/>
        <w:rPr>
          <w:rFonts w:hint="eastAsia" w:ascii="宋体" w:hAnsi="宋体" w:eastAsia="宋体" w:cs="宋体"/>
          <w:b w:val="0"/>
          <w:bCs/>
          <w:color w:val="auto"/>
          <w:sz w:val="24"/>
        </w:rPr>
      </w:pPr>
    </w:p>
    <w:p w14:paraId="32155CA2">
      <w:pPr>
        <w:rPr>
          <w:rFonts w:hint="eastAsia" w:ascii="宋体" w:hAnsi="宋体" w:eastAsia="宋体" w:cs="宋体"/>
          <w:b w:val="0"/>
          <w:bCs/>
          <w:color w:val="auto"/>
          <w:sz w:val="24"/>
        </w:rPr>
      </w:pPr>
    </w:p>
    <w:p w14:paraId="1BA528D5">
      <w:pPr>
        <w:pStyle w:val="28"/>
        <w:rPr>
          <w:rFonts w:hint="eastAsia" w:ascii="宋体" w:hAnsi="宋体" w:eastAsia="宋体" w:cs="宋体"/>
          <w:b w:val="0"/>
          <w:bCs/>
          <w:color w:val="auto"/>
          <w:sz w:val="24"/>
        </w:rPr>
      </w:pPr>
    </w:p>
    <w:p w14:paraId="108ADA7A">
      <w:pPr>
        <w:rPr>
          <w:rFonts w:hint="eastAsia" w:ascii="宋体" w:hAnsi="宋体" w:eastAsia="宋体" w:cs="宋体"/>
          <w:b w:val="0"/>
          <w:bCs/>
          <w:color w:val="auto"/>
          <w:sz w:val="24"/>
        </w:rPr>
      </w:pPr>
    </w:p>
    <w:p w14:paraId="779170A6">
      <w:pPr>
        <w:pStyle w:val="28"/>
        <w:rPr>
          <w:rFonts w:hint="eastAsia"/>
          <w:color w:val="auto"/>
        </w:rPr>
      </w:pPr>
    </w:p>
    <w:p w14:paraId="052DA512">
      <w:pPr>
        <w:wordWrap w:val="0"/>
        <w:overflowPunct w:val="0"/>
        <w:topLinePunct/>
        <w:spacing w:line="360" w:lineRule="auto"/>
        <w:jc w:val="both"/>
        <w:rPr>
          <w:rFonts w:hint="eastAsia" w:ascii="宋体" w:hAnsi="宋体" w:eastAsia="宋体" w:cs="宋体"/>
          <w:b w:val="0"/>
          <w:bCs/>
          <w:color w:val="auto"/>
          <w:sz w:val="24"/>
        </w:rPr>
      </w:pPr>
    </w:p>
    <w:p w14:paraId="0ABEA91F">
      <w:pPr>
        <w:wordWrap w:val="0"/>
        <w:overflowPunct w:val="0"/>
        <w:topLinePunct/>
        <w:spacing w:line="360" w:lineRule="auto"/>
        <w:jc w:val="center"/>
        <w:rPr>
          <w:rFonts w:hint="eastAsia" w:ascii="宋体" w:hAnsi="宋体" w:eastAsia="宋体" w:cs="宋体"/>
          <w:b w:val="0"/>
          <w:bCs/>
          <w:color w:val="auto"/>
          <w:sz w:val="24"/>
        </w:rPr>
      </w:pPr>
      <w:r>
        <w:rPr>
          <w:rFonts w:hint="eastAsia" w:ascii="宋体" w:hAnsi="宋体" w:cs="宋体"/>
          <w:b w:val="0"/>
          <w:bCs/>
          <w:color w:val="auto"/>
          <w:sz w:val="24"/>
          <w:lang w:eastAsia="zh-CN"/>
        </w:rPr>
        <w:t>供应商</w:t>
      </w:r>
      <w:r>
        <w:rPr>
          <w:rFonts w:hint="eastAsia" w:ascii="宋体" w:hAnsi="宋体" w:eastAsia="宋体" w:cs="宋体"/>
          <w:b w:val="0"/>
          <w:bCs/>
          <w:color w:val="auto"/>
          <w:sz w:val="24"/>
        </w:rPr>
        <w:t>：</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u w:val="single"/>
          <w:lang w:eastAsia="zh-CN"/>
        </w:rPr>
        <w:t>（</w:t>
      </w:r>
      <w:r>
        <w:rPr>
          <w:rFonts w:hint="eastAsia" w:ascii="宋体" w:hAnsi="宋体" w:eastAsia="宋体" w:cs="宋体"/>
          <w:color w:val="auto"/>
          <w:sz w:val="24"/>
        </w:rPr>
        <w:t>加盖电子公章</w:t>
      </w:r>
      <w:r>
        <w:rPr>
          <w:rFonts w:hint="eastAsia" w:ascii="宋体" w:hAnsi="宋体" w:eastAsia="宋体" w:cs="宋体"/>
          <w:b w:val="0"/>
          <w:bCs/>
          <w:color w:val="auto"/>
          <w:sz w:val="24"/>
          <w:lang w:eastAsia="zh-CN"/>
        </w:rPr>
        <w:t>）</w:t>
      </w:r>
    </w:p>
    <w:p w14:paraId="2627D490">
      <w:pPr>
        <w:wordWrap w:val="0"/>
        <w:overflowPunct w:val="0"/>
        <w:topLinePunct/>
        <w:spacing w:line="360" w:lineRule="auto"/>
        <w:jc w:val="center"/>
        <w:rPr>
          <w:rFonts w:hint="eastAsia" w:ascii="宋体" w:hAnsi="宋体" w:eastAsia="宋体" w:cs="宋体"/>
          <w:b w:val="0"/>
          <w:bCs/>
          <w:color w:val="auto"/>
          <w:sz w:val="24"/>
          <w:u w:val="single"/>
        </w:rPr>
      </w:pPr>
      <w:r>
        <w:rPr>
          <w:rFonts w:hint="eastAsia" w:ascii="宋体" w:hAnsi="宋体" w:eastAsia="宋体" w:cs="宋体"/>
          <w:b w:val="0"/>
          <w:bCs/>
          <w:color w:val="auto"/>
          <w:sz w:val="24"/>
        </w:rPr>
        <w:t>法定代表人（负责人）或授权委托人：</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w:t>
      </w:r>
      <w:r>
        <w:rPr>
          <w:rFonts w:hint="eastAsia" w:ascii="宋体" w:hAnsi="宋体" w:eastAsia="宋体" w:cs="宋体"/>
          <w:b w:val="0"/>
          <w:bCs/>
          <w:color w:val="auto"/>
          <w:sz w:val="24"/>
          <w:lang w:eastAsia="zh-CN"/>
        </w:rPr>
        <w:t>电子签章</w:t>
      </w:r>
      <w:r>
        <w:rPr>
          <w:rFonts w:hint="eastAsia" w:ascii="宋体" w:hAnsi="宋体" w:eastAsia="宋体" w:cs="宋体"/>
          <w:b w:val="0"/>
          <w:bCs/>
          <w:color w:val="auto"/>
          <w:sz w:val="24"/>
        </w:rPr>
        <w:t>）</w:t>
      </w:r>
    </w:p>
    <w:p w14:paraId="79DF7B3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b w:val="0"/>
          <w:bCs/>
          <w:color w:val="auto"/>
          <w:sz w:val="24"/>
        </w:rPr>
        <w:t>日期：</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年</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月</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日</w:t>
      </w:r>
    </w:p>
    <w:p w14:paraId="02C52C41">
      <w:pPr>
        <w:rPr>
          <w:rFonts w:hint="eastAsia"/>
          <w:color w:val="auto"/>
          <w:lang w:eastAsia="zh-CN"/>
        </w:rPr>
      </w:pPr>
      <w:r>
        <w:rPr>
          <w:rFonts w:hint="eastAsia"/>
          <w:color w:val="auto"/>
          <w:lang w:eastAsia="zh-CN"/>
        </w:rPr>
        <w:br w:type="page"/>
      </w:r>
    </w:p>
    <w:p w14:paraId="1E3D3549">
      <w:pPr>
        <w:keepNext w:val="0"/>
        <w:keepLines w:val="0"/>
        <w:pageBreakBefore w:val="0"/>
        <w:widowControl w:val="0"/>
        <w:kinsoku/>
        <w:wordWrap w:val="0"/>
        <w:overflowPunct w:val="0"/>
        <w:topLinePunct/>
        <w:autoSpaceDE/>
        <w:autoSpaceDN/>
        <w:bidi w:val="0"/>
        <w:adjustRightInd/>
        <w:snapToGrid/>
        <w:jc w:val="center"/>
        <w:outlineLvl w:val="2"/>
        <w:rPr>
          <w:rFonts w:hint="eastAsia" w:ascii="宋体" w:hAnsi="宋体" w:eastAsia="宋体" w:cs="宋体"/>
          <w:color w:val="auto"/>
          <w:lang w:val="zh-CN" w:eastAsia="zh-CN"/>
        </w:rPr>
      </w:pPr>
      <w:r>
        <w:rPr>
          <w:rFonts w:hint="eastAsia" w:ascii="宋体" w:hAnsi="宋体" w:cs="宋体"/>
          <w:b/>
          <w:bCs/>
          <w:color w:val="auto"/>
          <w:sz w:val="32"/>
          <w:szCs w:val="32"/>
          <w:lang w:val="en-US" w:eastAsia="zh-CN"/>
        </w:rPr>
        <w:t>八</w:t>
      </w:r>
      <w:r>
        <w:rPr>
          <w:rFonts w:hint="eastAsia" w:ascii="宋体" w:hAnsi="宋体" w:eastAsia="宋体" w:cs="宋体"/>
          <w:b/>
          <w:bCs/>
          <w:color w:val="auto"/>
          <w:sz w:val="32"/>
          <w:szCs w:val="32"/>
          <w:lang w:val="en-US" w:eastAsia="zh-CN"/>
        </w:rPr>
        <w:t>、备件更换方案</w:t>
      </w:r>
    </w:p>
    <w:p w14:paraId="5A00EDFC">
      <w:pPr>
        <w:spacing w:line="360" w:lineRule="auto"/>
        <w:jc w:val="center"/>
        <w:rPr>
          <w:rFonts w:hint="eastAsia" w:ascii="宋体" w:hAnsi="宋体"/>
          <w:snapToGrid w:val="0"/>
          <w:color w:val="auto"/>
          <w:kern w:val="0"/>
          <w:szCs w:val="20"/>
          <w:highlight w:val="none"/>
        </w:rPr>
      </w:pPr>
      <w:r>
        <w:rPr>
          <w:rFonts w:hint="eastAsia" w:ascii="宋体" w:hAnsi="宋体"/>
          <w:snapToGrid w:val="0"/>
          <w:color w:val="auto"/>
          <w:kern w:val="0"/>
          <w:szCs w:val="20"/>
          <w:highlight w:val="none"/>
        </w:rPr>
        <w:t>（格式自拟，内容由</w:t>
      </w:r>
      <w:r>
        <w:rPr>
          <w:rFonts w:hint="eastAsia" w:ascii="宋体" w:hAnsi="宋体"/>
          <w:snapToGrid w:val="0"/>
          <w:color w:val="auto"/>
          <w:kern w:val="0"/>
          <w:szCs w:val="20"/>
          <w:highlight w:val="none"/>
          <w:lang w:eastAsia="zh-CN"/>
        </w:rPr>
        <w:t>供应商</w:t>
      </w:r>
      <w:r>
        <w:rPr>
          <w:rFonts w:hint="eastAsia" w:ascii="宋体" w:hAnsi="宋体"/>
          <w:snapToGrid w:val="0"/>
          <w:color w:val="auto"/>
          <w:kern w:val="0"/>
          <w:szCs w:val="20"/>
          <w:highlight w:val="none"/>
        </w:rPr>
        <w:t>根据</w:t>
      </w:r>
      <w:r>
        <w:rPr>
          <w:rFonts w:hint="eastAsia" w:ascii="宋体" w:hAnsi="宋体"/>
          <w:snapToGrid w:val="0"/>
          <w:color w:val="auto"/>
          <w:kern w:val="0"/>
          <w:szCs w:val="20"/>
          <w:highlight w:val="none"/>
          <w:lang w:eastAsia="zh-CN"/>
        </w:rPr>
        <w:t>评审</w:t>
      </w:r>
      <w:r>
        <w:rPr>
          <w:rFonts w:hint="eastAsia" w:ascii="宋体" w:hAnsi="宋体"/>
          <w:snapToGrid w:val="0"/>
          <w:color w:val="auto"/>
          <w:kern w:val="0"/>
          <w:szCs w:val="20"/>
          <w:highlight w:val="none"/>
        </w:rPr>
        <w:t>办法并结合自身实际情况自行编写）</w:t>
      </w:r>
    </w:p>
    <w:p w14:paraId="0C7054CB">
      <w:pPr>
        <w:wordWrap w:val="0"/>
        <w:overflowPunct w:val="0"/>
        <w:topLinePunct/>
        <w:spacing w:line="360" w:lineRule="auto"/>
        <w:jc w:val="both"/>
        <w:rPr>
          <w:rFonts w:hint="eastAsia" w:ascii="宋体" w:hAnsi="宋体" w:eastAsia="宋体" w:cs="宋体"/>
          <w:b w:val="0"/>
          <w:bCs/>
          <w:color w:val="auto"/>
          <w:sz w:val="24"/>
        </w:rPr>
      </w:pPr>
    </w:p>
    <w:p w14:paraId="446BF67C">
      <w:pPr>
        <w:pStyle w:val="28"/>
        <w:rPr>
          <w:rFonts w:hint="eastAsia" w:ascii="宋体" w:hAnsi="宋体" w:eastAsia="宋体" w:cs="宋体"/>
          <w:b w:val="0"/>
          <w:bCs/>
          <w:color w:val="auto"/>
          <w:sz w:val="24"/>
        </w:rPr>
      </w:pPr>
    </w:p>
    <w:p w14:paraId="43F4B525">
      <w:pPr>
        <w:rPr>
          <w:rFonts w:hint="eastAsia" w:ascii="宋体" w:hAnsi="宋体" w:eastAsia="宋体" w:cs="宋体"/>
          <w:b w:val="0"/>
          <w:bCs/>
          <w:color w:val="auto"/>
          <w:sz w:val="24"/>
        </w:rPr>
      </w:pPr>
    </w:p>
    <w:p w14:paraId="46E5B7CF">
      <w:pPr>
        <w:pStyle w:val="28"/>
        <w:rPr>
          <w:rFonts w:hint="eastAsia" w:ascii="宋体" w:hAnsi="宋体" w:eastAsia="宋体" w:cs="宋体"/>
          <w:b w:val="0"/>
          <w:bCs/>
          <w:color w:val="auto"/>
          <w:sz w:val="24"/>
        </w:rPr>
      </w:pPr>
    </w:p>
    <w:p w14:paraId="04B32098">
      <w:pPr>
        <w:rPr>
          <w:rFonts w:hint="eastAsia" w:ascii="宋体" w:hAnsi="宋体" w:eastAsia="宋体" w:cs="宋体"/>
          <w:b w:val="0"/>
          <w:bCs/>
          <w:color w:val="auto"/>
          <w:sz w:val="24"/>
        </w:rPr>
      </w:pPr>
    </w:p>
    <w:p w14:paraId="28B98206">
      <w:pPr>
        <w:pStyle w:val="28"/>
        <w:rPr>
          <w:rFonts w:hint="eastAsia" w:ascii="宋体" w:hAnsi="宋体" w:eastAsia="宋体" w:cs="宋体"/>
          <w:b w:val="0"/>
          <w:bCs/>
          <w:color w:val="auto"/>
          <w:sz w:val="24"/>
        </w:rPr>
      </w:pPr>
    </w:p>
    <w:p w14:paraId="5F9F6257">
      <w:pPr>
        <w:rPr>
          <w:rFonts w:hint="eastAsia" w:ascii="宋体" w:hAnsi="宋体" w:eastAsia="宋体" w:cs="宋体"/>
          <w:b w:val="0"/>
          <w:bCs/>
          <w:color w:val="auto"/>
          <w:sz w:val="24"/>
        </w:rPr>
      </w:pPr>
    </w:p>
    <w:p w14:paraId="13D8DC1B">
      <w:pPr>
        <w:pStyle w:val="28"/>
        <w:rPr>
          <w:rFonts w:hint="eastAsia" w:ascii="宋体" w:hAnsi="宋体" w:eastAsia="宋体" w:cs="宋体"/>
          <w:b w:val="0"/>
          <w:bCs/>
          <w:color w:val="auto"/>
          <w:sz w:val="24"/>
        </w:rPr>
      </w:pPr>
    </w:p>
    <w:p w14:paraId="70030E1F">
      <w:pPr>
        <w:rPr>
          <w:rFonts w:hint="eastAsia" w:ascii="宋体" w:hAnsi="宋体" w:eastAsia="宋体" w:cs="宋体"/>
          <w:b w:val="0"/>
          <w:bCs/>
          <w:color w:val="auto"/>
          <w:sz w:val="24"/>
        </w:rPr>
      </w:pPr>
    </w:p>
    <w:p w14:paraId="73843A8D">
      <w:pPr>
        <w:pStyle w:val="28"/>
        <w:rPr>
          <w:rFonts w:hint="eastAsia" w:ascii="宋体" w:hAnsi="宋体" w:eastAsia="宋体" w:cs="宋体"/>
          <w:b w:val="0"/>
          <w:bCs/>
          <w:color w:val="auto"/>
          <w:sz w:val="24"/>
        </w:rPr>
      </w:pPr>
    </w:p>
    <w:p w14:paraId="1D1A9196">
      <w:pPr>
        <w:rPr>
          <w:rFonts w:hint="eastAsia" w:ascii="宋体" w:hAnsi="宋体" w:eastAsia="宋体" w:cs="宋体"/>
          <w:b w:val="0"/>
          <w:bCs/>
          <w:color w:val="auto"/>
          <w:sz w:val="24"/>
        </w:rPr>
      </w:pPr>
    </w:p>
    <w:p w14:paraId="3B47E954">
      <w:pPr>
        <w:pStyle w:val="28"/>
        <w:rPr>
          <w:rFonts w:hint="eastAsia" w:ascii="宋体" w:hAnsi="宋体" w:eastAsia="宋体" w:cs="宋体"/>
          <w:b w:val="0"/>
          <w:bCs/>
          <w:color w:val="auto"/>
          <w:sz w:val="24"/>
        </w:rPr>
      </w:pPr>
    </w:p>
    <w:p w14:paraId="083E0A64">
      <w:pPr>
        <w:rPr>
          <w:rFonts w:hint="eastAsia" w:ascii="宋体" w:hAnsi="宋体" w:eastAsia="宋体" w:cs="宋体"/>
          <w:b w:val="0"/>
          <w:bCs/>
          <w:color w:val="auto"/>
          <w:sz w:val="24"/>
        </w:rPr>
      </w:pPr>
    </w:p>
    <w:p w14:paraId="3BE71527">
      <w:pPr>
        <w:pStyle w:val="28"/>
        <w:rPr>
          <w:rFonts w:hint="eastAsia" w:ascii="宋体" w:hAnsi="宋体" w:eastAsia="宋体" w:cs="宋体"/>
          <w:b w:val="0"/>
          <w:bCs/>
          <w:color w:val="auto"/>
          <w:sz w:val="24"/>
        </w:rPr>
      </w:pPr>
    </w:p>
    <w:p w14:paraId="68016706">
      <w:pPr>
        <w:rPr>
          <w:rFonts w:hint="eastAsia" w:ascii="宋体" w:hAnsi="宋体" w:eastAsia="宋体" w:cs="宋体"/>
          <w:b w:val="0"/>
          <w:bCs/>
          <w:color w:val="auto"/>
          <w:sz w:val="24"/>
        </w:rPr>
      </w:pPr>
    </w:p>
    <w:p w14:paraId="71774DB2">
      <w:pPr>
        <w:pStyle w:val="28"/>
        <w:rPr>
          <w:rFonts w:hint="eastAsia" w:ascii="宋体" w:hAnsi="宋体" w:eastAsia="宋体" w:cs="宋体"/>
          <w:b w:val="0"/>
          <w:bCs/>
          <w:color w:val="auto"/>
          <w:sz w:val="24"/>
        </w:rPr>
      </w:pPr>
    </w:p>
    <w:p w14:paraId="5B10AEF0">
      <w:pPr>
        <w:rPr>
          <w:rFonts w:hint="eastAsia" w:ascii="宋体" w:hAnsi="宋体" w:eastAsia="宋体" w:cs="宋体"/>
          <w:b w:val="0"/>
          <w:bCs/>
          <w:color w:val="auto"/>
          <w:sz w:val="24"/>
        </w:rPr>
      </w:pPr>
    </w:p>
    <w:p w14:paraId="22FC58C4">
      <w:pPr>
        <w:pStyle w:val="28"/>
        <w:rPr>
          <w:rFonts w:hint="eastAsia" w:ascii="宋体" w:hAnsi="宋体" w:eastAsia="宋体" w:cs="宋体"/>
          <w:b w:val="0"/>
          <w:bCs/>
          <w:color w:val="auto"/>
          <w:sz w:val="24"/>
        </w:rPr>
      </w:pPr>
    </w:p>
    <w:p w14:paraId="4C6AD434">
      <w:pPr>
        <w:rPr>
          <w:rFonts w:hint="eastAsia" w:ascii="宋体" w:hAnsi="宋体" w:eastAsia="宋体" w:cs="宋体"/>
          <w:b w:val="0"/>
          <w:bCs/>
          <w:color w:val="auto"/>
          <w:sz w:val="24"/>
        </w:rPr>
      </w:pPr>
    </w:p>
    <w:p w14:paraId="08AD1C25">
      <w:pPr>
        <w:pStyle w:val="28"/>
        <w:rPr>
          <w:rFonts w:hint="eastAsia" w:ascii="宋体" w:hAnsi="宋体" w:eastAsia="宋体" w:cs="宋体"/>
          <w:b w:val="0"/>
          <w:bCs/>
          <w:color w:val="auto"/>
          <w:sz w:val="24"/>
        </w:rPr>
      </w:pPr>
    </w:p>
    <w:p w14:paraId="4198FE43">
      <w:pPr>
        <w:rPr>
          <w:rFonts w:hint="eastAsia" w:ascii="宋体" w:hAnsi="宋体" w:eastAsia="宋体" w:cs="宋体"/>
          <w:b w:val="0"/>
          <w:bCs/>
          <w:color w:val="auto"/>
          <w:sz w:val="24"/>
        </w:rPr>
      </w:pPr>
    </w:p>
    <w:p w14:paraId="379EF8AC">
      <w:pPr>
        <w:pStyle w:val="28"/>
        <w:rPr>
          <w:rFonts w:hint="eastAsia" w:ascii="宋体" w:hAnsi="宋体" w:eastAsia="宋体" w:cs="宋体"/>
          <w:b w:val="0"/>
          <w:bCs/>
          <w:color w:val="auto"/>
          <w:sz w:val="24"/>
        </w:rPr>
      </w:pPr>
    </w:p>
    <w:p w14:paraId="2FD66049">
      <w:pPr>
        <w:rPr>
          <w:rFonts w:hint="eastAsia" w:ascii="宋体" w:hAnsi="宋体" w:eastAsia="宋体" w:cs="宋体"/>
          <w:b w:val="0"/>
          <w:bCs/>
          <w:color w:val="auto"/>
          <w:sz w:val="24"/>
        </w:rPr>
      </w:pPr>
    </w:p>
    <w:p w14:paraId="25F074FE">
      <w:pPr>
        <w:pStyle w:val="28"/>
        <w:rPr>
          <w:rFonts w:hint="eastAsia"/>
          <w:color w:val="auto"/>
        </w:rPr>
      </w:pPr>
    </w:p>
    <w:p w14:paraId="798C7FA1">
      <w:pPr>
        <w:wordWrap w:val="0"/>
        <w:overflowPunct w:val="0"/>
        <w:topLinePunct/>
        <w:spacing w:line="360" w:lineRule="auto"/>
        <w:jc w:val="both"/>
        <w:rPr>
          <w:rFonts w:hint="eastAsia" w:ascii="宋体" w:hAnsi="宋体" w:eastAsia="宋体" w:cs="宋体"/>
          <w:b w:val="0"/>
          <w:bCs/>
          <w:color w:val="auto"/>
          <w:sz w:val="24"/>
        </w:rPr>
      </w:pPr>
    </w:p>
    <w:p w14:paraId="5360C6AD">
      <w:pPr>
        <w:wordWrap w:val="0"/>
        <w:overflowPunct w:val="0"/>
        <w:topLinePunct/>
        <w:spacing w:line="360" w:lineRule="auto"/>
        <w:jc w:val="center"/>
        <w:rPr>
          <w:rFonts w:hint="eastAsia" w:ascii="宋体" w:hAnsi="宋体" w:eastAsia="宋体" w:cs="宋体"/>
          <w:b w:val="0"/>
          <w:bCs/>
          <w:color w:val="auto"/>
          <w:sz w:val="24"/>
        </w:rPr>
      </w:pPr>
      <w:r>
        <w:rPr>
          <w:rFonts w:hint="eastAsia" w:ascii="宋体" w:hAnsi="宋体" w:cs="宋体"/>
          <w:b w:val="0"/>
          <w:bCs/>
          <w:color w:val="auto"/>
          <w:sz w:val="24"/>
          <w:lang w:eastAsia="zh-CN"/>
        </w:rPr>
        <w:t>供应商</w:t>
      </w:r>
      <w:r>
        <w:rPr>
          <w:rFonts w:hint="eastAsia" w:ascii="宋体" w:hAnsi="宋体" w:eastAsia="宋体" w:cs="宋体"/>
          <w:b w:val="0"/>
          <w:bCs/>
          <w:color w:val="auto"/>
          <w:sz w:val="24"/>
        </w:rPr>
        <w:t>：</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u w:val="single"/>
          <w:lang w:eastAsia="zh-CN"/>
        </w:rPr>
        <w:t>（</w:t>
      </w:r>
      <w:r>
        <w:rPr>
          <w:rFonts w:hint="eastAsia" w:ascii="宋体" w:hAnsi="宋体" w:eastAsia="宋体" w:cs="宋体"/>
          <w:color w:val="auto"/>
          <w:sz w:val="24"/>
        </w:rPr>
        <w:t>加盖电子公章</w:t>
      </w:r>
      <w:r>
        <w:rPr>
          <w:rFonts w:hint="eastAsia" w:ascii="宋体" w:hAnsi="宋体" w:eastAsia="宋体" w:cs="宋体"/>
          <w:b w:val="0"/>
          <w:bCs/>
          <w:color w:val="auto"/>
          <w:sz w:val="24"/>
          <w:lang w:eastAsia="zh-CN"/>
        </w:rPr>
        <w:t>）</w:t>
      </w:r>
    </w:p>
    <w:p w14:paraId="03153CC2">
      <w:pPr>
        <w:wordWrap w:val="0"/>
        <w:overflowPunct w:val="0"/>
        <w:topLinePunct/>
        <w:spacing w:line="360" w:lineRule="auto"/>
        <w:jc w:val="center"/>
        <w:rPr>
          <w:rFonts w:hint="eastAsia" w:ascii="宋体" w:hAnsi="宋体" w:eastAsia="宋体" w:cs="宋体"/>
          <w:b w:val="0"/>
          <w:bCs/>
          <w:color w:val="auto"/>
          <w:sz w:val="24"/>
          <w:u w:val="single"/>
        </w:rPr>
      </w:pPr>
      <w:r>
        <w:rPr>
          <w:rFonts w:hint="eastAsia" w:ascii="宋体" w:hAnsi="宋体" w:eastAsia="宋体" w:cs="宋体"/>
          <w:b w:val="0"/>
          <w:bCs/>
          <w:color w:val="auto"/>
          <w:sz w:val="24"/>
        </w:rPr>
        <w:t>法定代表人（负责人）或授权委托人：</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w:t>
      </w:r>
      <w:r>
        <w:rPr>
          <w:rFonts w:hint="eastAsia" w:ascii="宋体" w:hAnsi="宋体" w:eastAsia="宋体" w:cs="宋体"/>
          <w:b w:val="0"/>
          <w:bCs/>
          <w:color w:val="auto"/>
          <w:sz w:val="24"/>
          <w:lang w:eastAsia="zh-CN"/>
        </w:rPr>
        <w:t>电子签章</w:t>
      </w:r>
      <w:r>
        <w:rPr>
          <w:rFonts w:hint="eastAsia" w:ascii="宋体" w:hAnsi="宋体" w:eastAsia="宋体" w:cs="宋体"/>
          <w:b w:val="0"/>
          <w:bCs/>
          <w:color w:val="auto"/>
          <w:sz w:val="24"/>
        </w:rPr>
        <w:t>）</w:t>
      </w:r>
    </w:p>
    <w:p w14:paraId="1B6A080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b w:val="0"/>
          <w:bCs/>
          <w:color w:val="auto"/>
          <w:sz w:val="24"/>
        </w:rPr>
        <w:t>日期：</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年</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月</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日</w:t>
      </w:r>
    </w:p>
    <w:p w14:paraId="507A1C10">
      <w:pPr>
        <w:rPr>
          <w:rFonts w:hint="eastAsia"/>
          <w:color w:val="auto"/>
          <w:lang w:eastAsia="zh-CN"/>
        </w:rPr>
      </w:pPr>
      <w:r>
        <w:rPr>
          <w:rFonts w:hint="eastAsia"/>
          <w:color w:val="auto"/>
          <w:lang w:eastAsia="zh-CN"/>
        </w:rPr>
        <w:br w:type="page"/>
      </w:r>
    </w:p>
    <w:p w14:paraId="0C35BB4F">
      <w:pPr>
        <w:keepNext w:val="0"/>
        <w:keepLines w:val="0"/>
        <w:pageBreakBefore w:val="0"/>
        <w:widowControl w:val="0"/>
        <w:kinsoku/>
        <w:wordWrap w:val="0"/>
        <w:overflowPunct w:val="0"/>
        <w:topLinePunct/>
        <w:autoSpaceDE/>
        <w:autoSpaceDN/>
        <w:bidi w:val="0"/>
        <w:adjustRightInd/>
        <w:snapToGrid/>
        <w:jc w:val="center"/>
        <w:outlineLvl w:val="2"/>
        <w:rPr>
          <w:rFonts w:hint="eastAsia" w:ascii="宋体" w:hAnsi="宋体" w:eastAsia="宋体" w:cs="宋体"/>
          <w:color w:val="auto"/>
          <w:lang w:val="zh-CN" w:eastAsia="zh-CN"/>
        </w:rPr>
      </w:pPr>
      <w:r>
        <w:rPr>
          <w:rFonts w:hint="eastAsia" w:ascii="宋体" w:hAnsi="宋体" w:cs="宋体"/>
          <w:b/>
          <w:bCs/>
          <w:color w:val="auto"/>
          <w:sz w:val="32"/>
          <w:szCs w:val="32"/>
          <w:lang w:val="en-US" w:eastAsia="zh-CN"/>
        </w:rPr>
        <w:t>九</w:t>
      </w:r>
      <w:r>
        <w:rPr>
          <w:rFonts w:hint="eastAsia" w:ascii="宋体" w:hAnsi="宋体" w:eastAsia="宋体" w:cs="宋体"/>
          <w:b/>
          <w:bCs/>
          <w:color w:val="auto"/>
          <w:sz w:val="32"/>
          <w:szCs w:val="32"/>
          <w:lang w:val="en-US" w:eastAsia="zh-CN"/>
        </w:rPr>
        <w:t>、服务质量承诺及保证措施方案</w:t>
      </w:r>
    </w:p>
    <w:p w14:paraId="33914F61">
      <w:pPr>
        <w:spacing w:line="360" w:lineRule="auto"/>
        <w:jc w:val="center"/>
        <w:rPr>
          <w:rFonts w:hint="eastAsia" w:ascii="宋体" w:hAnsi="宋体"/>
          <w:snapToGrid w:val="0"/>
          <w:color w:val="auto"/>
          <w:kern w:val="0"/>
          <w:szCs w:val="20"/>
          <w:highlight w:val="none"/>
        </w:rPr>
      </w:pPr>
      <w:r>
        <w:rPr>
          <w:rFonts w:hint="eastAsia" w:ascii="宋体" w:hAnsi="宋体"/>
          <w:snapToGrid w:val="0"/>
          <w:color w:val="auto"/>
          <w:kern w:val="0"/>
          <w:szCs w:val="20"/>
          <w:highlight w:val="none"/>
        </w:rPr>
        <w:t>（格式自拟，内容由</w:t>
      </w:r>
      <w:r>
        <w:rPr>
          <w:rFonts w:hint="eastAsia" w:ascii="宋体" w:hAnsi="宋体"/>
          <w:snapToGrid w:val="0"/>
          <w:color w:val="auto"/>
          <w:kern w:val="0"/>
          <w:szCs w:val="20"/>
          <w:highlight w:val="none"/>
          <w:lang w:eastAsia="zh-CN"/>
        </w:rPr>
        <w:t>供应商</w:t>
      </w:r>
      <w:r>
        <w:rPr>
          <w:rFonts w:hint="eastAsia" w:ascii="宋体" w:hAnsi="宋体"/>
          <w:snapToGrid w:val="0"/>
          <w:color w:val="auto"/>
          <w:kern w:val="0"/>
          <w:szCs w:val="20"/>
          <w:highlight w:val="none"/>
        </w:rPr>
        <w:t>根据</w:t>
      </w:r>
      <w:r>
        <w:rPr>
          <w:rFonts w:hint="eastAsia" w:ascii="宋体" w:hAnsi="宋体"/>
          <w:snapToGrid w:val="0"/>
          <w:color w:val="auto"/>
          <w:kern w:val="0"/>
          <w:szCs w:val="20"/>
          <w:highlight w:val="none"/>
          <w:lang w:eastAsia="zh-CN"/>
        </w:rPr>
        <w:t>评审</w:t>
      </w:r>
      <w:r>
        <w:rPr>
          <w:rFonts w:hint="eastAsia" w:ascii="宋体" w:hAnsi="宋体"/>
          <w:snapToGrid w:val="0"/>
          <w:color w:val="auto"/>
          <w:kern w:val="0"/>
          <w:szCs w:val="20"/>
          <w:highlight w:val="none"/>
        </w:rPr>
        <w:t>办法并结合自身实际情况自行编写）</w:t>
      </w:r>
    </w:p>
    <w:p w14:paraId="020B91BB">
      <w:pPr>
        <w:wordWrap w:val="0"/>
        <w:overflowPunct w:val="0"/>
        <w:topLinePunct/>
        <w:spacing w:line="360" w:lineRule="auto"/>
        <w:jc w:val="both"/>
        <w:rPr>
          <w:rFonts w:hint="eastAsia" w:ascii="宋体" w:hAnsi="宋体" w:eastAsia="宋体" w:cs="宋体"/>
          <w:b w:val="0"/>
          <w:bCs/>
          <w:color w:val="auto"/>
          <w:sz w:val="24"/>
        </w:rPr>
      </w:pPr>
    </w:p>
    <w:p w14:paraId="138E6C36">
      <w:pPr>
        <w:pStyle w:val="28"/>
        <w:rPr>
          <w:rFonts w:hint="eastAsia" w:ascii="宋体" w:hAnsi="宋体" w:eastAsia="宋体" w:cs="宋体"/>
          <w:b w:val="0"/>
          <w:bCs/>
          <w:color w:val="auto"/>
          <w:sz w:val="24"/>
        </w:rPr>
      </w:pPr>
    </w:p>
    <w:p w14:paraId="5DB5954C">
      <w:pPr>
        <w:rPr>
          <w:rFonts w:hint="eastAsia" w:ascii="宋体" w:hAnsi="宋体" w:eastAsia="宋体" w:cs="宋体"/>
          <w:b w:val="0"/>
          <w:bCs/>
          <w:color w:val="auto"/>
          <w:sz w:val="24"/>
        </w:rPr>
      </w:pPr>
    </w:p>
    <w:p w14:paraId="431868F0">
      <w:pPr>
        <w:pStyle w:val="28"/>
        <w:rPr>
          <w:rFonts w:hint="eastAsia" w:ascii="宋体" w:hAnsi="宋体" w:eastAsia="宋体" w:cs="宋体"/>
          <w:b w:val="0"/>
          <w:bCs/>
          <w:color w:val="auto"/>
          <w:sz w:val="24"/>
        </w:rPr>
      </w:pPr>
    </w:p>
    <w:p w14:paraId="781C729C">
      <w:pPr>
        <w:rPr>
          <w:rFonts w:hint="eastAsia" w:ascii="宋体" w:hAnsi="宋体" w:eastAsia="宋体" w:cs="宋体"/>
          <w:b w:val="0"/>
          <w:bCs/>
          <w:color w:val="auto"/>
          <w:sz w:val="24"/>
        </w:rPr>
      </w:pPr>
    </w:p>
    <w:p w14:paraId="4C522E33">
      <w:pPr>
        <w:pStyle w:val="28"/>
        <w:rPr>
          <w:rFonts w:hint="eastAsia" w:ascii="宋体" w:hAnsi="宋体" w:eastAsia="宋体" w:cs="宋体"/>
          <w:b w:val="0"/>
          <w:bCs/>
          <w:color w:val="auto"/>
          <w:sz w:val="24"/>
        </w:rPr>
      </w:pPr>
    </w:p>
    <w:p w14:paraId="59FAADF2">
      <w:pPr>
        <w:rPr>
          <w:rFonts w:hint="eastAsia" w:ascii="宋体" w:hAnsi="宋体" w:eastAsia="宋体" w:cs="宋体"/>
          <w:b w:val="0"/>
          <w:bCs/>
          <w:color w:val="auto"/>
          <w:sz w:val="24"/>
        </w:rPr>
      </w:pPr>
    </w:p>
    <w:p w14:paraId="19DA534C">
      <w:pPr>
        <w:pStyle w:val="28"/>
        <w:rPr>
          <w:rFonts w:hint="eastAsia" w:ascii="宋体" w:hAnsi="宋体" w:eastAsia="宋体" w:cs="宋体"/>
          <w:b w:val="0"/>
          <w:bCs/>
          <w:color w:val="auto"/>
          <w:sz w:val="24"/>
        </w:rPr>
      </w:pPr>
    </w:p>
    <w:p w14:paraId="2762F24A">
      <w:pPr>
        <w:rPr>
          <w:rFonts w:hint="eastAsia" w:ascii="宋体" w:hAnsi="宋体" w:eastAsia="宋体" w:cs="宋体"/>
          <w:b w:val="0"/>
          <w:bCs/>
          <w:color w:val="auto"/>
          <w:sz w:val="24"/>
        </w:rPr>
      </w:pPr>
    </w:p>
    <w:p w14:paraId="7044E6AC">
      <w:pPr>
        <w:pStyle w:val="28"/>
        <w:rPr>
          <w:rFonts w:hint="eastAsia" w:ascii="宋体" w:hAnsi="宋体" w:eastAsia="宋体" w:cs="宋体"/>
          <w:b w:val="0"/>
          <w:bCs/>
          <w:color w:val="auto"/>
          <w:sz w:val="24"/>
        </w:rPr>
      </w:pPr>
    </w:p>
    <w:p w14:paraId="718EBB76">
      <w:pPr>
        <w:rPr>
          <w:rFonts w:hint="eastAsia" w:ascii="宋体" w:hAnsi="宋体" w:eastAsia="宋体" w:cs="宋体"/>
          <w:b w:val="0"/>
          <w:bCs/>
          <w:color w:val="auto"/>
          <w:sz w:val="24"/>
        </w:rPr>
      </w:pPr>
    </w:p>
    <w:p w14:paraId="1B1899DB">
      <w:pPr>
        <w:pStyle w:val="28"/>
        <w:rPr>
          <w:rFonts w:hint="eastAsia" w:ascii="宋体" w:hAnsi="宋体" w:eastAsia="宋体" w:cs="宋体"/>
          <w:b w:val="0"/>
          <w:bCs/>
          <w:color w:val="auto"/>
          <w:sz w:val="24"/>
        </w:rPr>
      </w:pPr>
    </w:p>
    <w:p w14:paraId="423E768F">
      <w:pPr>
        <w:rPr>
          <w:rFonts w:hint="eastAsia" w:ascii="宋体" w:hAnsi="宋体" w:eastAsia="宋体" w:cs="宋体"/>
          <w:b w:val="0"/>
          <w:bCs/>
          <w:color w:val="auto"/>
          <w:sz w:val="24"/>
        </w:rPr>
      </w:pPr>
    </w:p>
    <w:p w14:paraId="04DA8497">
      <w:pPr>
        <w:pStyle w:val="28"/>
        <w:rPr>
          <w:rFonts w:hint="eastAsia" w:ascii="宋体" w:hAnsi="宋体" w:eastAsia="宋体" w:cs="宋体"/>
          <w:b w:val="0"/>
          <w:bCs/>
          <w:color w:val="auto"/>
          <w:sz w:val="24"/>
        </w:rPr>
      </w:pPr>
    </w:p>
    <w:p w14:paraId="354720C4">
      <w:pPr>
        <w:rPr>
          <w:rFonts w:hint="eastAsia" w:ascii="宋体" w:hAnsi="宋体" w:eastAsia="宋体" w:cs="宋体"/>
          <w:b w:val="0"/>
          <w:bCs/>
          <w:color w:val="auto"/>
          <w:sz w:val="24"/>
        </w:rPr>
      </w:pPr>
    </w:p>
    <w:p w14:paraId="3738B08E">
      <w:pPr>
        <w:pStyle w:val="28"/>
        <w:rPr>
          <w:rFonts w:hint="eastAsia" w:ascii="宋体" w:hAnsi="宋体" w:eastAsia="宋体" w:cs="宋体"/>
          <w:b w:val="0"/>
          <w:bCs/>
          <w:color w:val="auto"/>
          <w:sz w:val="24"/>
        </w:rPr>
      </w:pPr>
    </w:p>
    <w:p w14:paraId="2720E2DB">
      <w:pPr>
        <w:rPr>
          <w:rFonts w:hint="eastAsia" w:ascii="宋体" w:hAnsi="宋体" w:eastAsia="宋体" w:cs="宋体"/>
          <w:b w:val="0"/>
          <w:bCs/>
          <w:color w:val="auto"/>
          <w:sz w:val="24"/>
        </w:rPr>
      </w:pPr>
    </w:p>
    <w:p w14:paraId="5EAF38C3">
      <w:pPr>
        <w:pStyle w:val="28"/>
        <w:rPr>
          <w:rFonts w:hint="eastAsia" w:ascii="宋体" w:hAnsi="宋体" w:eastAsia="宋体" w:cs="宋体"/>
          <w:b w:val="0"/>
          <w:bCs/>
          <w:color w:val="auto"/>
          <w:sz w:val="24"/>
        </w:rPr>
      </w:pPr>
    </w:p>
    <w:p w14:paraId="77CF2933">
      <w:pPr>
        <w:rPr>
          <w:rFonts w:hint="eastAsia" w:ascii="宋体" w:hAnsi="宋体" w:eastAsia="宋体" w:cs="宋体"/>
          <w:b w:val="0"/>
          <w:bCs/>
          <w:color w:val="auto"/>
          <w:sz w:val="24"/>
        </w:rPr>
      </w:pPr>
    </w:p>
    <w:p w14:paraId="59B8D269">
      <w:pPr>
        <w:pStyle w:val="28"/>
        <w:rPr>
          <w:rFonts w:hint="eastAsia" w:ascii="宋体" w:hAnsi="宋体" w:eastAsia="宋体" w:cs="宋体"/>
          <w:b w:val="0"/>
          <w:bCs/>
          <w:color w:val="auto"/>
          <w:sz w:val="24"/>
        </w:rPr>
      </w:pPr>
    </w:p>
    <w:p w14:paraId="0AC0A4C7">
      <w:pPr>
        <w:rPr>
          <w:rFonts w:hint="eastAsia" w:ascii="宋体" w:hAnsi="宋体" w:eastAsia="宋体" w:cs="宋体"/>
          <w:b w:val="0"/>
          <w:bCs/>
          <w:color w:val="auto"/>
          <w:sz w:val="24"/>
        </w:rPr>
      </w:pPr>
    </w:p>
    <w:p w14:paraId="091C4479">
      <w:pPr>
        <w:pStyle w:val="28"/>
        <w:rPr>
          <w:rFonts w:hint="eastAsia" w:ascii="宋体" w:hAnsi="宋体" w:eastAsia="宋体" w:cs="宋体"/>
          <w:b w:val="0"/>
          <w:bCs/>
          <w:color w:val="auto"/>
          <w:sz w:val="24"/>
        </w:rPr>
      </w:pPr>
    </w:p>
    <w:p w14:paraId="5615E0BF">
      <w:pPr>
        <w:rPr>
          <w:rFonts w:hint="eastAsia" w:ascii="宋体" w:hAnsi="宋体" w:eastAsia="宋体" w:cs="宋体"/>
          <w:b w:val="0"/>
          <w:bCs/>
          <w:color w:val="auto"/>
          <w:sz w:val="24"/>
        </w:rPr>
      </w:pPr>
    </w:p>
    <w:p w14:paraId="313A8463">
      <w:pPr>
        <w:pStyle w:val="28"/>
        <w:rPr>
          <w:rFonts w:hint="eastAsia"/>
          <w:color w:val="auto"/>
        </w:rPr>
      </w:pPr>
    </w:p>
    <w:p w14:paraId="14A114DF">
      <w:pPr>
        <w:wordWrap w:val="0"/>
        <w:overflowPunct w:val="0"/>
        <w:topLinePunct/>
        <w:spacing w:line="360" w:lineRule="auto"/>
        <w:jc w:val="both"/>
        <w:rPr>
          <w:rFonts w:hint="eastAsia" w:ascii="宋体" w:hAnsi="宋体" w:eastAsia="宋体" w:cs="宋体"/>
          <w:b w:val="0"/>
          <w:bCs/>
          <w:color w:val="auto"/>
          <w:sz w:val="24"/>
        </w:rPr>
      </w:pPr>
    </w:p>
    <w:p w14:paraId="78C44B5B">
      <w:pPr>
        <w:wordWrap w:val="0"/>
        <w:overflowPunct w:val="0"/>
        <w:topLinePunct/>
        <w:spacing w:line="360" w:lineRule="auto"/>
        <w:jc w:val="center"/>
        <w:rPr>
          <w:rFonts w:hint="eastAsia" w:ascii="宋体" w:hAnsi="宋体" w:eastAsia="宋体" w:cs="宋体"/>
          <w:b w:val="0"/>
          <w:bCs/>
          <w:color w:val="auto"/>
          <w:sz w:val="24"/>
        </w:rPr>
      </w:pPr>
      <w:r>
        <w:rPr>
          <w:rFonts w:hint="eastAsia" w:ascii="宋体" w:hAnsi="宋体" w:cs="宋体"/>
          <w:b w:val="0"/>
          <w:bCs/>
          <w:color w:val="auto"/>
          <w:sz w:val="24"/>
          <w:lang w:eastAsia="zh-CN"/>
        </w:rPr>
        <w:t>供应商</w:t>
      </w:r>
      <w:r>
        <w:rPr>
          <w:rFonts w:hint="eastAsia" w:ascii="宋体" w:hAnsi="宋体" w:eastAsia="宋体" w:cs="宋体"/>
          <w:b w:val="0"/>
          <w:bCs/>
          <w:color w:val="auto"/>
          <w:sz w:val="24"/>
        </w:rPr>
        <w:t>：</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u w:val="single"/>
          <w:lang w:eastAsia="zh-CN"/>
        </w:rPr>
        <w:t>（</w:t>
      </w:r>
      <w:r>
        <w:rPr>
          <w:rFonts w:hint="eastAsia" w:ascii="宋体" w:hAnsi="宋体" w:eastAsia="宋体" w:cs="宋体"/>
          <w:color w:val="auto"/>
          <w:sz w:val="24"/>
        </w:rPr>
        <w:t>加盖电子公章</w:t>
      </w:r>
      <w:r>
        <w:rPr>
          <w:rFonts w:hint="eastAsia" w:ascii="宋体" w:hAnsi="宋体" w:eastAsia="宋体" w:cs="宋体"/>
          <w:b w:val="0"/>
          <w:bCs/>
          <w:color w:val="auto"/>
          <w:sz w:val="24"/>
          <w:lang w:eastAsia="zh-CN"/>
        </w:rPr>
        <w:t>）</w:t>
      </w:r>
    </w:p>
    <w:p w14:paraId="28E796C0">
      <w:pPr>
        <w:wordWrap w:val="0"/>
        <w:overflowPunct w:val="0"/>
        <w:topLinePunct/>
        <w:spacing w:line="360" w:lineRule="auto"/>
        <w:jc w:val="center"/>
        <w:rPr>
          <w:rFonts w:hint="eastAsia" w:ascii="宋体" w:hAnsi="宋体" w:eastAsia="宋体" w:cs="宋体"/>
          <w:b w:val="0"/>
          <w:bCs/>
          <w:color w:val="auto"/>
          <w:sz w:val="24"/>
          <w:u w:val="single"/>
        </w:rPr>
      </w:pPr>
      <w:r>
        <w:rPr>
          <w:rFonts w:hint="eastAsia" w:ascii="宋体" w:hAnsi="宋体" w:eastAsia="宋体" w:cs="宋体"/>
          <w:b w:val="0"/>
          <w:bCs/>
          <w:color w:val="auto"/>
          <w:sz w:val="24"/>
        </w:rPr>
        <w:t>法定代表人（负责人）或授权委托人：</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w:t>
      </w:r>
      <w:r>
        <w:rPr>
          <w:rFonts w:hint="eastAsia" w:ascii="宋体" w:hAnsi="宋体" w:eastAsia="宋体" w:cs="宋体"/>
          <w:b w:val="0"/>
          <w:bCs/>
          <w:color w:val="auto"/>
          <w:sz w:val="24"/>
          <w:lang w:eastAsia="zh-CN"/>
        </w:rPr>
        <w:t>电子签章</w:t>
      </w:r>
      <w:r>
        <w:rPr>
          <w:rFonts w:hint="eastAsia" w:ascii="宋体" w:hAnsi="宋体" w:eastAsia="宋体" w:cs="宋体"/>
          <w:b w:val="0"/>
          <w:bCs/>
          <w:color w:val="auto"/>
          <w:sz w:val="24"/>
        </w:rPr>
        <w:t>）</w:t>
      </w:r>
    </w:p>
    <w:p w14:paraId="5DED40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b w:val="0"/>
          <w:bCs/>
          <w:color w:val="auto"/>
          <w:sz w:val="24"/>
        </w:rPr>
        <w:t>日期：</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年</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月</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日</w:t>
      </w:r>
    </w:p>
    <w:p w14:paraId="2180FA8C">
      <w:pPr>
        <w:rPr>
          <w:rFonts w:hint="eastAsia"/>
          <w:color w:val="auto"/>
          <w:lang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72FBA5A4">
      <w:pPr>
        <w:keepNext w:val="0"/>
        <w:keepLines w:val="0"/>
        <w:pageBreakBefore w:val="0"/>
        <w:widowControl w:val="0"/>
        <w:kinsoku/>
        <w:wordWrap w:val="0"/>
        <w:overflowPunct w:val="0"/>
        <w:topLinePunct/>
        <w:autoSpaceDE/>
        <w:autoSpaceDN/>
        <w:bidi w:val="0"/>
        <w:adjustRightInd/>
        <w:snapToGrid/>
        <w:jc w:val="center"/>
        <w:outlineLvl w:val="2"/>
        <w:rPr>
          <w:rFonts w:hint="default" w:ascii="宋体" w:hAnsi="宋体" w:eastAsia="宋体" w:cs="宋体"/>
          <w:color w:val="auto"/>
          <w:lang w:val="en-US" w:eastAsia="zh-CN"/>
        </w:rPr>
      </w:pPr>
      <w:r>
        <w:rPr>
          <w:rFonts w:hint="eastAsia" w:ascii="宋体" w:hAnsi="宋体" w:cs="宋体"/>
          <w:b/>
          <w:bCs/>
          <w:color w:val="auto"/>
          <w:sz w:val="32"/>
          <w:szCs w:val="32"/>
          <w:lang w:val="en-US" w:eastAsia="zh-CN"/>
        </w:rPr>
        <w:t>十</w:t>
      </w:r>
      <w:r>
        <w:rPr>
          <w:rFonts w:hint="eastAsia" w:ascii="宋体" w:hAnsi="宋体" w:eastAsia="宋体" w:cs="宋体"/>
          <w:b/>
          <w:bCs/>
          <w:color w:val="auto"/>
          <w:sz w:val="32"/>
          <w:szCs w:val="32"/>
          <w:lang w:val="en-US" w:eastAsia="zh-CN"/>
        </w:rPr>
        <w:t>、维保项目团队方案</w:t>
      </w:r>
    </w:p>
    <w:p w14:paraId="0BCF45A2">
      <w:pPr>
        <w:spacing w:line="360" w:lineRule="auto"/>
        <w:jc w:val="center"/>
        <w:rPr>
          <w:rFonts w:hint="eastAsia" w:ascii="宋体" w:hAnsi="宋体"/>
          <w:snapToGrid w:val="0"/>
          <w:color w:val="auto"/>
          <w:kern w:val="0"/>
          <w:szCs w:val="20"/>
          <w:highlight w:val="none"/>
        </w:rPr>
      </w:pPr>
      <w:r>
        <w:rPr>
          <w:rFonts w:hint="eastAsia" w:ascii="宋体" w:hAnsi="宋体"/>
          <w:snapToGrid w:val="0"/>
          <w:color w:val="auto"/>
          <w:kern w:val="0"/>
          <w:szCs w:val="20"/>
          <w:highlight w:val="none"/>
        </w:rPr>
        <w:t>（格式自拟，内容由</w:t>
      </w:r>
      <w:r>
        <w:rPr>
          <w:rFonts w:hint="eastAsia" w:ascii="宋体" w:hAnsi="宋体"/>
          <w:snapToGrid w:val="0"/>
          <w:color w:val="auto"/>
          <w:kern w:val="0"/>
          <w:szCs w:val="20"/>
          <w:highlight w:val="none"/>
          <w:lang w:eastAsia="zh-CN"/>
        </w:rPr>
        <w:t>供应商</w:t>
      </w:r>
      <w:r>
        <w:rPr>
          <w:rFonts w:hint="eastAsia" w:ascii="宋体" w:hAnsi="宋体"/>
          <w:snapToGrid w:val="0"/>
          <w:color w:val="auto"/>
          <w:kern w:val="0"/>
          <w:szCs w:val="20"/>
          <w:highlight w:val="none"/>
        </w:rPr>
        <w:t>根据</w:t>
      </w:r>
      <w:r>
        <w:rPr>
          <w:rFonts w:hint="eastAsia" w:ascii="宋体" w:hAnsi="宋体"/>
          <w:snapToGrid w:val="0"/>
          <w:color w:val="auto"/>
          <w:kern w:val="0"/>
          <w:szCs w:val="20"/>
          <w:highlight w:val="none"/>
          <w:lang w:eastAsia="zh-CN"/>
        </w:rPr>
        <w:t>评审</w:t>
      </w:r>
      <w:r>
        <w:rPr>
          <w:rFonts w:hint="eastAsia" w:ascii="宋体" w:hAnsi="宋体"/>
          <w:snapToGrid w:val="0"/>
          <w:color w:val="auto"/>
          <w:kern w:val="0"/>
          <w:szCs w:val="20"/>
          <w:highlight w:val="none"/>
        </w:rPr>
        <w:t>办法并结合自身实际情况自行编写）</w:t>
      </w:r>
    </w:p>
    <w:p w14:paraId="340821DE">
      <w:pPr>
        <w:wordWrap w:val="0"/>
        <w:overflowPunct w:val="0"/>
        <w:topLinePunct/>
        <w:spacing w:line="360" w:lineRule="auto"/>
        <w:jc w:val="both"/>
        <w:rPr>
          <w:rFonts w:hint="eastAsia" w:ascii="宋体" w:hAnsi="宋体" w:eastAsia="宋体" w:cs="宋体"/>
          <w:b w:val="0"/>
          <w:bCs/>
          <w:color w:val="auto"/>
          <w:sz w:val="24"/>
        </w:rPr>
      </w:pPr>
    </w:p>
    <w:p w14:paraId="49476C6D">
      <w:pPr>
        <w:pStyle w:val="28"/>
        <w:rPr>
          <w:rFonts w:hint="eastAsia" w:ascii="宋体" w:hAnsi="宋体" w:eastAsia="宋体" w:cs="宋体"/>
          <w:b w:val="0"/>
          <w:bCs/>
          <w:color w:val="auto"/>
          <w:sz w:val="24"/>
        </w:rPr>
      </w:pPr>
    </w:p>
    <w:p w14:paraId="7D7BCA19">
      <w:pPr>
        <w:rPr>
          <w:rFonts w:hint="eastAsia" w:ascii="宋体" w:hAnsi="宋体" w:eastAsia="宋体" w:cs="宋体"/>
          <w:b w:val="0"/>
          <w:bCs/>
          <w:color w:val="auto"/>
          <w:sz w:val="24"/>
        </w:rPr>
      </w:pPr>
    </w:p>
    <w:p w14:paraId="782AC6BB">
      <w:pPr>
        <w:pStyle w:val="28"/>
        <w:rPr>
          <w:rFonts w:hint="eastAsia" w:ascii="宋体" w:hAnsi="宋体" w:eastAsia="宋体" w:cs="宋体"/>
          <w:b w:val="0"/>
          <w:bCs/>
          <w:color w:val="auto"/>
          <w:sz w:val="24"/>
        </w:rPr>
      </w:pPr>
    </w:p>
    <w:p w14:paraId="20A2564D">
      <w:pPr>
        <w:rPr>
          <w:rFonts w:hint="eastAsia" w:ascii="宋体" w:hAnsi="宋体" w:eastAsia="宋体" w:cs="宋体"/>
          <w:b w:val="0"/>
          <w:bCs/>
          <w:color w:val="auto"/>
          <w:sz w:val="24"/>
        </w:rPr>
      </w:pPr>
    </w:p>
    <w:p w14:paraId="4456CE26">
      <w:pPr>
        <w:pStyle w:val="28"/>
        <w:rPr>
          <w:rFonts w:hint="eastAsia" w:ascii="宋体" w:hAnsi="宋体" w:eastAsia="宋体" w:cs="宋体"/>
          <w:b w:val="0"/>
          <w:bCs/>
          <w:color w:val="auto"/>
          <w:sz w:val="24"/>
        </w:rPr>
      </w:pPr>
    </w:p>
    <w:p w14:paraId="6FFF76FA">
      <w:pPr>
        <w:rPr>
          <w:rFonts w:hint="eastAsia" w:ascii="宋体" w:hAnsi="宋体" w:eastAsia="宋体" w:cs="宋体"/>
          <w:b w:val="0"/>
          <w:bCs/>
          <w:color w:val="auto"/>
          <w:sz w:val="24"/>
        </w:rPr>
      </w:pPr>
    </w:p>
    <w:p w14:paraId="276918CB">
      <w:pPr>
        <w:pStyle w:val="28"/>
        <w:rPr>
          <w:rFonts w:hint="eastAsia" w:ascii="宋体" w:hAnsi="宋体" w:eastAsia="宋体" w:cs="宋体"/>
          <w:b w:val="0"/>
          <w:bCs/>
          <w:color w:val="auto"/>
          <w:sz w:val="24"/>
        </w:rPr>
      </w:pPr>
    </w:p>
    <w:p w14:paraId="5D1DFA51">
      <w:pPr>
        <w:rPr>
          <w:rFonts w:hint="eastAsia" w:ascii="宋体" w:hAnsi="宋体" w:eastAsia="宋体" w:cs="宋体"/>
          <w:b w:val="0"/>
          <w:bCs/>
          <w:color w:val="auto"/>
          <w:sz w:val="24"/>
        </w:rPr>
      </w:pPr>
    </w:p>
    <w:p w14:paraId="1ECD3B92">
      <w:pPr>
        <w:pStyle w:val="28"/>
        <w:rPr>
          <w:rFonts w:hint="eastAsia" w:ascii="宋体" w:hAnsi="宋体" w:eastAsia="宋体" w:cs="宋体"/>
          <w:b w:val="0"/>
          <w:bCs/>
          <w:color w:val="auto"/>
          <w:sz w:val="24"/>
        </w:rPr>
      </w:pPr>
    </w:p>
    <w:p w14:paraId="2B4DF673">
      <w:pPr>
        <w:rPr>
          <w:rFonts w:hint="eastAsia" w:ascii="宋体" w:hAnsi="宋体" w:eastAsia="宋体" w:cs="宋体"/>
          <w:b w:val="0"/>
          <w:bCs/>
          <w:color w:val="auto"/>
          <w:sz w:val="24"/>
        </w:rPr>
      </w:pPr>
    </w:p>
    <w:p w14:paraId="2F089A3B">
      <w:pPr>
        <w:pStyle w:val="28"/>
        <w:rPr>
          <w:rFonts w:hint="eastAsia" w:ascii="宋体" w:hAnsi="宋体" w:eastAsia="宋体" w:cs="宋体"/>
          <w:b w:val="0"/>
          <w:bCs/>
          <w:color w:val="auto"/>
          <w:sz w:val="24"/>
        </w:rPr>
      </w:pPr>
    </w:p>
    <w:p w14:paraId="2974CA97">
      <w:pPr>
        <w:rPr>
          <w:rFonts w:hint="eastAsia" w:ascii="宋体" w:hAnsi="宋体" w:eastAsia="宋体" w:cs="宋体"/>
          <w:b w:val="0"/>
          <w:bCs/>
          <w:color w:val="auto"/>
          <w:sz w:val="24"/>
        </w:rPr>
      </w:pPr>
    </w:p>
    <w:p w14:paraId="29B86B56">
      <w:pPr>
        <w:pStyle w:val="28"/>
        <w:rPr>
          <w:rFonts w:hint="eastAsia" w:ascii="宋体" w:hAnsi="宋体" w:eastAsia="宋体" w:cs="宋体"/>
          <w:b w:val="0"/>
          <w:bCs/>
          <w:color w:val="auto"/>
          <w:sz w:val="24"/>
        </w:rPr>
      </w:pPr>
    </w:p>
    <w:p w14:paraId="19E67A21">
      <w:pPr>
        <w:rPr>
          <w:rFonts w:hint="eastAsia" w:ascii="宋体" w:hAnsi="宋体" w:eastAsia="宋体" w:cs="宋体"/>
          <w:b w:val="0"/>
          <w:bCs/>
          <w:color w:val="auto"/>
          <w:sz w:val="24"/>
        </w:rPr>
      </w:pPr>
    </w:p>
    <w:p w14:paraId="77292780">
      <w:pPr>
        <w:pStyle w:val="28"/>
        <w:rPr>
          <w:rFonts w:hint="eastAsia" w:ascii="宋体" w:hAnsi="宋体" w:eastAsia="宋体" w:cs="宋体"/>
          <w:b w:val="0"/>
          <w:bCs/>
          <w:color w:val="auto"/>
          <w:sz w:val="24"/>
        </w:rPr>
      </w:pPr>
    </w:p>
    <w:p w14:paraId="15C65E16">
      <w:pPr>
        <w:rPr>
          <w:rFonts w:hint="eastAsia" w:ascii="宋体" w:hAnsi="宋体" w:eastAsia="宋体" w:cs="宋体"/>
          <w:b w:val="0"/>
          <w:bCs/>
          <w:color w:val="auto"/>
          <w:sz w:val="24"/>
        </w:rPr>
      </w:pPr>
    </w:p>
    <w:p w14:paraId="7348D989">
      <w:pPr>
        <w:pStyle w:val="28"/>
        <w:rPr>
          <w:rFonts w:hint="eastAsia" w:ascii="宋体" w:hAnsi="宋体" w:eastAsia="宋体" w:cs="宋体"/>
          <w:b w:val="0"/>
          <w:bCs/>
          <w:color w:val="auto"/>
          <w:sz w:val="24"/>
        </w:rPr>
      </w:pPr>
    </w:p>
    <w:p w14:paraId="225B1B90">
      <w:pPr>
        <w:rPr>
          <w:rFonts w:hint="eastAsia" w:ascii="宋体" w:hAnsi="宋体" w:eastAsia="宋体" w:cs="宋体"/>
          <w:b w:val="0"/>
          <w:bCs/>
          <w:color w:val="auto"/>
          <w:sz w:val="24"/>
        </w:rPr>
      </w:pPr>
    </w:p>
    <w:p w14:paraId="2240E2CF">
      <w:pPr>
        <w:pStyle w:val="28"/>
        <w:rPr>
          <w:rFonts w:hint="eastAsia" w:ascii="宋体" w:hAnsi="宋体" w:eastAsia="宋体" w:cs="宋体"/>
          <w:b w:val="0"/>
          <w:bCs/>
          <w:color w:val="auto"/>
          <w:sz w:val="24"/>
        </w:rPr>
      </w:pPr>
    </w:p>
    <w:p w14:paraId="6B4132D6">
      <w:pPr>
        <w:rPr>
          <w:rFonts w:hint="eastAsia" w:ascii="宋体" w:hAnsi="宋体" w:eastAsia="宋体" w:cs="宋体"/>
          <w:b w:val="0"/>
          <w:bCs/>
          <w:color w:val="auto"/>
          <w:sz w:val="24"/>
        </w:rPr>
      </w:pPr>
    </w:p>
    <w:p w14:paraId="1B1C341E">
      <w:pPr>
        <w:pStyle w:val="28"/>
        <w:rPr>
          <w:rFonts w:hint="eastAsia" w:ascii="宋体" w:hAnsi="宋体" w:eastAsia="宋体" w:cs="宋体"/>
          <w:b w:val="0"/>
          <w:bCs/>
          <w:color w:val="auto"/>
          <w:sz w:val="24"/>
        </w:rPr>
      </w:pPr>
    </w:p>
    <w:p w14:paraId="69547949">
      <w:pPr>
        <w:rPr>
          <w:rFonts w:hint="eastAsia" w:ascii="宋体" w:hAnsi="宋体" w:eastAsia="宋体" w:cs="宋体"/>
          <w:b w:val="0"/>
          <w:bCs/>
          <w:color w:val="auto"/>
          <w:sz w:val="24"/>
        </w:rPr>
      </w:pPr>
    </w:p>
    <w:p w14:paraId="503EB86A">
      <w:pPr>
        <w:pStyle w:val="28"/>
        <w:rPr>
          <w:rFonts w:hint="eastAsia"/>
          <w:color w:val="auto"/>
        </w:rPr>
      </w:pPr>
    </w:p>
    <w:p w14:paraId="24953A89">
      <w:pPr>
        <w:wordWrap w:val="0"/>
        <w:overflowPunct w:val="0"/>
        <w:topLinePunct/>
        <w:spacing w:line="360" w:lineRule="auto"/>
        <w:jc w:val="both"/>
        <w:rPr>
          <w:rFonts w:hint="eastAsia" w:ascii="宋体" w:hAnsi="宋体" w:eastAsia="宋体" w:cs="宋体"/>
          <w:b w:val="0"/>
          <w:bCs/>
          <w:color w:val="auto"/>
          <w:sz w:val="24"/>
        </w:rPr>
      </w:pPr>
    </w:p>
    <w:p w14:paraId="4430058B">
      <w:pPr>
        <w:wordWrap w:val="0"/>
        <w:overflowPunct w:val="0"/>
        <w:topLinePunct/>
        <w:spacing w:line="360" w:lineRule="auto"/>
        <w:jc w:val="center"/>
        <w:rPr>
          <w:rFonts w:hint="eastAsia" w:ascii="宋体" w:hAnsi="宋体" w:eastAsia="宋体" w:cs="宋体"/>
          <w:b w:val="0"/>
          <w:bCs/>
          <w:color w:val="auto"/>
          <w:sz w:val="24"/>
        </w:rPr>
      </w:pPr>
      <w:r>
        <w:rPr>
          <w:rFonts w:hint="eastAsia" w:ascii="宋体" w:hAnsi="宋体" w:cs="宋体"/>
          <w:b w:val="0"/>
          <w:bCs/>
          <w:color w:val="auto"/>
          <w:sz w:val="24"/>
          <w:lang w:eastAsia="zh-CN"/>
        </w:rPr>
        <w:t>供应商</w:t>
      </w:r>
      <w:r>
        <w:rPr>
          <w:rFonts w:hint="eastAsia" w:ascii="宋体" w:hAnsi="宋体" w:eastAsia="宋体" w:cs="宋体"/>
          <w:b w:val="0"/>
          <w:bCs/>
          <w:color w:val="auto"/>
          <w:sz w:val="24"/>
        </w:rPr>
        <w:t>：</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u w:val="single"/>
          <w:lang w:eastAsia="zh-CN"/>
        </w:rPr>
        <w:t>（</w:t>
      </w:r>
      <w:r>
        <w:rPr>
          <w:rFonts w:hint="eastAsia" w:ascii="宋体" w:hAnsi="宋体" w:eastAsia="宋体" w:cs="宋体"/>
          <w:color w:val="auto"/>
          <w:sz w:val="24"/>
        </w:rPr>
        <w:t>加盖电子公章</w:t>
      </w:r>
      <w:r>
        <w:rPr>
          <w:rFonts w:hint="eastAsia" w:ascii="宋体" w:hAnsi="宋体" w:eastAsia="宋体" w:cs="宋体"/>
          <w:b w:val="0"/>
          <w:bCs/>
          <w:color w:val="auto"/>
          <w:sz w:val="24"/>
          <w:lang w:eastAsia="zh-CN"/>
        </w:rPr>
        <w:t>）</w:t>
      </w:r>
    </w:p>
    <w:p w14:paraId="156ECFAE">
      <w:pPr>
        <w:wordWrap w:val="0"/>
        <w:overflowPunct w:val="0"/>
        <w:topLinePunct/>
        <w:spacing w:line="360" w:lineRule="auto"/>
        <w:jc w:val="center"/>
        <w:rPr>
          <w:rFonts w:hint="eastAsia" w:ascii="宋体" w:hAnsi="宋体" w:eastAsia="宋体" w:cs="宋体"/>
          <w:b w:val="0"/>
          <w:bCs/>
          <w:color w:val="auto"/>
          <w:sz w:val="24"/>
          <w:u w:val="single"/>
        </w:rPr>
      </w:pPr>
      <w:r>
        <w:rPr>
          <w:rFonts w:hint="eastAsia" w:ascii="宋体" w:hAnsi="宋体" w:eastAsia="宋体" w:cs="宋体"/>
          <w:b w:val="0"/>
          <w:bCs/>
          <w:color w:val="auto"/>
          <w:sz w:val="24"/>
        </w:rPr>
        <w:t>法定代表人（负责人）或授权委托人：</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w:t>
      </w:r>
      <w:r>
        <w:rPr>
          <w:rFonts w:hint="eastAsia" w:ascii="宋体" w:hAnsi="宋体" w:eastAsia="宋体" w:cs="宋体"/>
          <w:b w:val="0"/>
          <w:bCs/>
          <w:color w:val="auto"/>
          <w:sz w:val="24"/>
          <w:lang w:eastAsia="zh-CN"/>
        </w:rPr>
        <w:t>电子签章</w:t>
      </w:r>
      <w:r>
        <w:rPr>
          <w:rFonts w:hint="eastAsia" w:ascii="宋体" w:hAnsi="宋体" w:eastAsia="宋体" w:cs="宋体"/>
          <w:b w:val="0"/>
          <w:bCs/>
          <w:color w:val="auto"/>
          <w:sz w:val="24"/>
        </w:rPr>
        <w:t>）</w:t>
      </w:r>
    </w:p>
    <w:p w14:paraId="6ED9EB7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b w:val="0"/>
          <w:bCs/>
          <w:color w:val="auto"/>
          <w:sz w:val="24"/>
        </w:rPr>
        <w:t>日期：</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年</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月</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日</w:t>
      </w:r>
    </w:p>
    <w:p w14:paraId="0BAD9047">
      <w:pPr>
        <w:rPr>
          <w:rFonts w:hint="eastAsia" w:ascii="宋体" w:hAnsi="宋体" w:eastAsia="宋体" w:cs="宋体"/>
          <w:b/>
          <w:color w:val="auto"/>
          <w:sz w:val="28"/>
          <w:szCs w:val="28"/>
          <w:lang w:val="en-US" w:eastAsia="zh-CN"/>
        </w:rPr>
      </w:pPr>
    </w:p>
    <w:p w14:paraId="0A35DF27">
      <w:pPr>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br w:type="page"/>
      </w:r>
    </w:p>
    <w:p w14:paraId="6F78F28A">
      <w:pPr>
        <w:jc w:val="left"/>
        <w:rPr>
          <w:rFonts w:hint="default"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附件1</w:t>
      </w:r>
    </w:p>
    <w:p w14:paraId="3F3CAB94">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项目</w:t>
      </w:r>
      <w:r>
        <w:rPr>
          <w:rFonts w:hint="eastAsia" w:ascii="宋体" w:hAnsi="宋体" w:cs="宋体"/>
          <w:b/>
          <w:color w:val="auto"/>
          <w:sz w:val="28"/>
          <w:szCs w:val="28"/>
          <w:lang w:val="en-US" w:eastAsia="zh-CN"/>
        </w:rPr>
        <w:t>技术服务</w:t>
      </w:r>
      <w:r>
        <w:rPr>
          <w:rFonts w:hint="eastAsia" w:ascii="宋体" w:hAnsi="宋体" w:eastAsia="宋体" w:cs="宋体"/>
          <w:b/>
          <w:color w:val="auto"/>
          <w:sz w:val="28"/>
          <w:szCs w:val="28"/>
          <w:lang w:eastAsia="zh-CN"/>
        </w:rPr>
        <w:t>人员情况表</w:t>
      </w:r>
    </w:p>
    <w:tbl>
      <w:tblPr>
        <w:tblStyle w:val="67"/>
        <w:tblW w:w="10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083"/>
        <w:gridCol w:w="993"/>
        <w:gridCol w:w="850"/>
        <w:gridCol w:w="992"/>
        <w:gridCol w:w="1134"/>
        <w:gridCol w:w="1449"/>
        <w:gridCol w:w="1449"/>
        <w:gridCol w:w="1955"/>
      </w:tblGrid>
      <w:tr w14:paraId="6AABC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746" w:type="dxa"/>
            <w:noWrap w:val="0"/>
            <w:vAlign w:val="center"/>
          </w:tcPr>
          <w:p w14:paraId="22EED0BC">
            <w:pPr>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1083" w:type="dxa"/>
            <w:noWrap w:val="0"/>
            <w:vAlign w:val="center"/>
          </w:tcPr>
          <w:p w14:paraId="682A7E41">
            <w:pPr>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993" w:type="dxa"/>
            <w:noWrap w:val="0"/>
            <w:vAlign w:val="center"/>
          </w:tcPr>
          <w:p w14:paraId="5D2A8DD3">
            <w:pPr>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850" w:type="dxa"/>
            <w:noWrap w:val="0"/>
            <w:vAlign w:val="center"/>
          </w:tcPr>
          <w:p w14:paraId="4D883DD5">
            <w:pPr>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992" w:type="dxa"/>
            <w:noWrap w:val="0"/>
            <w:vAlign w:val="center"/>
          </w:tcPr>
          <w:p w14:paraId="30E22AB5">
            <w:pPr>
              <w:jc w:val="center"/>
              <w:rPr>
                <w:rFonts w:hint="eastAsia" w:ascii="宋体" w:hAnsi="宋体" w:eastAsia="宋体" w:cs="宋体"/>
                <w:color w:val="auto"/>
                <w:sz w:val="24"/>
              </w:rPr>
            </w:pPr>
            <w:r>
              <w:rPr>
                <w:rFonts w:hint="eastAsia" w:ascii="宋体" w:hAnsi="宋体" w:eastAsia="宋体" w:cs="宋体"/>
                <w:color w:val="auto"/>
                <w:sz w:val="24"/>
              </w:rPr>
              <w:t>职称</w:t>
            </w:r>
          </w:p>
        </w:tc>
        <w:tc>
          <w:tcPr>
            <w:tcW w:w="1134" w:type="dxa"/>
            <w:noWrap w:val="0"/>
            <w:vAlign w:val="center"/>
          </w:tcPr>
          <w:p w14:paraId="427627A4">
            <w:pPr>
              <w:jc w:val="center"/>
              <w:rPr>
                <w:rFonts w:hint="eastAsia" w:ascii="宋体" w:hAnsi="宋体" w:eastAsia="宋体" w:cs="宋体"/>
                <w:color w:val="auto"/>
                <w:sz w:val="24"/>
              </w:rPr>
            </w:pPr>
            <w:r>
              <w:rPr>
                <w:rFonts w:hint="eastAsia" w:ascii="宋体" w:hAnsi="宋体" w:eastAsia="宋体" w:cs="宋体"/>
                <w:color w:val="auto"/>
                <w:sz w:val="24"/>
              </w:rPr>
              <w:t>专业</w:t>
            </w:r>
          </w:p>
        </w:tc>
        <w:tc>
          <w:tcPr>
            <w:tcW w:w="1449" w:type="dxa"/>
            <w:noWrap w:val="0"/>
            <w:vAlign w:val="center"/>
          </w:tcPr>
          <w:p w14:paraId="54EE197E">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业绩</w:t>
            </w:r>
          </w:p>
        </w:tc>
        <w:tc>
          <w:tcPr>
            <w:tcW w:w="1449" w:type="dxa"/>
            <w:noWrap w:val="0"/>
            <w:vAlign w:val="center"/>
          </w:tcPr>
          <w:p w14:paraId="31E42D3C">
            <w:pPr>
              <w:jc w:val="center"/>
              <w:rPr>
                <w:rFonts w:hint="eastAsia" w:ascii="宋体" w:hAnsi="宋体" w:eastAsia="宋体" w:cs="宋体"/>
                <w:color w:val="auto"/>
                <w:sz w:val="24"/>
              </w:rPr>
            </w:pPr>
            <w:r>
              <w:rPr>
                <w:rFonts w:hint="eastAsia" w:ascii="宋体" w:hAnsi="宋体" w:eastAsia="宋体" w:cs="宋体"/>
                <w:color w:val="auto"/>
                <w:sz w:val="24"/>
              </w:rPr>
              <w:t>拟担任职务</w:t>
            </w:r>
          </w:p>
        </w:tc>
        <w:tc>
          <w:tcPr>
            <w:tcW w:w="1955" w:type="dxa"/>
            <w:noWrap w:val="0"/>
            <w:vAlign w:val="center"/>
          </w:tcPr>
          <w:p w14:paraId="641368D4">
            <w:pPr>
              <w:jc w:val="center"/>
              <w:rPr>
                <w:rFonts w:hint="eastAsia" w:ascii="宋体" w:hAnsi="宋体" w:eastAsia="宋体" w:cs="宋体"/>
                <w:color w:val="auto"/>
                <w:sz w:val="24"/>
              </w:rPr>
            </w:pPr>
            <w:r>
              <w:rPr>
                <w:rFonts w:hint="eastAsia" w:ascii="宋体" w:hAnsi="宋体" w:eastAsia="宋体" w:cs="宋体"/>
                <w:color w:val="auto"/>
                <w:sz w:val="24"/>
              </w:rPr>
              <w:t>从专业工作时间</w:t>
            </w:r>
          </w:p>
        </w:tc>
      </w:tr>
      <w:tr w14:paraId="5C05E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09E53E76">
            <w:pPr>
              <w:jc w:val="center"/>
              <w:rPr>
                <w:rFonts w:hint="eastAsia" w:ascii="宋体" w:hAnsi="宋体" w:eastAsia="宋体" w:cs="宋体"/>
                <w:color w:val="auto"/>
                <w:sz w:val="24"/>
              </w:rPr>
            </w:pPr>
          </w:p>
        </w:tc>
        <w:tc>
          <w:tcPr>
            <w:tcW w:w="1083" w:type="dxa"/>
            <w:noWrap w:val="0"/>
            <w:vAlign w:val="center"/>
          </w:tcPr>
          <w:p w14:paraId="43578549">
            <w:pPr>
              <w:jc w:val="center"/>
              <w:rPr>
                <w:rFonts w:hint="eastAsia" w:ascii="宋体" w:hAnsi="宋体" w:eastAsia="宋体" w:cs="宋体"/>
                <w:color w:val="auto"/>
                <w:sz w:val="24"/>
              </w:rPr>
            </w:pPr>
          </w:p>
        </w:tc>
        <w:tc>
          <w:tcPr>
            <w:tcW w:w="993" w:type="dxa"/>
            <w:noWrap w:val="0"/>
            <w:vAlign w:val="center"/>
          </w:tcPr>
          <w:p w14:paraId="0EE2A6DE">
            <w:pPr>
              <w:jc w:val="center"/>
              <w:rPr>
                <w:rFonts w:hint="eastAsia" w:ascii="宋体" w:hAnsi="宋体" w:eastAsia="宋体" w:cs="宋体"/>
                <w:color w:val="auto"/>
                <w:sz w:val="24"/>
              </w:rPr>
            </w:pPr>
          </w:p>
        </w:tc>
        <w:tc>
          <w:tcPr>
            <w:tcW w:w="850" w:type="dxa"/>
            <w:noWrap w:val="0"/>
            <w:vAlign w:val="center"/>
          </w:tcPr>
          <w:p w14:paraId="6226CF0E">
            <w:pPr>
              <w:jc w:val="center"/>
              <w:rPr>
                <w:rFonts w:hint="eastAsia" w:ascii="宋体" w:hAnsi="宋体" w:eastAsia="宋体" w:cs="宋体"/>
                <w:color w:val="auto"/>
                <w:sz w:val="24"/>
              </w:rPr>
            </w:pPr>
          </w:p>
        </w:tc>
        <w:tc>
          <w:tcPr>
            <w:tcW w:w="992" w:type="dxa"/>
            <w:noWrap w:val="0"/>
            <w:vAlign w:val="center"/>
          </w:tcPr>
          <w:p w14:paraId="30A9B7B1">
            <w:pPr>
              <w:jc w:val="center"/>
              <w:rPr>
                <w:rFonts w:hint="eastAsia" w:ascii="宋体" w:hAnsi="宋体" w:eastAsia="宋体" w:cs="宋体"/>
                <w:color w:val="auto"/>
                <w:sz w:val="24"/>
              </w:rPr>
            </w:pPr>
          </w:p>
        </w:tc>
        <w:tc>
          <w:tcPr>
            <w:tcW w:w="1134" w:type="dxa"/>
            <w:noWrap w:val="0"/>
            <w:vAlign w:val="center"/>
          </w:tcPr>
          <w:p w14:paraId="38FF7826">
            <w:pPr>
              <w:jc w:val="center"/>
              <w:rPr>
                <w:rFonts w:hint="eastAsia" w:ascii="宋体" w:hAnsi="宋体" w:eastAsia="宋体" w:cs="宋体"/>
                <w:color w:val="auto"/>
                <w:sz w:val="24"/>
              </w:rPr>
            </w:pPr>
          </w:p>
        </w:tc>
        <w:tc>
          <w:tcPr>
            <w:tcW w:w="1449" w:type="dxa"/>
            <w:noWrap w:val="0"/>
            <w:vAlign w:val="center"/>
          </w:tcPr>
          <w:p w14:paraId="3CF7FBD3">
            <w:pPr>
              <w:jc w:val="center"/>
              <w:rPr>
                <w:rFonts w:hint="eastAsia" w:ascii="宋体" w:hAnsi="宋体" w:eastAsia="宋体" w:cs="宋体"/>
                <w:color w:val="auto"/>
                <w:sz w:val="24"/>
              </w:rPr>
            </w:pPr>
          </w:p>
        </w:tc>
        <w:tc>
          <w:tcPr>
            <w:tcW w:w="1449" w:type="dxa"/>
            <w:noWrap w:val="0"/>
            <w:vAlign w:val="center"/>
          </w:tcPr>
          <w:p w14:paraId="454556EA">
            <w:pPr>
              <w:jc w:val="center"/>
              <w:rPr>
                <w:rFonts w:hint="eastAsia" w:ascii="宋体" w:hAnsi="宋体" w:eastAsia="宋体" w:cs="宋体"/>
                <w:color w:val="auto"/>
                <w:sz w:val="24"/>
              </w:rPr>
            </w:pPr>
          </w:p>
        </w:tc>
        <w:tc>
          <w:tcPr>
            <w:tcW w:w="1955" w:type="dxa"/>
            <w:noWrap w:val="0"/>
            <w:vAlign w:val="center"/>
          </w:tcPr>
          <w:p w14:paraId="71F41890">
            <w:pPr>
              <w:jc w:val="center"/>
              <w:rPr>
                <w:rFonts w:hint="eastAsia" w:ascii="宋体" w:hAnsi="宋体" w:eastAsia="宋体" w:cs="宋体"/>
                <w:color w:val="auto"/>
                <w:sz w:val="24"/>
              </w:rPr>
            </w:pPr>
          </w:p>
        </w:tc>
      </w:tr>
      <w:tr w14:paraId="17C20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3B2583CB">
            <w:pPr>
              <w:jc w:val="center"/>
              <w:rPr>
                <w:rFonts w:hint="eastAsia" w:ascii="宋体" w:hAnsi="宋体" w:eastAsia="宋体" w:cs="宋体"/>
                <w:color w:val="auto"/>
                <w:sz w:val="24"/>
              </w:rPr>
            </w:pPr>
          </w:p>
        </w:tc>
        <w:tc>
          <w:tcPr>
            <w:tcW w:w="1083" w:type="dxa"/>
            <w:noWrap w:val="0"/>
            <w:vAlign w:val="center"/>
          </w:tcPr>
          <w:p w14:paraId="70EF11F4">
            <w:pPr>
              <w:jc w:val="center"/>
              <w:rPr>
                <w:rFonts w:hint="eastAsia" w:ascii="宋体" w:hAnsi="宋体" w:eastAsia="宋体" w:cs="宋体"/>
                <w:color w:val="auto"/>
                <w:sz w:val="24"/>
              </w:rPr>
            </w:pPr>
          </w:p>
        </w:tc>
        <w:tc>
          <w:tcPr>
            <w:tcW w:w="993" w:type="dxa"/>
            <w:noWrap w:val="0"/>
            <w:vAlign w:val="center"/>
          </w:tcPr>
          <w:p w14:paraId="13753E84">
            <w:pPr>
              <w:jc w:val="center"/>
              <w:rPr>
                <w:rFonts w:hint="eastAsia" w:ascii="宋体" w:hAnsi="宋体" w:eastAsia="宋体" w:cs="宋体"/>
                <w:color w:val="auto"/>
                <w:sz w:val="24"/>
              </w:rPr>
            </w:pPr>
          </w:p>
        </w:tc>
        <w:tc>
          <w:tcPr>
            <w:tcW w:w="850" w:type="dxa"/>
            <w:noWrap w:val="0"/>
            <w:vAlign w:val="center"/>
          </w:tcPr>
          <w:p w14:paraId="3DB04975">
            <w:pPr>
              <w:jc w:val="center"/>
              <w:rPr>
                <w:rFonts w:hint="eastAsia" w:ascii="宋体" w:hAnsi="宋体" w:eastAsia="宋体" w:cs="宋体"/>
                <w:color w:val="auto"/>
                <w:sz w:val="24"/>
              </w:rPr>
            </w:pPr>
          </w:p>
        </w:tc>
        <w:tc>
          <w:tcPr>
            <w:tcW w:w="992" w:type="dxa"/>
            <w:noWrap w:val="0"/>
            <w:vAlign w:val="center"/>
          </w:tcPr>
          <w:p w14:paraId="53DCE564">
            <w:pPr>
              <w:jc w:val="center"/>
              <w:rPr>
                <w:rFonts w:hint="eastAsia" w:ascii="宋体" w:hAnsi="宋体" w:eastAsia="宋体" w:cs="宋体"/>
                <w:color w:val="auto"/>
                <w:sz w:val="24"/>
              </w:rPr>
            </w:pPr>
          </w:p>
        </w:tc>
        <w:tc>
          <w:tcPr>
            <w:tcW w:w="1134" w:type="dxa"/>
            <w:noWrap w:val="0"/>
            <w:vAlign w:val="center"/>
          </w:tcPr>
          <w:p w14:paraId="41E55493">
            <w:pPr>
              <w:jc w:val="center"/>
              <w:rPr>
                <w:rFonts w:hint="eastAsia" w:ascii="宋体" w:hAnsi="宋体" w:eastAsia="宋体" w:cs="宋体"/>
                <w:color w:val="auto"/>
                <w:sz w:val="24"/>
              </w:rPr>
            </w:pPr>
          </w:p>
        </w:tc>
        <w:tc>
          <w:tcPr>
            <w:tcW w:w="1449" w:type="dxa"/>
            <w:noWrap w:val="0"/>
            <w:vAlign w:val="center"/>
          </w:tcPr>
          <w:p w14:paraId="7D27CDA2">
            <w:pPr>
              <w:jc w:val="center"/>
              <w:rPr>
                <w:rFonts w:hint="eastAsia" w:ascii="宋体" w:hAnsi="宋体" w:eastAsia="宋体" w:cs="宋体"/>
                <w:color w:val="auto"/>
                <w:sz w:val="24"/>
              </w:rPr>
            </w:pPr>
          </w:p>
        </w:tc>
        <w:tc>
          <w:tcPr>
            <w:tcW w:w="1449" w:type="dxa"/>
            <w:noWrap w:val="0"/>
            <w:vAlign w:val="center"/>
          </w:tcPr>
          <w:p w14:paraId="7AA76626">
            <w:pPr>
              <w:jc w:val="center"/>
              <w:rPr>
                <w:rFonts w:hint="eastAsia" w:ascii="宋体" w:hAnsi="宋体" w:eastAsia="宋体" w:cs="宋体"/>
                <w:color w:val="auto"/>
                <w:sz w:val="24"/>
              </w:rPr>
            </w:pPr>
          </w:p>
        </w:tc>
        <w:tc>
          <w:tcPr>
            <w:tcW w:w="1955" w:type="dxa"/>
            <w:noWrap w:val="0"/>
            <w:vAlign w:val="center"/>
          </w:tcPr>
          <w:p w14:paraId="1034C4FB">
            <w:pPr>
              <w:jc w:val="center"/>
              <w:rPr>
                <w:rFonts w:hint="eastAsia" w:ascii="宋体" w:hAnsi="宋体" w:eastAsia="宋体" w:cs="宋体"/>
                <w:color w:val="auto"/>
                <w:sz w:val="24"/>
              </w:rPr>
            </w:pPr>
          </w:p>
        </w:tc>
      </w:tr>
      <w:tr w14:paraId="0FED2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6C0FCFC1">
            <w:pPr>
              <w:jc w:val="center"/>
              <w:rPr>
                <w:rFonts w:hint="eastAsia" w:ascii="宋体" w:hAnsi="宋体" w:eastAsia="宋体" w:cs="宋体"/>
                <w:color w:val="auto"/>
                <w:sz w:val="24"/>
              </w:rPr>
            </w:pPr>
          </w:p>
        </w:tc>
        <w:tc>
          <w:tcPr>
            <w:tcW w:w="1083" w:type="dxa"/>
            <w:noWrap w:val="0"/>
            <w:vAlign w:val="center"/>
          </w:tcPr>
          <w:p w14:paraId="63BD65C9">
            <w:pPr>
              <w:jc w:val="center"/>
              <w:rPr>
                <w:rFonts w:hint="eastAsia" w:ascii="宋体" w:hAnsi="宋体" w:eastAsia="宋体" w:cs="宋体"/>
                <w:color w:val="auto"/>
                <w:sz w:val="24"/>
              </w:rPr>
            </w:pPr>
          </w:p>
        </w:tc>
        <w:tc>
          <w:tcPr>
            <w:tcW w:w="993" w:type="dxa"/>
            <w:noWrap w:val="0"/>
            <w:vAlign w:val="center"/>
          </w:tcPr>
          <w:p w14:paraId="6DE03E69">
            <w:pPr>
              <w:jc w:val="center"/>
              <w:rPr>
                <w:rFonts w:hint="eastAsia" w:ascii="宋体" w:hAnsi="宋体" w:eastAsia="宋体" w:cs="宋体"/>
                <w:color w:val="auto"/>
                <w:sz w:val="24"/>
              </w:rPr>
            </w:pPr>
          </w:p>
        </w:tc>
        <w:tc>
          <w:tcPr>
            <w:tcW w:w="850" w:type="dxa"/>
            <w:noWrap w:val="0"/>
            <w:vAlign w:val="center"/>
          </w:tcPr>
          <w:p w14:paraId="7DE609A3">
            <w:pPr>
              <w:jc w:val="center"/>
              <w:rPr>
                <w:rFonts w:hint="eastAsia" w:ascii="宋体" w:hAnsi="宋体" w:eastAsia="宋体" w:cs="宋体"/>
                <w:color w:val="auto"/>
                <w:sz w:val="24"/>
              </w:rPr>
            </w:pPr>
          </w:p>
        </w:tc>
        <w:tc>
          <w:tcPr>
            <w:tcW w:w="992" w:type="dxa"/>
            <w:noWrap w:val="0"/>
            <w:vAlign w:val="center"/>
          </w:tcPr>
          <w:p w14:paraId="03EFC917">
            <w:pPr>
              <w:jc w:val="center"/>
              <w:rPr>
                <w:rFonts w:hint="eastAsia" w:ascii="宋体" w:hAnsi="宋体" w:eastAsia="宋体" w:cs="宋体"/>
                <w:color w:val="auto"/>
                <w:sz w:val="24"/>
              </w:rPr>
            </w:pPr>
          </w:p>
        </w:tc>
        <w:tc>
          <w:tcPr>
            <w:tcW w:w="1134" w:type="dxa"/>
            <w:noWrap w:val="0"/>
            <w:vAlign w:val="center"/>
          </w:tcPr>
          <w:p w14:paraId="1F06527C">
            <w:pPr>
              <w:jc w:val="center"/>
              <w:rPr>
                <w:rFonts w:hint="eastAsia" w:ascii="宋体" w:hAnsi="宋体" w:eastAsia="宋体" w:cs="宋体"/>
                <w:color w:val="auto"/>
                <w:sz w:val="24"/>
              </w:rPr>
            </w:pPr>
          </w:p>
        </w:tc>
        <w:tc>
          <w:tcPr>
            <w:tcW w:w="1449" w:type="dxa"/>
            <w:noWrap w:val="0"/>
            <w:vAlign w:val="center"/>
          </w:tcPr>
          <w:p w14:paraId="3B7A6192">
            <w:pPr>
              <w:jc w:val="center"/>
              <w:rPr>
                <w:rFonts w:hint="eastAsia" w:ascii="宋体" w:hAnsi="宋体" w:eastAsia="宋体" w:cs="宋体"/>
                <w:color w:val="auto"/>
                <w:sz w:val="24"/>
              </w:rPr>
            </w:pPr>
          </w:p>
        </w:tc>
        <w:tc>
          <w:tcPr>
            <w:tcW w:w="1449" w:type="dxa"/>
            <w:noWrap w:val="0"/>
            <w:vAlign w:val="center"/>
          </w:tcPr>
          <w:p w14:paraId="7010B2E3">
            <w:pPr>
              <w:jc w:val="center"/>
              <w:rPr>
                <w:rFonts w:hint="eastAsia" w:ascii="宋体" w:hAnsi="宋体" w:eastAsia="宋体" w:cs="宋体"/>
                <w:color w:val="auto"/>
                <w:sz w:val="24"/>
              </w:rPr>
            </w:pPr>
          </w:p>
        </w:tc>
        <w:tc>
          <w:tcPr>
            <w:tcW w:w="1955" w:type="dxa"/>
            <w:noWrap w:val="0"/>
            <w:vAlign w:val="center"/>
          </w:tcPr>
          <w:p w14:paraId="1774A8AA">
            <w:pPr>
              <w:jc w:val="center"/>
              <w:rPr>
                <w:rFonts w:hint="eastAsia" w:ascii="宋体" w:hAnsi="宋体" w:eastAsia="宋体" w:cs="宋体"/>
                <w:color w:val="auto"/>
                <w:sz w:val="24"/>
              </w:rPr>
            </w:pPr>
          </w:p>
        </w:tc>
      </w:tr>
      <w:tr w14:paraId="729C7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1F1C1AC6">
            <w:pPr>
              <w:jc w:val="center"/>
              <w:rPr>
                <w:rFonts w:hint="eastAsia" w:ascii="宋体" w:hAnsi="宋体" w:eastAsia="宋体" w:cs="宋体"/>
                <w:color w:val="auto"/>
                <w:sz w:val="24"/>
              </w:rPr>
            </w:pPr>
          </w:p>
        </w:tc>
        <w:tc>
          <w:tcPr>
            <w:tcW w:w="1083" w:type="dxa"/>
            <w:noWrap w:val="0"/>
            <w:vAlign w:val="center"/>
          </w:tcPr>
          <w:p w14:paraId="1259A6E8">
            <w:pPr>
              <w:jc w:val="center"/>
              <w:rPr>
                <w:rFonts w:hint="eastAsia" w:ascii="宋体" w:hAnsi="宋体" w:eastAsia="宋体" w:cs="宋体"/>
                <w:color w:val="auto"/>
                <w:sz w:val="24"/>
              </w:rPr>
            </w:pPr>
          </w:p>
        </w:tc>
        <w:tc>
          <w:tcPr>
            <w:tcW w:w="993" w:type="dxa"/>
            <w:noWrap w:val="0"/>
            <w:vAlign w:val="center"/>
          </w:tcPr>
          <w:p w14:paraId="50F26208">
            <w:pPr>
              <w:jc w:val="center"/>
              <w:rPr>
                <w:rFonts w:hint="eastAsia" w:ascii="宋体" w:hAnsi="宋体" w:eastAsia="宋体" w:cs="宋体"/>
                <w:color w:val="auto"/>
                <w:sz w:val="24"/>
              </w:rPr>
            </w:pPr>
          </w:p>
        </w:tc>
        <w:tc>
          <w:tcPr>
            <w:tcW w:w="850" w:type="dxa"/>
            <w:noWrap w:val="0"/>
            <w:vAlign w:val="center"/>
          </w:tcPr>
          <w:p w14:paraId="6EE8B62A">
            <w:pPr>
              <w:jc w:val="center"/>
              <w:rPr>
                <w:rFonts w:hint="eastAsia" w:ascii="宋体" w:hAnsi="宋体" w:eastAsia="宋体" w:cs="宋体"/>
                <w:color w:val="auto"/>
                <w:sz w:val="24"/>
              </w:rPr>
            </w:pPr>
          </w:p>
        </w:tc>
        <w:tc>
          <w:tcPr>
            <w:tcW w:w="992" w:type="dxa"/>
            <w:noWrap w:val="0"/>
            <w:vAlign w:val="center"/>
          </w:tcPr>
          <w:p w14:paraId="7DE445FF">
            <w:pPr>
              <w:jc w:val="center"/>
              <w:rPr>
                <w:rFonts w:hint="eastAsia" w:ascii="宋体" w:hAnsi="宋体" w:eastAsia="宋体" w:cs="宋体"/>
                <w:color w:val="auto"/>
                <w:sz w:val="24"/>
              </w:rPr>
            </w:pPr>
          </w:p>
        </w:tc>
        <w:tc>
          <w:tcPr>
            <w:tcW w:w="1134" w:type="dxa"/>
            <w:noWrap w:val="0"/>
            <w:vAlign w:val="center"/>
          </w:tcPr>
          <w:p w14:paraId="08201C50">
            <w:pPr>
              <w:jc w:val="center"/>
              <w:rPr>
                <w:rFonts w:hint="eastAsia" w:ascii="宋体" w:hAnsi="宋体" w:eastAsia="宋体" w:cs="宋体"/>
                <w:color w:val="auto"/>
                <w:sz w:val="24"/>
              </w:rPr>
            </w:pPr>
          </w:p>
        </w:tc>
        <w:tc>
          <w:tcPr>
            <w:tcW w:w="1449" w:type="dxa"/>
            <w:noWrap w:val="0"/>
            <w:vAlign w:val="center"/>
          </w:tcPr>
          <w:p w14:paraId="2D76C251">
            <w:pPr>
              <w:jc w:val="center"/>
              <w:rPr>
                <w:rFonts w:hint="eastAsia" w:ascii="宋体" w:hAnsi="宋体" w:eastAsia="宋体" w:cs="宋体"/>
                <w:color w:val="auto"/>
                <w:sz w:val="24"/>
              </w:rPr>
            </w:pPr>
          </w:p>
        </w:tc>
        <w:tc>
          <w:tcPr>
            <w:tcW w:w="1449" w:type="dxa"/>
            <w:noWrap w:val="0"/>
            <w:vAlign w:val="center"/>
          </w:tcPr>
          <w:p w14:paraId="4EC88021">
            <w:pPr>
              <w:jc w:val="center"/>
              <w:rPr>
                <w:rFonts w:hint="eastAsia" w:ascii="宋体" w:hAnsi="宋体" w:eastAsia="宋体" w:cs="宋体"/>
                <w:color w:val="auto"/>
                <w:sz w:val="24"/>
              </w:rPr>
            </w:pPr>
          </w:p>
        </w:tc>
        <w:tc>
          <w:tcPr>
            <w:tcW w:w="1955" w:type="dxa"/>
            <w:noWrap w:val="0"/>
            <w:vAlign w:val="center"/>
          </w:tcPr>
          <w:p w14:paraId="79AF85EC">
            <w:pPr>
              <w:jc w:val="center"/>
              <w:rPr>
                <w:rFonts w:hint="eastAsia" w:ascii="宋体" w:hAnsi="宋体" w:eastAsia="宋体" w:cs="宋体"/>
                <w:color w:val="auto"/>
                <w:sz w:val="24"/>
              </w:rPr>
            </w:pPr>
          </w:p>
        </w:tc>
      </w:tr>
      <w:tr w14:paraId="79C85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78E4BEC6">
            <w:pPr>
              <w:jc w:val="center"/>
              <w:rPr>
                <w:rFonts w:hint="eastAsia" w:ascii="宋体" w:hAnsi="宋体" w:eastAsia="宋体" w:cs="宋体"/>
                <w:color w:val="auto"/>
                <w:sz w:val="24"/>
              </w:rPr>
            </w:pPr>
          </w:p>
        </w:tc>
        <w:tc>
          <w:tcPr>
            <w:tcW w:w="1083" w:type="dxa"/>
            <w:noWrap w:val="0"/>
            <w:vAlign w:val="center"/>
          </w:tcPr>
          <w:p w14:paraId="7559FC32">
            <w:pPr>
              <w:jc w:val="center"/>
              <w:rPr>
                <w:rFonts w:hint="eastAsia" w:ascii="宋体" w:hAnsi="宋体" w:eastAsia="宋体" w:cs="宋体"/>
                <w:color w:val="auto"/>
                <w:sz w:val="24"/>
              </w:rPr>
            </w:pPr>
          </w:p>
        </w:tc>
        <w:tc>
          <w:tcPr>
            <w:tcW w:w="993" w:type="dxa"/>
            <w:noWrap w:val="0"/>
            <w:vAlign w:val="center"/>
          </w:tcPr>
          <w:p w14:paraId="788B2ED3">
            <w:pPr>
              <w:jc w:val="center"/>
              <w:rPr>
                <w:rFonts w:hint="eastAsia" w:ascii="宋体" w:hAnsi="宋体" w:eastAsia="宋体" w:cs="宋体"/>
                <w:color w:val="auto"/>
                <w:sz w:val="24"/>
              </w:rPr>
            </w:pPr>
          </w:p>
        </w:tc>
        <w:tc>
          <w:tcPr>
            <w:tcW w:w="850" w:type="dxa"/>
            <w:noWrap w:val="0"/>
            <w:vAlign w:val="center"/>
          </w:tcPr>
          <w:p w14:paraId="717C975C">
            <w:pPr>
              <w:jc w:val="center"/>
              <w:rPr>
                <w:rFonts w:hint="eastAsia" w:ascii="宋体" w:hAnsi="宋体" w:eastAsia="宋体" w:cs="宋体"/>
                <w:color w:val="auto"/>
                <w:sz w:val="24"/>
              </w:rPr>
            </w:pPr>
          </w:p>
        </w:tc>
        <w:tc>
          <w:tcPr>
            <w:tcW w:w="992" w:type="dxa"/>
            <w:noWrap w:val="0"/>
            <w:vAlign w:val="center"/>
          </w:tcPr>
          <w:p w14:paraId="16384743">
            <w:pPr>
              <w:jc w:val="center"/>
              <w:rPr>
                <w:rFonts w:hint="eastAsia" w:ascii="宋体" w:hAnsi="宋体" w:eastAsia="宋体" w:cs="宋体"/>
                <w:color w:val="auto"/>
                <w:sz w:val="24"/>
              </w:rPr>
            </w:pPr>
          </w:p>
        </w:tc>
        <w:tc>
          <w:tcPr>
            <w:tcW w:w="1134" w:type="dxa"/>
            <w:noWrap w:val="0"/>
            <w:vAlign w:val="center"/>
          </w:tcPr>
          <w:p w14:paraId="6A15930A">
            <w:pPr>
              <w:jc w:val="center"/>
              <w:rPr>
                <w:rFonts w:hint="eastAsia" w:ascii="宋体" w:hAnsi="宋体" w:eastAsia="宋体" w:cs="宋体"/>
                <w:color w:val="auto"/>
                <w:sz w:val="24"/>
              </w:rPr>
            </w:pPr>
          </w:p>
        </w:tc>
        <w:tc>
          <w:tcPr>
            <w:tcW w:w="1449" w:type="dxa"/>
            <w:noWrap w:val="0"/>
            <w:vAlign w:val="center"/>
          </w:tcPr>
          <w:p w14:paraId="59918736">
            <w:pPr>
              <w:jc w:val="center"/>
              <w:rPr>
                <w:rFonts w:hint="eastAsia" w:ascii="宋体" w:hAnsi="宋体" w:eastAsia="宋体" w:cs="宋体"/>
                <w:color w:val="auto"/>
                <w:sz w:val="24"/>
              </w:rPr>
            </w:pPr>
          </w:p>
        </w:tc>
        <w:tc>
          <w:tcPr>
            <w:tcW w:w="1449" w:type="dxa"/>
            <w:noWrap w:val="0"/>
            <w:vAlign w:val="center"/>
          </w:tcPr>
          <w:p w14:paraId="72610FE7">
            <w:pPr>
              <w:jc w:val="center"/>
              <w:rPr>
                <w:rFonts w:hint="eastAsia" w:ascii="宋体" w:hAnsi="宋体" w:eastAsia="宋体" w:cs="宋体"/>
                <w:color w:val="auto"/>
                <w:sz w:val="24"/>
              </w:rPr>
            </w:pPr>
          </w:p>
        </w:tc>
        <w:tc>
          <w:tcPr>
            <w:tcW w:w="1955" w:type="dxa"/>
            <w:noWrap w:val="0"/>
            <w:vAlign w:val="center"/>
          </w:tcPr>
          <w:p w14:paraId="6BDDB641">
            <w:pPr>
              <w:jc w:val="center"/>
              <w:rPr>
                <w:rFonts w:hint="eastAsia" w:ascii="宋体" w:hAnsi="宋体" w:eastAsia="宋体" w:cs="宋体"/>
                <w:color w:val="auto"/>
                <w:sz w:val="24"/>
              </w:rPr>
            </w:pPr>
          </w:p>
        </w:tc>
      </w:tr>
      <w:tr w14:paraId="704D8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64214487">
            <w:pPr>
              <w:jc w:val="center"/>
              <w:rPr>
                <w:rFonts w:hint="eastAsia" w:ascii="宋体" w:hAnsi="宋体" w:eastAsia="宋体" w:cs="宋体"/>
                <w:color w:val="auto"/>
                <w:sz w:val="24"/>
              </w:rPr>
            </w:pPr>
          </w:p>
        </w:tc>
        <w:tc>
          <w:tcPr>
            <w:tcW w:w="1083" w:type="dxa"/>
            <w:noWrap w:val="0"/>
            <w:vAlign w:val="center"/>
          </w:tcPr>
          <w:p w14:paraId="5D39E224">
            <w:pPr>
              <w:jc w:val="center"/>
              <w:rPr>
                <w:rFonts w:hint="eastAsia" w:ascii="宋体" w:hAnsi="宋体" w:eastAsia="宋体" w:cs="宋体"/>
                <w:color w:val="auto"/>
                <w:sz w:val="24"/>
              </w:rPr>
            </w:pPr>
          </w:p>
        </w:tc>
        <w:tc>
          <w:tcPr>
            <w:tcW w:w="993" w:type="dxa"/>
            <w:noWrap w:val="0"/>
            <w:vAlign w:val="center"/>
          </w:tcPr>
          <w:p w14:paraId="05F58CF6">
            <w:pPr>
              <w:jc w:val="center"/>
              <w:rPr>
                <w:rFonts w:hint="eastAsia" w:ascii="宋体" w:hAnsi="宋体" w:eastAsia="宋体" w:cs="宋体"/>
                <w:color w:val="auto"/>
                <w:sz w:val="24"/>
              </w:rPr>
            </w:pPr>
          </w:p>
        </w:tc>
        <w:tc>
          <w:tcPr>
            <w:tcW w:w="850" w:type="dxa"/>
            <w:noWrap w:val="0"/>
            <w:vAlign w:val="center"/>
          </w:tcPr>
          <w:p w14:paraId="5D09F4FD">
            <w:pPr>
              <w:jc w:val="center"/>
              <w:rPr>
                <w:rFonts w:hint="eastAsia" w:ascii="宋体" w:hAnsi="宋体" w:eastAsia="宋体" w:cs="宋体"/>
                <w:color w:val="auto"/>
                <w:sz w:val="24"/>
              </w:rPr>
            </w:pPr>
          </w:p>
        </w:tc>
        <w:tc>
          <w:tcPr>
            <w:tcW w:w="992" w:type="dxa"/>
            <w:noWrap w:val="0"/>
            <w:vAlign w:val="center"/>
          </w:tcPr>
          <w:p w14:paraId="37E4DFB5">
            <w:pPr>
              <w:jc w:val="center"/>
              <w:rPr>
                <w:rFonts w:hint="eastAsia" w:ascii="宋体" w:hAnsi="宋体" w:eastAsia="宋体" w:cs="宋体"/>
                <w:color w:val="auto"/>
                <w:sz w:val="24"/>
              </w:rPr>
            </w:pPr>
          </w:p>
        </w:tc>
        <w:tc>
          <w:tcPr>
            <w:tcW w:w="1134" w:type="dxa"/>
            <w:noWrap w:val="0"/>
            <w:vAlign w:val="center"/>
          </w:tcPr>
          <w:p w14:paraId="654B5398">
            <w:pPr>
              <w:jc w:val="center"/>
              <w:rPr>
                <w:rFonts w:hint="eastAsia" w:ascii="宋体" w:hAnsi="宋体" w:eastAsia="宋体" w:cs="宋体"/>
                <w:color w:val="auto"/>
                <w:sz w:val="24"/>
              </w:rPr>
            </w:pPr>
          </w:p>
        </w:tc>
        <w:tc>
          <w:tcPr>
            <w:tcW w:w="1449" w:type="dxa"/>
            <w:noWrap w:val="0"/>
            <w:vAlign w:val="center"/>
          </w:tcPr>
          <w:p w14:paraId="067E7A5A">
            <w:pPr>
              <w:jc w:val="center"/>
              <w:rPr>
                <w:rFonts w:hint="eastAsia" w:ascii="宋体" w:hAnsi="宋体" w:eastAsia="宋体" w:cs="宋体"/>
                <w:color w:val="auto"/>
                <w:sz w:val="24"/>
              </w:rPr>
            </w:pPr>
          </w:p>
        </w:tc>
        <w:tc>
          <w:tcPr>
            <w:tcW w:w="1449" w:type="dxa"/>
            <w:noWrap w:val="0"/>
            <w:vAlign w:val="center"/>
          </w:tcPr>
          <w:p w14:paraId="1DB9EF34">
            <w:pPr>
              <w:jc w:val="center"/>
              <w:rPr>
                <w:rFonts w:hint="eastAsia" w:ascii="宋体" w:hAnsi="宋体" w:eastAsia="宋体" w:cs="宋体"/>
                <w:color w:val="auto"/>
                <w:sz w:val="24"/>
              </w:rPr>
            </w:pPr>
          </w:p>
        </w:tc>
        <w:tc>
          <w:tcPr>
            <w:tcW w:w="1955" w:type="dxa"/>
            <w:noWrap w:val="0"/>
            <w:vAlign w:val="center"/>
          </w:tcPr>
          <w:p w14:paraId="0F5A095A">
            <w:pPr>
              <w:jc w:val="center"/>
              <w:rPr>
                <w:rFonts w:hint="eastAsia" w:ascii="宋体" w:hAnsi="宋体" w:eastAsia="宋体" w:cs="宋体"/>
                <w:color w:val="auto"/>
                <w:sz w:val="24"/>
              </w:rPr>
            </w:pPr>
          </w:p>
        </w:tc>
      </w:tr>
      <w:tr w14:paraId="297FC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69F495F0">
            <w:pPr>
              <w:jc w:val="center"/>
              <w:rPr>
                <w:rFonts w:hint="eastAsia" w:ascii="宋体" w:hAnsi="宋体" w:eastAsia="宋体" w:cs="宋体"/>
                <w:color w:val="auto"/>
                <w:sz w:val="24"/>
              </w:rPr>
            </w:pPr>
          </w:p>
        </w:tc>
        <w:tc>
          <w:tcPr>
            <w:tcW w:w="1083" w:type="dxa"/>
            <w:noWrap w:val="0"/>
            <w:vAlign w:val="center"/>
          </w:tcPr>
          <w:p w14:paraId="66B80FC4">
            <w:pPr>
              <w:jc w:val="center"/>
              <w:rPr>
                <w:rFonts w:hint="eastAsia" w:ascii="宋体" w:hAnsi="宋体" w:eastAsia="宋体" w:cs="宋体"/>
                <w:color w:val="auto"/>
                <w:sz w:val="24"/>
              </w:rPr>
            </w:pPr>
          </w:p>
        </w:tc>
        <w:tc>
          <w:tcPr>
            <w:tcW w:w="993" w:type="dxa"/>
            <w:noWrap w:val="0"/>
            <w:vAlign w:val="center"/>
          </w:tcPr>
          <w:p w14:paraId="7D796222">
            <w:pPr>
              <w:jc w:val="center"/>
              <w:rPr>
                <w:rFonts w:hint="eastAsia" w:ascii="宋体" w:hAnsi="宋体" w:eastAsia="宋体" w:cs="宋体"/>
                <w:color w:val="auto"/>
                <w:sz w:val="24"/>
              </w:rPr>
            </w:pPr>
          </w:p>
        </w:tc>
        <w:tc>
          <w:tcPr>
            <w:tcW w:w="850" w:type="dxa"/>
            <w:noWrap w:val="0"/>
            <w:vAlign w:val="center"/>
          </w:tcPr>
          <w:p w14:paraId="59711FFB">
            <w:pPr>
              <w:jc w:val="center"/>
              <w:rPr>
                <w:rFonts w:hint="eastAsia" w:ascii="宋体" w:hAnsi="宋体" w:eastAsia="宋体" w:cs="宋体"/>
                <w:color w:val="auto"/>
                <w:sz w:val="24"/>
              </w:rPr>
            </w:pPr>
          </w:p>
        </w:tc>
        <w:tc>
          <w:tcPr>
            <w:tcW w:w="992" w:type="dxa"/>
            <w:noWrap w:val="0"/>
            <w:vAlign w:val="center"/>
          </w:tcPr>
          <w:p w14:paraId="6E44F7EE">
            <w:pPr>
              <w:jc w:val="center"/>
              <w:rPr>
                <w:rFonts w:hint="eastAsia" w:ascii="宋体" w:hAnsi="宋体" w:eastAsia="宋体" w:cs="宋体"/>
                <w:color w:val="auto"/>
                <w:sz w:val="24"/>
              </w:rPr>
            </w:pPr>
          </w:p>
        </w:tc>
        <w:tc>
          <w:tcPr>
            <w:tcW w:w="1134" w:type="dxa"/>
            <w:noWrap w:val="0"/>
            <w:vAlign w:val="center"/>
          </w:tcPr>
          <w:p w14:paraId="236A8353">
            <w:pPr>
              <w:jc w:val="center"/>
              <w:rPr>
                <w:rFonts w:hint="eastAsia" w:ascii="宋体" w:hAnsi="宋体" w:eastAsia="宋体" w:cs="宋体"/>
                <w:color w:val="auto"/>
                <w:sz w:val="24"/>
              </w:rPr>
            </w:pPr>
          </w:p>
        </w:tc>
        <w:tc>
          <w:tcPr>
            <w:tcW w:w="1449" w:type="dxa"/>
            <w:noWrap w:val="0"/>
            <w:vAlign w:val="center"/>
          </w:tcPr>
          <w:p w14:paraId="0C62DF2D">
            <w:pPr>
              <w:jc w:val="center"/>
              <w:rPr>
                <w:rFonts w:hint="eastAsia" w:ascii="宋体" w:hAnsi="宋体" w:eastAsia="宋体" w:cs="宋体"/>
                <w:color w:val="auto"/>
                <w:sz w:val="24"/>
              </w:rPr>
            </w:pPr>
          </w:p>
        </w:tc>
        <w:tc>
          <w:tcPr>
            <w:tcW w:w="1449" w:type="dxa"/>
            <w:noWrap w:val="0"/>
            <w:vAlign w:val="center"/>
          </w:tcPr>
          <w:p w14:paraId="3208B0CF">
            <w:pPr>
              <w:jc w:val="center"/>
              <w:rPr>
                <w:rFonts w:hint="eastAsia" w:ascii="宋体" w:hAnsi="宋体" w:eastAsia="宋体" w:cs="宋体"/>
                <w:color w:val="auto"/>
                <w:sz w:val="24"/>
              </w:rPr>
            </w:pPr>
          </w:p>
        </w:tc>
        <w:tc>
          <w:tcPr>
            <w:tcW w:w="1955" w:type="dxa"/>
            <w:noWrap w:val="0"/>
            <w:vAlign w:val="center"/>
          </w:tcPr>
          <w:p w14:paraId="75526DF8">
            <w:pPr>
              <w:jc w:val="center"/>
              <w:rPr>
                <w:rFonts w:hint="eastAsia" w:ascii="宋体" w:hAnsi="宋体" w:eastAsia="宋体" w:cs="宋体"/>
                <w:color w:val="auto"/>
                <w:sz w:val="24"/>
              </w:rPr>
            </w:pPr>
          </w:p>
        </w:tc>
      </w:tr>
      <w:tr w14:paraId="05F7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2F6A3683">
            <w:pPr>
              <w:jc w:val="center"/>
              <w:rPr>
                <w:rFonts w:hint="eastAsia" w:ascii="宋体" w:hAnsi="宋体" w:eastAsia="宋体" w:cs="宋体"/>
                <w:color w:val="auto"/>
                <w:sz w:val="24"/>
              </w:rPr>
            </w:pPr>
          </w:p>
        </w:tc>
        <w:tc>
          <w:tcPr>
            <w:tcW w:w="1083" w:type="dxa"/>
            <w:noWrap w:val="0"/>
            <w:vAlign w:val="center"/>
          </w:tcPr>
          <w:p w14:paraId="19749601">
            <w:pPr>
              <w:jc w:val="center"/>
              <w:rPr>
                <w:rFonts w:hint="eastAsia" w:ascii="宋体" w:hAnsi="宋体" w:eastAsia="宋体" w:cs="宋体"/>
                <w:color w:val="auto"/>
                <w:sz w:val="24"/>
              </w:rPr>
            </w:pPr>
          </w:p>
        </w:tc>
        <w:tc>
          <w:tcPr>
            <w:tcW w:w="993" w:type="dxa"/>
            <w:noWrap w:val="0"/>
            <w:vAlign w:val="center"/>
          </w:tcPr>
          <w:p w14:paraId="6EB4FA3A">
            <w:pPr>
              <w:jc w:val="center"/>
              <w:rPr>
                <w:rFonts w:hint="eastAsia" w:ascii="宋体" w:hAnsi="宋体" w:eastAsia="宋体" w:cs="宋体"/>
                <w:color w:val="auto"/>
                <w:sz w:val="24"/>
              </w:rPr>
            </w:pPr>
          </w:p>
        </w:tc>
        <w:tc>
          <w:tcPr>
            <w:tcW w:w="850" w:type="dxa"/>
            <w:noWrap w:val="0"/>
            <w:vAlign w:val="center"/>
          </w:tcPr>
          <w:p w14:paraId="10D8AF01">
            <w:pPr>
              <w:jc w:val="center"/>
              <w:rPr>
                <w:rFonts w:hint="eastAsia" w:ascii="宋体" w:hAnsi="宋体" w:eastAsia="宋体" w:cs="宋体"/>
                <w:color w:val="auto"/>
                <w:sz w:val="24"/>
              </w:rPr>
            </w:pPr>
          </w:p>
        </w:tc>
        <w:tc>
          <w:tcPr>
            <w:tcW w:w="992" w:type="dxa"/>
            <w:noWrap w:val="0"/>
            <w:vAlign w:val="center"/>
          </w:tcPr>
          <w:p w14:paraId="7831AFC1">
            <w:pPr>
              <w:jc w:val="center"/>
              <w:rPr>
                <w:rFonts w:hint="eastAsia" w:ascii="宋体" w:hAnsi="宋体" w:eastAsia="宋体" w:cs="宋体"/>
                <w:color w:val="auto"/>
                <w:sz w:val="24"/>
              </w:rPr>
            </w:pPr>
          </w:p>
        </w:tc>
        <w:tc>
          <w:tcPr>
            <w:tcW w:w="1134" w:type="dxa"/>
            <w:noWrap w:val="0"/>
            <w:vAlign w:val="center"/>
          </w:tcPr>
          <w:p w14:paraId="25C51DF2">
            <w:pPr>
              <w:jc w:val="center"/>
              <w:rPr>
                <w:rFonts w:hint="eastAsia" w:ascii="宋体" w:hAnsi="宋体" w:eastAsia="宋体" w:cs="宋体"/>
                <w:color w:val="auto"/>
                <w:sz w:val="24"/>
              </w:rPr>
            </w:pPr>
          </w:p>
        </w:tc>
        <w:tc>
          <w:tcPr>
            <w:tcW w:w="1449" w:type="dxa"/>
            <w:noWrap w:val="0"/>
            <w:vAlign w:val="center"/>
          </w:tcPr>
          <w:p w14:paraId="4F233161">
            <w:pPr>
              <w:jc w:val="center"/>
              <w:rPr>
                <w:rFonts w:hint="eastAsia" w:ascii="宋体" w:hAnsi="宋体" w:eastAsia="宋体" w:cs="宋体"/>
                <w:color w:val="auto"/>
                <w:sz w:val="24"/>
              </w:rPr>
            </w:pPr>
          </w:p>
        </w:tc>
        <w:tc>
          <w:tcPr>
            <w:tcW w:w="1449" w:type="dxa"/>
            <w:noWrap w:val="0"/>
            <w:vAlign w:val="center"/>
          </w:tcPr>
          <w:p w14:paraId="02EC8659">
            <w:pPr>
              <w:jc w:val="center"/>
              <w:rPr>
                <w:rFonts w:hint="eastAsia" w:ascii="宋体" w:hAnsi="宋体" w:eastAsia="宋体" w:cs="宋体"/>
                <w:color w:val="auto"/>
                <w:sz w:val="24"/>
              </w:rPr>
            </w:pPr>
          </w:p>
        </w:tc>
        <w:tc>
          <w:tcPr>
            <w:tcW w:w="1955" w:type="dxa"/>
            <w:noWrap w:val="0"/>
            <w:vAlign w:val="center"/>
          </w:tcPr>
          <w:p w14:paraId="6E4EA509">
            <w:pPr>
              <w:jc w:val="center"/>
              <w:rPr>
                <w:rFonts w:hint="eastAsia" w:ascii="宋体" w:hAnsi="宋体" w:eastAsia="宋体" w:cs="宋体"/>
                <w:color w:val="auto"/>
                <w:sz w:val="24"/>
              </w:rPr>
            </w:pPr>
          </w:p>
        </w:tc>
      </w:tr>
      <w:tr w14:paraId="1697A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294CB46F">
            <w:pPr>
              <w:jc w:val="center"/>
              <w:rPr>
                <w:rFonts w:hint="eastAsia" w:ascii="宋体" w:hAnsi="宋体" w:eastAsia="宋体" w:cs="宋体"/>
                <w:color w:val="auto"/>
                <w:sz w:val="24"/>
              </w:rPr>
            </w:pPr>
          </w:p>
        </w:tc>
        <w:tc>
          <w:tcPr>
            <w:tcW w:w="1083" w:type="dxa"/>
            <w:noWrap w:val="0"/>
            <w:vAlign w:val="center"/>
          </w:tcPr>
          <w:p w14:paraId="54464D6F">
            <w:pPr>
              <w:jc w:val="center"/>
              <w:rPr>
                <w:rFonts w:hint="eastAsia" w:ascii="宋体" w:hAnsi="宋体" w:eastAsia="宋体" w:cs="宋体"/>
                <w:color w:val="auto"/>
                <w:sz w:val="24"/>
              </w:rPr>
            </w:pPr>
          </w:p>
        </w:tc>
        <w:tc>
          <w:tcPr>
            <w:tcW w:w="993" w:type="dxa"/>
            <w:noWrap w:val="0"/>
            <w:vAlign w:val="center"/>
          </w:tcPr>
          <w:p w14:paraId="45BC1FFF">
            <w:pPr>
              <w:jc w:val="center"/>
              <w:rPr>
                <w:rFonts w:hint="eastAsia" w:ascii="宋体" w:hAnsi="宋体" w:eastAsia="宋体" w:cs="宋体"/>
                <w:color w:val="auto"/>
                <w:sz w:val="24"/>
              </w:rPr>
            </w:pPr>
          </w:p>
        </w:tc>
        <w:tc>
          <w:tcPr>
            <w:tcW w:w="850" w:type="dxa"/>
            <w:noWrap w:val="0"/>
            <w:vAlign w:val="center"/>
          </w:tcPr>
          <w:p w14:paraId="53658A7F">
            <w:pPr>
              <w:jc w:val="center"/>
              <w:rPr>
                <w:rFonts w:hint="eastAsia" w:ascii="宋体" w:hAnsi="宋体" w:eastAsia="宋体" w:cs="宋体"/>
                <w:color w:val="auto"/>
                <w:sz w:val="24"/>
              </w:rPr>
            </w:pPr>
          </w:p>
        </w:tc>
        <w:tc>
          <w:tcPr>
            <w:tcW w:w="992" w:type="dxa"/>
            <w:noWrap w:val="0"/>
            <w:vAlign w:val="center"/>
          </w:tcPr>
          <w:p w14:paraId="493297ED">
            <w:pPr>
              <w:jc w:val="center"/>
              <w:rPr>
                <w:rFonts w:hint="eastAsia" w:ascii="宋体" w:hAnsi="宋体" w:eastAsia="宋体" w:cs="宋体"/>
                <w:color w:val="auto"/>
                <w:sz w:val="24"/>
              </w:rPr>
            </w:pPr>
          </w:p>
        </w:tc>
        <w:tc>
          <w:tcPr>
            <w:tcW w:w="1134" w:type="dxa"/>
            <w:noWrap w:val="0"/>
            <w:vAlign w:val="center"/>
          </w:tcPr>
          <w:p w14:paraId="227BC17B">
            <w:pPr>
              <w:jc w:val="center"/>
              <w:rPr>
                <w:rFonts w:hint="eastAsia" w:ascii="宋体" w:hAnsi="宋体" w:eastAsia="宋体" w:cs="宋体"/>
                <w:color w:val="auto"/>
                <w:sz w:val="24"/>
              </w:rPr>
            </w:pPr>
          </w:p>
        </w:tc>
        <w:tc>
          <w:tcPr>
            <w:tcW w:w="1449" w:type="dxa"/>
            <w:noWrap w:val="0"/>
            <w:vAlign w:val="center"/>
          </w:tcPr>
          <w:p w14:paraId="52C45145">
            <w:pPr>
              <w:jc w:val="center"/>
              <w:rPr>
                <w:rFonts w:hint="eastAsia" w:ascii="宋体" w:hAnsi="宋体" w:eastAsia="宋体" w:cs="宋体"/>
                <w:color w:val="auto"/>
                <w:sz w:val="24"/>
              </w:rPr>
            </w:pPr>
          </w:p>
        </w:tc>
        <w:tc>
          <w:tcPr>
            <w:tcW w:w="1449" w:type="dxa"/>
            <w:noWrap w:val="0"/>
            <w:vAlign w:val="center"/>
          </w:tcPr>
          <w:p w14:paraId="17CE75E2">
            <w:pPr>
              <w:jc w:val="center"/>
              <w:rPr>
                <w:rFonts w:hint="eastAsia" w:ascii="宋体" w:hAnsi="宋体" w:eastAsia="宋体" w:cs="宋体"/>
                <w:color w:val="auto"/>
                <w:sz w:val="24"/>
              </w:rPr>
            </w:pPr>
          </w:p>
        </w:tc>
        <w:tc>
          <w:tcPr>
            <w:tcW w:w="1955" w:type="dxa"/>
            <w:noWrap w:val="0"/>
            <w:vAlign w:val="center"/>
          </w:tcPr>
          <w:p w14:paraId="08E55DC6">
            <w:pPr>
              <w:jc w:val="center"/>
              <w:rPr>
                <w:rFonts w:hint="eastAsia" w:ascii="宋体" w:hAnsi="宋体" w:eastAsia="宋体" w:cs="宋体"/>
                <w:color w:val="auto"/>
                <w:sz w:val="24"/>
              </w:rPr>
            </w:pPr>
          </w:p>
        </w:tc>
      </w:tr>
    </w:tbl>
    <w:p w14:paraId="71313CB1">
      <w:pPr>
        <w:keepNext w:val="0"/>
        <w:keepLines w:val="0"/>
        <w:pageBreakBefore w:val="0"/>
        <w:widowControl w:val="0"/>
        <w:kinsoku/>
        <w:wordWrap w:val="0"/>
        <w:overflowPunct w:val="0"/>
        <w:topLinePunct/>
        <w:autoSpaceDE/>
        <w:autoSpaceDN/>
        <w:bidi w:val="0"/>
        <w:adjustRightInd/>
        <w:snapToGrid/>
        <w:rPr>
          <w:rFonts w:hint="eastAsia" w:ascii="宋体" w:hAnsi="宋体" w:eastAsia="宋体" w:cs="宋体"/>
          <w:color w:val="auto"/>
          <w:lang w:val="zh-CN" w:eastAsia="zh-CN"/>
        </w:rPr>
      </w:pPr>
    </w:p>
    <w:p w14:paraId="6D3AE91C">
      <w:pPr>
        <w:pStyle w:val="28"/>
        <w:keepNext w:val="0"/>
        <w:keepLines w:val="0"/>
        <w:pageBreakBefore w:val="0"/>
        <w:widowControl w:val="0"/>
        <w:kinsoku/>
        <w:wordWrap w:val="0"/>
        <w:overflowPunct w:val="0"/>
        <w:topLinePunct/>
        <w:autoSpaceDE/>
        <w:autoSpaceDN/>
        <w:bidi w:val="0"/>
        <w:adjustRightInd/>
        <w:snapToGrid/>
        <w:rPr>
          <w:rFonts w:hint="eastAsia" w:ascii="宋体" w:hAnsi="宋体" w:eastAsia="宋体" w:cs="宋体"/>
          <w:color w:val="auto"/>
          <w:lang w:val="zh-CN" w:eastAsia="zh-CN"/>
        </w:rPr>
      </w:pPr>
    </w:p>
    <w:p w14:paraId="3E6FDB4B">
      <w:pPr>
        <w:pStyle w:val="28"/>
        <w:keepNext w:val="0"/>
        <w:keepLines w:val="0"/>
        <w:pageBreakBefore w:val="0"/>
        <w:widowControl w:val="0"/>
        <w:kinsoku/>
        <w:wordWrap w:val="0"/>
        <w:overflowPunct w:val="0"/>
        <w:topLinePunct/>
        <w:autoSpaceDE/>
        <w:autoSpaceDN/>
        <w:bidi w:val="0"/>
        <w:adjustRightInd/>
        <w:snapToGrid/>
        <w:rPr>
          <w:rFonts w:hint="eastAsia" w:ascii="宋体" w:hAnsi="宋体" w:eastAsia="宋体" w:cs="宋体"/>
          <w:color w:val="auto"/>
          <w:lang w:val="zh-CN" w:eastAsia="zh-CN"/>
        </w:rPr>
      </w:pPr>
    </w:p>
    <w:p w14:paraId="575ECAF0">
      <w:pPr>
        <w:keepNext w:val="0"/>
        <w:keepLines w:val="0"/>
        <w:pageBreakBefore w:val="0"/>
        <w:widowControl w:val="0"/>
        <w:kinsoku/>
        <w:wordWrap w:val="0"/>
        <w:overflowPunct w:val="0"/>
        <w:topLinePunct/>
        <w:autoSpaceDE/>
        <w:autoSpaceDN/>
        <w:bidi w:val="0"/>
        <w:adjustRightInd/>
        <w:snapToGrid/>
        <w:rPr>
          <w:rFonts w:hint="eastAsia" w:ascii="宋体" w:hAnsi="宋体" w:eastAsia="宋体" w:cs="宋体"/>
          <w:color w:val="auto"/>
          <w:lang w:val="zh-CN" w:eastAsia="zh-CN"/>
        </w:rPr>
      </w:pPr>
    </w:p>
    <w:p w14:paraId="3FD9944D">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p>
    <w:p w14:paraId="05DB7260">
      <w:pPr>
        <w:pStyle w:val="28"/>
        <w:rPr>
          <w:rFonts w:hint="eastAsia" w:ascii="宋体" w:hAnsi="宋体" w:eastAsia="宋体" w:cs="宋体"/>
          <w:color w:val="auto"/>
          <w:sz w:val="24"/>
          <w:szCs w:val="24"/>
          <w:lang w:eastAsia="zh-CN"/>
        </w:rPr>
      </w:pPr>
    </w:p>
    <w:p w14:paraId="5FB4591B">
      <w:pPr>
        <w:rPr>
          <w:rFonts w:hint="eastAsia" w:ascii="宋体" w:hAnsi="宋体" w:eastAsia="宋体" w:cs="宋体"/>
          <w:color w:val="auto"/>
          <w:sz w:val="24"/>
          <w:szCs w:val="24"/>
          <w:lang w:eastAsia="zh-CN"/>
        </w:rPr>
      </w:pPr>
    </w:p>
    <w:p w14:paraId="79CCD4DC">
      <w:pPr>
        <w:pStyle w:val="28"/>
        <w:rPr>
          <w:rFonts w:hint="eastAsia"/>
          <w:color w:val="auto"/>
          <w:lang w:eastAsia="zh-CN"/>
        </w:rPr>
      </w:pPr>
    </w:p>
    <w:p w14:paraId="6CC8308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19C7B135">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法定代表人（负责人）或授权委托人：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5BDB71B8">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rPr>
          <w:rFonts w:hint="eastAsia" w:ascii="宋体" w:hAnsi="宋体" w:eastAsia="宋体" w:cs="宋体"/>
          <w:b/>
          <w:bCs/>
          <w:color w:val="auto"/>
          <w:sz w:val="28"/>
          <w:szCs w:val="28"/>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5C5764D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left"/>
        <w:textAlignment w:val="auto"/>
        <w:outlineLvl w:val="9"/>
        <w:rPr>
          <w:rFonts w:hint="default"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附件2</w:t>
      </w:r>
    </w:p>
    <w:p w14:paraId="267E349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bCs/>
          <w:color w:val="auto"/>
          <w:sz w:val="30"/>
          <w:szCs w:val="30"/>
          <w:lang w:val="en-US" w:eastAsia="zh-CN"/>
        </w:rPr>
        <w:t>售后服务网点（若有）</w:t>
      </w:r>
    </w:p>
    <w:tbl>
      <w:tblPr>
        <w:tblStyle w:val="68"/>
        <w:tblW w:w="10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361"/>
        <w:gridCol w:w="1376"/>
        <w:gridCol w:w="1251"/>
        <w:gridCol w:w="1251"/>
        <w:gridCol w:w="1224"/>
        <w:gridCol w:w="1669"/>
        <w:gridCol w:w="1669"/>
      </w:tblGrid>
      <w:tr w14:paraId="39CD3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288AC7A4">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序号</w:t>
            </w:r>
          </w:p>
        </w:tc>
        <w:tc>
          <w:tcPr>
            <w:tcW w:w="1361" w:type="dxa"/>
            <w:noWrap w:val="0"/>
            <w:vAlign w:val="center"/>
          </w:tcPr>
          <w:p w14:paraId="29190B6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机构名称</w:t>
            </w:r>
          </w:p>
        </w:tc>
        <w:tc>
          <w:tcPr>
            <w:tcW w:w="1376" w:type="dxa"/>
            <w:noWrap w:val="0"/>
            <w:vAlign w:val="center"/>
          </w:tcPr>
          <w:p w14:paraId="3708486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机构地址</w:t>
            </w:r>
          </w:p>
        </w:tc>
        <w:tc>
          <w:tcPr>
            <w:tcW w:w="1251" w:type="dxa"/>
            <w:noWrap w:val="0"/>
            <w:vAlign w:val="center"/>
          </w:tcPr>
          <w:p w14:paraId="56213B0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固话号码</w:t>
            </w:r>
          </w:p>
        </w:tc>
        <w:tc>
          <w:tcPr>
            <w:tcW w:w="1251" w:type="dxa"/>
            <w:noWrap w:val="0"/>
            <w:vAlign w:val="center"/>
          </w:tcPr>
          <w:p w14:paraId="4582233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联系人</w:t>
            </w:r>
          </w:p>
        </w:tc>
        <w:tc>
          <w:tcPr>
            <w:tcW w:w="1224" w:type="dxa"/>
            <w:noWrap w:val="0"/>
            <w:vAlign w:val="center"/>
          </w:tcPr>
          <w:p w14:paraId="11998BE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联系电话</w:t>
            </w:r>
          </w:p>
        </w:tc>
        <w:tc>
          <w:tcPr>
            <w:tcW w:w="1669" w:type="dxa"/>
            <w:noWrap w:val="0"/>
            <w:vAlign w:val="center"/>
          </w:tcPr>
          <w:p w14:paraId="76B0D36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E-mail/QQ</w:t>
            </w:r>
          </w:p>
        </w:tc>
        <w:tc>
          <w:tcPr>
            <w:tcW w:w="1669" w:type="dxa"/>
            <w:noWrap w:val="0"/>
            <w:vAlign w:val="center"/>
          </w:tcPr>
          <w:p w14:paraId="3EB96C2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400/800全国免费电话</w:t>
            </w:r>
          </w:p>
        </w:tc>
      </w:tr>
      <w:tr w14:paraId="00FF1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63CE593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61" w:type="dxa"/>
            <w:noWrap w:val="0"/>
            <w:vAlign w:val="center"/>
          </w:tcPr>
          <w:p w14:paraId="0D7AB4B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76" w:type="dxa"/>
            <w:noWrap w:val="0"/>
            <w:vAlign w:val="center"/>
          </w:tcPr>
          <w:p w14:paraId="69ED769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22B9E5FA">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4C707CA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24" w:type="dxa"/>
            <w:noWrap w:val="0"/>
            <w:vAlign w:val="center"/>
          </w:tcPr>
          <w:p w14:paraId="13B713CC">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4019E96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2B956E45">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r>
      <w:tr w14:paraId="2BDFE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04FF6297">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61" w:type="dxa"/>
            <w:noWrap w:val="0"/>
            <w:vAlign w:val="center"/>
          </w:tcPr>
          <w:p w14:paraId="5A08C1F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76" w:type="dxa"/>
            <w:noWrap w:val="0"/>
            <w:vAlign w:val="center"/>
          </w:tcPr>
          <w:p w14:paraId="08F4BC2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513C06F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6EB3C084">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24" w:type="dxa"/>
            <w:noWrap w:val="0"/>
            <w:vAlign w:val="center"/>
          </w:tcPr>
          <w:p w14:paraId="738A03CC">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65668E15">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3CC6B2B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r>
      <w:tr w14:paraId="31626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4C33F8C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61" w:type="dxa"/>
            <w:noWrap w:val="0"/>
            <w:vAlign w:val="center"/>
          </w:tcPr>
          <w:p w14:paraId="6B0E33C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76" w:type="dxa"/>
            <w:noWrap w:val="0"/>
            <w:vAlign w:val="center"/>
          </w:tcPr>
          <w:p w14:paraId="12A760F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1438E80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251533A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24" w:type="dxa"/>
            <w:noWrap w:val="0"/>
            <w:vAlign w:val="center"/>
          </w:tcPr>
          <w:p w14:paraId="19E43735">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1E5A06F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080F23A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r>
      <w:tr w14:paraId="55EF2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2196911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61" w:type="dxa"/>
            <w:noWrap w:val="0"/>
            <w:vAlign w:val="center"/>
          </w:tcPr>
          <w:p w14:paraId="0A7A01F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76" w:type="dxa"/>
            <w:noWrap w:val="0"/>
            <w:vAlign w:val="center"/>
          </w:tcPr>
          <w:p w14:paraId="4199DBB5">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543EEDF4">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08C662E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24" w:type="dxa"/>
            <w:noWrap w:val="0"/>
            <w:vAlign w:val="center"/>
          </w:tcPr>
          <w:p w14:paraId="335E453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37B851D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73DB801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r>
      <w:tr w14:paraId="7BE6D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1443422B">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61" w:type="dxa"/>
            <w:noWrap w:val="0"/>
            <w:vAlign w:val="center"/>
          </w:tcPr>
          <w:p w14:paraId="38187DA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76" w:type="dxa"/>
            <w:noWrap w:val="0"/>
            <w:vAlign w:val="center"/>
          </w:tcPr>
          <w:p w14:paraId="1E376D2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769039C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60C69B24">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24" w:type="dxa"/>
            <w:noWrap w:val="0"/>
            <w:vAlign w:val="center"/>
          </w:tcPr>
          <w:p w14:paraId="582FD4D4">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57A262E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44E3BA5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r>
      <w:tr w14:paraId="64CDB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75A307BB">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61" w:type="dxa"/>
            <w:noWrap w:val="0"/>
            <w:vAlign w:val="center"/>
          </w:tcPr>
          <w:p w14:paraId="17330A6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76" w:type="dxa"/>
            <w:noWrap w:val="0"/>
            <w:vAlign w:val="center"/>
          </w:tcPr>
          <w:p w14:paraId="35C9A65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06718DC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4615C7F5">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24" w:type="dxa"/>
            <w:noWrap w:val="0"/>
            <w:vAlign w:val="center"/>
          </w:tcPr>
          <w:p w14:paraId="631936B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03EB413A">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2965B1AC">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r>
      <w:tr w14:paraId="5F799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041626E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61" w:type="dxa"/>
            <w:noWrap w:val="0"/>
            <w:vAlign w:val="center"/>
          </w:tcPr>
          <w:p w14:paraId="04A3680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376" w:type="dxa"/>
            <w:noWrap w:val="0"/>
            <w:vAlign w:val="center"/>
          </w:tcPr>
          <w:p w14:paraId="408D051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033A21F5">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51" w:type="dxa"/>
            <w:noWrap w:val="0"/>
            <w:vAlign w:val="center"/>
          </w:tcPr>
          <w:p w14:paraId="42AC30BC">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224" w:type="dxa"/>
            <w:noWrap w:val="0"/>
            <w:vAlign w:val="center"/>
          </w:tcPr>
          <w:p w14:paraId="552AB98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0F8DCA5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c>
          <w:tcPr>
            <w:tcW w:w="1669" w:type="dxa"/>
            <w:noWrap w:val="0"/>
            <w:vAlign w:val="center"/>
          </w:tcPr>
          <w:p w14:paraId="020CE60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宋体" w:hAnsi="宋体" w:eastAsia="宋体" w:cs="宋体"/>
                <w:b w:val="0"/>
                <w:bCs w:val="0"/>
                <w:color w:val="auto"/>
                <w:sz w:val="24"/>
                <w:szCs w:val="24"/>
                <w:vertAlign w:val="baseline"/>
                <w:lang w:val="en-US" w:eastAsia="zh-CN"/>
              </w:rPr>
            </w:pPr>
          </w:p>
        </w:tc>
      </w:tr>
    </w:tbl>
    <w:p w14:paraId="4AC6891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left"/>
        <w:textAlignment w:val="auto"/>
        <w:outlineLvl w:val="9"/>
        <w:rPr>
          <w:rFonts w:hint="eastAsia" w:ascii="宋体" w:hAnsi="宋体" w:eastAsia="宋体" w:cs="宋体"/>
          <w:color w:val="auto"/>
          <w:spacing w:val="-1"/>
          <w:sz w:val="24"/>
          <w:szCs w:val="24"/>
        </w:rPr>
      </w:pPr>
      <w:r>
        <w:rPr>
          <w:rFonts w:hint="eastAsia" w:ascii="宋体" w:hAnsi="宋体" w:eastAsia="宋体" w:cs="宋体"/>
          <w:b w:val="0"/>
          <w:bCs w:val="0"/>
          <w:color w:val="auto"/>
          <w:sz w:val="24"/>
          <w:szCs w:val="24"/>
          <w:lang w:val="en-US" w:eastAsia="zh-CN"/>
        </w:rPr>
        <w:t>注：若服务机构为合作伙伴的需提供相关证明资料（如机构营业执照等</w:t>
      </w:r>
      <w:r>
        <w:rPr>
          <w:rFonts w:hint="eastAsia" w:ascii="宋体" w:hAnsi="宋体" w:eastAsia="宋体" w:cs="宋体"/>
          <w:b w:val="0"/>
          <w:bCs w:val="0"/>
          <w:color w:val="auto"/>
          <w:sz w:val="24"/>
          <w:szCs w:val="24"/>
          <w:lang w:eastAsia="zh-CN"/>
        </w:rPr>
        <w:t>（扫描件加盖电子公章）</w:t>
      </w:r>
    </w:p>
    <w:p w14:paraId="21DD69B3">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14BF2512">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6876B43C">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2A6CD0E5">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762301C2">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0D1F5570">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10B4CE9A">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6E5CB3E1">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5E45F8D8">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060CFE61">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2D52FB29">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pacing w:val="-1"/>
          <w:sz w:val="24"/>
          <w:szCs w:val="24"/>
        </w:rPr>
      </w:pPr>
    </w:p>
    <w:p w14:paraId="726275FB">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z w:val="24"/>
          <w:szCs w:val="24"/>
          <w:u w:val="none"/>
          <w:lang w:val="en-US" w:eastAsia="zh-CN"/>
        </w:rPr>
      </w:pPr>
      <w:r>
        <w:rPr>
          <w:rFonts w:hint="eastAsia" w:cs="宋体"/>
          <w:color w:val="auto"/>
          <w:spacing w:val="-1"/>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rPr>
        <w:t>加盖电子公章</w:t>
      </w:r>
      <w:r>
        <w:rPr>
          <w:rFonts w:hint="eastAsia" w:ascii="宋体" w:hAnsi="宋体" w:eastAsia="宋体" w:cs="宋体"/>
          <w:color w:val="auto"/>
          <w:sz w:val="24"/>
          <w:szCs w:val="24"/>
          <w:u w:val="none"/>
          <w:lang w:val="en-US" w:eastAsia="zh-CN"/>
        </w:rPr>
        <w:t>）</w:t>
      </w:r>
    </w:p>
    <w:p w14:paraId="24B15A73">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宋体" w:hAnsi="宋体" w:eastAsia="宋体" w:cs="宋体"/>
          <w:color w:val="auto"/>
          <w:sz w:val="24"/>
          <w:szCs w:val="24"/>
          <w:u w:val="none"/>
          <w:lang w:val="en-US"/>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57F6C0C5">
      <w:pPr>
        <w:jc w:val="center"/>
        <w:rPr>
          <w:rFonts w:hint="eastAsia" w:ascii="宋体" w:hAnsi="宋体" w:eastAsia="宋体" w:cs="宋体"/>
          <w:color w:val="auto"/>
          <w:sz w:val="24"/>
          <w:szCs w:val="24"/>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color w:val="auto"/>
          <w:sz w:val="24"/>
          <w:szCs w:val="24"/>
        </w:rPr>
        <w:t>日</w:t>
      </w:r>
      <w:r>
        <w:rPr>
          <w:rFonts w:hint="eastAsia" w:ascii="宋体" w:hAnsi="宋体" w:eastAsia="宋体" w:cs="宋体"/>
          <w:color w:val="auto"/>
          <w:sz w:val="24"/>
          <w:szCs w:val="24"/>
        </w:rPr>
        <w:tab/>
      </w:r>
      <w:r>
        <w:rPr>
          <w:rFonts w:hint="eastAsia" w:ascii="宋体" w:hAnsi="宋体" w:eastAsia="宋体" w:cs="宋体"/>
          <w:color w:val="auto"/>
          <w:sz w:val="24"/>
          <w:szCs w:val="24"/>
        </w:rPr>
        <w:t>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3D8E6CDE">
      <w:pPr>
        <w:pStyle w:val="28"/>
        <w:keepNext w:val="0"/>
        <w:keepLines w:val="0"/>
        <w:pageBreakBefore w:val="0"/>
        <w:widowControl w:val="0"/>
        <w:kinsoku/>
        <w:wordWrap w:val="0"/>
        <w:overflowPunct w:val="0"/>
        <w:topLinePunct/>
        <w:autoSpaceDE/>
        <w:autoSpaceDN/>
        <w:bidi w:val="0"/>
        <w:adjustRightInd/>
        <w:snapToGrid/>
        <w:spacing w:line="360" w:lineRule="auto"/>
        <w:ind w:firstLine="0" w:firstLineChars="0"/>
        <w:jc w:val="center"/>
        <w:textAlignment w:val="auto"/>
        <w:outlineLvl w:val="2"/>
        <w:rPr>
          <w:rFonts w:hint="eastAsia" w:ascii="宋体" w:hAnsi="宋体" w:eastAsia="宋体" w:cs="宋体"/>
          <w:b/>
          <w:color w:val="auto"/>
          <w:szCs w:val="21"/>
        </w:rPr>
      </w:pPr>
      <w:r>
        <w:rPr>
          <w:rFonts w:hint="eastAsia" w:ascii="宋体" w:hAnsi="宋体" w:eastAsia="宋体" w:cs="宋体"/>
          <w:b/>
          <w:bCs/>
          <w:color w:val="auto"/>
          <w:sz w:val="32"/>
          <w:szCs w:val="32"/>
          <w:lang w:val="en-US" w:eastAsia="zh-CN"/>
        </w:rPr>
        <w:t>十</w:t>
      </w:r>
      <w:r>
        <w:rPr>
          <w:rFonts w:hint="eastAsia" w:cs="宋体"/>
          <w:b/>
          <w:bCs/>
          <w:color w:val="auto"/>
          <w:sz w:val="32"/>
          <w:szCs w:val="32"/>
          <w:lang w:val="en-US" w:eastAsia="zh-CN"/>
        </w:rPr>
        <w:t>一</w:t>
      </w:r>
      <w:r>
        <w:rPr>
          <w:rFonts w:hint="eastAsia" w:ascii="宋体" w:hAnsi="宋体" w:eastAsia="宋体" w:cs="宋体"/>
          <w:b/>
          <w:bCs/>
          <w:color w:val="auto"/>
          <w:sz w:val="32"/>
          <w:szCs w:val="32"/>
          <w:lang w:val="zh-CN" w:eastAsia="zh-CN"/>
        </w:rPr>
        <w:t>、</w:t>
      </w:r>
      <w:r>
        <w:rPr>
          <w:rFonts w:hint="eastAsia" w:cs="宋体"/>
          <w:b/>
          <w:bCs/>
          <w:color w:val="auto"/>
          <w:sz w:val="32"/>
          <w:szCs w:val="32"/>
          <w:lang w:eastAsia="zh-CN"/>
        </w:rPr>
        <w:t>供应商</w:t>
      </w:r>
      <w:r>
        <w:rPr>
          <w:rFonts w:hint="eastAsia" w:ascii="宋体" w:hAnsi="宋体" w:eastAsia="宋体" w:cs="宋体"/>
          <w:b/>
          <w:bCs/>
          <w:color w:val="auto"/>
          <w:sz w:val="32"/>
          <w:szCs w:val="32"/>
        </w:rPr>
        <w:t>主要业绩</w:t>
      </w:r>
    </w:p>
    <w:tbl>
      <w:tblPr>
        <w:tblStyle w:val="67"/>
        <w:tblW w:w="10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1105"/>
        <w:gridCol w:w="1840"/>
        <w:gridCol w:w="1366"/>
        <w:gridCol w:w="1294"/>
        <w:gridCol w:w="1255"/>
        <w:gridCol w:w="1036"/>
        <w:gridCol w:w="1104"/>
      </w:tblGrid>
      <w:tr w14:paraId="45235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27" w:type="dxa"/>
            <w:noWrap w:val="0"/>
            <w:vAlign w:val="center"/>
          </w:tcPr>
          <w:p w14:paraId="7F83B58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1105" w:type="dxa"/>
            <w:noWrap w:val="0"/>
            <w:vAlign w:val="center"/>
          </w:tcPr>
          <w:p w14:paraId="0DF31FB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采购人</w:t>
            </w:r>
          </w:p>
        </w:tc>
        <w:tc>
          <w:tcPr>
            <w:tcW w:w="1840" w:type="dxa"/>
            <w:noWrap w:val="0"/>
            <w:vAlign w:val="center"/>
          </w:tcPr>
          <w:p w14:paraId="59A83C3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采购人</w:t>
            </w:r>
            <w:r>
              <w:rPr>
                <w:rFonts w:hint="eastAsia" w:ascii="宋体" w:hAnsi="宋体" w:eastAsia="宋体" w:cs="宋体"/>
                <w:color w:val="auto"/>
                <w:sz w:val="24"/>
                <w:szCs w:val="24"/>
              </w:rPr>
              <w:t>联系人及联系电话</w:t>
            </w:r>
          </w:p>
        </w:tc>
        <w:tc>
          <w:tcPr>
            <w:tcW w:w="1366" w:type="dxa"/>
            <w:noWrap w:val="0"/>
            <w:vAlign w:val="center"/>
          </w:tcPr>
          <w:p w14:paraId="4D8E57E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服务</w:t>
            </w:r>
            <w:r>
              <w:rPr>
                <w:rFonts w:hint="eastAsia" w:ascii="宋体" w:hAnsi="宋体" w:eastAsia="宋体" w:cs="宋体"/>
                <w:color w:val="auto"/>
                <w:sz w:val="24"/>
                <w:szCs w:val="24"/>
                <w:lang w:eastAsia="zh-CN"/>
              </w:rPr>
              <w:t>期限</w:t>
            </w:r>
          </w:p>
        </w:tc>
        <w:tc>
          <w:tcPr>
            <w:tcW w:w="1294" w:type="dxa"/>
            <w:noWrap w:val="0"/>
            <w:vAlign w:val="center"/>
          </w:tcPr>
          <w:p w14:paraId="64AFEEA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项目地点</w:t>
            </w:r>
          </w:p>
        </w:tc>
        <w:tc>
          <w:tcPr>
            <w:tcW w:w="1255" w:type="dxa"/>
            <w:noWrap w:val="0"/>
            <w:vAlign w:val="center"/>
          </w:tcPr>
          <w:p w14:paraId="7D5C0C2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项目规模</w:t>
            </w:r>
          </w:p>
        </w:tc>
        <w:tc>
          <w:tcPr>
            <w:tcW w:w="1036" w:type="dxa"/>
            <w:noWrap w:val="0"/>
            <w:vAlign w:val="center"/>
          </w:tcPr>
          <w:p w14:paraId="72F3A10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pacing w:val="-16"/>
                <w:sz w:val="24"/>
                <w:szCs w:val="24"/>
              </w:rPr>
            </w:pPr>
            <w:r>
              <w:rPr>
                <w:rFonts w:hint="eastAsia" w:ascii="宋体" w:hAnsi="宋体" w:eastAsia="宋体" w:cs="宋体"/>
                <w:color w:val="auto"/>
                <w:spacing w:val="-16"/>
                <w:sz w:val="24"/>
                <w:szCs w:val="24"/>
              </w:rPr>
              <w:t>签约合同金额</w:t>
            </w:r>
          </w:p>
        </w:tc>
        <w:tc>
          <w:tcPr>
            <w:tcW w:w="1104" w:type="dxa"/>
            <w:noWrap w:val="0"/>
            <w:vAlign w:val="center"/>
          </w:tcPr>
          <w:p w14:paraId="012348C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pacing w:val="-16"/>
                <w:sz w:val="24"/>
                <w:szCs w:val="24"/>
              </w:rPr>
            </w:pPr>
            <w:r>
              <w:rPr>
                <w:rFonts w:hint="eastAsia" w:ascii="宋体" w:hAnsi="宋体" w:eastAsia="宋体" w:cs="宋体"/>
                <w:color w:val="auto"/>
                <w:spacing w:val="-16"/>
                <w:sz w:val="24"/>
                <w:szCs w:val="24"/>
              </w:rPr>
              <w:t>合同内容</w:t>
            </w:r>
          </w:p>
        </w:tc>
      </w:tr>
      <w:tr w14:paraId="79A2D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5C75EC0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5" w:type="dxa"/>
            <w:noWrap w:val="0"/>
            <w:vAlign w:val="center"/>
          </w:tcPr>
          <w:p w14:paraId="4D5A47EC">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840" w:type="dxa"/>
            <w:noWrap w:val="0"/>
            <w:vAlign w:val="center"/>
          </w:tcPr>
          <w:p w14:paraId="6021803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366" w:type="dxa"/>
            <w:noWrap w:val="0"/>
            <w:vAlign w:val="center"/>
          </w:tcPr>
          <w:p w14:paraId="1AC0063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94" w:type="dxa"/>
            <w:noWrap w:val="0"/>
            <w:vAlign w:val="center"/>
          </w:tcPr>
          <w:p w14:paraId="5B68511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55" w:type="dxa"/>
            <w:noWrap w:val="0"/>
            <w:vAlign w:val="center"/>
          </w:tcPr>
          <w:p w14:paraId="2402E3B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036" w:type="dxa"/>
            <w:noWrap w:val="0"/>
            <w:vAlign w:val="center"/>
          </w:tcPr>
          <w:p w14:paraId="25839AF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4" w:type="dxa"/>
            <w:noWrap w:val="0"/>
            <w:vAlign w:val="center"/>
          </w:tcPr>
          <w:p w14:paraId="5B7DC0A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r>
      <w:tr w14:paraId="03C2D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5FAF227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5" w:type="dxa"/>
            <w:noWrap w:val="0"/>
            <w:vAlign w:val="center"/>
          </w:tcPr>
          <w:p w14:paraId="590BC55A">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840" w:type="dxa"/>
            <w:noWrap w:val="0"/>
            <w:vAlign w:val="center"/>
          </w:tcPr>
          <w:p w14:paraId="7E2B379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366" w:type="dxa"/>
            <w:noWrap w:val="0"/>
            <w:vAlign w:val="center"/>
          </w:tcPr>
          <w:p w14:paraId="6725669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94" w:type="dxa"/>
            <w:noWrap w:val="0"/>
            <w:vAlign w:val="center"/>
          </w:tcPr>
          <w:p w14:paraId="328766F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55" w:type="dxa"/>
            <w:noWrap w:val="0"/>
            <w:vAlign w:val="center"/>
          </w:tcPr>
          <w:p w14:paraId="61AD12F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036" w:type="dxa"/>
            <w:noWrap w:val="0"/>
            <w:vAlign w:val="center"/>
          </w:tcPr>
          <w:p w14:paraId="1128791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4" w:type="dxa"/>
            <w:noWrap w:val="0"/>
            <w:vAlign w:val="center"/>
          </w:tcPr>
          <w:p w14:paraId="1DBE88D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r>
      <w:tr w14:paraId="6BB88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77A15CD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5" w:type="dxa"/>
            <w:noWrap w:val="0"/>
            <w:vAlign w:val="center"/>
          </w:tcPr>
          <w:p w14:paraId="55E2357A">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840" w:type="dxa"/>
            <w:noWrap w:val="0"/>
            <w:vAlign w:val="center"/>
          </w:tcPr>
          <w:p w14:paraId="7CE9FD8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366" w:type="dxa"/>
            <w:noWrap w:val="0"/>
            <w:vAlign w:val="center"/>
          </w:tcPr>
          <w:p w14:paraId="7597787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94" w:type="dxa"/>
            <w:noWrap w:val="0"/>
            <w:vAlign w:val="center"/>
          </w:tcPr>
          <w:p w14:paraId="69BBA9A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55" w:type="dxa"/>
            <w:noWrap w:val="0"/>
            <w:vAlign w:val="center"/>
          </w:tcPr>
          <w:p w14:paraId="7C3B2B6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036" w:type="dxa"/>
            <w:noWrap w:val="0"/>
            <w:vAlign w:val="center"/>
          </w:tcPr>
          <w:p w14:paraId="6B986FC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4" w:type="dxa"/>
            <w:noWrap w:val="0"/>
            <w:vAlign w:val="center"/>
          </w:tcPr>
          <w:p w14:paraId="13F0BC2A">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r>
      <w:tr w14:paraId="6489F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016440E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5" w:type="dxa"/>
            <w:noWrap w:val="0"/>
            <w:vAlign w:val="center"/>
          </w:tcPr>
          <w:p w14:paraId="596D3A9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840" w:type="dxa"/>
            <w:noWrap w:val="0"/>
            <w:vAlign w:val="center"/>
          </w:tcPr>
          <w:p w14:paraId="23D4FBD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366" w:type="dxa"/>
            <w:noWrap w:val="0"/>
            <w:vAlign w:val="center"/>
          </w:tcPr>
          <w:p w14:paraId="1362DA7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94" w:type="dxa"/>
            <w:noWrap w:val="0"/>
            <w:vAlign w:val="center"/>
          </w:tcPr>
          <w:p w14:paraId="5333932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55" w:type="dxa"/>
            <w:noWrap w:val="0"/>
            <w:vAlign w:val="center"/>
          </w:tcPr>
          <w:p w14:paraId="1016820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036" w:type="dxa"/>
            <w:noWrap w:val="0"/>
            <w:vAlign w:val="center"/>
          </w:tcPr>
          <w:p w14:paraId="6CB838A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4" w:type="dxa"/>
            <w:noWrap w:val="0"/>
            <w:vAlign w:val="center"/>
          </w:tcPr>
          <w:p w14:paraId="5AE5A1C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r>
      <w:tr w14:paraId="2DBF2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227" w:type="dxa"/>
            <w:noWrap w:val="0"/>
            <w:vAlign w:val="center"/>
          </w:tcPr>
          <w:p w14:paraId="4301DF4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5" w:type="dxa"/>
            <w:noWrap w:val="0"/>
            <w:vAlign w:val="center"/>
          </w:tcPr>
          <w:p w14:paraId="2A2075D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840" w:type="dxa"/>
            <w:noWrap w:val="0"/>
            <w:vAlign w:val="center"/>
          </w:tcPr>
          <w:p w14:paraId="2D01E7D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366" w:type="dxa"/>
            <w:noWrap w:val="0"/>
            <w:vAlign w:val="center"/>
          </w:tcPr>
          <w:p w14:paraId="1706F75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94" w:type="dxa"/>
            <w:noWrap w:val="0"/>
            <w:vAlign w:val="center"/>
          </w:tcPr>
          <w:p w14:paraId="41F556E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55" w:type="dxa"/>
            <w:noWrap w:val="0"/>
            <w:vAlign w:val="center"/>
          </w:tcPr>
          <w:p w14:paraId="2F46C17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036" w:type="dxa"/>
            <w:noWrap w:val="0"/>
            <w:vAlign w:val="center"/>
          </w:tcPr>
          <w:p w14:paraId="06E29AB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4" w:type="dxa"/>
            <w:noWrap w:val="0"/>
            <w:vAlign w:val="center"/>
          </w:tcPr>
          <w:p w14:paraId="03A4BF1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r>
      <w:tr w14:paraId="38C95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0227" w:type="dxa"/>
            <w:gridSpan w:val="8"/>
            <w:noWrap w:val="0"/>
            <w:vAlign w:val="center"/>
          </w:tcPr>
          <w:p w14:paraId="286AC1EE">
            <w:pPr>
              <w:keepNext w:val="0"/>
              <w:keepLines w:val="0"/>
              <w:pageBreakBefore w:val="0"/>
              <w:widowControl w:val="0"/>
              <w:kinsoku/>
              <w:wordWrap w:val="0"/>
              <w:overflowPunct w:val="0"/>
              <w:topLinePunct/>
              <w:autoSpaceDE/>
              <w:autoSpaceDN/>
              <w:bidi w:val="0"/>
              <w:adjustRightInd/>
              <w:snapToGrid/>
              <w:spacing w:line="360" w:lineRule="auto"/>
              <w:ind w:left="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说明：附（</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办法要求提供的）证明材料。</w:t>
            </w:r>
          </w:p>
        </w:tc>
      </w:tr>
    </w:tbl>
    <w:p w14:paraId="06DD2118">
      <w:pPr>
        <w:keepNext w:val="0"/>
        <w:keepLines w:val="0"/>
        <w:pageBreakBefore w:val="0"/>
        <w:widowControl w:val="0"/>
        <w:kinsoku/>
        <w:wordWrap w:val="0"/>
        <w:overflowPunct w:val="0"/>
        <w:topLinePunct/>
        <w:autoSpaceDE/>
        <w:autoSpaceDN/>
        <w:bidi w:val="0"/>
        <w:adjustRightInd/>
        <w:snapToGrid/>
        <w:rPr>
          <w:rFonts w:hint="eastAsia" w:ascii="宋体" w:hAnsi="宋体" w:eastAsia="宋体" w:cs="宋体"/>
          <w:color w:val="auto"/>
          <w:lang w:val="zh-CN"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5EC1A394">
      <w:pPr>
        <w:pStyle w:val="4"/>
        <w:bidi w:val="0"/>
        <w:jc w:val="center"/>
        <w:rPr>
          <w:rFonts w:hint="eastAsia"/>
          <w:color w:val="auto"/>
          <w:lang w:eastAsia="zh-CN"/>
        </w:rPr>
      </w:pPr>
      <w:r>
        <w:rPr>
          <w:rFonts w:hint="eastAsia"/>
          <w:color w:val="auto"/>
          <w:lang w:val="en-US" w:eastAsia="zh-CN"/>
        </w:rPr>
        <w:t>十二、</w:t>
      </w:r>
      <w:r>
        <w:rPr>
          <w:rFonts w:hint="eastAsia"/>
          <w:color w:val="auto"/>
          <w:lang w:eastAsia="zh-CN"/>
        </w:rPr>
        <w:t>供应商认为有必要提供的其他资料</w:t>
      </w:r>
    </w:p>
    <w:p w14:paraId="553D05AA">
      <w:pPr>
        <w:pStyle w:val="28"/>
        <w:keepNext w:val="0"/>
        <w:keepLines w:val="0"/>
        <w:pageBreakBefore w:val="0"/>
        <w:widowControl w:val="0"/>
        <w:kinsoku/>
        <w:wordWrap w:val="0"/>
        <w:overflowPunct w:val="0"/>
        <w:topLinePunct/>
        <w:autoSpaceDE/>
        <w:autoSpaceDN/>
        <w:bidi w:val="0"/>
        <w:adjustRightInd/>
        <w:snapToGrid/>
        <w:spacing w:before="159" w:line="360" w:lineRule="auto"/>
        <w:jc w:val="center"/>
        <w:outlineLvl w:val="0"/>
        <w:rPr>
          <w:rFonts w:hint="eastAsia" w:ascii="宋体" w:hAnsi="宋体" w:eastAsia="宋体" w:cs="宋体"/>
          <w:color w:val="auto"/>
          <w:sz w:val="24"/>
          <w:szCs w:val="24"/>
        </w:rPr>
      </w:pPr>
      <w:bookmarkStart w:id="1868" w:name="_Toc30463"/>
      <w:r>
        <w:rPr>
          <w:rFonts w:hint="eastAsia" w:ascii="宋体" w:hAnsi="宋体" w:eastAsia="宋体" w:cs="宋体"/>
          <w:color w:val="auto"/>
          <w:sz w:val="24"/>
          <w:szCs w:val="24"/>
          <w:lang w:eastAsia="zh-CN"/>
        </w:rPr>
        <w:t>招标文件要求</w:t>
      </w:r>
      <w:r>
        <w:rPr>
          <w:rFonts w:hint="eastAsia" w:cs="宋体"/>
          <w:color w:val="auto"/>
          <w:sz w:val="24"/>
          <w:szCs w:val="24"/>
          <w:lang w:eastAsia="zh-CN"/>
        </w:rPr>
        <w:t>供应商</w:t>
      </w:r>
      <w:r>
        <w:rPr>
          <w:rFonts w:hint="eastAsia" w:ascii="宋体" w:hAnsi="宋体" w:eastAsia="宋体" w:cs="宋体"/>
          <w:color w:val="auto"/>
          <w:sz w:val="24"/>
          <w:szCs w:val="24"/>
          <w:lang w:eastAsia="zh-CN"/>
        </w:rPr>
        <w:t>提交的其他资料或</w:t>
      </w:r>
      <w:r>
        <w:rPr>
          <w:rFonts w:hint="eastAsia" w:cs="宋体"/>
          <w:color w:val="auto"/>
          <w:sz w:val="24"/>
          <w:szCs w:val="24"/>
          <w:lang w:eastAsia="zh-CN"/>
        </w:rPr>
        <w:t>供应商</w:t>
      </w:r>
      <w:r>
        <w:rPr>
          <w:rFonts w:hint="eastAsia" w:ascii="宋体" w:hAnsi="宋体" w:eastAsia="宋体" w:cs="宋体"/>
          <w:color w:val="auto"/>
          <w:sz w:val="24"/>
          <w:szCs w:val="24"/>
          <w:lang w:eastAsia="zh-CN"/>
        </w:rPr>
        <w:t>认为应提交的其他资料（</w:t>
      </w:r>
      <w:r>
        <w:rPr>
          <w:rFonts w:hint="eastAsia" w:ascii="宋体" w:hAnsi="宋体" w:eastAsia="宋体" w:cs="宋体"/>
          <w:color w:val="auto"/>
          <w:sz w:val="24"/>
          <w:szCs w:val="24"/>
          <w:lang w:val="en-US" w:eastAsia="zh-CN"/>
        </w:rPr>
        <w:t>若有</w:t>
      </w:r>
      <w:r>
        <w:rPr>
          <w:rFonts w:hint="eastAsia" w:ascii="宋体" w:hAnsi="宋体" w:eastAsia="宋体" w:cs="宋体"/>
          <w:color w:val="auto"/>
          <w:sz w:val="24"/>
          <w:szCs w:val="24"/>
          <w:lang w:eastAsia="zh-CN"/>
        </w:rPr>
        <w:t>）</w:t>
      </w:r>
      <w:bookmarkEnd w:id="1868"/>
    </w:p>
    <w:p w14:paraId="6ED583D1">
      <w:pPr>
        <w:pStyle w:val="66"/>
        <w:spacing w:line="360" w:lineRule="auto"/>
        <w:ind w:left="0" w:leftChars="0" w:firstLine="0" w:firstLineChars="0"/>
        <w:jc w:val="center"/>
        <w:outlineLvl w:val="0"/>
        <w:rPr>
          <w:rFonts w:hint="eastAsia" w:ascii="宋体" w:hAnsi="宋体" w:eastAsia="宋体" w:cs="宋体"/>
          <w:color w:val="auto"/>
          <w:sz w:val="24"/>
          <w:szCs w:val="24"/>
        </w:rPr>
      </w:pPr>
      <w:bookmarkStart w:id="1869" w:name="_Toc878"/>
      <w:r>
        <w:rPr>
          <w:rFonts w:hint="eastAsia" w:ascii="宋体" w:hAnsi="宋体" w:eastAsia="宋体" w:cs="宋体"/>
          <w:color w:val="auto"/>
          <w:sz w:val="24"/>
          <w:szCs w:val="24"/>
          <w:lang w:eastAsia="zh-CN"/>
        </w:rPr>
        <w:t>（格式自拟）</w:t>
      </w:r>
      <w:bookmarkEnd w:id="1869"/>
    </w:p>
    <w:p w14:paraId="6DF7DFC0">
      <w:pPr>
        <w:jc w:val="center"/>
        <w:rPr>
          <w:rFonts w:hint="eastAsia" w:ascii="宋体" w:hAnsi="宋体" w:eastAsia="宋体" w:cs="宋体"/>
          <w:color w:val="auto"/>
          <w:lang w:val="en-US" w:eastAsia="zh-CN"/>
        </w:rPr>
      </w:pPr>
    </w:p>
    <w:p w14:paraId="275EB9A4">
      <w:pPr>
        <w:pStyle w:val="28"/>
        <w:keepNext w:val="0"/>
        <w:keepLines w:val="0"/>
        <w:pageBreakBefore w:val="0"/>
        <w:widowControl w:val="0"/>
        <w:kinsoku/>
        <w:wordWrap w:val="0"/>
        <w:overflowPunct/>
        <w:topLinePunct/>
        <w:autoSpaceDE/>
        <w:autoSpaceDN/>
        <w:bidi w:val="0"/>
        <w:adjustRightInd/>
        <w:snapToGrid/>
        <w:ind w:left="0" w:leftChars="0" w:right="0"/>
        <w:jc w:val="center"/>
        <w:outlineLvl w:val="0"/>
        <w:rPr>
          <w:rFonts w:hint="eastAsia" w:ascii="宋体" w:hAnsi="宋体" w:eastAsia="宋体" w:cs="宋体"/>
          <w:color w:val="auto"/>
          <w:lang w:val="en-US" w:eastAsia="zh-CN"/>
        </w:rPr>
      </w:pPr>
    </w:p>
    <w:sectPr>
      <w:pgSz w:w="11906" w:h="16838"/>
      <w:pgMar w:top="1440" w:right="1080" w:bottom="1440" w:left="1080" w:header="709" w:footer="596" w:gutter="0"/>
      <w:pgBorders>
        <w:top w:val="none" w:sz="0" w:space="0"/>
        <w:left w:val="none" w:sz="0" w:space="0"/>
        <w:bottom w:val="none" w:sz="0" w:space="0"/>
        <w:right w:val="none" w:sz="0" w:space="0"/>
      </w:pgBorders>
      <w:pgNumType w:fmt="decimal"/>
      <w:cols w:space="720" w:num="1"/>
      <w:titlePg/>
      <w:rtlGutter w:val="0"/>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832FF52-36E9-4983-87D7-D906EAE0D98D}"/>
  </w:font>
  <w:font w:name="Arial">
    <w:panose1 w:val="020B0604020202020204"/>
    <w:charset w:val="01"/>
    <w:family w:val="swiss"/>
    <w:pitch w:val="default"/>
    <w:sig w:usb0="E0002EFF" w:usb1="C000785B" w:usb2="00000009" w:usb3="00000000" w:csb0="400001FF" w:csb1="FFFF0000"/>
    <w:embedRegular r:id="rId2" w:fontKey="{C5F22BD0-2504-4354-9852-60AFE7A573F6}"/>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embedRegular r:id="rId3" w:fontKey="{93269A0D-5235-4E00-91A6-C5D83F6CB292}"/>
  </w:font>
  <w:font w:name="Helvetica">
    <w:panose1 w:val="020B0504020202030204"/>
    <w:charset w:val="00"/>
    <w:family w:val="swiss"/>
    <w:pitch w:val="default"/>
    <w:sig w:usb0="00000007" w:usb1="00000000" w:usb2="00000000" w:usb3="00000000" w:csb0="00000093"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4" w:fontKey="{AD9F41D5-F765-44E6-81C9-909023AB358C}"/>
  </w:font>
  <w:font w:name="幼圆">
    <w:altName w:val="宋体"/>
    <w:panose1 w:val="02010509060101010101"/>
    <w:charset w:val="86"/>
    <w:family w:val="modern"/>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华文楷体">
    <w:altName w:val="宋体"/>
    <w:panose1 w:val="02010600040101010101"/>
    <w:charset w:val="86"/>
    <w:family w:val="auto"/>
    <w:pitch w:val="default"/>
    <w:sig w:usb0="00000000" w:usb1="00000000" w:usb2="00000000" w:usb3="00000000" w:csb0="0004009F" w:csb1="DFD70000"/>
  </w:font>
  <w:font w:name="Arail">
    <w:altName w:val="宋体"/>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楷体_GB2312">
    <w:panose1 w:val="02010609030101010101"/>
    <w:charset w:val="86"/>
    <w:family w:val="modern"/>
    <w:pitch w:val="default"/>
    <w:sig w:usb0="00000001" w:usb1="080E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Times New Roman Bold">
    <w:altName w:val="Times New Roman"/>
    <w:panose1 w:val="02020803070505020304"/>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0" w:usb3="00000000" w:csb0="000001FF" w:csb1="00000000"/>
  </w:font>
  <w:font w:name="隶书">
    <w:panose1 w:val="0201050906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等线">
    <w:panose1 w:val="02010600030101010101"/>
    <w:charset w:val="86"/>
    <w:family w:val="auto"/>
    <w:pitch w:val="default"/>
    <w:sig w:usb0="A00002BF" w:usb1="38CF7CFA" w:usb2="00000016" w:usb3="00000000" w:csb0="0004000F" w:csb1="00000000"/>
    <w:embedRegular r:id="rId5" w:fontKey="{4DA2AF4F-50EC-4283-B366-D502761C9BF2}"/>
  </w:font>
  <w:font w:name="Mincho">
    <w:altName w:val="Yu Gothic UI"/>
    <w:panose1 w:val="02020609040305080305"/>
    <w:charset w:val="80"/>
    <w:family w:val="roman"/>
    <w:pitch w:val="default"/>
    <w:sig w:usb0="00000000" w:usb1="00000000" w:usb2="00000010" w:usb3="00000000" w:csb0="00020000" w:csb1="00000000"/>
  </w:font>
  <w:font w:name="Yu Gothic UI">
    <w:panose1 w:val="020B0500000000000000"/>
    <w:charset w:val="80"/>
    <w:family w:val="auto"/>
    <w:pitch w:val="default"/>
    <w:sig w:usb0="E00002FF" w:usb1="2AC7FDFF" w:usb2="00000016" w:usb3="00000000" w:csb0="2002009F" w:csb1="00000000"/>
  </w:font>
  <w:font w:name="CG Times">
    <w:panose1 w:val="02020603050405020304"/>
    <w:charset w:val="00"/>
    <w:family w:val="roman"/>
    <w:pitch w:val="default"/>
    <w:sig w:usb0="00000007" w:usb1="00000000" w:usb2="00000000" w:usb3="00000000" w:csb0="00000093" w:csb1="00000000"/>
  </w:font>
  <w:font w:name="Arial Bold">
    <w:altName w:val="Arial"/>
    <w:panose1 w:val="020B0704020202020204"/>
    <w:charset w:val="00"/>
    <w:family w:val="roman"/>
    <w:pitch w:val="default"/>
    <w:sig w:usb0="00000000" w:usb1="00000000" w:usb2="00000000" w:usb3="00000000" w:csb0="00040001" w:csb1="00000000"/>
  </w:font>
  <w:font w:name="PMingLiU">
    <w:altName w:val="Microsoft JhengHei"/>
    <w:panose1 w:val="02010601000101010101"/>
    <w:charset w:val="88"/>
    <w:family w:val="roman"/>
    <w:pitch w:val="default"/>
    <w:sig w:usb0="00000000" w:usb1="00000000" w:usb2="00000016" w:usb3="00000000" w:csb0="00100001" w:csb1="00000000"/>
  </w:font>
  <w:font w:name="Tms Rmn">
    <w:altName w:val="Times New Roman"/>
    <w:panose1 w:val="02020603040505020304"/>
    <w:charset w:val="00"/>
    <w:family w:val="roman"/>
    <w:pitch w:val="default"/>
    <w:sig w:usb0="00000000" w:usb1="00000000" w:usb2="00000000" w:usb3="00000000" w:csb0="00000001" w:csb1="00000000"/>
  </w:font>
  <w:font w:name="TimesNewRoman">
    <w:altName w:val="Times New Roman"/>
    <w:panose1 w:val="00000000000000000000"/>
    <w:charset w:val="00"/>
    <w:family w:val="roman"/>
    <w:pitch w:val="default"/>
    <w:sig w:usb0="00000000" w:usb1="00000000" w:usb2="00000010" w:usb3="00000000" w:csb0="00040001" w:csb1="00000000"/>
  </w:font>
  <w:font w:name="MS PGothic">
    <w:panose1 w:val="020B0600070205080204"/>
    <w:charset w:val="80"/>
    <w:family w:val="swiss"/>
    <w:pitch w:val="default"/>
    <w:sig w:usb0="E00002FF" w:usb1="6AC7FDFB" w:usb2="08000012" w:usb3="00000000" w:csb0="4002009F" w:csb1="DFD70000"/>
  </w:font>
  <w:font w:name="仿宋">
    <w:panose1 w:val="02010609060101010101"/>
    <w:charset w:val="86"/>
    <w:family w:val="auto"/>
    <w:pitch w:val="default"/>
    <w:sig w:usb0="800002BF" w:usb1="38CF7CFA" w:usb2="00000016" w:usb3="00000000" w:csb0="00040001" w:csb1="00000000"/>
    <w:embedRegular r:id="rId6" w:fontKey="{842ED0BD-9F30-45C7-9687-BCBCF9AE855F}"/>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1873D">
    <w:pPr>
      <w:pStyle w:val="4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C2C72C">
                          <w:pPr>
                            <w:pStyle w:val="4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CC2C72C">
                    <w:pPr>
                      <w:pStyle w:val="4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A2C8F">
    <w:pPr>
      <w:pStyle w:val="4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F0B2CA">
                          <w:pPr>
                            <w:pStyle w:val="4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7F0B2CA">
                    <w:pPr>
                      <w:pStyle w:val="4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B315C">
    <w:pPr>
      <w:pStyle w:val="4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36866F">
                          <w:pPr>
                            <w:pStyle w:val="44"/>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p3kmnLAQAAnAMAAA4AAAAAAAAAAQAgAAAAHgEAAGRycy9lMm9E&#10;b2MueG1sUEsFBgAAAAAGAAYAWQEAAFsFAAAAAA==&#10;">
              <v:fill on="f" focussize="0,0"/>
              <v:stroke on="f"/>
              <v:imagedata o:title=""/>
              <o:lock v:ext="edit" aspectratio="f"/>
              <v:textbox inset="0mm,0mm,0mm,0mm" style="mso-fit-shape-to-text:t;">
                <w:txbxContent>
                  <w:p w14:paraId="6E36866F">
                    <w:pPr>
                      <w:pStyle w:val="4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9563D">
    <w:pPr>
      <w:pStyle w:val="4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9B4CDD">
                          <w:pPr>
                            <w:pStyle w:val="44"/>
                          </w:pPr>
                          <w:r>
                            <w:fldChar w:fldCharType="begin"/>
                          </w:r>
                          <w:r>
                            <w:instrText xml:space="preserve"> PAGE  \* MERGEFORMAT </w:instrText>
                          </w:r>
                          <w:r>
                            <w:fldChar w:fldCharType="separate"/>
                          </w:r>
                          <w:r>
                            <w:t>6</w:t>
                          </w:r>
                          <w:r>
                            <w:fldChar w:fldCharType="end"/>
                          </w:r>
                        </w:p>
                      </w:txbxContent>
                    </wps:txbx>
                    <wps:bodyPr wrap="none" lIns="0" tIns="0" rIns="0" bIns="0" upright="0">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k78s8oBAACcAwAADgAAAGRycy9lMm9Eb2MueG1srVPNjtMwEL4j8Q6W&#10;79RpQ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qLEcYsDv3z/dvnx6/LzK1lW&#10;L1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uk78s8oBAACcAwAADgAAAAAAAAABACAAAAAeAQAAZHJzL2Uyb0Rv&#10;Yy54bWxQSwUGAAAAAAYABgBZAQAAWgUAAAAA&#10;">
              <v:fill on="f" focussize="0,0"/>
              <v:stroke on="f"/>
              <v:imagedata o:title=""/>
              <o:lock v:ext="edit" aspectratio="f"/>
              <v:textbox inset="0mm,0mm,0mm,0mm" style="mso-fit-shape-to-text:t;">
                <w:txbxContent>
                  <w:p w14:paraId="7E9B4CDD">
                    <w:pPr>
                      <w:pStyle w:val="44"/>
                    </w:pPr>
                    <w:r>
                      <w:fldChar w:fldCharType="begin"/>
                    </w:r>
                    <w:r>
                      <w:instrText xml:space="preserve"> PAGE  \* MERGEFORMAT </w:instrText>
                    </w:r>
                    <w:r>
                      <w:fldChar w:fldCharType="separate"/>
                    </w:r>
                    <w:r>
                      <w:t>6</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2"/>
      <w:numFmt w:val="decimal"/>
      <w:lvlText w:val="%1、"/>
      <w:lvlJc w:val="left"/>
      <w:pPr>
        <w:tabs>
          <w:tab w:val="left" w:pos="360"/>
        </w:tabs>
        <w:ind w:left="360" w:hanging="360"/>
      </w:pPr>
      <w:rPr>
        <w:rFonts w:hint="default" w:ascii="Times New Roman" w:hAnsi="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pStyle w:val="8"/>
      <w:lvlText w:val="%7."/>
      <w:lvlJc w:val="left"/>
      <w:pPr>
        <w:tabs>
          <w:tab w:val="left" w:pos="2940"/>
        </w:tabs>
        <w:ind w:left="2940" w:hanging="420"/>
      </w:pPr>
    </w:lvl>
    <w:lvl w:ilvl="7" w:tentative="0">
      <w:start w:val="1"/>
      <w:numFmt w:val="lowerLetter"/>
      <w:pStyle w:val="9"/>
      <w:lvlText w:val="%8)"/>
      <w:lvlJc w:val="left"/>
      <w:pPr>
        <w:tabs>
          <w:tab w:val="left" w:pos="3360"/>
        </w:tabs>
        <w:ind w:left="3360" w:hanging="420"/>
      </w:pPr>
    </w:lvl>
    <w:lvl w:ilvl="8" w:tentative="0">
      <w:start w:val="1"/>
      <w:numFmt w:val="lowerRoman"/>
      <w:pStyle w:val="10"/>
      <w:lvlText w:val="%9."/>
      <w:lvlJc w:val="right"/>
      <w:pPr>
        <w:tabs>
          <w:tab w:val="left" w:pos="3780"/>
        </w:tabs>
        <w:ind w:left="3780" w:hanging="420"/>
      </w:pPr>
    </w:lvl>
  </w:abstractNum>
  <w:abstractNum w:abstractNumId="1">
    <w:nsid w:val="00000003"/>
    <w:multiLevelType w:val="multilevel"/>
    <w:tmpl w:val="00000003"/>
    <w:lvl w:ilvl="0" w:tentative="0">
      <w:start w:val="1"/>
      <w:numFmt w:val="decimal"/>
      <w:pStyle w:val="37"/>
      <w:lvlText w:val="%1)"/>
      <w:lvlJc w:val="left"/>
      <w:pPr>
        <w:tabs>
          <w:tab w:val="left" w:pos="900"/>
        </w:tabs>
        <w:ind w:left="900" w:hanging="420"/>
      </w:pPr>
      <w:rPr>
        <w:rFonts w:ascii="宋体" w:hAnsi="宋体" w:eastAsia="宋体"/>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
    <w:nsid w:val="00000004"/>
    <w:multiLevelType w:val="multilevel"/>
    <w:tmpl w:val="00000004"/>
    <w:lvl w:ilvl="0" w:tentative="0">
      <w:start w:val="1"/>
      <w:numFmt w:val="decimal"/>
      <w:pStyle w:val="553"/>
      <w:lvlText w:val="%1)"/>
      <w:lvlJc w:val="left"/>
      <w:pPr>
        <w:tabs>
          <w:tab w:val="left" w:pos="900"/>
        </w:tabs>
        <w:ind w:left="900" w:hanging="420"/>
      </w:pPr>
      <w:rPr>
        <w:rFonts w:ascii="宋体" w:hAnsi="宋体" w:eastAsia="宋体"/>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
    <w:nsid w:val="00000005"/>
    <w:multiLevelType w:val="multilevel"/>
    <w:tmpl w:val="00000005"/>
    <w:lvl w:ilvl="0" w:tentative="0">
      <w:start w:val="1"/>
      <w:numFmt w:val="decimal"/>
      <w:pStyle w:val="543"/>
      <w:lvlText w:val="%1)"/>
      <w:lvlJc w:val="left"/>
      <w:pPr>
        <w:tabs>
          <w:tab w:val="left" w:pos="420"/>
        </w:tabs>
        <w:ind w:left="420" w:hanging="420"/>
      </w:pPr>
      <w:rPr>
        <w:rFonts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7"/>
    <w:multiLevelType w:val="multilevel"/>
    <w:tmpl w:val="00000007"/>
    <w:lvl w:ilvl="0" w:tentative="0">
      <w:start w:val="1"/>
      <w:numFmt w:val="decimal"/>
      <w:pStyle w:val="315"/>
      <w:lvlText w:val="%1)"/>
      <w:lvlJc w:val="left"/>
      <w:pPr>
        <w:tabs>
          <w:tab w:val="left" w:pos="420"/>
        </w:tabs>
        <w:ind w:left="420" w:hanging="420"/>
      </w:pPr>
      <w:rPr>
        <w:rFonts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09"/>
    <w:multiLevelType w:val="multilevel"/>
    <w:tmpl w:val="00000009"/>
    <w:lvl w:ilvl="0" w:tentative="0">
      <w:start w:val="1"/>
      <w:numFmt w:val="decimal"/>
      <w:lvlText w:val="%1)"/>
      <w:lvlJc w:val="left"/>
      <w:pPr>
        <w:tabs>
          <w:tab w:val="left" w:pos="1280"/>
        </w:tabs>
        <w:ind w:left="1280" w:hanging="420"/>
      </w:pPr>
      <w:rPr>
        <w:rFonts w:ascii="宋体" w:hAnsi="宋体" w:eastAsia="宋体"/>
      </w:rPr>
    </w:lvl>
    <w:lvl w:ilvl="1" w:tentative="0">
      <w:start w:val="1"/>
      <w:numFmt w:val="lowerLetter"/>
      <w:pStyle w:val="552"/>
      <w:lvlText w:val="%2)"/>
      <w:lvlJc w:val="left"/>
      <w:pPr>
        <w:tabs>
          <w:tab w:val="left" w:pos="1700"/>
        </w:tabs>
        <w:ind w:left="1700" w:hanging="420"/>
      </w:pPr>
    </w:lvl>
    <w:lvl w:ilvl="2" w:tentative="0">
      <w:start w:val="1"/>
      <w:numFmt w:val="lowerRoman"/>
      <w:lvlText w:val="%3."/>
      <w:lvlJc w:val="right"/>
      <w:pPr>
        <w:tabs>
          <w:tab w:val="left" w:pos="2120"/>
        </w:tabs>
        <w:ind w:left="2120" w:hanging="420"/>
      </w:pPr>
    </w:lvl>
    <w:lvl w:ilvl="3" w:tentative="0">
      <w:start w:val="1"/>
      <w:numFmt w:val="decimal"/>
      <w:lvlText w:val="%4."/>
      <w:lvlJc w:val="left"/>
      <w:pPr>
        <w:tabs>
          <w:tab w:val="left" w:pos="2540"/>
        </w:tabs>
        <w:ind w:left="2540" w:hanging="420"/>
      </w:pPr>
    </w:lvl>
    <w:lvl w:ilvl="4" w:tentative="0">
      <w:start w:val="1"/>
      <w:numFmt w:val="lowerLetter"/>
      <w:lvlText w:val="%5)"/>
      <w:lvlJc w:val="left"/>
      <w:pPr>
        <w:tabs>
          <w:tab w:val="left" w:pos="2960"/>
        </w:tabs>
        <w:ind w:left="2960" w:hanging="420"/>
      </w:pPr>
    </w:lvl>
    <w:lvl w:ilvl="5" w:tentative="0">
      <w:start w:val="1"/>
      <w:numFmt w:val="lowerRoman"/>
      <w:lvlText w:val="%6."/>
      <w:lvlJc w:val="right"/>
      <w:pPr>
        <w:tabs>
          <w:tab w:val="left" w:pos="3380"/>
        </w:tabs>
        <w:ind w:left="3380" w:hanging="420"/>
      </w:pPr>
    </w:lvl>
    <w:lvl w:ilvl="6" w:tentative="0">
      <w:start w:val="1"/>
      <w:numFmt w:val="decimal"/>
      <w:lvlText w:val="%7."/>
      <w:lvlJc w:val="left"/>
      <w:pPr>
        <w:tabs>
          <w:tab w:val="left" w:pos="3800"/>
        </w:tabs>
        <w:ind w:left="3800" w:hanging="420"/>
      </w:pPr>
    </w:lvl>
    <w:lvl w:ilvl="7" w:tentative="0">
      <w:start w:val="1"/>
      <w:numFmt w:val="lowerLetter"/>
      <w:lvlText w:val="%8)"/>
      <w:lvlJc w:val="left"/>
      <w:pPr>
        <w:tabs>
          <w:tab w:val="left" w:pos="4220"/>
        </w:tabs>
        <w:ind w:left="4220" w:hanging="420"/>
      </w:pPr>
    </w:lvl>
    <w:lvl w:ilvl="8" w:tentative="0">
      <w:start w:val="1"/>
      <w:numFmt w:val="lowerRoman"/>
      <w:lvlText w:val="%9."/>
      <w:lvlJc w:val="right"/>
      <w:pPr>
        <w:tabs>
          <w:tab w:val="left" w:pos="4640"/>
        </w:tabs>
        <w:ind w:left="4640" w:hanging="420"/>
      </w:pPr>
    </w:lvl>
  </w:abstractNum>
  <w:abstractNum w:abstractNumId="6">
    <w:nsid w:val="0000000B"/>
    <w:multiLevelType w:val="multilevel"/>
    <w:tmpl w:val="0000000B"/>
    <w:lvl w:ilvl="0" w:tentative="0">
      <w:start w:val="1"/>
      <w:numFmt w:val="bullet"/>
      <w:pStyle w:val="20"/>
      <w:lvlText w:val=""/>
      <w:lvlJc w:val="left"/>
      <w:pPr>
        <w:tabs>
          <w:tab w:val="left" w:pos="860"/>
        </w:tabs>
        <w:ind w:left="860" w:hanging="420"/>
      </w:pPr>
      <w:rPr>
        <w:rFonts w:hint="default" w:ascii="Wingdings" w:hAnsi="Wingdings"/>
      </w:rPr>
    </w:lvl>
    <w:lvl w:ilvl="1" w:tentative="0">
      <w:start w:val="1"/>
      <w:numFmt w:val="decimal"/>
      <w:lvlText w:val="%2)"/>
      <w:lvlJc w:val="left"/>
      <w:pPr>
        <w:tabs>
          <w:tab w:val="left" w:pos="1280"/>
        </w:tabs>
        <w:ind w:left="1280" w:hanging="420"/>
      </w:pPr>
      <w:rPr>
        <w:rFonts w:hint="default"/>
      </w:rPr>
    </w:lvl>
    <w:lvl w:ilvl="2" w:tentative="0">
      <w:start w:val="1"/>
      <w:numFmt w:val="bullet"/>
      <w:lvlText w:val=""/>
      <w:lvlJc w:val="left"/>
      <w:pPr>
        <w:tabs>
          <w:tab w:val="left" w:pos="1700"/>
        </w:tabs>
        <w:ind w:left="1700" w:hanging="420"/>
      </w:pPr>
      <w:rPr>
        <w:rFonts w:hint="default" w:ascii="Wingdings" w:hAnsi="Wingdings"/>
      </w:rPr>
    </w:lvl>
    <w:lvl w:ilvl="3" w:tentative="0">
      <w:start w:val="1"/>
      <w:numFmt w:val="bullet"/>
      <w:lvlText w:val=""/>
      <w:lvlJc w:val="left"/>
      <w:pPr>
        <w:tabs>
          <w:tab w:val="left" w:pos="2120"/>
        </w:tabs>
        <w:ind w:left="2120" w:hanging="420"/>
      </w:pPr>
      <w:rPr>
        <w:rFonts w:hint="default" w:ascii="Wingdings" w:hAnsi="Wingdings"/>
      </w:rPr>
    </w:lvl>
    <w:lvl w:ilvl="4" w:tentative="0">
      <w:start w:val="1"/>
      <w:numFmt w:val="bullet"/>
      <w:lvlText w:val=""/>
      <w:lvlJc w:val="left"/>
      <w:pPr>
        <w:tabs>
          <w:tab w:val="left" w:pos="2540"/>
        </w:tabs>
        <w:ind w:left="2540" w:hanging="420"/>
      </w:pPr>
      <w:rPr>
        <w:rFonts w:hint="default" w:ascii="Wingdings" w:hAnsi="Wingdings"/>
      </w:rPr>
    </w:lvl>
    <w:lvl w:ilvl="5" w:tentative="0">
      <w:start w:val="1"/>
      <w:numFmt w:val="bullet"/>
      <w:lvlText w:val=""/>
      <w:lvlJc w:val="left"/>
      <w:pPr>
        <w:tabs>
          <w:tab w:val="left" w:pos="2960"/>
        </w:tabs>
        <w:ind w:left="2960" w:hanging="420"/>
      </w:pPr>
      <w:rPr>
        <w:rFonts w:hint="default" w:ascii="Wingdings" w:hAnsi="Wingdings"/>
      </w:rPr>
    </w:lvl>
    <w:lvl w:ilvl="6" w:tentative="0">
      <w:start w:val="1"/>
      <w:numFmt w:val="bullet"/>
      <w:lvlText w:val=""/>
      <w:lvlJc w:val="left"/>
      <w:pPr>
        <w:tabs>
          <w:tab w:val="left" w:pos="3380"/>
        </w:tabs>
        <w:ind w:left="3380" w:hanging="420"/>
      </w:pPr>
      <w:rPr>
        <w:rFonts w:hint="default" w:ascii="Wingdings" w:hAnsi="Wingdings"/>
      </w:rPr>
    </w:lvl>
    <w:lvl w:ilvl="7" w:tentative="0">
      <w:start w:val="1"/>
      <w:numFmt w:val="bullet"/>
      <w:lvlText w:val=""/>
      <w:lvlJc w:val="left"/>
      <w:pPr>
        <w:tabs>
          <w:tab w:val="left" w:pos="3800"/>
        </w:tabs>
        <w:ind w:left="3800" w:hanging="420"/>
      </w:pPr>
      <w:rPr>
        <w:rFonts w:hint="default" w:ascii="Wingdings" w:hAnsi="Wingdings"/>
      </w:rPr>
    </w:lvl>
    <w:lvl w:ilvl="8" w:tentative="0">
      <w:start w:val="1"/>
      <w:numFmt w:val="bullet"/>
      <w:lvlText w:val=""/>
      <w:lvlJc w:val="left"/>
      <w:pPr>
        <w:tabs>
          <w:tab w:val="left" w:pos="4220"/>
        </w:tabs>
        <w:ind w:left="4220" w:hanging="420"/>
      </w:pPr>
      <w:rPr>
        <w:rFonts w:hint="default" w:ascii="Wingdings" w:hAnsi="Wingdings"/>
      </w:rPr>
    </w:lvl>
  </w:abstractNum>
  <w:abstractNum w:abstractNumId="7">
    <w:nsid w:val="0000000C"/>
    <w:multiLevelType w:val="multilevel"/>
    <w:tmpl w:val="0000000C"/>
    <w:lvl w:ilvl="0" w:tentative="0">
      <w:start w:val="1"/>
      <w:numFmt w:val="decimal"/>
      <w:pStyle w:val="352"/>
      <w:lvlText w:val="%1."/>
      <w:lvlJc w:val="left"/>
      <w:pPr>
        <w:tabs>
          <w:tab w:val="left" w:pos="510"/>
        </w:tabs>
        <w:ind w:left="510" w:hanging="510"/>
      </w:pPr>
      <w:rPr>
        <w:rFonts w:hint="default"/>
      </w:rPr>
    </w:lvl>
    <w:lvl w:ilvl="1" w:tentative="0">
      <w:start w:val="1"/>
      <w:numFmt w:val="decimal"/>
      <w:isLgl/>
      <w:lvlText w:val="%1.%2"/>
      <w:lvlJc w:val="left"/>
      <w:pPr>
        <w:ind w:left="990" w:hanging="990"/>
      </w:pPr>
      <w:rPr>
        <w:rFonts w:hint="default"/>
      </w:rPr>
    </w:lvl>
    <w:lvl w:ilvl="2" w:tentative="0">
      <w:start w:val="1"/>
      <w:numFmt w:val="decimal"/>
      <w:isLgl/>
      <w:lvlText w:val="%1.%2.%3"/>
      <w:lvlJc w:val="left"/>
      <w:pPr>
        <w:ind w:left="990" w:hanging="99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440" w:hanging="1440"/>
      </w:pPr>
      <w:rPr>
        <w:rFonts w:hint="default"/>
      </w:rPr>
    </w:lvl>
    <w:lvl w:ilvl="5" w:tentative="0">
      <w:start w:val="1"/>
      <w:numFmt w:val="decimal"/>
      <w:isLgl/>
      <w:lvlText w:val="%1.%2.%3.%4.%5.%6"/>
      <w:lvlJc w:val="left"/>
      <w:pPr>
        <w:ind w:left="1800" w:hanging="1800"/>
      </w:pPr>
      <w:rPr>
        <w:rFonts w:hint="default"/>
      </w:rPr>
    </w:lvl>
    <w:lvl w:ilvl="6" w:tentative="0">
      <w:start w:val="1"/>
      <w:numFmt w:val="decimal"/>
      <w:isLgl/>
      <w:lvlText w:val="%1.%2.%3.%4.%5.%6.%7"/>
      <w:lvlJc w:val="left"/>
      <w:pPr>
        <w:ind w:left="2160" w:hanging="2160"/>
      </w:pPr>
      <w:rPr>
        <w:rFonts w:hint="default"/>
      </w:rPr>
    </w:lvl>
    <w:lvl w:ilvl="7" w:tentative="0">
      <w:start w:val="1"/>
      <w:numFmt w:val="decimal"/>
      <w:isLgl/>
      <w:lvlText w:val="%1.%2.%3.%4.%5.%6.%7.%8"/>
      <w:lvlJc w:val="left"/>
      <w:pPr>
        <w:ind w:left="2160" w:hanging="2160"/>
      </w:pPr>
      <w:rPr>
        <w:rFonts w:hint="default"/>
      </w:rPr>
    </w:lvl>
    <w:lvl w:ilvl="8" w:tentative="0">
      <w:start w:val="1"/>
      <w:numFmt w:val="decimal"/>
      <w:isLgl/>
      <w:lvlText w:val="%1.%2.%3.%4.%5.%6.%7.%8.%9"/>
      <w:lvlJc w:val="left"/>
      <w:pPr>
        <w:ind w:left="2520" w:hanging="2520"/>
      </w:pPr>
      <w:rPr>
        <w:rFonts w:hint="default"/>
      </w:rPr>
    </w:lvl>
  </w:abstractNum>
  <w:abstractNum w:abstractNumId="8">
    <w:nsid w:val="0000000D"/>
    <w:multiLevelType w:val="singleLevel"/>
    <w:tmpl w:val="0000000D"/>
    <w:lvl w:ilvl="0" w:tentative="0">
      <w:start w:val="17"/>
      <w:numFmt w:val="decimal"/>
      <w:pStyle w:val="287"/>
      <w:suff w:val="nothing"/>
      <w:lvlText w:val="%1）"/>
      <w:lvlJc w:val="left"/>
    </w:lvl>
  </w:abstractNum>
  <w:abstractNum w:abstractNumId="9">
    <w:nsid w:val="0000000E"/>
    <w:multiLevelType w:val="singleLevel"/>
    <w:tmpl w:val="0000000E"/>
    <w:lvl w:ilvl="0" w:tentative="0">
      <w:start w:val="1"/>
      <w:numFmt w:val="decimal"/>
      <w:pStyle w:val="638"/>
      <w:lvlText w:val="%1)"/>
      <w:lvlJc w:val="left"/>
      <w:pPr>
        <w:tabs>
          <w:tab w:val="left" w:pos="425"/>
        </w:tabs>
        <w:ind w:left="425" w:hanging="425"/>
      </w:pPr>
      <w:rPr>
        <w:rFonts w:hint="default"/>
      </w:rPr>
    </w:lvl>
  </w:abstractNum>
  <w:abstractNum w:abstractNumId="10">
    <w:nsid w:val="0000000F"/>
    <w:multiLevelType w:val="singleLevel"/>
    <w:tmpl w:val="0000000F"/>
    <w:lvl w:ilvl="0" w:tentative="0">
      <w:start w:val="1"/>
      <w:numFmt w:val="decimal"/>
      <w:pStyle w:val="542"/>
      <w:lvlText w:val="%1)"/>
      <w:lvlJc w:val="left"/>
      <w:pPr>
        <w:tabs>
          <w:tab w:val="left" w:pos="425"/>
        </w:tabs>
        <w:ind w:left="425" w:hanging="425"/>
      </w:pPr>
      <w:rPr>
        <w:rFonts w:hint="default"/>
      </w:rPr>
    </w:lvl>
  </w:abstractNum>
  <w:abstractNum w:abstractNumId="11">
    <w:nsid w:val="00000010"/>
    <w:multiLevelType w:val="multilevel"/>
    <w:tmpl w:val="00000010"/>
    <w:lvl w:ilvl="0" w:tentative="0">
      <w:start w:val="1"/>
      <w:numFmt w:val="decimal"/>
      <w:lvlText w:val="%1"/>
      <w:lvlJc w:val="left"/>
      <w:pPr>
        <w:tabs>
          <w:tab w:val="left" w:pos="0"/>
        </w:tabs>
        <w:ind w:left="907" w:hanging="907"/>
      </w:pPr>
      <w:rPr>
        <w:rFonts w:hint="default"/>
        <w:b/>
        <w:i w:val="0"/>
      </w:rPr>
    </w:lvl>
    <w:lvl w:ilvl="1" w:tentative="0">
      <w:start w:val="1"/>
      <w:numFmt w:val="decimal"/>
      <w:pStyle w:val="332"/>
      <w:lvlText w:val="%1.%2"/>
      <w:lvlJc w:val="left"/>
      <w:pPr>
        <w:tabs>
          <w:tab w:val="left" w:pos="0"/>
        </w:tabs>
        <w:ind w:left="907" w:hanging="907"/>
      </w:pPr>
      <w:rPr>
        <w:rFonts w:hint="default"/>
      </w:rPr>
    </w:lvl>
    <w:lvl w:ilvl="2" w:tentative="0">
      <w:start w:val="1"/>
      <w:numFmt w:val="decimal"/>
      <w:pStyle w:val="600"/>
      <w:lvlText w:val="%1.%2.%3"/>
      <w:lvlJc w:val="left"/>
      <w:pPr>
        <w:tabs>
          <w:tab w:val="left" w:pos="220"/>
        </w:tabs>
        <w:ind w:left="1127" w:hanging="907"/>
      </w:pPr>
      <w:rPr>
        <w:rFonts w:hint="default"/>
        <w:sz w:val="24"/>
        <w:szCs w:val="24"/>
      </w:rPr>
    </w:lvl>
    <w:lvl w:ilvl="3" w:tentative="0">
      <w:start w:val="1"/>
      <w:numFmt w:val="decimal"/>
      <w:pStyle w:val="364"/>
      <w:lvlText w:val="%1.%2.%3.%4"/>
      <w:lvlJc w:val="left"/>
      <w:pPr>
        <w:tabs>
          <w:tab w:val="left" w:pos="0"/>
        </w:tabs>
        <w:ind w:left="907" w:hanging="907"/>
      </w:pPr>
      <w:rPr>
        <w:rFonts w:hint="default"/>
        <w:b/>
        <w:i w:val="0"/>
        <w:sz w:val="24"/>
        <w:szCs w:val="24"/>
      </w:rPr>
    </w:lvl>
    <w:lvl w:ilvl="4" w:tentative="0">
      <w:start w:val="0"/>
      <w:numFmt w:val="none"/>
      <w:lvlText w:val=""/>
      <w:lvlJc w:val="left"/>
      <w:pPr>
        <w:tabs>
          <w:tab w:val="left" w:pos="142"/>
        </w:tabs>
        <w:ind w:left="142" w:firstLine="0"/>
      </w:pPr>
      <w:rPr>
        <w:rFonts w:hint="default"/>
      </w:rPr>
    </w:lvl>
    <w:lvl w:ilvl="5" w:tentative="0">
      <w:start w:val="0"/>
      <w:numFmt w:val="none"/>
      <w:lvlText w:val=""/>
      <w:lvlJc w:val="left"/>
      <w:pPr>
        <w:tabs>
          <w:tab w:val="left" w:pos="142"/>
        </w:tabs>
        <w:ind w:left="142" w:firstLine="0"/>
      </w:pPr>
      <w:rPr>
        <w:rFonts w:hint="default"/>
      </w:rPr>
    </w:lvl>
    <w:lvl w:ilvl="6" w:tentative="0">
      <w:start w:val="0"/>
      <w:numFmt w:val="none"/>
      <w:lvlText w:val=""/>
      <w:lvlJc w:val="left"/>
      <w:pPr>
        <w:tabs>
          <w:tab w:val="left" w:pos="142"/>
        </w:tabs>
        <w:ind w:left="142" w:firstLine="0"/>
      </w:pPr>
      <w:rPr>
        <w:rFonts w:hint="default"/>
      </w:rPr>
    </w:lvl>
    <w:lvl w:ilvl="7" w:tentative="0">
      <w:start w:val="0"/>
      <w:numFmt w:val="none"/>
      <w:lvlText w:val=""/>
      <w:lvlJc w:val="left"/>
      <w:pPr>
        <w:tabs>
          <w:tab w:val="left" w:pos="142"/>
        </w:tabs>
        <w:ind w:left="142" w:firstLine="0"/>
      </w:pPr>
      <w:rPr>
        <w:rFonts w:hint="default"/>
      </w:rPr>
    </w:lvl>
    <w:lvl w:ilvl="8" w:tentative="0">
      <w:start w:val="0"/>
      <w:numFmt w:val="none"/>
      <w:lvlText w:val=""/>
      <w:lvlJc w:val="left"/>
      <w:pPr>
        <w:tabs>
          <w:tab w:val="left" w:pos="142"/>
        </w:tabs>
        <w:ind w:left="142" w:firstLine="0"/>
      </w:pPr>
      <w:rPr>
        <w:rFonts w:hint="default"/>
      </w:rPr>
    </w:lvl>
  </w:abstractNum>
  <w:abstractNum w:abstractNumId="12">
    <w:nsid w:val="00000012"/>
    <w:multiLevelType w:val="multilevel"/>
    <w:tmpl w:val="00000012"/>
    <w:lvl w:ilvl="0" w:tentative="0">
      <w:start w:val="1"/>
      <w:numFmt w:val="decimal"/>
      <w:pStyle w:val="265"/>
      <w:lvlText w:val="%1)"/>
      <w:lvlJc w:val="left"/>
      <w:pPr>
        <w:tabs>
          <w:tab w:val="left" w:pos="900"/>
        </w:tabs>
        <w:ind w:left="900" w:hanging="420"/>
      </w:pPr>
      <w:rPr>
        <w:rFonts w:ascii="宋体" w:hAnsi="宋体" w:eastAsia="宋体"/>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3">
    <w:nsid w:val="365C1A32"/>
    <w:multiLevelType w:val="multilevel"/>
    <w:tmpl w:val="365C1A32"/>
    <w:lvl w:ilvl="0" w:tentative="0">
      <w:start w:val="1"/>
      <w:numFmt w:val="lowerLetter"/>
      <w:pStyle w:val="590"/>
      <w:lvlText w:val="%1)"/>
      <w:lvlJc w:val="left"/>
      <w:pPr>
        <w:tabs>
          <w:tab w:val="left" w:pos="900"/>
        </w:tabs>
        <w:ind w:left="900" w:hanging="420"/>
      </w:pPr>
    </w:lvl>
    <w:lvl w:ilvl="1" w:tentative="0">
      <w:start w:val="5"/>
      <w:numFmt w:val="decimal"/>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4">
    <w:nsid w:val="43740B8A"/>
    <w:multiLevelType w:val="multilevel"/>
    <w:tmpl w:val="43740B8A"/>
    <w:lvl w:ilvl="0" w:tentative="0">
      <w:start w:val="1"/>
      <w:numFmt w:val="chineseCountingThousand"/>
      <w:lvlText w:val="第%1章"/>
      <w:lvlJc w:val="left"/>
      <w:pPr>
        <w:ind w:left="420" w:hanging="420"/>
      </w:pPr>
      <w:rPr>
        <w:rFonts w:hint="eastAsia" w:ascii="宋体" w:hAnsi="宋体" w:eastAsia="宋体"/>
        <w:b/>
        <w:i w:val="0"/>
        <w:sz w:val="44"/>
      </w:rPr>
    </w:lvl>
    <w:lvl w:ilvl="1" w:tentative="0">
      <w:start w:val="1"/>
      <w:numFmt w:val="decimal"/>
      <w:pStyle w:val="571"/>
      <w:isLgl/>
      <w:suff w:val="space"/>
      <w:lvlText w:val="%1.%2."/>
      <w:lvlJc w:val="left"/>
      <w:pPr>
        <w:ind w:left="0" w:firstLine="0"/>
      </w:pPr>
      <w:rPr>
        <w:rFonts w:hint="default" w:ascii="宋体" w:hAnsi="宋体" w:eastAsia="宋体"/>
        <w:b/>
        <w:i w:val="0"/>
        <w:sz w:val="28"/>
      </w:rPr>
    </w:lvl>
    <w:lvl w:ilvl="2" w:tentative="0">
      <w:start w:val="1"/>
      <w:numFmt w:val="decimal"/>
      <w:isLgl/>
      <w:suff w:val="space"/>
      <w:lvlText w:val="%1.%2.%3."/>
      <w:lvlJc w:val="left"/>
      <w:pPr>
        <w:ind w:left="0" w:firstLine="0"/>
      </w:pPr>
      <w:rPr>
        <w:rFonts w:hint="default" w:ascii="宋体" w:hAnsi="宋体" w:eastAsia="宋体"/>
        <w:b/>
        <w:i w:val="0"/>
        <w:sz w:val="28"/>
      </w:rPr>
    </w:lvl>
    <w:lvl w:ilvl="3" w:tentative="0">
      <w:start w:val="1"/>
      <w:numFmt w:val="decimal"/>
      <w:isLgl/>
      <w:suff w:val="space"/>
      <w:lvlText w:val="%1.%2.%3.%4."/>
      <w:lvlJc w:val="left"/>
      <w:pPr>
        <w:ind w:left="0" w:firstLine="0"/>
      </w:pPr>
      <w:rPr>
        <w:rFonts w:hint="default" w:ascii="Times New Roman" w:hAnsi="Times New Roman" w:eastAsia="宋体"/>
        <w:b/>
        <w:i w:val="0"/>
        <w:sz w:val="24"/>
      </w:rPr>
    </w:lvl>
    <w:lvl w:ilvl="4" w:tentative="0">
      <w:start w:val="1"/>
      <w:numFmt w:val="decimal"/>
      <w:isLgl/>
      <w:suff w:val="space"/>
      <w:lvlText w:val="%1.%2.%3.%4.%5."/>
      <w:lvlJc w:val="left"/>
      <w:pPr>
        <w:ind w:left="0" w:firstLine="0"/>
      </w:pPr>
      <w:rPr>
        <w:rFonts w:hint="default" w:ascii="Times New Roman" w:hAnsi="Times New Roman" w:eastAsia="宋体"/>
        <w:b/>
        <w:i w:val="0"/>
        <w:sz w:val="24"/>
      </w:rPr>
    </w:lvl>
    <w:lvl w:ilvl="5" w:tentative="0">
      <w:start w:val="1"/>
      <w:numFmt w:val="decimal"/>
      <w:isLgl/>
      <w:suff w:val="space"/>
      <w:lvlText w:val="%1.%2.%3.%4.%5.%6."/>
      <w:lvlJc w:val="left"/>
      <w:pPr>
        <w:ind w:left="0" w:firstLine="0"/>
      </w:pPr>
      <w:rPr>
        <w:rFonts w:hint="default" w:ascii="Times New Roman" w:hAnsi="Times New Roman" w:eastAsia="宋体"/>
        <w:b/>
        <w:i w:val="0"/>
        <w:sz w:val="24"/>
      </w:rPr>
    </w:lvl>
    <w:lvl w:ilvl="6" w:tentative="0">
      <w:start w:val="1"/>
      <w:numFmt w:val="decimal"/>
      <w:isLgl/>
      <w:suff w:val="space"/>
      <w:lvlText w:val="%1.%2.%3.%4.%5.%6.%7."/>
      <w:lvlJc w:val="left"/>
      <w:pPr>
        <w:ind w:left="0" w:firstLine="0"/>
      </w:pPr>
      <w:rPr>
        <w:rFonts w:hint="default" w:ascii="Times New Roman" w:hAnsi="Times New Roman" w:eastAsia="宋体"/>
        <w:b/>
        <w:i w:val="0"/>
        <w:sz w:val="24"/>
      </w:rPr>
    </w:lvl>
    <w:lvl w:ilvl="7" w:tentative="0">
      <w:start w:val="1"/>
      <w:numFmt w:val="decimal"/>
      <w:isLgl/>
      <w:suff w:val="space"/>
      <w:lvlText w:val="%1.%2.%3.%4.%5.%6.%7.%8."/>
      <w:lvlJc w:val="left"/>
      <w:pPr>
        <w:ind w:left="0" w:firstLine="0"/>
      </w:pPr>
      <w:rPr>
        <w:rFonts w:hint="default" w:ascii="Times New Roman" w:hAnsi="Times New Roman" w:eastAsia="宋体"/>
        <w:b/>
        <w:i w:val="0"/>
        <w:sz w:val="24"/>
      </w:rPr>
    </w:lvl>
    <w:lvl w:ilvl="8" w:tentative="0">
      <w:start w:val="1"/>
      <w:numFmt w:val="decimal"/>
      <w:isLgl/>
      <w:suff w:val="space"/>
      <w:lvlText w:val="%1.%2.%3.%4.%5.%6.%7.%8.%9."/>
      <w:lvlJc w:val="left"/>
      <w:pPr>
        <w:ind w:left="0" w:firstLine="0"/>
      </w:pPr>
      <w:rPr>
        <w:rFonts w:hint="default" w:ascii="Times New Roman" w:hAnsi="Times New Roman" w:eastAsia="宋体"/>
        <w:b/>
        <w:i w:val="0"/>
        <w:sz w:val="24"/>
      </w:rPr>
    </w:lvl>
  </w:abstractNum>
  <w:abstractNum w:abstractNumId="15">
    <w:nsid w:val="608BC416"/>
    <w:multiLevelType w:val="singleLevel"/>
    <w:tmpl w:val="608BC416"/>
    <w:lvl w:ilvl="0" w:tentative="0">
      <w:start w:val="5"/>
      <w:numFmt w:val="chineseCounting"/>
      <w:suff w:val="nothing"/>
      <w:lvlText w:val="%1、"/>
      <w:lvlJc w:val="left"/>
      <w:rPr>
        <w:rFonts w:hint="eastAsia"/>
      </w:rPr>
    </w:lvl>
  </w:abstractNum>
  <w:num w:numId="1">
    <w:abstractNumId w:val="0"/>
  </w:num>
  <w:num w:numId="2">
    <w:abstractNumId w:val="6"/>
  </w:num>
  <w:num w:numId="3">
    <w:abstractNumId w:val="1"/>
  </w:num>
  <w:num w:numId="4">
    <w:abstractNumId w:val="12"/>
  </w:num>
  <w:num w:numId="5">
    <w:abstractNumId w:val="8"/>
  </w:num>
  <w:num w:numId="6">
    <w:abstractNumId w:val="4"/>
  </w:num>
  <w:num w:numId="7">
    <w:abstractNumId w:val="11"/>
  </w:num>
  <w:num w:numId="8">
    <w:abstractNumId w:val="7"/>
  </w:num>
  <w:num w:numId="9">
    <w:abstractNumId w:val="10"/>
  </w:num>
  <w:num w:numId="10">
    <w:abstractNumId w:val="3"/>
  </w:num>
  <w:num w:numId="11">
    <w:abstractNumId w:val="5"/>
  </w:num>
  <w:num w:numId="12">
    <w:abstractNumId w:val="2"/>
  </w:num>
  <w:num w:numId="13">
    <w:abstractNumId w:val="14"/>
  </w:num>
  <w:num w:numId="14">
    <w:abstractNumId w:val="1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NotTrackMoves/>
  <w:documentProtection w:enforcement="0"/>
  <w:defaultTabStop w:val="720"/>
  <w:drawingGridHorizontalSpacing w:val="220"/>
  <w:drawingGridVerticalSpacing w:val="149"/>
  <w:displayHorizontalDrawingGridEvery w:val="1"/>
  <w:displayVerticalDrawingGridEvery w:val="1"/>
  <w:noPunctuationKerning w:val="1"/>
  <w:characterSpacingControl w:val="doNotCompress"/>
  <w:hdrShapeDefaults>
    <o:shapelayout v:ext="edit">
      <o:idmap v:ext="edit" data="3,4"/>
    </o:shapelayout>
  </w:hdrShapeDefault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RmMWRmYmMwODFjZDRkMzdlNjVhNjhmMzZkM2QzMWYifQ=="/>
  </w:docVars>
  <w:rsids>
    <w:rsidRoot w:val="00172A27"/>
    <w:rsid w:val="000030E9"/>
    <w:rsid w:val="00003787"/>
    <w:rsid w:val="00003E67"/>
    <w:rsid w:val="00003FE6"/>
    <w:rsid w:val="00004BC1"/>
    <w:rsid w:val="000052BA"/>
    <w:rsid w:val="000052EC"/>
    <w:rsid w:val="000059DE"/>
    <w:rsid w:val="00005C73"/>
    <w:rsid w:val="000107BE"/>
    <w:rsid w:val="000109CB"/>
    <w:rsid w:val="00014B5D"/>
    <w:rsid w:val="00017B71"/>
    <w:rsid w:val="000205CF"/>
    <w:rsid w:val="000207AF"/>
    <w:rsid w:val="0002295E"/>
    <w:rsid w:val="00023FDC"/>
    <w:rsid w:val="000246D4"/>
    <w:rsid w:val="00024701"/>
    <w:rsid w:val="00024C57"/>
    <w:rsid w:val="00025A38"/>
    <w:rsid w:val="0002602E"/>
    <w:rsid w:val="00026EA1"/>
    <w:rsid w:val="00026FC0"/>
    <w:rsid w:val="00030422"/>
    <w:rsid w:val="00030E10"/>
    <w:rsid w:val="00030FE1"/>
    <w:rsid w:val="00031839"/>
    <w:rsid w:val="000319B3"/>
    <w:rsid w:val="00031B3F"/>
    <w:rsid w:val="00031BD5"/>
    <w:rsid w:val="00032665"/>
    <w:rsid w:val="00033FC4"/>
    <w:rsid w:val="000344C7"/>
    <w:rsid w:val="00035301"/>
    <w:rsid w:val="000357FB"/>
    <w:rsid w:val="00035CD9"/>
    <w:rsid w:val="0004085D"/>
    <w:rsid w:val="00041715"/>
    <w:rsid w:val="00041C35"/>
    <w:rsid w:val="00042085"/>
    <w:rsid w:val="0004274A"/>
    <w:rsid w:val="00042845"/>
    <w:rsid w:val="00042A02"/>
    <w:rsid w:val="00042EB3"/>
    <w:rsid w:val="00043114"/>
    <w:rsid w:val="00043170"/>
    <w:rsid w:val="00043200"/>
    <w:rsid w:val="00043760"/>
    <w:rsid w:val="00043801"/>
    <w:rsid w:val="0004395B"/>
    <w:rsid w:val="00044B63"/>
    <w:rsid w:val="00044DFF"/>
    <w:rsid w:val="0004620B"/>
    <w:rsid w:val="000462A1"/>
    <w:rsid w:val="00047E99"/>
    <w:rsid w:val="00050299"/>
    <w:rsid w:val="00051357"/>
    <w:rsid w:val="00052179"/>
    <w:rsid w:val="00052A8A"/>
    <w:rsid w:val="00054034"/>
    <w:rsid w:val="0005422B"/>
    <w:rsid w:val="00055643"/>
    <w:rsid w:val="00055781"/>
    <w:rsid w:val="000558C1"/>
    <w:rsid w:val="000565C5"/>
    <w:rsid w:val="00056A85"/>
    <w:rsid w:val="00056D54"/>
    <w:rsid w:val="000576F2"/>
    <w:rsid w:val="0006116B"/>
    <w:rsid w:val="000620AB"/>
    <w:rsid w:val="0006219B"/>
    <w:rsid w:val="0006288C"/>
    <w:rsid w:val="00062C69"/>
    <w:rsid w:val="00063AE1"/>
    <w:rsid w:val="00064375"/>
    <w:rsid w:val="00065395"/>
    <w:rsid w:val="000656A0"/>
    <w:rsid w:val="00065B8F"/>
    <w:rsid w:val="00066DDC"/>
    <w:rsid w:val="00067D24"/>
    <w:rsid w:val="000706EF"/>
    <w:rsid w:val="00071623"/>
    <w:rsid w:val="0007187E"/>
    <w:rsid w:val="0007192D"/>
    <w:rsid w:val="00071A52"/>
    <w:rsid w:val="000724D6"/>
    <w:rsid w:val="00072F83"/>
    <w:rsid w:val="000734C6"/>
    <w:rsid w:val="00073B4C"/>
    <w:rsid w:val="00073C81"/>
    <w:rsid w:val="00074D00"/>
    <w:rsid w:val="00074F5D"/>
    <w:rsid w:val="00075C1B"/>
    <w:rsid w:val="000762BB"/>
    <w:rsid w:val="000762C5"/>
    <w:rsid w:val="00076869"/>
    <w:rsid w:val="000768E3"/>
    <w:rsid w:val="000773C5"/>
    <w:rsid w:val="00077A47"/>
    <w:rsid w:val="00080006"/>
    <w:rsid w:val="00081B84"/>
    <w:rsid w:val="00081FC9"/>
    <w:rsid w:val="00085A12"/>
    <w:rsid w:val="00085ACC"/>
    <w:rsid w:val="00090F35"/>
    <w:rsid w:val="00091D2B"/>
    <w:rsid w:val="0009233C"/>
    <w:rsid w:val="00092552"/>
    <w:rsid w:val="000940D2"/>
    <w:rsid w:val="00095435"/>
    <w:rsid w:val="00095CDB"/>
    <w:rsid w:val="000A029A"/>
    <w:rsid w:val="000A0638"/>
    <w:rsid w:val="000A2AA5"/>
    <w:rsid w:val="000A38F2"/>
    <w:rsid w:val="000A39EC"/>
    <w:rsid w:val="000A3C0D"/>
    <w:rsid w:val="000A3D9A"/>
    <w:rsid w:val="000A59DC"/>
    <w:rsid w:val="000A7189"/>
    <w:rsid w:val="000B12A1"/>
    <w:rsid w:val="000B2481"/>
    <w:rsid w:val="000B2965"/>
    <w:rsid w:val="000B2FDE"/>
    <w:rsid w:val="000B32E9"/>
    <w:rsid w:val="000B335C"/>
    <w:rsid w:val="000B4231"/>
    <w:rsid w:val="000B6CAA"/>
    <w:rsid w:val="000B761B"/>
    <w:rsid w:val="000B7F04"/>
    <w:rsid w:val="000C0099"/>
    <w:rsid w:val="000C07FD"/>
    <w:rsid w:val="000C164F"/>
    <w:rsid w:val="000C22FC"/>
    <w:rsid w:val="000C321B"/>
    <w:rsid w:val="000C33A7"/>
    <w:rsid w:val="000C432D"/>
    <w:rsid w:val="000C4E2A"/>
    <w:rsid w:val="000C549F"/>
    <w:rsid w:val="000C61EC"/>
    <w:rsid w:val="000C688D"/>
    <w:rsid w:val="000C725C"/>
    <w:rsid w:val="000C73A7"/>
    <w:rsid w:val="000D0894"/>
    <w:rsid w:val="000D0A9C"/>
    <w:rsid w:val="000D1074"/>
    <w:rsid w:val="000D28EF"/>
    <w:rsid w:val="000D31C9"/>
    <w:rsid w:val="000D4042"/>
    <w:rsid w:val="000D52BE"/>
    <w:rsid w:val="000D5909"/>
    <w:rsid w:val="000D5E3B"/>
    <w:rsid w:val="000D6E8C"/>
    <w:rsid w:val="000D764F"/>
    <w:rsid w:val="000D7655"/>
    <w:rsid w:val="000E024B"/>
    <w:rsid w:val="000E1996"/>
    <w:rsid w:val="000E21DA"/>
    <w:rsid w:val="000E23B0"/>
    <w:rsid w:val="000E465C"/>
    <w:rsid w:val="000E4BBB"/>
    <w:rsid w:val="000E59B0"/>
    <w:rsid w:val="000E71E7"/>
    <w:rsid w:val="000F0841"/>
    <w:rsid w:val="000F25E6"/>
    <w:rsid w:val="000F314B"/>
    <w:rsid w:val="000F339F"/>
    <w:rsid w:val="000F4746"/>
    <w:rsid w:val="000F5084"/>
    <w:rsid w:val="000F519C"/>
    <w:rsid w:val="000F5472"/>
    <w:rsid w:val="000F5B38"/>
    <w:rsid w:val="000F5B4C"/>
    <w:rsid w:val="000F6628"/>
    <w:rsid w:val="000F6DC0"/>
    <w:rsid w:val="000F7D41"/>
    <w:rsid w:val="000F7F8D"/>
    <w:rsid w:val="00100682"/>
    <w:rsid w:val="001010EA"/>
    <w:rsid w:val="00101F32"/>
    <w:rsid w:val="00102B85"/>
    <w:rsid w:val="00103832"/>
    <w:rsid w:val="00103DA9"/>
    <w:rsid w:val="00104B22"/>
    <w:rsid w:val="001057A6"/>
    <w:rsid w:val="00105ACF"/>
    <w:rsid w:val="00105F76"/>
    <w:rsid w:val="00106A32"/>
    <w:rsid w:val="00106B29"/>
    <w:rsid w:val="0010766B"/>
    <w:rsid w:val="001100CF"/>
    <w:rsid w:val="001101A5"/>
    <w:rsid w:val="00110670"/>
    <w:rsid w:val="00110D1E"/>
    <w:rsid w:val="00110D49"/>
    <w:rsid w:val="00112345"/>
    <w:rsid w:val="00113076"/>
    <w:rsid w:val="00113861"/>
    <w:rsid w:val="00113D61"/>
    <w:rsid w:val="00113E94"/>
    <w:rsid w:val="00114757"/>
    <w:rsid w:val="00115AF1"/>
    <w:rsid w:val="00116853"/>
    <w:rsid w:val="0011728A"/>
    <w:rsid w:val="0011764E"/>
    <w:rsid w:val="001176C0"/>
    <w:rsid w:val="00120D2F"/>
    <w:rsid w:val="00120DC8"/>
    <w:rsid w:val="0012108D"/>
    <w:rsid w:val="001211B3"/>
    <w:rsid w:val="00121841"/>
    <w:rsid w:val="00121B38"/>
    <w:rsid w:val="00121F48"/>
    <w:rsid w:val="00122B58"/>
    <w:rsid w:val="001235E3"/>
    <w:rsid w:val="001236D2"/>
    <w:rsid w:val="0012402E"/>
    <w:rsid w:val="0012423E"/>
    <w:rsid w:val="00126D35"/>
    <w:rsid w:val="00126DDB"/>
    <w:rsid w:val="0012759A"/>
    <w:rsid w:val="00127A3A"/>
    <w:rsid w:val="001306FE"/>
    <w:rsid w:val="00130B8E"/>
    <w:rsid w:val="00131236"/>
    <w:rsid w:val="00131429"/>
    <w:rsid w:val="0013142C"/>
    <w:rsid w:val="00131542"/>
    <w:rsid w:val="00131BAF"/>
    <w:rsid w:val="00132971"/>
    <w:rsid w:val="00132B0F"/>
    <w:rsid w:val="00132D9E"/>
    <w:rsid w:val="00133B3F"/>
    <w:rsid w:val="00134102"/>
    <w:rsid w:val="0013476C"/>
    <w:rsid w:val="00134B23"/>
    <w:rsid w:val="00134D06"/>
    <w:rsid w:val="001350AC"/>
    <w:rsid w:val="00135267"/>
    <w:rsid w:val="00135F3D"/>
    <w:rsid w:val="001416F7"/>
    <w:rsid w:val="0014231F"/>
    <w:rsid w:val="0014237D"/>
    <w:rsid w:val="00142E55"/>
    <w:rsid w:val="00142E71"/>
    <w:rsid w:val="00143719"/>
    <w:rsid w:val="001437D2"/>
    <w:rsid w:val="00143C8D"/>
    <w:rsid w:val="00144FCD"/>
    <w:rsid w:val="0014570A"/>
    <w:rsid w:val="00145887"/>
    <w:rsid w:val="00145AC8"/>
    <w:rsid w:val="0014637F"/>
    <w:rsid w:val="001471A6"/>
    <w:rsid w:val="0014751C"/>
    <w:rsid w:val="00147BFB"/>
    <w:rsid w:val="00150731"/>
    <w:rsid w:val="001508DB"/>
    <w:rsid w:val="00150B9F"/>
    <w:rsid w:val="00150F49"/>
    <w:rsid w:val="00151A59"/>
    <w:rsid w:val="00151CB4"/>
    <w:rsid w:val="00151EBC"/>
    <w:rsid w:val="00152349"/>
    <w:rsid w:val="0015336F"/>
    <w:rsid w:val="001551C3"/>
    <w:rsid w:val="00155CC8"/>
    <w:rsid w:val="00155CE9"/>
    <w:rsid w:val="001561EC"/>
    <w:rsid w:val="00156856"/>
    <w:rsid w:val="00160313"/>
    <w:rsid w:val="00160367"/>
    <w:rsid w:val="00163F95"/>
    <w:rsid w:val="00164C5D"/>
    <w:rsid w:val="00165915"/>
    <w:rsid w:val="00170723"/>
    <w:rsid w:val="001718B2"/>
    <w:rsid w:val="0017203A"/>
    <w:rsid w:val="00172A27"/>
    <w:rsid w:val="00172B96"/>
    <w:rsid w:val="00172E6A"/>
    <w:rsid w:val="00173111"/>
    <w:rsid w:val="001735D6"/>
    <w:rsid w:val="00173E78"/>
    <w:rsid w:val="00175134"/>
    <w:rsid w:val="0017618B"/>
    <w:rsid w:val="00176379"/>
    <w:rsid w:val="00176853"/>
    <w:rsid w:val="001768ED"/>
    <w:rsid w:val="00177FD6"/>
    <w:rsid w:val="00180336"/>
    <w:rsid w:val="00180647"/>
    <w:rsid w:val="0018088F"/>
    <w:rsid w:val="00180A23"/>
    <w:rsid w:val="00182FE3"/>
    <w:rsid w:val="00183A47"/>
    <w:rsid w:val="00184087"/>
    <w:rsid w:val="00184221"/>
    <w:rsid w:val="00185503"/>
    <w:rsid w:val="0018607D"/>
    <w:rsid w:val="00186766"/>
    <w:rsid w:val="00186BE1"/>
    <w:rsid w:val="0018765E"/>
    <w:rsid w:val="00187860"/>
    <w:rsid w:val="001878EA"/>
    <w:rsid w:val="00187BD4"/>
    <w:rsid w:val="00187DBC"/>
    <w:rsid w:val="00190C3D"/>
    <w:rsid w:val="00190DCF"/>
    <w:rsid w:val="001911EB"/>
    <w:rsid w:val="00191881"/>
    <w:rsid w:val="00191AA2"/>
    <w:rsid w:val="00191B79"/>
    <w:rsid w:val="00191D78"/>
    <w:rsid w:val="001928B8"/>
    <w:rsid w:val="0019293E"/>
    <w:rsid w:val="00193096"/>
    <w:rsid w:val="001932B6"/>
    <w:rsid w:val="00193356"/>
    <w:rsid w:val="00193564"/>
    <w:rsid w:val="00195BC6"/>
    <w:rsid w:val="00195CA0"/>
    <w:rsid w:val="001960F3"/>
    <w:rsid w:val="001961C8"/>
    <w:rsid w:val="0019661C"/>
    <w:rsid w:val="001967CD"/>
    <w:rsid w:val="001977BA"/>
    <w:rsid w:val="001A05ED"/>
    <w:rsid w:val="001A0D08"/>
    <w:rsid w:val="001A1141"/>
    <w:rsid w:val="001A2136"/>
    <w:rsid w:val="001A22DE"/>
    <w:rsid w:val="001A2AB1"/>
    <w:rsid w:val="001A2FA0"/>
    <w:rsid w:val="001A3B40"/>
    <w:rsid w:val="001A4AB4"/>
    <w:rsid w:val="001A50CE"/>
    <w:rsid w:val="001A71D0"/>
    <w:rsid w:val="001A71EA"/>
    <w:rsid w:val="001A7527"/>
    <w:rsid w:val="001B1E36"/>
    <w:rsid w:val="001B2492"/>
    <w:rsid w:val="001B4363"/>
    <w:rsid w:val="001B4E74"/>
    <w:rsid w:val="001B4EB7"/>
    <w:rsid w:val="001B6582"/>
    <w:rsid w:val="001B662E"/>
    <w:rsid w:val="001B6969"/>
    <w:rsid w:val="001B6C0E"/>
    <w:rsid w:val="001B782D"/>
    <w:rsid w:val="001C0F26"/>
    <w:rsid w:val="001C0FFC"/>
    <w:rsid w:val="001C1B80"/>
    <w:rsid w:val="001C1C08"/>
    <w:rsid w:val="001C2740"/>
    <w:rsid w:val="001C3765"/>
    <w:rsid w:val="001C4C69"/>
    <w:rsid w:val="001C4F70"/>
    <w:rsid w:val="001C5811"/>
    <w:rsid w:val="001C7793"/>
    <w:rsid w:val="001C7A81"/>
    <w:rsid w:val="001C7E40"/>
    <w:rsid w:val="001D0BA2"/>
    <w:rsid w:val="001D12A0"/>
    <w:rsid w:val="001D15A8"/>
    <w:rsid w:val="001D1847"/>
    <w:rsid w:val="001D1DED"/>
    <w:rsid w:val="001D5099"/>
    <w:rsid w:val="001D5568"/>
    <w:rsid w:val="001D6041"/>
    <w:rsid w:val="001D68F1"/>
    <w:rsid w:val="001D6951"/>
    <w:rsid w:val="001D75F9"/>
    <w:rsid w:val="001D7675"/>
    <w:rsid w:val="001D7774"/>
    <w:rsid w:val="001E0CDC"/>
    <w:rsid w:val="001E1D2A"/>
    <w:rsid w:val="001E2223"/>
    <w:rsid w:val="001E2FD0"/>
    <w:rsid w:val="001E3101"/>
    <w:rsid w:val="001E33E0"/>
    <w:rsid w:val="001E3541"/>
    <w:rsid w:val="001E3755"/>
    <w:rsid w:val="001E5051"/>
    <w:rsid w:val="001E53CC"/>
    <w:rsid w:val="001E54A5"/>
    <w:rsid w:val="001E565F"/>
    <w:rsid w:val="001E62D4"/>
    <w:rsid w:val="001E6314"/>
    <w:rsid w:val="001E64AC"/>
    <w:rsid w:val="001E783C"/>
    <w:rsid w:val="001E78D6"/>
    <w:rsid w:val="001E7A72"/>
    <w:rsid w:val="001E7D47"/>
    <w:rsid w:val="001F27AA"/>
    <w:rsid w:val="001F32D1"/>
    <w:rsid w:val="001F4307"/>
    <w:rsid w:val="001F5DA1"/>
    <w:rsid w:val="001F6C9D"/>
    <w:rsid w:val="002009E6"/>
    <w:rsid w:val="00201062"/>
    <w:rsid w:val="00201EE8"/>
    <w:rsid w:val="00204113"/>
    <w:rsid w:val="0020437A"/>
    <w:rsid w:val="002051CF"/>
    <w:rsid w:val="00205E4C"/>
    <w:rsid w:val="00206239"/>
    <w:rsid w:val="002064AE"/>
    <w:rsid w:val="00207083"/>
    <w:rsid w:val="00207171"/>
    <w:rsid w:val="002073FB"/>
    <w:rsid w:val="0020754B"/>
    <w:rsid w:val="00207A47"/>
    <w:rsid w:val="00207E1B"/>
    <w:rsid w:val="00211279"/>
    <w:rsid w:val="00211D16"/>
    <w:rsid w:val="00211D5B"/>
    <w:rsid w:val="002120D6"/>
    <w:rsid w:val="00213DD1"/>
    <w:rsid w:val="002140BD"/>
    <w:rsid w:val="00214439"/>
    <w:rsid w:val="0021580C"/>
    <w:rsid w:val="00215A1D"/>
    <w:rsid w:val="00215AEE"/>
    <w:rsid w:val="00216A4B"/>
    <w:rsid w:val="00216BBD"/>
    <w:rsid w:val="002177D0"/>
    <w:rsid w:val="00217B37"/>
    <w:rsid w:val="00217D9F"/>
    <w:rsid w:val="00221E53"/>
    <w:rsid w:val="0022237A"/>
    <w:rsid w:val="00222A1C"/>
    <w:rsid w:val="00223847"/>
    <w:rsid w:val="002239AA"/>
    <w:rsid w:val="00223D46"/>
    <w:rsid w:val="00223D88"/>
    <w:rsid w:val="00223F2F"/>
    <w:rsid w:val="00224197"/>
    <w:rsid w:val="0022562A"/>
    <w:rsid w:val="0022567B"/>
    <w:rsid w:val="0022608E"/>
    <w:rsid w:val="0022671A"/>
    <w:rsid w:val="00226C4E"/>
    <w:rsid w:val="00226FD5"/>
    <w:rsid w:val="0022719E"/>
    <w:rsid w:val="002271E8"/>
    <w:rsid w:val="00230113"/>
    <w:rsid w:val="002301E2"/>
    <w:rsid w:val="002311E2"/>
    <w:rsid w:val="00231CDC"/>
    <w:rsid w:val="002329E6"/>
    <w:rsid w:val="00233771"/>
    <w:rsid w:val="00234DA3"/>
    <w:rsid w:val="0023578B"/>
    <w:rsid w:val="002364D5"/>
    <w:rsid w:val="00236AB6"/>
    <w:rsid w:val="0023749C"/>
    <w:rsid w:val="0023760A"/>
    <w:rsid w:val="00237A11"/>
    <w:rsid w:val="002400D1"/>
    <w:rsid w:val="00240EA4"/>
    <w:rsid w:val="002419A4"/>
    <w:rsid w:val="00241B92"/>
    <w:rsid w:val="0024226E"/>
    <w:rsid w:val="00243682"/>
    <w:rsid w:val="002440C0"/>
    <w:rsid w:val="00245E55"/>
    <w:rsid w:val="00246908"/>
    <w:rsid w:val="00246992"/>
    <w:rsid w:val="00246DFB"/>
    <w:rsid w:val="00250355"/>
    <w:rsid w:val="00250709"/>
    <w:rsid w:val="00250763"/>
    <w:rsid w:val="002509EE"/>
    <w:rsid w:val="002511B7"/>
    <w:rsid w:val="00251C55"/>
    <w:rsid w:val="00251C93"/>
    <w:rsid w:val="00252089"/>
    <w:rsid w:val="00252519"/>
    <w:rsid w:val="00254A37"/>
    <w:rsid w:val="002559CB"/>
    <w:rsid w:val="002567D2"/>
    <w:rsid w:val="00256940"/>
    <w:rsid w:val="002570AF"/>
    <w:rsid w:val="00257168"/>
    <w:rsid w:val="00262683"/>
    <w:rsid w:val="00262D37"/>
    <w:rsid w:val="00264ABD"/>
    <w:rsid w:val="00266645"/>
    <w:rsid w:val="00266E21"/>
    <w:rsid w:val="00270720"/>
    <w:rsid w:val="002724D4"/>
    <w:rsid w:val="00272B13"/>
    <w:rsid w:val="00273A6E"/>
    <w:rsid w:val="00273B94"/>
    <w:rsid w:val="002740D6"/>
    <w:rsid w:val="00274DB8"/>
    <w:rsid w:val="00275E5D"/>
    <w:rsid w:val="00276143"/>
    <w:rsid w:val="002803AA"/>
    <w:rsid w:val="00280A93"/>
    <w:rsid w:val="00280EFF"/>
    <w:rsid w:val="00282ABC"/>
    <w:rsid w:val="0028357D"/>
    <w:rsid w:val="00283AD6"/>
    <w:rsid w:val="00283EE7"/>
    <w:rsid w:val="00285E4D"/>
    <w:rsid w:val="0028686E"/>
    <w:rsid w:val="00287B6E"/>
    <w:rsid w:val="00290437"/>
    <w:rsid w:val="00291700"/>
    <w:rsid w:val="00291931"/>
    <w:rsid w:val="00291A38"/>
    <w:rsid w:val="00291A41"/>
    <w:rsid w:val="00292716"/>
    <w:rsid w:val="00293112"/>
    <w:rsid w:val="00293E50"/>
    <w:rsid w:val="00294EF5"/>
    <w:rsid w:val="00295A68"/>
    <w:rsid w:val="00296391"/>
    <w:rsid w:val="00296A09"/>
    <w:rsid w:val="00296C20"/>
    <w:rsid w:val="00297207"/>
    <w:rsid w:val="00297C90"/>
    <w:rsid w:val="002A03D6"/>
    <w:rsid w:val="002A0F10"/>
    <w:rsid w:val="002A12D8"/>
    <w:rsid w:val="002A1C75"/>
    <w:rsid w:val="002A1DF2"/>
    <w:rsid w:val="002A2194"/>
    <w:rsid w:val="002A3FF6"/>
    <w:rsid w:val="002A4139"/>
    <w:rsid w:val="002A4429"/>
    <w:rsid w:val="002A4CAC"/>
    <w:rsid w:val="002A4E4E"/>
    <w:rsid w:val="002A6C1D"/>
    <w:rsid w:val="002A7609"/>
    <w:rsid w:val="002A7A3B"/>
    <w:rsid w:val="002B0254"/>
    <w:rsid w:val="002B3401"/>
    <w:rsid w:val="002B4312"/>
    <w:rsid w:val="002B450C"/>
    <w:rsid w:val="002B503D"/>
    <w:rsid w:val="002B5FDA"/>
    <w:rsid w:val="002B6B64"/>
    <w:rsid w:val="002B7092"/>
    <w:rsid w:val="002B709C"/>
    <w:rsid w:val="002B7310"/>
    <w:rsid w:val="002C02A6"/>
    <w:rsid w:val="002C0EEC"/>
    <w:rsid w:val="002C1000"/>
    <w:rsid w:val="002C26D3"/>
    <w:rsid w:val="002C306B"/>
    <w:rsid w:val="002C4266"/>
    <w:rsid w:val="002C48B9"/>
    <w:rsid w:val="002C54A3"/>
    <w:rsid w:val="002C54CA"/>
    <w:rsid w:val="002C6812"/>
    <w:rsid w:val="002C71A5"/>
    <w:rsid w:val="002C7540"/>
    <w:rsid w:val="002D1C20"/>
    <w:rsid w:val="002D2A3C"/>
    <w:rsid w:val="002D2BDF"/>
    <w:rsid w:val="002D319A"/>
    <w:rsid w:val="002D33E2"/>
    <w:rsid w:val="002D516D"/>
    <w:rsid w:val="002D55D7"/>
    <w:rsid w:val="002D5A4E"/>
    <w:rsid w:val="002D6B5E"/>
    <w:rsid w:val="002D6C85"/>
    <w:rsid w:val="002E036B"/>
    <w:rsid w:val="002E0449"/>
    <w:rsid w:val="002E0852"/>
    <w:rsid w:val="002E0C5B"/>
    <w:rsid w:val="002E12CD"/>
    <w:rsid w:val="002E1418"/>
    <w:rsid w:val="002E16D5"/>
    <w:rsid w:val="002E1B18"/>
    <w:rsid w:val="002E1B30"/>
    <w:rsid w:val="002E203E"/>
    <w:rsid w:val="002E2B3C"/>
    <w:rsid w:val="002E3991"/>
    <w:rsid w:val="002E4424"/>
    <w:rsid w:val="002E4554"/>
    <w:rsid w:val="002E4FF6"/>
    <w:rsid w:val="002E5433"/>
    <w:rsid w:val="002E5723"/>
    <w:rsid w:val="002E5A4D"/>
    <w:rsid w:val="002E5DFF"/>
    <w:rsid w:val="002E5F8B"/>
    <w:rsid w:val="002E617A"/>
    <w:rsid w:val="002E6DD7"/>
    <w:rsid w:val="002E6EAE"/>
    <w:rsid w:val="002E7AB8"/>
    <w:rsid w:val="002E7AEC"/>
    <w:rsid w:val="002E7AF8"/>
    <w:rsid w:val="002E7C68"/>
    <w:rsid w:val="002F1ABD"/>
    <w:rsid w:val="002F23DF"/>
    <w:rsid w:val="002F3A64"/>
    <w:rsid w:val="002F3CC2"/>
    <w:rsid w:val="002F463A"/>
    <w:rsid w:val="002F4696"/>
    <w:rsid w:val="002F4E48"/>
    <w:rsid w:val="002F5246"/>
    <w:rsid w:val="002F52BF"/>
    <w:rsid w:val="002F5B28"/>
    <w:rsid w:val="002F7A6D"/>
    <w:rsid w:val="00300139"/>
    <w:rsid w:val="0030104D"/>
    <w:rsid w:val="00301127"/>
    <w:rsid w:val="0030148F"/>
    <w:rsid w:val="003016DE"/>
    <w:rsid w:val="00302819"/>
    <w:rsid w:val="00303429"/>
    <w:rsid w:val="0030377D"/>
    <w:rsid w:val="003042A2"/>
    <w:rsid w:val="00304747"/>
    <w:rsid w:val="003058BA"/>
    <w:rsid w:val="00305FDD"/>
    <w:rsid w:val="00306432"/>
    <w:rsid w:val="003076A6"/>
    <w:rsid w:val="00307970"/>
    <w:rsid w:val="003103FA"/>
    <w:rsid w:val="00310E6C"/>
    <w:rsid w:val="00311870"/>
    <w:rsid w:val="00311D67"/>
    <w:rsid w:val="0031415B"/>
    <w:rsid w:val="00316EF8"/>
    <w:rsid w:val="00320AD2"/>
    <w:rsid w:val="00320D3C"/>
    <w:rsid w:val="00321EEB"/>
    <w:rsid w:val="00322043"/>
    <w:rsid w:val="003228E9"/>
    <w:rsid w:val="00323BDB"/>
    <w:rsid w:val="00323EEE"/>
    <w:rsid w:val="003245BB"/>
    <w:rsid w:val="00325FA4"/>
    <w:rsid w:val="00326B1D"/>
    <w:rsid w:val="00331D37"/>
    <w:rsid w:val="00332600"/>
    <w:rsid w:val="00333C3F"/>
    <w:rsid w:val="003342BE"/>
    <w:rsid w:val="0033568C"/>
    <w:rsid w:val="00335706"/>
    <w:rsid w:val="00336886"/>
    <w:rsid w:val="00337C93"/>
    <w:rsid w:val="0034073E"/>
    <w:rsid w:val="00340A4C"/>
    <w:rsid w:val="00341D40"/>
    <w:rsid w:val="00342E1E"/>
    <w:rsid w:val="00342E7B"/>
    <w:rsid w:val="00343384"/>
    <w:rsid w:val="0034362B"/>
    <w:rsid w:val="00343988"/>
    <w:rsid w:val="00343B92"/>
    <w:rsid w:val="00343E4F"/>
    <w:rsid w:val="00343E7E"/>
    <w:rsid w:val="0034496A"/>
    <w:rsid w:val="00344AF1"/>
    <w:rsid w:val="00344C0B"/>
    <w:rsid w:val="00344F16"/>
    <w:rsid w:val="00345611"/>
    <w:rsid w:val="00346660"/>
    <w:rsid w:val="00347242"/>
    <w:rsid w:val="00350621"/>
    <w:rsid w:val="00350B9D"/>
    <w:rsid w:val="00354438"/>
    <w:rsid w:val="00356C8A"/>
    <w:rsid w:val="00356EB5"/>
    <w:rsid w:val="003570A8"/>
    <w:rsid w:val="003602D9"/>
    <w:rsid w:val="0036068C"/>
    <w:rsid w:val="00360D5E"/>
    <w:rsid w:val="00361156"/>
    <w:rsid w:val="0036183C"/>
    <w:rsid w:val="003620CA"/>
    <w:rsid w:val="00363182"/>
    <w:rsid w:val="003633F9"/>
    <w:rsid w:val="003638F9"/>
    <w:rsid w:val="00364286"/>
    <w:rsid w:val="003644EF"/>
    <w:rsid w:val="00364E0B"/>
    <w:rsid w:val="00365CF3"/>
    <w:rsid w:val="003660C4"/>
    <w:rsid w:val="00366204"/>
    <w:rsid w:val="003662EE"/>
    <w:rsid w:val="003704A9"/>
    <w:rsid w:val="00371324"/>
    <w:rsid w:val="00371816"/>
    <w:rsid w:val="00372673"/>
    <w:rsid w:val="00374F60"/>
    <w:rsid w:val="00374F89"/>
    <w:rsid w:val="0037584A"/>
    <w:rsid w:val="00375F20"/>
    <w:rsid w:val="00376D1E"/>
    <w:rsid w:val="00376F21"/>
    <w:rsid w:val="00377D78"/>
    <w:rsid w:val="00380326"/>
    <w:rsid w:val="0038045D"/>
    <w:rsid w:val="00380BC8"/>
    <w:rsid w:val="003819F8"/>
    <w:rsid w:val="00381F3E"/>
    <w:rsid w:val="00382E1F"/>
    <w:rsid w:val="00383558"/>
    <w:rsid w:val="003835D8"/>
    <w:rsid w:val="00385083"/>
    <w:rsid w:val="0038590E"/>
    <w:rsid w:val="003912B5"/>
    <w:rsid w:val="00393DE3"/>
    <w:rsid w:val="00393FF7"/>
    <w:rsid w:val="00394164"/>
    <w:rsid w:val="0039430E"/>
    <w:rsid w:val="003946DA"/>
    <w:rsid w:val="0039578C"/>
    <w:rsid w:val="003965E8"/>
    <w:rsid w:val="00397F9B"/>
    <w:rsid w:val="003A1AA7"/>
    <w:rsid w:val="003A33D3"/>
    <w:rsid w:val="003A3C2B"/>
    <w:rsid w:val="003A59E3"/>
    <w:rsid w:val="003A6095"/>
    <w:rsid w:val="003A663A"/>
    <w:rsid w:val="003A7242"/>
    <w:rsid w:val="003A7AE0"/>
    <w:rsid w:val="003B00F8"/>
    <w:rsid w:val="003B0B2A"/>
    <w:rsid w:val="003B12F3"/>
    <w:rsid w:val="003B1880"/>
    <w:rsid w:val="003B1F1F"/>
    <w:rsid w:val="003B2FE3"/>
    <w:rsid w:val="003B523C"/>
    <w:rsid w:val="003B6464"/>
    <w:rsid w:val="003B6619"/>
    <w:rsid w:val="003B6713"/>
    <w:rsid w:val="003B7108"/>
    <w:rsid w:val="003C05BE"/>
    <w:rsid w:val="003C3672"/>
    <w:rsid w:val="003C467B"/>
    <w:rsid w:val="003C468C"/>
    <w:rsid w:val="003C476B"/>
    <w:rsid w:val="003C55CA"/>
    <w:rsid w:val="003C5CCE"/>
    <w:rsid w:val="003C67F1"/>
    <w:rsid w:val="003C6F45"/>
    <w:rsid w:val="003D04C8"/>
    <w:rsid w:val="003D05E9"/>
    <w:rsid w:val="003D0853"/>
    <w:rsid w:val="003D10F5"/>
    <w:rsid w:val="003D1530"/>
    <w:rsid w:val="003D2CA0"/>
    <w:rsid w:val="003D3B9A"/>
    <w:rsid w:val="003D4ABC"/>
    <w:rsid w:val="003D55DF"/>
    <w:rsid w:val="003D5BA3"/>
    <w:rsid w:val="003D5EE9"/>
    <w:rsid w:val="003D716F"/>
    <w:rsid w:val="003D7286"/>
    <w:rsid w:val="003D74B2"/>
    <w:rsid w:val="003E030C"/>
    <w:rsid w:val="003E50D6"/>
    <w:rsid w:val="003E5FCF"/>
    <w:rsid w:val="003E6853"/>
    <w:rsid w:val="003E7615"/>
    <w:rsid w:val="003E7767"/>
    <w:rsid w:val="003F046E"/>
    <w:rsid w:val="003F050D"/>
    <w:rsid w:val="003F07C9"/>
    <w:rsid w:val="003F0DB2"/>
    <w:rsid w:val="003F3787"/>
    <w:rsid w:val="003F3BBC"/>
    <w:rsid w:val="003F4955"/>
    <w:rsid w:val="003F6569"/>
    <w:rsid w:val="003F68C7"/>
    <w:rsid w:val="003F7195"/>
    <w:rsid w:val="003F7268"/>
    <w:rsid w:val="003F78DA"/>
    <w:rsid w:val="004009DF"/>
    <w:rsid w:val="0040100D"/>
    <w:rsid w:val="00401387"/>
    <w:rsid w:val="00401839"/>
    <w:rsid w:val="00402A3A"/>
    <w:rsid w:val="00404543"/>
    <w:rsid w:val="004047D7"/>
    <w:rsid w:val="004053A1"/>
    <w:rsid w:val="0040620C"/>
    <w:rsid w:val="004072C3"/>
    <w:rsid w:val="00407C5B"/>
    <w:rsid w:val="0041262C"/>
    <w:rsid w:val="00412D33"/>
    <w:rsid w:val="00413523"/>
    <w:rsid w:val="004150AB"/>
    <w:rsid w:val="0041515B"/>
    <w:rsid w:val="00415318"/>
    <w:rsid w:val="00415B8A"/>
    <w:rsid w:val="00416520"/>
    <w:rsid w:val="00416D3C"/>
    <w:rsid w:val="004178B9"/>
    <w:rsid w:val="00420FED"/>
    <w:rsid w:val="00421D62"/>
    <w:rsid w:val="004226E4"/>
    <w:rsid w:val="00424759"/>
    <w:rsid w:val="00424F72"/>
    <w:rsid w:val="00425CD0"/>
    <w:rsid w:val="00425DA3"/>
    <w:rsid w:val="00427458"/>
    <w:rsid w:val="00427FE1"/>
    <w:rsid w:val="00430532"/>
    <w:rsid w:val="00431914"/>
    <w:rsid w:val="00433B6F"/>
    <w:rsid w:val="00433BF7"/>
    <w:rsid w:val="00433E88"/>
    <w:rsid w:val="00433ED0"/>
    <w:rsid w:val="00434EDB"/>
    <w:rsid w:val="00440A58"/>
    <w:rsid w:val="00440A82"/>
    <w:rsid w:val="00440B5D"/>
    <w:rsid w:val="00441A1C"/>
    <w:rsid w:val="00442E37"/>
    <w:rsid w:val="004444A9"/>
    <w:rsid w:val="00444A33"/>
    <w:rsid w:val="00444A48"/>
    <w:rsid w:val="0045047A"/>
    <w:rsid w:val="0045239F"/>
    <w:rsid w:val="0045302A"/>
    <w:rsid w:val="004536D2"/>
    <w:rsid w:val="004546D1"/>
    <w:rsid w:val="00454EE1"/>
    <w:rsid w:val="00455344"/>
    <w:rsid w:val="00455B42"/>
    <w:rsid w:val="00456E3E"/>
    <w:rsid w:val="004604FC"/>
    <w:rsid w:val="0046175C"/>
    <w:rsid w:val="00461795"/>
    <w:rsid w:val="0046207B"/>
    <w:rsid w:val="00462157"/>
    <w:rsid w:val="0046350D"/>
    <w:rsid w:val="00463C03"/>
    <w:rsid w:val="00463D97"/>
    <w:rsid w:val="00466652"/>
    <w:rsid w:val="00466886"/>
    <w:rsid w:val="00466D53"/>
    <w:rsid w:val="00467278"/>
    <w:rsid w:val="00467AFA"/>
    <w:rsid w:val="004702DE"/>
    <w:rsid w:val="004717FA"/>
    <w:rsid w:val="0047285E"/>
    <w:rsid w:val="0047348C"/>
    <w:rsid w:val="0047376F"/>
    <w:rsid w:val="004739C5"/>
    <w:rsid w:val="00476099"/>
    <w:rsid w:val="00476D5D"/>
    <w:rsid w:val="004819DA"/>
    <w:rsid w:val="00481C1F"/>
    <w:rsid w:val="00481CA6"/>
    <w:rsid w:val="004822FD"/>
    <w:rsid w:val="00484B45"/>
    <w:rsid w:val="00485B2E"/>
    <w:rsid w:val="00485BAE"/>
    <w:rsid w:val="004861E6"/>
    <w:rsid w:val="00486833"/>
    <w:rsid w:val="00487138"/>
    <w:rsid w:val="00487218"/>
    <w:rsid w:val="00487418"/>
    <w:rsid w:val="00487584"/>
    <w:rsid w:val="00487708"/>
    <w:rsid w:val="00487A00"/>
    <w:rsid w:val="00487CC4"/>
    <w:rsid w:val="00487E09"/>
    <w:rsid w:val="004937DF"/>
    <w:rsid w:val="00495CA5"/>
    <w:rsid w:val="00496D85"/>
    <w:rsid w:val="0049711F"/>
    <w:rsid w:val="00497138"/>
    <w:rsid w:val="004972F9"/>
    <w:rsid w:val="004A21A1"/>
    <w:rsid w:val="004A3159"/>
    <w:rsid w:val="004A404F"/>
    <w:rsid w:val="004A45EC"/>
    <w:rsid w:val="004A5B26"/>
    <w:rsid w:val="004A691D"/>
    <w:rsid w:val="004A6CE9"/>
    <w:rsid w:val="004A7790"/>
    <w:rsid w:val="004A7C81"/>
    <w:rsid w:val="004B011F"/>
    <w:rsid w:val="004B0CDA"/>
    <w:rsid w:val="004B2651"/>
    <w:rsid w:val="004B606E"/>
    <w:rsid w:val="004C05FC"/>
    <w:rsid w:val="004C1328"/>
    <w:rsid w:val="004C1FCB"/>
    <w:rsid w:val="004C2BCF"/>
    <w:rsid w:val="004C2DD6"/>
    <w:rsid w:val="004C3EC7"/>
    <w:rsid w:val="004C5589"/>
    <w:rsid w:val="004C58EC"/>
    <w:rsid w:val="004C5944"/>
    <w:rsid w:val="004C5C2D"/>
    <w:rsid w:val="004C63EB"/>
    <w:rsid w:val="004D0A36"/>
    <w:rsid w:val="004D1D57"/>
    <w:rsid w:val="004D1EF1"/>
    <w:rsid w:val="004D2073"/>
    <w:rsid w:val="004D2938"/>
    <w:rsid w:val="004D3D62"/>
    <w:rsid w:val="004D452F"/>
    <w:rsid w:val="004D5F44"/>
    <w:rsid w:val="004D6EDD"/>
    <w:rsid w:val="004D6EED"/>
    <w:rsid w:val="004D7B53"/>
    <w:rsid w:val="004D7BAE"/>
    <w:rsid w:val="004E2A8C"/>
    <w:rsid w:val="004E2AA2"/>
    <w:rsid w:val="004E2C3A"/>
    <w:rsid w:val="004E2EB4"/>
    <w:rsid w:val="004E2FAA"/>
    <w:rsid w:val="004E370D"/>
    <w:rsid w:val="004E57DE"/>
    <w:rsid w:val="004E5B11"/>
    <w:rsid w:val="004E6D52"/>
    <w:rsid w:val="004E6DC0"/>
    <w:rsid w:val="004E7086"/>
    <w:rsid w:val="004F1720"/>
    <w:rsid w:val="004F2706"/>
    <w:rsid w:val="004F2D06"/>
    <w:rsid w:val="004F46E4"/>
    <w:rsid w:val="004F4F92"/>
    <w:rsid w:val="004F5467"/>
    <w:rsid w:val="004F5C85"/>
    <w:rsid w:val="004F70E1"/>
    <w:rsid w:val="00500327"/>
    <w:rsid w:val="00500410"/>
    <w:rsid w:val="00500C3A"/>
    <w:rsid w:val="00501166"/>
    <w:rsid w:val="005024AE"/>
    <w:rsid w:val="00502C3F"/>
    <w:rsid w:val="005033BC"/>
    <w:rsid w:val="005038B3"/>
    <w:rsid w:val="00504EB9"/>
    <w:rsid w:val="00505D63"/>
    <w:rsid w:val="00506753"/>
    <w:rsid w:val="005075E2"/>
    <w:rsid w:val="0051127E"/>
    <w:rsid w:val="005112C7"/>
    <w:rsid w:val="005115F7"/>
    <w:rsid w:val="005117EA"/>
    <w:rsid w:val="00512B2A"/>
    <w:rsid w:val="00513036"/>
    <w:rsid w:val="0051330A"/>
    <w:rsid w:val="00513403"/>
    <w:rsid w:val="0051370E"/>
    <w:rsid w:val="0051476D"/>
    <w:rsid w:val="00514A62"/>
    <w:rsid w:val="00515B04"/>
    <w:rsid w:val="00515CFB"/>
    <w:rsid w:val="00516141"/>
    <w:rsid w:val="00516292"/>
    <w:rsid w:val="00516320"/>
    <w:rsid w:val="0051692C"/>
    <w:rsid w:val="005217D7"/>
    <w:rsid w:val="005224A6"/>
    <w:rsid w:val="005228D1"/>
    <w:rsid w:val="00525846"/>
    <w:rsid w:val="00525E4D"/>
    <w:rsid w:val="00525E6C"/>
    <w:rsid w:val="00526F5C"/>
    <w:rsid w:val="00526FED"/>
    <w:rsid w:val="00527DBC"/>
    <w:rsid w:val="00530C5A"/>
    <w:rsid w:val="00530C60"/>
    <w:rsid w:val="00530E13"/>
    <w:rsid w:val="00532F3F"/>
    <w:rsid w:val="00534398"/>
    <w:rsid w:val="00534EAB"/>
    <w:rsid w:val="005360CF"/>
    <w:rsid w:val="00536A93"/>
    <w:rsid w:val="00536DBB"/>
    <w:rsid w:val="00537485"/>
    <w:rsid w:val="0054008F"/>
    <w:rsid w:val="00541151"/>
    <w:rsid w:val="00541733"/>
    <w:rsid w:val="00543B65"/>
    <w:rsid w:val="00543EF8"/>
    <w:rsid w:val="00544669"/>
    <w:rsid w:val="00544D7F"/>
    <w:rsid w:val="00544E96"/>
    <w:rsid w:val="0054554A"/>
    <w:rsid w:val="0054644C"/>
    <w:rsid w:val="00546BF8"/>
    <w:rsid w:val="00546CF4"/>
    <w:rsid w:val="00546D87"/>
    <w:rsid w:val="005471A6"/>
    <w:rsid w:val="0054727A"/>
    <w:rsid w:val="00547401"/>
    <w:rsid w:val="00547A83"/>
    <w:rsid w:val="00550120"/>
    <w:rsid w:val="0055049C"/>
    <w:rsid w:val="00550801"/>
    <w:rsid w:val="00550A71"/>
    <w:rsid w:val="00551BD1"/>
    <w:rsid w:val="00552A34"/>
    <w:rsid w:val="00553718"/>
    <w:rsid w:val="00553F1E"/>
    <w:rsid w:val="00554BDA"/>
    <w:rsid w:val="00555086"/>
    <w:rsid w:val="00555133"/>
    <w:rsid w:val="00555C17"/>
    <w:rsid w:val="00556901"/>
    <w:rsid w:val="00556C74"/>
    <w:rsid w:val="00556D8B"/>
    <w:rsid w:val="00557F88"/>
    <w:rsid w:val="005608E9"/>
    <w:rsid w:val="00561374"/>
    <w:rsid w:val="00561DC1"/>
    <w:rsid w:val="0056204F"/>
    <w:rsid w:val="0056244A"/>
    <w:rsid w:val="00563AC6"/>
    <w:rsid w:val="00563BBF"/>
    <w:rsid w:val="0056558E"/>
    <w:rsid w:val="00565C5A"/>
    <w:rsid w:val="00565FD5"/>
    <w:rsid w:val="00566C5A"/>
    <w:rsid w:val="00566D78"/>
    <w:rsid w:val="00566E48"/>
    <w:rsid w:val="005700FD"/>
    <w:rsid w:val="00570A25"/>
    <w:rsid w:val="00571E07"/>
    <w:rsid w:val="0057286E"/>
    <w:rsid w:val="00573D73"/>
    <w:rsid w:val="00574099"/>
    <w:rsid w:val="00575DF3"/>
    <w:rsid w:val="005764C4"/>
    <w:rsid w:val="005764E6"/>
    <w:rsid w:val="00576745"/>
    <w:rsid w:val="00577264"/>
    <w:rsid w:val="00577B03"/>
    <w:rsid w:val="00580057"/>
    <w:rsid w:val="005804CA"/>
    <w:rsid w:val="005809EC"/>
    <w:rsid w:val="00580D03"/>
    <w:rsid w:val="00582793"/>
    <w:rsid w:val="00582EBA"/>
    <w:rsid w:val="00583BB3"/>
    <w:rsid w:val="005845BE"/>
    <w:rsid w:val="00584E89"/>
    <w:rsid w:val="005854CC"/>
    <w:rsid w:val="0058769A"/>
    <w:rsid w:val="00587963"/>
    <w:rsid w:val="00587A03"/>
    <w:rsid w:val="00587D69"/>
    <w:rsid w:val="005905BC"/>
    <w:rsid w:val="0059105C"/>
    <w:rsid w:val="005919A8"/>
    <w:rsid w:val="005938FF"/>
    <w:rsid w:val="0059413B"/>
    <w:rsid w:val="005949AE"/>
    <w:rsid w:val="00595648"/>
    <w:rsid w:val="00596368"/>
    <w:rsid w:val="005A09FB"/>
    <w:rsid w:val="005A1917"/>
    <w:rsid w:val="005A24C8"/>
    <w:rsid w:val="005A4E85"/>
    <w:rsid w:val="005A5A48"/>
    <w:rsid w:val="005A5EB6"/>
    <w:rsid w:val="005A7309"/>
    <w:rsid w:val="005B00AB"/>
    <w:rsid w:val="005B0ABF"/>
    <w:rsid w:val="005B0DDB"/>
    <w:rsid w:val="005B0E03"/>
    <w:rsid w:val="005B2CF1"/>
    <w:rsid w:val="005B3642"/>
    <w:rsid w:val="005B3BCC"/>
    <w:rsid w:val="005B3FEE"/>
    <w:rsid w:val="005B48E1"/>
    <w:rsid w:val="005B65AE"/>
    <w:rsid w:val="005B6850"/>
    <w:rsid w:val="005B752C"/>
    <w:rsid w:val="005B7FF7"/>
    <w:rsid w:val="005C0692"/>
    <w:rsid w:val="005C06BE"/>
    <w:rsid w:val="005C090A"/>
    <w:rsid w:val="005C0C27"/>
    <w:rsid w:val="005C0C30"/>
    <w:rsid w:val="005C16A4"/>
    <w:rsid w:val="005C1FA6"/>
    <w:rsid w:val="005C2CCD"/>
    <w:rsid w:val="005C33E0"/>
    <w:rsid w:val="005C3582"/>
    <w:rsid w:val="005C47FC"/>
    <w:rsid w:val="005C4831"/>
    <w:rsid w:val="005C5866"/>
    <w:rsid w:val="005C5B73"/>
    <w:rsid w:val="005C6516"/>
    <w:rsid w:val="005C6F11"/>
    <w:rsid w:val="005C7BEF"/>
    <w:rsid w:val="005C7D18"/>
    <w:rsid w:val="005D07AA"/>
    <w:rsid w:val="005D1A93"/>
    <w:rsid w:val="005D25CA"/>
    <w:rsid w:val="005D365E"/>
    <w:rsid w:val="005D46E0"/>
    <w:rsid w:val="005D47A1"/>
    <w:rsid w:val="005D4A3C"/>
    <w:rsid w:val="005D6172"/>
    <w:rsid w:val="005D6D86"/>
    <w:rsid w:val="005D7D6B"/>
    <w:rsid w:val="005E0951"/>
    <w:rsid w:val="005E11F6"/>
    <w:rsid w:val="005E13ED"/>
    <w:rsid w:val="005E3661"/>
    <w:rsid w:val="005E3F7E"/>
    <w:rsid w:val="005E48CB"/>
    <w:rsid w:val="005E4C59"/>
    <w:rsid w:val="005E6F57"/>
    <w:rsid w:val="005E790D"/>
    <w:rsid w:val="005F005E"/>
    <w:rsid w:val="005F04E4"/>
    <w:rsid w:val="005F095E"/>
    <w:rsid w:val="005F153F"/>
    <w:rsid w:val="005F1DAE"/>
    <w:rsid w:val="005F20AF"/>
    <w:rsid w:val="005F733D"/>
    <w:rsid w:val="005F744C"/>
    <w:rsid w:val="00600310"/>
    <w:rsid w:val="00600366"/>
    <w:rsid w:val="0060036D"/>
    <w:rsid w:val="00600473"/>
    <w:rsid w:val="00600CD8"/>
    <w:rsid w:val="00600F24"/>
    <w:rsid w:val="0060159F"/>
    <w:rsid w:val="00601CD6"/>
    <w:rsid w:val="00601CE4"/>
    <w:rsid w:val="006039EB"/>
    <w:rsid w:val="00604695"/>
    <w:rsid w:val="00604CDA"/>
    <w:rsid w:val="006071F1"/>
    <w:rsid w:val="0060735C"/>
    <w:rsid w:val="00607A8E"/>
    <w:rsid w:val="006132C2"/>
    <w:rsid w:val="0061510F"/>
    <w:rsid w:val="00615876"/>
    <w:rsid w:val="00615C66"/>
    <w:rsid w:val="0061746E"/>
    <w:rsid w:val="00617C38"/>
    <w:rsid w:val="00620734"/>
    <w:rsid w:val="0062136F"/>
    <w:rsid w:val="0062150B"/>
    <w:rsid w:val="006219BC"/>
    <w:rsid w:val="00621D59"/>
    <w:rsid w:val="00625571"/>
    <w:rsid w:val="0062641E"/>
    <w:rsid w:val="0063111D"/>
    <w:rsid w:val="0063356F"/>
    <w:rsid w:val="0063461E"/>
    <w:rsid w:val="00634DDE"/>
    <w:rsid w:val="00636B5B"/>
    <w:rsid w:val="00636BE0"/>
    <w:rsid w:val="00636E50"/>
    <w:rsid w:val="00637403"/>
    <w:rsid w:val="00637C4B"/>
    <w:rsid w:val="006405DD"/>
    <w:rsid w:val="006422A3"/>
    <w:rsid w:val="0064276C"/>
    <w:rsid w:val="00642E65"/>
    <w:rsid w:val="00643801"/>
    <w:rsid w:val="00645459"/>
    <w:rsid w:val="00645488"/>
    <w:rsid w:val="00645E15"/>
    <w:rsid w:val="0064604F"/>
    <w:rsid w:val="00646505"/>
    <w:rsid w:val="0064768D"/>
    <w:rsid w:val="006507AC"/>
    <w:rsid w:val="006513DD"/>
    <w:rsid w:val="00651E2D"/>
    <w:rsid w:val="00652049"/>
    <w:rsid w:val="0065265E"/>
    <w:rsid w:val="00653960"/>
    <w:rsid w:val="006540C1"/>
    <w:rsid w:val="00655BE4"/>
    <w:rsid w:val="00655EED"/>
    <w:rsid w:val="00656B6C"/>
    <w:rsid w:val="0065735D"/>
    <w:rsid w:val="006579D1"/>
    <w:rsid w:val="00657C23"/>
    <w:rsid w:val="006610D9"/>
    <w:rsid w:val="006628CE"/>
    <w:rsid w:val="00662C39"/>
    <w:rsid w:val="00662D55"/>
    <w:rsid w:val="0066374E"/>
    <w:rsid w:val="0066395D"/>
    <w:rsid w:val="006646C8"/>
    <w:rsid w:val="00664CF4"/>
    <w:rsid w:val="00665451"/>
    <w:rsid w:val="006665EB"/>
    <w:rsid w:val="0067024E"/>
    <w:rsid w:val="0067037D"/>
    <w:rsid w:val="0067100F"/>
    <w:rsid w:val="00672B3E"/>
    <w:rsid w:val="00673F7A"/>
    <w:rsid w:val="00674A08"/>
    <w:rsid w:val="00675169"/>
    <w:rsid w:val="00676C41"/>
    <w:rsid w:val="00676F4C"/>
    <w:rsid w:val="00677067"/>
    <w:rsid w:val="00677D0D"/>
    <w:rsid w:val="00680365"/>
    <w:rsid w:val="00681494"/>
    <w:rsid w:val="00681674"/>
    <w:rsid w:val="00681894"/>
    <w:rsid w:val="006868A3"/>
    <w:rsid w:val="00687713"/>
    <w:rsid w:val="00687A17"/>
    <w:rsid w:val="0069032F"/>
    <w:rsid w:val="00690B50"/>
    <w:rsid w:val="00692B70"/>
    <w:rsid w:val="006934DC"/>
    <w:rsid w:val="00694BE7"/>
    <w:rsid w:val="00695105"/>
    <w:rsid w:val="006969D0"/>
    <w:rsid w:val="00696D06"/>
    <w:rsid w:val="0069724A"/>
    <w:rsid w:val="00697359"/>
    <w:rsid w:val="00697978"/>
    <w:rsid w:val="00697FA2"/>
    <w:rsid w:val="006A0292"/>
    <w:rsid w:val="006A1E59"/>
    <w:rsid w:val="006A20CA"/>
    <w:rsid w:val="006A233F"/>
    <w:rsid w:val="006A235E"/>
    <w:rsid w:val="006A241A"/>
    <w:rsid w:val="006A26F1"/>
    <w:rsid w:val="006A3BFF"/>
    <w:rsid w:val="006A42CD"/>
    <w:rsid w:val="006A45B6"/>
    <w:rsid w:val="006A4D77"/>
    <w:rsid w:val="006A4FB3"/>
    <w:rsid w:val="006A540D"/>
    <w:rsid w:val="006A5EE7"/>
    <w:rsid w:val="006A5F6A"/>
    <w:rsid w:val="006A64D8"/>
    <w:rsid w:val="006A68B4"/>
    <w:rsid w:val="006A6F33"/>
    <w:rsid w:val="006A6F5F"/>
    <w:rsid w:val="006A7AEB"/>
    <w:rsid w:val="006B03E5"/>
    <w:rsid w:val="006B0738"/>
    <w:rsid w:val="006B07A6"/>
    <w:rsid w:val="006B0B3B"/>
    <w:rsid w:val="006B1C85"/>
    <w:rsid w:val="006B3C4A"/>
    <w:rsid w:val="006B3F76"/>
    <w:rsid w:val="006B51BB"/>
    <w:rsid w:val="006B551E"/>
    <w:rsid w:val="006B6713"/>
    <w:rsid w:val="006B6F39"/>
    <w:rsid w:val="006C058D"/>
    <w:rsid w:val="006C0E7F"/>
    <w:rsid w:val="006C2A9B"/>
    <w:rsid w:val="006C2D05"/>
    <w:rsid w:val="006C2EC7"/>
    <w:rsid w:val="006C388A"/>
    <w:rsid w:val="006C3A56"/>
    <w:rsid w:val="006C4096"/>
    <w:rsid w:val="006C4401"/>
    <w:rsid w:val="006C4602"/>
    <w:rsid w:val="006C562A"/>
    <w:rsid w:val="006C592C"/>
    <w:rsid w:val="006C6710"/>
    <w:rsid w:val="006C795E"/>
    <w:rsid w:val="006D086F"/>
    <w:rsid w:val="006D0BDF"/>
    <w:rsid w:val="006D17E8"/>
    <w:rsid w:val="006D1F37"/>
    <w:rsid w:val="006D2469"/>
    <w:rsid w:val="006D36A3"/>
    <w:rsid w:val="006D3A5B"/>
    <w:rsid w:val="006D3D7C"/>
    <w:rsid w:val="006D4142"/>
    <w:rsid w:val="006D4B12"/>
    <w:rsid w:val="006D58C7"/>
    <w:rsid w:val="006D5C7E"/>
    <w:rsid w:val="006D6BA9"/>
    <w:rsid w:val="006D7082"/>
    <w:rsid w:val="006D7B7C"/>
    <w:rsid w:val="006D7D6A"/>
    <w:rsid w:val="006E10F1"/>
    <w:rsid w:val="006E4057"/>
    <w:rsid w:val="006E46F2"/>
    <w:rsid w:val="006E4E12"/>
    <w:rsid w:val="006E5B97"/>
    <w:rsid w:val="006E60C4"/>
    <w:rsid w:val="006E6518"/>
    <w:rsid w:val="006E76A9"/>
    <w:rsid w:val="006E7BE3"/>
    <w:rsid w:val="006F0C02"/>
    <w:rsid w:val="006F120F"/>
    <w:rsid w:val="006F200F"/>
    <w:rsid w:val="006F2457"/>
    <w:rsid w:val="006F2691"/>
    <w:rsid w:val="006F2C72"/>
    <w:rsid w:val="006F3892"/>
    <w:rsid w:val="006F444D"/>
    <w:rsid w:val="006F5E50"/>
    <w:rsid w:val="00701103"/>
    <w:rsid w:val="00702E93"/>
    <w:rsid w:val="0070393F"/>
    <w:rsid w:val="00705146"/>
    <w:rsid w:val="00706A2C"/>
    <w:rsid w:val="0070781D"/>
    <w:rsid w:val="00707E7E"/>
    <w:rsid w:val="007100E3"/>
    <w:rsid w:val="00710BC0"/>
    <w:rsid w:val="007113D1"/>
    <w:rsid w:val="00711AF1"/>
    <w:rsid w:val="00711B22"/>
    <w:rsid w:val="00712953"/>
    <w:rsid w:val="00712B02"/>
    <w:rsid w:val="00714FA4"/>
    <w:rsid w:val="0071546B"/>
    <w:rsid w:val="0071660F"/>
    <w:rsid w:val="00716D3E"/>
    <w:rsid w:val="00717C12"/>
    <w:rsid w:val="00720AD9"/>
    <w:rsid w:val="0072165A"/>
    <w:rsid w:val="0072277C"/>
    <w:rsid w:val="007229E4"/>
    <w:rsid w:val="00724038"/>
    <w:rsid w:val="007253FC"/>
    <w:rsid w:val="007263F0"/>
    <w:rsid w:val="0072732E"/>
    <w:rsid w:val="00731421"/>
    <w:rsid w:val="0073279D"/>
    <w:rsid w:val="007328E5"/>
    <w:rsid w:val="0073376E"/>
    <w:rsid w:val="007338F3"/>
    <w:rsid w:val="00733FEB"/>
    <w:rsid w:val="00734152"/>
    <w:rsid w:val="00734EAC"/>
    <w:rsid w:val="007351DF"/>
    <w:rsid w:val="0073552D"/>
    <w:rsid w:val="007368FD"/>
    <w:rsid w:val="007376CD"/>
    <w:rsid w:val="0073778B"/>
    <w:rsid w:val="00737D33"/>
    <w:rsid w:val="0074088D"/>
    <w:rsid w:val="00741F07"/>
    <w:rsid w:val="00741FED"/>
    <w:rsid w:val="00743033"/>
    <w:rsid w:val="007447F4"/>
    <w:rsid w:val="0074508E"/>
    <w:rsid w:val="0074513D"/>
    <w:rsid w:val="0074539F"/>
    <w:rsid w:val="007472A3"/>
    <w:rsid w:val="007477C5"/>
    <w:rsid w:val="00750136"/>
    <w:rsid w:val="007516F4"/>
    <w:rsid w:val="00751A00"/>
    <w:rsid w:val="00751B8B"/>
    <w:rsid w:val="00752185"/>
    <w:rsid w:val="00752BAB"/>
    <w:rsid w:val="00753DC3"/>
    <w:rsid w:val="0075637D"/>
    <w:rsid w:val="007566B3"/>
    <w:rsid w:val="00756F69"/>
    <w:rsid w:val="0075765F"/>
    <w:rsid w:val="007604B1"/>
    <w:rsid w:val="00760BE9"/>
    <w:rsid w:val="00761077"/>
    <w:rsid w:val="007619CB"/>
    <w:rsid w:val="00762360"/>
    <w:rsid w:val="00762756"/>
    <w:rsid w:val="00762B3E"/>
    <w:rsid w:val="00762DBD"/>
    <w:rsid w:val="007630EB"/>
    <w:rsid w:val="00763D4A"/>
    <w:rsid w:val="00764C55"/>
    <w:rsid w:val="00764E29"/>
    <w:rsid w:val="00767386"/>
    <w:rsid w:val="00767949"/>
    <w:rsid w:val="00770D0B"/>
    <w:rsid w:val="00771429"/>
    <w:rsid w:val="007718D2"/>
    <w:rsid w:val="007722FF"/>
    <w:rsid w:val="00773C94"/>
    <w:rsid w:val="00775288"/>
    <w:rsid w:val="007756A1"/>
    <w:rsid w:val="00776080"/>
    <w:rsid w:val="0077753A"/>
    <w:rsid w:val="00777B23"/>
    <w:rsid w:val="00777C4B"/>
    <w:rsid w:val="007812BC"/>
    <w:rsid w:val="0078155F"/>
    <w:rsid w:val="00782BBB"/>
    <w:rsid w:val="00783314"/>
    <w:rsid w:val="00783556"/>
    <w:rsid w:val="00786609"/>
    <w:rsid w:val="00786FAB"/>
    <w:rsid w:val="00787675"/>
    <w:rsid w:val="00787E0A"/>
    <w:rsid w:val="007907E9"/>
    <w:rsid w:val="00790B68"/>
    <w:rsid w:val="00790E5B"/>
    <w:rsid w:val="007923A6"/>
    <w:rsid w:val="00792B54"/>
    <w:rsid w:val="0079384E"/>
    <w:rsid w:val="00793B13"/>
    <w:rsid w:val="00794006"/>
    <w:rsid w:val="00794E97"/>
    <w:rsid w:val="00795629"/>
    <w:rsid w:val="007956D5"/>
    <w:rsid w:val="00795A24"/>
    <w:rsid w:val="0079644E"/>
    <w:rsid w:val="007966DB"/>
    <w:rsid w:val="0079753B"/>
    <w:rsid w:val="00797617"/>
    <w:rsid w:val="00797EEA"/>
    <w:rsid w:val="007A01CE"/>
    <w:rsid w:val="007A17BC"/>
    <w:rsid w:val="007A2C20"/>
    <w:rsid w:val="007A37A0"/>
    <w:rsid w:val="007A386C"/>
    <w:rsid w:val="007A4448"/>
    <w:rsid w:val="007A51A5"/>
    <w:rsid w:val="007A6117"/>
    <w:rsid w:val="007A67A4"/>
    <w:rsid w:val="007A7B7C"/>
    <w:rsid w:val="007A7D64"/>
    <w:rsid w:val="007B009A"/>
    <w:rsid w:val="007B0620"/>
    <w:rsid w:val="007B1D46"/>
    <w:rsid w:val="007B2EA9"/>
    <w:rsid w:val="007B34A1"/>
    <w:rsid w:val="007B3BFA"/>
    <w:rsid w:val="007B4795"/>
    <w:rsid w:val="007B5578"/>
    <w:rsid w:val="007B567A"/>
    <w:rsid w:val="007B61D6"/>
    <w:rsid w:val="007B6BE2"/>
    <w:rsid w:val="007B77A9"/>
    <w:rsid w:val="007B7D16"/>
    <w:rsid w:val="007C015B"/>
    <w:rsid w:val="007C0308"/>
    <w:rsid w:val="007C06BF"/>
    <w:rsid w:val="007C0F91"/>
    <w:rsid w:val="007C103D"/>
    <w:rsid w:val="007C3814"/>
    <w:rsid w:val="007C385C"/>
    <w:rsid w:val="007C3A28"/>
    <w:rsid w:val="007C3BBE"/>
    <w:rsid w:val="007C3C8D"/>
    <w:rsid w:val="007C40A4"/>
    <w:rsid w:val="007C4AD2"/>
    <w:rsid w:val="007C5164"/>
    <w:rsid w:val="007C5AD6"/>
    <w:rsid w:val="007C5DFF"/>
    <w:rsid w:val="007C6FCC"/>
    <w:rsid w:val="007C72D8"/>
    <w:rsid w:val="007C7331"/>
    <w:rsid w:val="007D04DF"/>
    <w:rsid w:val="007D21B3"/>
    <w:rsid w:val="007D24BE"/>
    <w:rsid w:val="007D2911"/>
    <w:rsid w:val="007D2B98"/>
    <w:rsid w:val="007D3242"/>
    <w:rsid w:val="007D3718"/>
    <w:rsid w:val="007D3BC5"/>
    <w:rsid w:val="007D4966"/>
    <w:rsid w:val="007D4C23"/>
    <w:rsid w:val="007D4ECD"/>
    <w:rsid w:val="007D6AC6"/>
    <w:rsid w:val="007D6B90"/>
    <w:rsid w:val="007D79AA"/>
    <w:rsid w:val="007E0F2B"/>
    <w:rsid w:val="007E14A7"/>
    <w:rsid w:val="007E187D"/>
    <w:rsid w:val="007E2246"/>
    <w:rsid w:val="007E2937"/>
    <w:rsid w:val="007E2CC1"/>
    <w:rsid w:val="007E324F"/>
    <w:rsid w:val="007E3855"/>
    <w:rsid w:val="007E41BB"/>
    <w:rsid w:val="007E4E33"/>
    <w:rsid w:val="007E57EC"/>
    <w:rsid w:val="007E7561"/>
    <w:rsid w:val="007E75D5"/>
    <w:rsid w:val="007E7D57"/>
    <w:rsid w:val="007E7E27"/>
    <w:rsid w:val="007E7E9D"/>
    <w:rsid w:val="007F0606"/>
    <w:rsid w:val="007F0E50"/>
    <w:rsid w:val="007F147C"/>
    <w:rsid w:val="007F1C45"/>
    <w:rsid w:val="007F2A26"/>
    <w:rsid w:val="007F2C82"/>
    <w:rsid w:val="007F2DF2"/>
    <w:rsid w:val="007F2FC8"/>
    <w:rsid w:val="007F4013"/>
    <w:rsid w:val="007F620B"/>
    <w:rsid w:val="007F622A"/>
    <w:rsid w:val="007F6688"/>
    <w:rsid w:val="007F6FEF"/>
    <w:rsid w:val="007F73B2"/>
    <w:rsid w:val="00800791"/>
    <w:rsid w:val="00800935"/>
    <w:rsid w:val="00801F0C"/>
    <w:rsid w:val="008025B2"/>
    <w:rsid w:val="00802CBA"/>
    <w:rsid w:val="00803A08"/>
    <w:rsid w:val="00803A84"/>
    <w:rsid w:val="008042B0"/>
    <w:rsid w:val="00804D24"/>
    <w:rsid w:val="00804F0B"/>
    <w:rsid w:val="00805AE3"/>
    <w:rsid w:val="008071F5"/>
    <w:rsid w:val="008078AC"/>
    <w:rsid w:val="00810256"/>
    <w:rsid w:val="0081078E"/>
    <w:rsid w:val="008134A6"/>
    <w:rsid w:val="0081511F"/>
    <w:rsid w:val="00815798"/>
    <w:rsid w:val="00815BED"/>
    <w:rsid w:val="00815F32"/>
    <w:rsid w:val="00816D19"/>
    <w:rsid w:val="00817897"/>
    <w:rsid w:val="00817A08"/>
    <w:rsid w:val="00822577"/>
    <w:rsid w:val="0082278F"/>
    <w:rsid w:val="00822C2D"/>
    <w:rsid w:val="00823B59"/>
    <w:rsid w:val="00826432"/>
    <w:rsid w:val="00826D04"/>
    <w:rsid w:val="00826EB0"/>
    <w:rsid w:val="008272F8"/>
    <w:rsid w:val="00827FAE"/>
    <w:rsid w:val="00830676"/>
    <w:rsid w:val="008306A3"/>
    <w:rsid w:val="008328E9"/>
    <w:rsid w:val="00832B5F"/>
    <w:rsid w:val="008348DF"/>
    <w:rsid w:val="0083645C"/>
    <w:rsid w:val="008366C8"/>
    <w:rsid w:val="00837473"/>
    <w:rsid w:val="008377FF"/>
    <w:rsid w:val="00837A9E"/>
    <w:rsid w:val="00837AC5"/>
    <w:rsid w:val="00837DAD"/>
    <w:rsid w:val="00840DB0"/>
    <w:rsid w:val="008413BC"/>
    <w:rsid w:val="00841C52"/>
    <w:rsid w:val="00843116"/>
    <w:rsid w:val="00843FD4"/>
    <w:rsid w:val="00844422"/>
    <w:rsid w:val="0084504D"/>
    <w:rsid w:val="008460F2"/>
    <w:rsid w:val="00847840"/>
    <w:rsid w:val="008478C3"/>
    <w:rsid w:val="00847B5F"/>
    <w:rsid w:val="008505A1"/>
    <w:rsid w:val="00850696"/>
    <w:rsid w:val="00852621"/>
    <w:rsid w:val="00852ACD"/>
    <w:rsid w:val="008530C2"/>
    <w:rsid w:val="008543F7"/>
    <w:rsid w:val="00855E4F"/>
    <w:rsid w:val="008562BB"/>
    <w:rsid w:val="008564A6"/>
    <w:rsid w:val="008565CD"/>
    <w:rsid w:val="008573E7"/>
    <w:rsid w:val="00860B8B"/>
    <w:rsid w:val="00860CC7"/>
    <w:rsid w:val="008611DA"/>
    <w:rsid w:val="0086135E"/>
    <w:rsid w:val="00861406"/>
    <w:rsid w:val="00862F6C"/>
    <w:rsid w:val="008641B0"/>
    <w:rsid w:val="00865228"/>
    <w:rsid w:val="008656F9"/>
    <w:rsid w:val="00866BE7"/>
    <w:rsid w:val="0086774D"/>
    <w:rsid w:val="00867EB9"/>
    <w:rsid w:val="0087026B"/>
    <w:rsid w:val="00870411"/>
    <w:rsid w:val="0087148A"/>
    <w:rsid w:val="00873C76"/>
    <w:rsid w:val="00874551"/>
    <w:rsid w:val="00874E07"/>
    <w:rsid w:val="00875673"/>
    <w:rsid w:val="00875AEC"/>
    <w:rsid w:val="00875FB3"/>
    <w:rsid w:val="00876310"/>
    <w:rsid w:val="00876479"/>
    <w:rsid w:val="00877346"/>
    <w:rsid w:val="00880033"/>
    <w:rsid w:val="008801FF"/>
    <w:rsid w:val="00880B65"/>
    <w:rsid w:val="00880E93"/>
    <w:rsid w:val="008824ED"/>
    <w:rsid w:val="008829A6"/>
    <w:rsid w:val="008829BF"/>
    <w:rsid w:val="00883AE8"/>
    <w:rsid w:val="0088418C"/>
    <w:rsid w:val="0088447B"/>
    <w:rsid w:val="00884E42"/>
    <w:rsid w:val="00884F28"/>
    <w:rsid w:val="008873A7"/>
    <w:rsid w:val="00887866"/>
    <w:rsid w:val="00887FD7"/>
    <w:rsid w:val="00891595"/>
    <w:rsid w:val="008918E4"/>
    <w:rsid w:val="00892DA6"/>
    <w:rsid w:val="0089312E"/>
    <w:rsid w:val="008931AD"/>
    <w:rsid w:val="008935D0"/>
    <w:rsid w:val="00893B28"/>
    <w:rsid w:val="00893DEC"/>
    <w:rsid w:val="00893E01"/>
    <w:rsid w:val="008946B8"/>
    <w:rsid w:val="00894C1E"/>
    <w:rsid w:val="00894DD1"/>
    <w:rsid w:val="00895C7D"/>
    <w:rsid w:val="00895DA0"/>
    <w:rsid w:val="00896902"/>
    <w:rsid w:val="008A07E9"/>
    <w:rsid w:val="008A093F"/>
    <w:rsid w:val="008A1053"/>
    <w:rsid w:val="008A1CF3"/>
    <w:rsid w:val="008A3D99"/>
    <w:rsid w:val="008A4CC8"/>
    <w:rsid w:val="008A6488"/>
    <w:rsid w:val="008A6E43"/>
    <w:rsid w:val="008B065A"/>
    <w:rsid w:val="008B0895"/>
    <w:rsid w:val="008B08D2"/>
    <w:rsid w:val="008B08FA"/>
    <w:rsid w:val="008B09B7"/>
    <w:rsid w:val="008B0A7C"/>
    <w:rsid w:val="008B0C71"/>
    <w:rsid w:val="008B1658"/>
    <w:rsid w:val="008B24C8"/>
    <w:rsid w:val="008B2C7A"/>
    <w:rsid w:val="008B374C"/>
    <w:rsid w:val="008B3A27"/>
    <w:rsid w:val="008B4254"/>
    <w:rsid w:val="008B69E5"/>
    <w:rsid w:val="008B737C"/>
    <w:rsid w:val="008C0F98"/>
    <w:rsid w:val="008C2073"/>
    <w:rsid w:val="008C30C9"/>
    <w:rsid w:val="008C379F"/>
    <w:rsid w:val="008C5E2F"/>
    <w:rsid w:val="008C6821"/>
    <w:rsid w:val="008C6AEA"/>
    <w:rsid w:val="008D067B"/>
    <w:rsid w:val="008D0BD1"/>
    <w:rsid w:val="008D11B2"/>
    <w:rsid w:val="008D24B6"/>
    <w:rsid w:val="008D2868"/>
    <w:rsid w:val="008D301D"/>
    <w:rsid w:val="008D3211"/>
    <w:rsid w:val="008D391E"/>
    <w:rsid w:val="008D3C6C"/>
    <w:rsid w:val="008D47ED"/>
    <w:rsid w:val="008D4D1F"/>
    <w:rsid w:val="008D5670"/>
    <w:rsid w:val="008D698B"/>
    <w:rsid w:val="008E0356"/>
    <w:rsid w:val="008E0BD9"/>
    <w:rsid w:val="008E0C78"/>
    <w:rsid w:val="008E11A3"/>
    <w:rsid w:val="008E1C32"/>
    <w:rsid w:val="008E23DF"/>
    <w:rsid w:val="008E2A35"/>
    <w:rsid w:val="008E3333"/>
    <w:rsid w:val="008E3A31"/>
    <w:rsid w:val="008E4457"/>
    <w:rsid w:val="008E46BA"/>
    <w:rsid w:val="008E4CE9"/>
    <w:rsid w:val="008E5BC5"/>
    <w:rsid w:val="008E658C"/>
    <w:rsid w:val="008E7D4B"/>
    <w:rsid w:val="008F041D"/>
    <w:rsid w:val="008F09A6"/>
    <w:rsid w:val="008F32E4"/>
    <w:rsid w:val="008F390E"/>
    <w:rsid w:val="008F4918"/>
    <w:rsid w:val="008F54A7"/>
    <w:rsid w:val="008F60D8"/>
    <w:rsid w:val="008F6A4E"/>
    <w:rsid w:val="008F6D85"/>
    <w:rsid w:val="008F734B"/>
    <w:rsid w:val="008F7E53"/>
    <w:rsid w:val="00900496"/>
    <w:rsid w:val="009004DC"/>
    <w:rsid w:val="00900550"/>
    <w:rsid w:val="009016B8"/>
    <w:rsid w:val="00901FE5"/>
    <w:rsid w:val="00902B7B"/>
    <w:rsid w:val="00902CF7"/>
    <w:rsid w:val="009041FC"/>
    <w:rsid w:val="00905110"/>
    <w:rsid w:val="00906207"/>
    <w:rsid w:val="00907995"/>
    <w:rsid w:val="009102E2"/>
    <w:rsid w:val="0091103E"/>
    <w:rsid w:val="009112BF"/>
    <w:rsid w:val="00911B52"/>
    <w:rsid w:val="00911DEC"/>
    <w:rsid w:val="009127C9"/>
    <w:rsid w:val="00912C6E"/>
    <w:rsid w:val="00912CEC"/>
    <w:rsid w:val="009132D4"/>
    <w:rsid w:val="00913F66"/>
    <w:rsid w:val="009142F0"/>
    <w:rsid w:val="00915480"/>
    <w:rsid w:val="00916237"/>
    <w:rsid w:val="00916409"/>
    <w:rsid w:val="0091671D"/>
    <w:rsid w:val="009170E8"/>
    <w:rsid w:val="009175E8"/>
    <w:rsid w:val="009176B0"/>
    <w:rsid w:val="00917C66"/>
    <w:rsid w:val="009217CF"/>
    <w:rsid w:val="00922FE0"/>
    <w:rsid w:val="00925EDF"/>
    <w:rsid w:val="0092646C"/>
    <w:rsid w:val="009272A8"/>
    <w:rsid w:val="00930214"/>
    <w:rsid w:val="00930520"/>
    <w:rsid w:val="009307B9"/>
    <w:rsid w:val="009308A7"/>
    <w:rsid w:val="00932391"/>
    <w:rsid w:val="009332B9"/>
    <w:rsid w:val="00933B40"/>
    <w:rsid w:val="00936995"/>
    <w:rsid w:val="00936A8C"/>
    <w:rsid w:val="009373CE"/>
    <w:rsid w:val="00937686"/>
    <w:rsid w:val="00940169"/>
    <w:rsid w:val="00940186"/>
    <w:rsid w:val="00940DB4"/>
    <w:rsid w:val="009413C4"/>
    <w:rsid w:val="00941510"/>
    <w:rsid w:val="00941E0C"/>
    <w:rsid w:val="00943C97"/>
    <w:rsid w:val="00943CA3"/>
    <w:rsid w:val="00944A66"/>
    <w:rsid w:val="0094511F"/>
    <w:rsid w:val="009505B0"/>
    <w:rsid w:val="00951148"/>
    <w:rsid w:val="00951CE9"/>
    <w:rsid w:val="00952C08"/>
    <w:rsid w:val="00953094"/>
    <w:rsid w:val="00953103"/>
    <w:rsid w:val="009537B1"/>
    <w:rsid w:val="00954456"/>
    <w:rsid w:val="00955FD7"/>
    <w:rsid w:val="009563F1"/>
    <w:rsid w:val="009625B4"/>
    <w:rsid w:val="009627D2"/>
    <w:rsid w:val="009628A6"/>
    <w:rsid w:val="009629B1"/>
    <w:rsid w:val="00964AC7"/>
    <w:rsid w:val="00964B75"/>
    <w:rsid w:val="00966D5F"/>
    <w:rsid w:val="00967EAC"/>
    <w:rsid w:val="0097042C"/>
    <w:rsid w:val="00970A2D"/>
    <w:rsid w:val="00970FC9"/>
    <w:rsid w:val="009720CA"/>
    <w:rsid w:val="009728E9"/>
    <w:rsid w:val="00973F47"/>
    <w:rsid w:val="009744AF"/>
    <w:rsid w:val="00974940"/>
    <w:rsid w:val="00974B0C"/>
    <w:rsid w:val="00974BDB"/>
    <w:rsid w:val="00976C8D"/>
    <w:rsid w:val="00980825"/>
    <w:rsid w:val="00980953"/>
    <w:rsid w:val="00981275"/>
    <w:rsid w:val="00981DA5"/>
    <w:rsid w:val="00982CCA"/>
    <w:rsid w:val="00983494"/>
    <w:rsid w:val="00983783"/>
    <w:rsid w:val="00983B51"/>
    <w:rsid w:val="00983B56"/>
    <w:rsid w:val="00984C4F"/>
    <w:rsid w:val="0098543D"/>
    <w:rsid w:val="009865CB"/>
    <w:rsid w:val="00987278"/>
    <w:rsid w:val="00987FC9"/>
    <w:rsid w:val="00990A26"/>
    <w:rsid w:val="00991208"/>
    <w:rsid w:val="00991A8E"/>
    <w:rsid w:val="00991CA7"/>
    <w:rsid w:val="00992209"/>
    <w:rsid w:val="009923AF"/>
    <w:rsid w:val="00993CDE"/>
    <w:rsid w:val="00994E1E"/>
    <w:rsid w:val="009958CC"/>
    <w:rsid w:val="00996243"/>
    <w:rsid w:val="009962F8"/>
    <w:rsid w:val="00996529"/>
    <w:rsid w:val="00997BF0"/>
    <w:rsid w:val="009A0259"/>
    <w:rsid w:val="009A0859"/>
    <w:rsid w:val="009A3001"/>
    <w:rsid w:val="009A3541"/>
    <w:rsid w:val="009A475B"/>
    <w:rsid w:val="009A6FD1"/>
    <w:rsid w:val="009B00A3"/>
    <w:rsid w:val="009B0234"/>
    <w:rsid w:val="009B3085"/>
    <w:rsid w:val="009B3EA7"/>
    <w:rsid w:val="009B52E4"/>
    <w:rsid w:val="009B549D"/>
    <w:rsid w:val="009B54C1"/>
    <w:rsid w:val="009B55CA"/>
    <w:rsid w:val="009B5C22"/>
    <w:rsid w:val="009B658B"/>
    <w:rsid w:val="009C0115"/>
    <w:rsid w:val="009C1544"/>
    <w:rsid w:val="009C4645"/>
    <w:rsid w:val="009C5EB3"/>
    <w:rsid w:val="009C6F53"/>
    <w:rsid w:val="009C7056"/>
    <w:rsid w:val="009C71CA"/>
    <w:rsid w:val="009C7C0E"/>
    <w:rsid w:val="009D1EB8"/>
    <w:rsid w:val="009D2680"/>
    <w:rsid w:val="009D3F7D"/>
    <w:rsid w:val="009D44A1"/>
    <w:rsid w:val="009D4E5C"/>
    <w:rsid w:val="009D5790"/>
    <w:rsid w:val="009D5B06"/>
    <w:rsid w:val="009D5D31"/>
    <w:rsid w:val="009D5E1F"/>
    <w:rsid w:val="009D65DF"/>
    <w:rsid w:val="009D663D"/>
    <w:rsid w:val="009D6E37"/>
    <w:rsid w:val="009D744D"/>
    <w:rsid w:val="009D7BD1"/>
    <w:rsid w:val="009E0838"/>
    <w:rsid w:val="009E11A5"/>
    <w:rsid w:val="009E1E37"/>
    <w:rsid w:val="009E1F1F"/>
    <w:rsid w:val="009E262D"/>
    <w:rsid w:val="009E2811"/>
    <w:rsid w:val="009E3003"/>
    <w:rsid w:val="009E327A"/>
    <w:rsid w:val="009E399B"/>
    <w:rsid w:val="009E40AC"/>
    <w:rsid w:val="009E4981"/>
    <w:rsid w:val="009E4F53"/>
    <w:rsid w:val="009E51E6"/>
    <w:rsid w:val="009E5637"/>
    <w:rsid w:val="009E57E6"/>
    <w:rsid w:val="009E58A2"/>
    <w:rsid w:val="009E5B29"/>
    <w:rsid w:val="009E79D4"/>
    <w:rsid w:val="009F0644"/>
    <w:rsid w:val="009F10C2"/>
    <w:rsid w:val="009F2909"/>
    <w:rsid w:val="009F2F7C"/>
    <w:rsid w:val="009F3430"/>
    <w:rsid w:val="009F4193"/>
    <w:rsid w:val="009F4F56"/>
    <w:rsid w:val="009F4FC3"/>
    <w:rsid w:val="009F6099"/>
    <w:rsid w:val="009F6C43"/>
    <w:rsid w:val="009F6D2A"/>
    <w:rsid w:val="00A01089"/>
    <w:rsid w:val="00A03085"/>
    <w:rsid w:val="00A03825"/>
    <w:rsid w:val="00A03C1C"/>
    <w:rsid w:val="00A03F1A"/>
    <w:rsid w:val="00A07882"/>
    <w:rsid w:val="00A07AC4"/>
    <w:rsid w:val="00A07AEE"/>
    <w:rsid w:val="00A10344"/>
    <w:rsid w:val="00A10DB3"/>
    <w:rsid w:val="00A11F38"/>
    <w:rsid w:val="00A12948"/>
    <w:rsid w:val="00A12995"/>
    <w:rsid w:val="00A12F9A"/>
    <w:rsid w:val="00A13BC1"/>
    <w:rsid w:val="00A149DC"/>
    <w:rsid w:val="00A14C0D"/>
    <w:rsid w:val="00A14F9F"/>
    <w:rsid w:val="00A15063"/>
    <w:rsid w:val="00A150D1"/>
    <w:rsid w:val="00A16373"/>
    <w:rsid w:val="00A16D1A"/>
    <w:rsid w:val="00A17276"/>
    <w:rsid w:val="00A173B2"/>
    <w:rsid w:val="00A1780A"/>
    <w:rsid w:val="00A17FF9"/>
    <w:rsid w:val="00A20169"/>
    <w:rsid w:val="00A20CFB"/>
    <w:rsid w:val="00A22477"/>
    <w:rsid w:val="00A2435A"/>
    <w:rsid w:val="00A24621"/>
    <w:rsid w:val="00A250B9"/>
    <w:rsid w:val="00A2659B"/>
    <w:rsid w:val="00A26D86"/>
    <w:rsid w:val="00A27E57"/>
    <w:rsid w:val="00A323F5"/>
    <w:rsid w:val="00A33D9A"/>
    <w:rsid w:val="00A343D9"/>
    <w:rsid w:val="00A3482C"/>
    <w:rsid w:val="00A35315"/>
    <w:rsid w:val="00A3683E"/>
    <w:rsid w:val="00A3685C"/>
    <w:rsid w:val="00A3736C"/>
    <w:rsid w:val="00A3745F"/>
    <w:rsid w:val="00A4204D"/>
    <w:rsid w:val="00A436B5"/>
    <w:rsid w:val="00A437E5"/>
    <w:rsid w:val="00A43B35"/>
    <w:rsid w:val="00A44310"/>
    <w:rsid w:val="00A4655A"/>
    <w:rsid w:val="00A4727D"/>
    <w:rsid w:val="00A47EFE"/>
    <w:rsid w:val="00A507F9"/>
    <w:rsid w:val="00A50DA8"/>
    <w:rsid w:val="00A527C0"/>
    <w:rsid w:val="00A52B0F"/>
    <w:rsid w:val="00A53F01"/>
    <w:rsid w:val="00A53F3C"/>
    <w:rsid w:val="00A54964"/>
    <w:rsid w:val="00A55E81"/>
    <w:rsid w:val="00A561D3"/>
    <w:rsid w:val="00A6089F"/>
    <w:rsid w:val="00A61B07"/>
    <w:rsid w:val="00A622E7"/>
    <w:rsid w:val="00A62EE1"/>
    <w:rsid w:val="00A63145"/>
    <w:rsid w:val="00A637C5"/>
    <w:rsid w:val="00A63EEE"/>
    <w:rsid w:val="00A648B2"/>
    <w:rsid w:val="00A64925"/>
    <w:rsid w:val="00A654B5"/>
    <w:rsid w:val="00A66D52"/>
    <w:rsid w:val="00A67152"/>
    <w:rsid w:val="00A7049D"/>
    <w:rsid w:val="00A704A0"/>
    <w:rsid w:val="00A74074"/>
    <w:rsid w:val="00A75377"/>
    <w:rsid w:val="00A75E44"/>
    <w:rsid w:val="00A773D9"/>
    <w:rsid w:val="00A77433"/>
    <w:rsid w:val="00A77EBF"/>
    <w:rsid w:val="00A802C1"/>
    <w:rsid w:val="00A80DB1"/>
    <w:rsid w:val="00A829A9"/>
    <w:rsid w:val="00A829C5"/>
    <w:rsid w:val="00A83932"/>
    <w:rsid w:val="00A839E7"/>
    <w:rsid w:val="00A83BD0"/>
    <w:rsid w:val="00A84299"/>
    <w:rsid w:val="00A846F6"/>
    <w:rsid w:val="00A867ED"/>
    <w:rsid w:val="00A86E86"/>
    <w:rsid w:val="00A86FB1"/>
    <w:rsid w:val="00A87888"/>
    <w:rsid w:val="00A90226"/>
    <w:rsid w:val="00A9072A"/>
    <w:rsid w:val="00A914C6"/>
    <w:rsid w:val="00A91C30"/>
    <w:rsid w:val="00A923FE"/>
    <w:rsid w:val="00A9332F"/>
    <w:rsid w:val="00A97F8C"/>
    <w:rsid w:val="00AA0F84"/>
    <w:rsid w:val="00AA14EE"/>
    <w:rsid w:val="00AA1E9E"/>
    <w:rsid w:val="00AA22EB"/>
    <w:rsid w:val="00AA4699"/>
    <w:rsid w:val="00AA4891"/>
    <w:rsid w:val="00AA4B40"/>
    <w:rsid w:val="00AA4B78"/>
    <w:rsid w:val="00AA51CB"/>
    <w:rsid w:val="00AA551C"/>
    <w:rsid w:val="00AA55B8"/>
    <w:rsid w:val="00AA59C0"/>
    <w:rsid w:val="00AA5B07"/>
    <w:rsid w:val="00AB0505"/>
    <w:rsid w:val="00AB05AA"/>
    <w:rsid w:val="00AB1D3C"/>
    <w:rsid w:val="00AB23EB"/>
    <w:rsid w:val="00AB4CC2"/>
    <w:rsid w:val="00AB5509"/>
    <w:rsid w:val="00AB5993"/>
    <w:rsid w:val="00AB6D09"/>
    <w:rsid w:val="00AB6D8A"/>
    <w:rsid w:val="00AB7022"/>
    <w:rsid w:val="00AC0CBD"/>
    <w:rsid w:val="00AC0EA2"/>
    <w:rsid w:val="00AC169F"/>
    <w:rsid w:val="00AC1AFC"/>
    <w:rsid w:val="00AC2ADC"/>
    <w:rsid w:val="00AC4365"/>
    <w:rsid w:val="00AC4A0E"/>
    <w:rsid w:val="00AC5884"/>
    <w:rsid w:val="00AC72B4"/>
    <w:rsid w:val="00AC7728"/>
    <w:rsid w:val="00AD2F39"/>
    <w:rsid w:val="00AD38E4"/>
    <w:rsid w:val="00AD5E1D"/>
    <w:rsid w:val="00AD612F"/>
    <w:rsid w:val="00AD743B"/>
    <w:rsid w:val="00AE009C"/>
    <w:rsid w:val="00AE04A5"/>
    <w:rsid w:val="00AE2D84"/>
    <w:rsid w:val="00AE400C"/>
    <w:rsid w:val="00AE4BB9"/>
    <w:rsid w:val="00AE4D09"/>
    <w:rsid w:val="00AE4E5E"/>
    <w:rsid w:val="00AE54B4"/>
    <w:rsid w:val="00AE5552"/>
    <w:rsid w:val="00AE63AF"/>
    <w:rsid w:val="00AE6668"/>
    <w:rsid w:val="00AE6754"/>
    <w:rsid w:val="00AE6E7B"/>
    <w:rsid w:val="00AF0313"/>
    <w:rsid w:val="00AF1B76"/>
    <w:rsid w:val="00AF4511"/>
    <w:rsid w:val="00AF4ED8"/>
    <w:rsid w:val="00AF5AAD"/>
    <w:rsid w:val="00AF5D0F"/>
    <w:rsid w:val="00AF5D37"/>
    <w:rsid w:val="00AF604F"/>
    <w:rsid w:val="00AF6411"/>
    <w:rsid w:val="00AF698E"/>
    <w:rsid w:val="00AF69AC"/>
    <w:rsid w:val="00AF7139"/>
    <w:rsid w:val="00AF76CD"/>
    <w:rsid w:val="00B00602"/>
    <w:rsid w:val="00B00CEC"/>
    <w:rsid w:val="00B01252"/>
    <w:rsid w:val="00B016AE"/>
    <w:rsid w:val="00B01BB1"/>
    <w:rsid w:val="00B02D86"/>
    <w:rsid w:val="00B0343C"/>
    <w:rsid w:val="00B03A5E"/>
    <w:rsid w:val="00B03AB4"/>
    <w:rsid w:val="00B03C2A"/>
    <w:rsid w:val="00B03CC7"/>
    <w:rsid w:val="00B03D64"/>
    <w:rsid w:val="00B046BF"/>
    <w:rsid w:val="00B05E2D"/>
    <w:rsid w:val="00B06CB9"/>
    <w:rsid w:val="00B06F1E"/>
    <w:rsid w:val="00B101CA"/>
    <w:rsid w:val="00B107AC"/>
    <w:rsid w:val="00B10C0D"/>
    <w:rsid w:val="00B10CDD"/>
    <w:rsid w:val="00B11E27"/>
    <w:rsid w:val="00B14A51"/>
    <w:rsid w:val="00B14B4B"/>
    <w:rsid w:val="00B154ED"/>
    <w:rsid w:val="00B15A86"/>
    <w:rsid w:val="00B1788F"/>
    <w:rsid w:val="00B205C8"/>
    <w:rsid w:val="00B20EAE"/>
    <w:rsid w:val="00B212CB"/>
    <w:rsid w:val="00B21E6B"/>
    <w:rsid w:val="00B22316"/>
    <w:rsid w:val="00B22666"/>
    <w:rsid w:val="00B22E35"/>
    <w:rsid w:val="00B22E8C"/>
    <w:rsid w:val="00B24510"/>
    <w:rsid w:val="00B2466F"/>
    <w:rsid w:val="00B24986"/>
    <w:rsid w:val="00B249C3"/>
    <w:rsid w:val="00B2525F"/>
    <w:rsid w:val="00B252F1"/>
    <w:rsid w:val="00B25C11"/>
    <w:rsid w:val="00B263D5"/>
    <w:rsid w:val="00B267F0"/>
    <w:rsid w:val="00B300F8"/>
    <w:rsid w:val="00B3011D"/>
    <w:rsid w:val="00B31990"/>
    <w:rsid w:val="00B31E9F"/>
    <w:rsid w:val="00B31FB3"/>
    <w:rsid w:val="00B31FD5"/>
    <w:rsid w:val="00B323A7"/>
    <w:rsid w:val="00B32AE9"/>
    <w:rsid w:val="00B32F60"/>
    <w:rsid w:val="00B33972"/>
    <w:rsid w:val="00B344AA"/>
    <w:rsid w:val="00B360EA"/>
    <w:rsid w:val="00B3689B"/>
    <w:rsid w:val="00B37CEA"/>
    <w:rsid w:val="00B41F67"/>
    <w:rsid w:val="00B41FB5"/>
    <w:rsid w:val="00B4277B"/>
    <w:rsid w:val="00B42D4E"/>
    <w:rsid w:val="00B42EFF"/>
    <w:rsid w:val="00B450D8"/>
    <w:rsid w:val="00B45F48"/>
    <w:rsid w:val="00B4623E"/>
    <w:rsid w:val="00B471E1"/>
    <w:rsid w:val="00B47F51"/>
    <w:rsid w:val="00B50A96"/>
    <w:rsid w:val="00B52595"/>
    <w:rsid w:val="00B52F77"/>
    <w:rsid w:val="00B55612"/>
    <w:rsid w:val="00B55CE5"/>
    <w:rsid w:val="00B560A3"/>
    <w:rsid w:val="00B5614E"/>
    <w:rsid w:val="00B56F6E"/>
    <w:rsid w:val="00B608B2"/>
    <w:rsid w:val="00B60BBC"/>
    <w:rsid w:val="00B6152C"/>
    <w:rsid w:val="00B62718"/>
    <w:rsid w:val="00B63177"/>
    <w:rsid w:val="00B6330C"/>
    <w:rsid w:val="00B64420"/>
    <w:rsid w:val="00B64422"/>
    <w:rsid w:val="00B65413"/>
    <w:rsid w:val="00B6577D"/>
    <w:rsid w:val="00B65A6C"/>
    <w:rsid w:val="00B66804"/>
    <w:rsid w:val="00B66F36"/>
    <w:rsid w:val="00B66F66"/>
    <w:rsid w:val="00B67CB5"/>
    <w:rsid w:val="00B70D28"/>
    <w:rsid w:val="00B715BF"/>
    <w:rsid w:val="00B71A40"/>
    <w:rsid w:val="00B71FB8"/>
    <w:rsid w:val="00B72EC5"/>
    <w:rsid w:val="00B735C7"/>
    <w:rsid w:val="00B7392B"/>
    <w:rsid w:val="00B76C57"/>
    <w:rsid w:val="00B801CD"/>
    <w:rsid w:val="00B808B5"/>
    <w:rsid w:val="00B80E4C"/>
    <w:rsid w:val="00B8225C"/>
    <w:rsid w:val="00B840FB"/>
    <w:rsid w:val="00B8468B"/>
    <w:rsid w:val="00B85230"/>
    <w:rsid w:val="00B871F1"/>
    <w:rsid w:val="00B90B61"/>
    <w:rsid w:val="00B90D04"/>
    <w:rsid w:val="00B91876"/>
    <w:rsid w:val="00B91D03"/>
    <w:rsid w:val="00B9222A"/>
    <w:rsid w:val="00B924AB"/>
    <w:rsid w:val="00B9336B"/>
    <w:rsid w:val="00B948E0"/>
    <w:rsid w:val="00B95098"/>
    <w:rsid w:val="00B953D6"/>
    <w:rsid w:val="00B95C57"/>
    <w:rsid w:val="00B97260"/>
    <w:rsid w:val="00BA051C"/>
    <w:rsid w:val="00BA1467"/>
    <w:rsid w:val="00BA158E"/>
    <w:rsid w:val="00BA2C37"/>
    <w:rsid w:val="00BA3F6C"/>
    <w:rsid w:val="00BA417E"/>
    <w:rsid w:val="00BA535C"/>
    <w:rsid w:val="00BA5D45"/>
    <w:rsid w:val="00BA5E49"/>
    <w:rsid w:val="00BA6D60"/>
    <w:rsid w:val="00BA756F"/>
    <w:rsid w:val="00BA782D"/>
    <w:rsid w:val="00BB0CED"/>
    <w:rsid w:val="00BB20EC"/>
    <w:rsid w:val="00BB21D8"/>
    <w:rsid w:val="00BB4D78"/>
    <w:rsid w:val="00BB55B8"/>
    <w:rsid w:val="00BB6A05"/>
    <w:rsid w:val="00BB739C"/>
    <w:rsid w:val="00BC0893"/>
    <w:rsid w:val="00BC151E"/>
    <w:rsid w:val="00BC1568"/>
    <w:rsid w:val="00BC2F90"/>
    <w:rsid w:val="00BC33AC"/>
    <w:rsid w:val="00BC403B"/>
    <w:rsid w:val="00BC509C"/>
    <w:rsid w:val="00BC5BF0"/>
    <w:rsid w:val="00BC5D65"/>
    <w:rsid w:val="00BC5D84"/>
    <w:rsid w:val="00BC6110"/>
    <w:rsid w:val="00BC6281"/>
    <w:rsid w:val="00BC67C4"/>
    <w:rsid w:val="00BC6D10"/>
    <w:rsid w:val="00BC6FDB"/>
    <w:rsid w:val="00BC715B"/>
    <w:rsid w:val="00BC74B0"/>
    <w:rsid w:val="00BC763A"/>
    <w:rsid w:val="00BD0F59"/>
    <w:rsid w:val="00BD130F"/>
    <w:rsid w:val="00BD2FFA"/>
    <w:rsid w:val="00BD348D"/>
    <w:rsid w:val="00BD36C5"/>
    <w:rsid w:val="00BD4949"/>
    <w:rsid w:val="00BD6452"/>
    <w:rsid w:val="00BD6CF3"/>
    <w:rsid w:val="00BD6F2B"/>
    <w:rsid w:val="00BD76D7"/>
    <w:rsid w:val="00BD7BE3"/>
    <w:rsid w:val="00BE0085"/>
    <w:rsid w:val="00BE0FA8"/>
    <w:rsid w:val="00BE122B"/>
    <w:rsid w:val="00BE1704"/>
    <w:rsid w:val="00BE2656"/>
    <w:rsid w:val="00BE2BB2"/>
    <w:rsid w:val="00BE4041"/>
    <w:rsid w:val="00BE5202"/>
    <w:rsid w:val="00BE53EB"/>
    <w:rsid w:val="00BF0AA9"/>
    <w:rsid w:val="00BF0CF5"/>
    <w:rsid w:val="00BF22E9"/>
    <w:rsid w:val="00BF4D4E"/>
    <w:rsid w:val="00BF4E36"/>
    <w:rsid w:val="00BF57C8"/>
    <w:rsid w:val="00BF7DCF"/>
    <w:rsid w:val="00C003A1"/>
    <w:rsid w:val="00C00FF3"/>
    <w:rsid w:val="00C01275"/>
    <w:rsid w:val="00C02231"/>
    <w:rsid w:val="00C023F1"/>
    <w:rsid w:val="00C02639"/>
    <w:rsid w:val="00C04B45"/>
    <w:rsid w:val="00C05647"/>
    <w:rsid w:val="00C05B29"/>
    <w:rsid w:val="00C06C3C"/>
    <w:rsid w:val="00C06C4F"/>
    <w:rsid w:val="00C077DA"/>
    <w:rsid w:val="00C07A99"/>
    <w:rsid w:val="00C1187B"/>
    <w:rsid w:val="00C125F4"/>
    <w:rsid w:val="00C12EC3"/>
    <w:rsid w:val="00C140E7"/>
    <w:rsid w:val="00C14939"/>
    <w:rsid w:val="00C14A81"/>
    <w:rsid w:val="00C14D5A"/>
    <w:rsid w:val="00C16867"/>
    <w:rsid w:val="00C16DA8"/>
    <w:rsid w:val="00C1720C"/>
    <w:rsid w:val="00C172BD"/>
    <w:rsid w:val="00C20897"/>
    <w:rsid w:val="00C20982"/>
    <w:rsid w:val="00C2148F"/>
    <w:rsid w:val="00C225A1"/>
    <w:rsid w:val="00C22D88"/>
    <w:rsid w:val="00C23C45"/>
    <w:rsid w:val="00C2597A"/>
    <w:rsid w:val="00C26425"/>
    <w:rsid w:val="00C27844"/>
    <w:rsid w:val="00C27CD7"/>
    <w:rsid w:val="00C300BD"/>
    <w:rsid w:val="00C305C3"/>
    <w:rsid w:val="00C3087D"/>
    <w:rsid w:val="00C30889"/>
    <w:rsid w:val="00C324AD"/>
    <w:rsid w:val="00C32C19"/>
    <w:rsid w:val="00C3476A"/>
    <w:rsid w:val="00C349B7"/>
    <w:rsid w:val="00C349BE"/>
    <w:rsid w:val="00C37819"/>
    <w:rsid w:val="00C401CB"/>
    <w:rsid w:val="00C402BB"/>
    <w:rsid w:val="00C40D32"/>
    <w:rsid w:val="00C419FE"/>
    <w:rsid w:val="00C4276D"/>
    <w:rsid w:val="00C447AA"/>
    <w:rsid w:val="00C44B53"/>
    <w:rsid w:val="00C47A41"/>
    <w:rsid w:val="00C47CED"/>
    <w:rsid w:val="00C50151"/>
    <w:rsid w:val="00C50206"/>
    <w:rsid w:val="00C50623"/>
    <w:rsid w:val="00C50635"/>
    <w:rsid w:val="00C50E7A"/>
    <w:rsid w:val="00C52BCB"/>
    <w:rsid w:val="00C53A73"/>
    <w:rsid w:val="00C54D34"/>
    <w:rsid w:val="00C550C9"/>
    <w:rsid w:val="00C56091"/>
    <w:rsid w:val="00C60578"/>
    <w:rsid w:val="00C6084D"/>
    <w:rsid w:val="00C60C2C"/>
    <w:rsid w:val="00C60E57"/>
    <w:rsid w:val="00C62CD8"/>
    <w:rsid w:val="00C64132"/>
    <w:rsid w:val="00C64FFD"/>
    <w:rsid w:val="00C6554E"/>
    <w:rsid w:val="00C6625F"/>
    <w:rsid w:val="00C66D88"/>
    <w:rsid w:val="00C675FF"/>
    <w:rsid w:val="00C70F21"/>
    <w:rsid w:val="00C70F95"/>
    <w:rsid w:val="00C711B6"/>
    <w:rsid w:val="00C71827"/>
    <w:rsid w:val="00C71D8A"/>
    <w:rsid w:val="00C71F53"/>
    <w:rsid w:val="00C72457"/>
    <w:rsid w:val="00C72A15"/>
    <w:rsid w:val="00C72D1E"/>
    <w:rsid w:val="00C72FCF"/>
    <w:rsid w:val="00C74F4E"/>
    <w:rsid w:val="00C7555A"/>
    <w:rsid w:val="00C75B7F"/>
    <w:rsid w:val="00C764B6"/>
    <w:rsid w:val="00C76A20"/>
    <w:rsid w:val="00C76B6C"/>
    <w:rsid w:val="00C76DCF"/>
    <w:rsid w:val="00C771A5"/>
    <w:rsid w:val="00C77814"/>
    <w:rsid w:val="00C77913"/>
    <w:rsid w:val="00C81705"/>
    <w:rsid w:val="00C8227A"/>
    <w:rsid w:val="00C82F85"/>
    <w:rsid w:val="00C846B8"/>
    <w:rsid w:val="00C84957"/>
    <w:rsid w:val="00C84D47"/>
    <w:rsid w:val="00C84F6D"/>
    <w:rsid w:val="00C85257"/>
    <w:rsid w:val="00C85370"/>
    <w:rsid w:val="00C854F4"/>
    <w:rsid w:val="00C861F7"/>
    <w:rsid w:val="00C862B8"/>
    <w:rsid w:val="00C86FA4"/>
    <w:rsid w:val="00C8786A"/>
    <w:rsid w:val="00C87F7A"/>
    <w:rsid w:val="00C918EA"/>
    <w:rsid w:val="00C92AA9"/>
    <w:rsid w:val="00C92CD5"/>
    <w:rsid w:val="00C93351"/>
    <w:rsid w:val="00C941FD"/>
    <w:rsid w:val="00C9472F"/>
    <w:rsid w:val="00C94C31"/>
    <w:rsid w:val="00C95685"/>
    <w:rsid w:val="00C96A54"/>
    <w:rsid w:val="00C96FDF"/>
    <w:rsid w:val="00CA05A5"/>
    <w:rsid w:val="00CA16EB"/>
    <w:rsid w:val="00CA3F6F"/>
    <w:rsid w:val="00CA4119"/>
    <w:rsid w:val="00CA4263"/>
    <w:rsid w:val="00CA5DC5"/>
    <w:rsid w:val="00CA5E5F"/>
    <w:rsid w:val="00CA77B3"/>
    <w:rsid w:val="00CA7D9B"/>
    <w:rsid w:val="00CB009B"/>
    <w:rsid w:val="00CB0C07"/>
    <w:rsid w:val="00CB1EB4"/>
    <w:rsid w:val="00CB2963"/>
    <w:rsid w:val="00CB656B"/>
    <w:rsid w:val="00CB6916"/>
    <w:rsid w:val="00CB6E00"/>
    <w:rsid w:val="00CB71CA"/>
    <w:rsid w:val="00CB78EB"/>
    <w:rsid w:val="00CC0452"/>
    <w:rsid w:val="00CC120E"/>
    <w:rsid w:val="00CC1E8D"/>
    <w:rsid w:val="00CC2364"/>
    <w:rsid w:val="00CC3D5C"/>
    <w:rsid w:val="00CC3E42"/>
    <w:rsid w:val="00CC468C"/>
    <w:rsid w:val="00CC46B0"/>
    <w:rsid w:val="00CC5CF8"/>
    <w:rsid w:val="00CC7E2C"/>
    <w:rsid w:val="00CD0001"/>
    <w:rsid w:val="00CD091E"/>
    <w:rsid w:val="00CD0B15"/>
    <w:rsid w:val="00CD198C"/>
    <w:rsid w:val="00CD3511"/>
    <w:rsid w:val="00CD36DD"/>
    <w:rsid w:val="00CD384A"/>
    <w:rsid w:val="00CD416C"/>
    <w:rsid w:val="00CD468D"/>
    <w:rsid w:val="00CD5538"/>
    <w:rsid w:val="00CD6362"/>
    <w:rsid w:val="00CD6BBC"/>
    <w:rsid w:val="00CD6E21"/>
    <w:rsid w:val="00CD75E1"/>
    <w:rsid w:val="00CD7D24"/>
    <w:rsid w:val="00CD7F1A"/>
    <w:rsid w:val="00CE0801"/>
    <w:rsid w:val="00CE13FB"/>
    <w:rsid w:val="00CE2F2C"/>
    <w:rsid w:val="00CE30FC"/>
    <w:rsid w:val="00CE4EAF"/>
    <w:rsid w:val="00CE64DC"/>
    <w:rsid w:val="00CE6FD0"/>
    <w:rsid w:val="00CE75DE"/>
    <w:rsid w:val="00CE7AD7"/>
    <w:rsid w:val="00CF070E"/>
    <w:rsid w:val="00CF1228"/>
    <w:rsid w:val="00CF1248"/>
    <w:rsid w:val="00CF37DD"/>
    <w:rsid w:val="00CF58CC"/>
    <w:rsid w:val="00CF6354"/>
    <w:rsid w:val="00CF6E54"/>
    <w:rsid w:val="00CF7D5B"/>
    <w:rsid w:val="00D00903"/>
    <w:rsid w:val="00D015D1"/>
    <w:rsid w:val="00D01897"/>
    <w:rsid w:val="00D01A49"/>
    <w:rsid w:val="00D037D4"/>
    <w:rsid w:val="00D03AC4"/>
    <w:rsid w:val="00D04A65"/>
    <w:rsid w:val="00D04D84"/>
    <w:rsid w:val="00D0516E"/>
    <w:rsid w:val="00D05468"/>
    <w:rsid w:val="00D060E6"/>
    <w:rsid w:val="00D06419"/>
    <w:rsid w:val="00D06654"/>
    <w:rsid w:val="00D070C2"/>
    <w:rsid w:val="00D073C7"/>
    <w:rsid w:val="00D106E2"/>
    <w:rsid w:val="00D10FCD"/>
    <w:rsid w:val="00D111DE"/>
    <w:rsid w:val="00D11699"/>
    <w:rsid w:val="00D125DF"/>
    <w:rsid w:val="00D12EDD"/>
    <w:rsid w:val="00D134F5"/>
    <w:rsid w:val="00D13952"/>
    <w:rsid w:val="00D13A63"/>
    <w:rsid w:val="00D15113"/>
    <w:rsid w:val="00D16D7B"/>
    <w:rsid w:val="00D16D96"/>
    <w:rsid w:val="00D1781A"/>
    <w:rsid w:val="00D17A65"/>
    <w:rsid w:val="00D22D05"/>
    <w:rsid w:val="00D2326C"/>
    <w:rsid w:val="00D23B8B"/>
    <w:rsid w:val="00D23FED"/>
    <w:rsid w:val="00D24ED6"/>
    <w:rsid w:val="00D2513B"/>
    <w:rsid w:val="00D2522F"/>
    <w:rsid w:val="00D25592"/>
    <w:rsid w:val="00D2712C"/>
    <w:rsid w:val="00D3060E"/>
    <w:rsid w:val="00D313C8"/>
    <w:rsid w:val="00D31E6A"/>
    <w:rsid w:val="00D31F87"/>
    <w:rsid w:val="00D3213E"/>
    <w:rsid w:val="00D33516"/>
    <w:rsid w:val="00D3435C"/>
    <w:rsid w:val="00D348EA"/>
    <w:rsid w:val="00D373C4"/>
    <w:rsid w:val="00D403FA"/>
    <w:rsid w:val="00D40CB3"/>
    <w:rsid w:val="00D445FF"/>
    <w:rsid w:val="00D44865"/>
    <w:rsid w:val="00D453C7"/>
    <w:rsid w:val="00D46A6A"/>
    <w:rsid w:val="00D4787D"/>
    <w:rsid w:val="00D50504"/>
    <w:rsid w:val="00D50B38"/>
    <w:rsid w:val="00D516EB"/>
    <w:rsid w:val="00D51A8C"/>
    <w:rsid w:val="00D52257"/>
    <w:rsid w:val="00D53D5A"/>
    <w:rsid w:val="00D53D9C"/>
    <w:rsid w:val="00D53FCB"/>
    <w:rsid w:val="00D54459"/>
    <w:rsid w:val="00D545B5"/>
    <w:rsid w:val="00D55923"/>
    <w:rsid w:val="00D56730"/>
    <w:rsid w:val="00D56755"/>
    <w:rsid w:val="00D60077"/>
    <w:rsid w:val="00D60595"/>
    <w:rsid w:val="00D60607"/>
    <w:rsid w:val="00D60FD9"/>
    <w:rsid w:val="00D6142D"/>
    <w:rsid w:val="00D61B2A"/>
    <w:rsid w:val="00D63506"/>
    <w:rsid w:val="00D639E2"/>
    <w:rsid w:val="00D63DB2"/>
    <w:rsid w:val="00D64812"/>
    <w:rsid w:val="00D66223"/>
    <w:rsid w:val="00D702B4"/>
    <w:rsid w:val="00D706AB"/>
    <w:rsid w:val="00D72D7C"/>
    <w:rsid w:val="00D739D3"/>
    <w:rsid w:val="00D7537D"/>
    <w:rsid w:val="00D75382"/>
    <w:rsid w:val="00D75685"/>
    <w:rsid w:val="00D75726"/>
    <w:rsid w:val="00D762DA"/>
    <w:rsid w:val="00D76714"/>
    <w:rsid w:val="00D77149"/>
    <w:rsid w:val="00D77B9F"/>
    <w:rsid w:val="00D808F1"/>
    <w:rsid w:val="00D82590"/>
    <w:rsid w:val="00D83C33"/>
    <w:rsid w:val="00D83C6E"/>
    <w:rsid w:val="00D84390"/>
    <w:rsid w:val="00D8455F"/>
    <w:rsid w:val="00D8497A"/>
    <w:rsid w:val="00D85B34"/>
    <w:rsid w:val="00D864CC"/>
    <w:rsid w:val="00D8713A"/>
    <w:rsid w:val="00D87860"/>
    <w:rsid w:val="00D87A8D"/>
    <w:rsid w:val="00D90D14"/>
    <w:rsid w:val="00D91892"/>
    <w:rsid w:val="00D9199A"/>
    <w:rsid w:val="00D92567"/>
    <w:rsid w:val="00D946BB"/>
    <w:rsid w:val="00D94ABE"/>
    <w:rsid w:val="00D9614B"/>
    <w:rsid w:val="00D966B4"/>
    <w:rsid w:val="00D9682D"/>
    <w:rsid w:val="00D97088"/>
    <w:rsid w:val="00D97FB7"/>
    <w:rsid w:val="00DA01A3"/>
    <w:rsid w:val="00DA0B53"/>
    <w:rsid w:val="00DA1545"/>
    <w:rsid w:val="00DA2BCA"/>
    <w:rsid w:val="00DA3133"/>
    <w:rsid w:val="00DA3245"/>
    <w:rsid w:val="00DA416E"/>
    <w:rsid w:val="00DA4675"/>
    <w:rsid w:val="00DA520D"/>
    <w:rsid w:val="00DA5299"/>
    <w:rsid w:val="00DA5429"/>
    <w:rsid w:val="00DA5670"/>
    <w:rsid w:val="00DA66E7"/>
    <w:rsid w:val="00DB14B8"/>
    <w:rsid w:val="00DB151C"/>
    <w:rsid w:val="00DB1A67"/>
    <w:rsid w:val="00DB20E0"/>
    <w:rsid w:val="00DB225B"/>
    <w:rsid w:val="00DB2832"/>
    <w:rsid w:val="00DB512A"/>
    <w:rsid w:val="00DB54BB"/>
    <w:rsid w:val="00DB6400"/>
    <w:rsid w:val="00DB65DF"/>
    <w:rsid w:val="00DB6B25"/>
    <w:rsid w:val="00DC0F6B"/>
    <w:rsid w:val="00DC185D"/>
    <w:rsid w:val="00DC1A64"/>
    <w:rsid w:val="00DC1B0F"/>
    <w:rsid w:val="00DC1E19"/>
    <w:rsid w:val="00DC317C"/>
    <w:rsid w:val="00DC4986"/>
    <w:rsid w:val="00DC4E09"/>
    <w:rsid w:val="00DC5170"/>
    <w:rsid w:val="00DC6241"/>
    <w:rsid w:val="00DC73E5"/>
    <w:rsid w:val="00DC7B6D"/>
    <w:rsid w:val="00DD0290"/>
    <w:rsid w:val="00DD2B31"/>
    <w:rsid w:val="00DD382F"/>
    <w:rsid w:val="00DD3E31"/>
    <w:rsid w:val="00DD41B2"/>
    <w:rsid w:val="00DD5A61"/>
    <w:rsid w:val="00DD6486"/>
    <w:rsid w:val="00DD6595"/>
    <w:rsid w:val="00DD7064"/>
    <w:rsid w:val="00DD7C1B"/>
    <w:rsid w:val="00DE26A1"/>
    <w:rsid w:val="00DE2C71"/>
    <w:rsid w:val="00DE3013"/>
    <w:rsid w:val="00DE3979"/>
    <w:rsid w:val="00DE4EED"/>
    <w:rsid w:val="00DE5AE3"/>
    <w:rsid w:val="00DE5E10"/>
    <w:rsid w:val="00DF051E"/>
    <w:rsid w:val="00DF1130"/>
    <w:rsid w:val="00DF1F1A"/>
    <w:rsid w:val="00DF2CB8"/>
    <w:rsid w:val="00DF2DE9"/>
    <w:rsid w:val="00DF33CA"/>
    <w:rsid w:val="00DF458E"/>
    <w:rsid w:val="00DF530C"/>
    <w:rsid w:val="00DF536B"/>
    <w:rsid w:val="00DF63ED"/>
    <w:rsid w:val="00DF6400"/>
    <w:rsid w:val="00DF77F0"/>
    <w:rsid w:val="00DF781A"/>
    <w:rsid w:val="00E01CE9"/>
    <w:rsid w:val="00E02A05"/>
    <w:rsid w:val="00E02D5B"/>
    <w:rsid w:val="00E050E7"/>
    <w:rsid w:val="00E057BB"/>
    <w:rsid w:val="00E0668D"/>
    <w:rsid w:val="00E06A80"/>
    <w:rsid w:val="00E06AC4"/>
    <w:rsid w:val="00E06E10"/>
    <w:rsid w:val="00E077D0"/>
    <w:rsid w:val="00E078C0"/>
    <w:rsid w:val="00E10294"/>
    <w:rsid w:val="00E10876"/>
    <w:rsid w:val="00E1220E"/>
    <w:rsid w:val="00E1329D"/>
    <w:rsid w:val="00E1344D"/>
    <w:rsid w:val="00E135C8"/>
    <w:rsid w:val="00E15234"/>
    <w:rsid w:val="00E1564F"/>
    <w:rsid w:val="00E15854"/>
    <w:rsid w:val="00E15D1F"/>
    <w:rsid w:val="00E16530"/>
    <w:rsid w:val="00E166B6"/>
    <w:rsid w:val="00E16B31"/>
    <w:rsid w:val="00E16EDB"/>
    <w:rsid w:val="00E1729F"/>
    <w:rsid w:val="00E17476"/>
    <w:rsid w:val="00E20F11"/>
    <w:rsid w:val="00E236A2"/>
    <w:rsid w:val="00E23BC3"/>
    <w:rsid w:val="00E2405C"/>
    <w:rsid w:val="00E2429D"/>
    <w:rsid w:val="00E24DDF"/>
    <w:rsid w:val="00E256B8"/>
    <w:rsid w:val="00E25A80"/>
    <w:rsid w:val="00E25D88"/>
    <w:rsid w:val="00E25FBE"/>
    <w:rsid w:val="00E27521"/>
    <w:rsid w:val="00E27571"/>
    <w:rsid w:val="00E2764C"/>
    <w:rsid w:val="00E3000F"/>
    <w:rsid w:val="00E31A70"/>
    <w:rsid w:val="00E31AA0"/>
    <w:rsid w:val="00E31CBD"/>
    <w:rsid w:val="00E31DE5"/>
    <w:rsid w:val="00E3216B"/>
    <w:rsid w:val="00E32C3E"/>
    <w:rsid w:val="00E3387D"/>
    <w:rsid w:val="00E3632E"/>
    <w:rsid w:val="00E36745"/>
    <w:rsid w:val="00E3782F"/>
    <w:rsid w:val="00E40B60"/>
    <w:rsid w:val="00E4194B"/>
    <w:rsid w:val="00E428A9"/>
    <w:rsid w:val="00E4293C"/>
    <w:rsid w:val="00E43A57"/>
    <w:rsid w:val="00E43FAF"/>
    <w:rsid w:val="00E456E7"/>
    <w:rsid w:val="00E4764E"/>
    <w:rsid w:val="00E476B7"/>
    <w:rsid w:val="00E52982"/>
    <w:rsid w:val="00E52A69"/>
    <w:rsid w:val="00E53706"/>
    <w:rsid w:val="00E5432D"/>
    <w:rsid w:val="00E547EF"/>
    <w:rsid w:val="00E552B1"/>
    <w:rsid w:val="00E552BA"/>
    <w:rsid w:val="00E5541E"/>
    <w:rsid w:val="00E5575B"/>
    <w:rsid w:val="00E55CEF"/>
    <w:rsid w:val="00E55F34"/>
    <w:rsid w:val="00E571FD"/>
    <w:rsid w:val="00E57FEC"/>
    <w:rsid w:val="00E60C72"/>
    <w:rsid w:val="00E60F92"/>
    <w:rsid w:val="00E61123"/>
    <w:rsid w:val="00E62B25"/>
    <w:rsid w:val="00E631F7"/>
    <w:rsid w:val="00E638BD"/>
    <w:rsid w:val="00E6629E"/>
    <w:rsid w:val="00E66F7D"/>
    <w:rsid w:val="00E6759D"/>
    <w:rsid w:val="00E67F81"/>
    <w:rsid w:val="00E722B2"/>
    <w:rsid w:val="00E7393F"/>
    <w:rsid w:val="00E73D7A"/>
    <w:rsid w:val="00E74670"/>
    <w:rsid w:val="00E75C3B"/>
    <w:rsid w:val="00E8077D"/>
    <w:rsid w:val="00E80DC1"/>
    <w:rsid w:val="00E81909"/>
    <w:rsid w:val="00E81AAE"/>
    <w:rsid w:val="00E83839"/>
    <w:rsid w:val="00E83BB3"/>
    <w:rsid w:val="00E8483C"/>
    <w:rsid w:val="00E853D1"/>
    <w:rsid w:val="00E85483"/>
    <w:rsid w:val="00E8575B"/>
    <w:rsid w:val="00E85C9B"/>
    <w:rsid w:val="00E869EE"/>
    <w:rsid w:val="00E86E21"/>
    <w:rsid w:val="00E87F70"/>
    <w:rsid w:val="00E902BD"/>
    <w:rsid w:val="00E9046E"/>
    <w:rsid w:val="00E90C9D"/>
    <w:rsid w:val="00E90CF5"/>
    <w:rsid w:val="00E91324"/>
    <w:rsid w:val="00E927BD"/>
    <w:rsid w:val="00E929FB"/>
    <w:rsid w:val="00E93295"/>
    <w:rsid w:val="00E93404"/>
    <w:rsid w:val="00E93480"/>
    <w:rsid w:val="00E93C39"/>
    <w:rsid w:val="00E945BA"/>
    <w:rsid w:val="00E94714"/>
    <w:rsid w:val="00E95BBA"/>
    <w:rsid w:val="00E95D55"/>
    <w:rsid w:val="00E95D70"/>
    <w:rsid w:val="00E969F6"/>
    <w:rsid w:val="00E96AE0"/>
    <w:rsid w:val="00E9746A"/>
    <w:rsid w:val="00EA14E1"/>
    <w:rsid w:val="00EA2061"/>
    <w:rsid w:val="00EA38F1"/>
    <w:rsid w:val="00EA395F"/>
    <w:rsid w:val="00EA4A62"/>
    <w:rsid w:val="00EA4B5C"/>
    <w:rsid w:val="00EA5981"/>
    <w:rsid w:val="00EA5F56"/>
    <w:rsid w:val="00EA69F6"/>
    <w:rsid w:val="00EA6CA5"/>
    <w:rsid w:val="00EA7A9B"/>
    <w:rsid w:val="00EA7F1F"/>
    <w:rsid w:val="00EB0197"/>
    <w:rsid w:val="00EB065A"/>
    <w:rsid w:val="00EB0F5F"/>
    <w:rsid w:val="00EB105A"/>
    <w:rsid w:val="00EB20F1"/>
    <w:rsid w:val="00EB2D31"/>
    <w:rsid w:val="00EB30D1"/>
    <w:rsid w:val="00EB327F"/>
    <w:rsid w:val="00EB3828"/>
    <w:rsid w:val="00EB3F1F"/>
    <w:rsid w:val="00EB48B1"/>
    <w:rsid w:val="00EB63FE"/>
    <w:rsid w:val="00EB773B"/>
    <w:rsid w:val="00EB7F85"/>
    <w:rsid w:val="00EC06EB"/>
    <w:rsid w:val="00EC12DB"/>
    <w:rsid w:val="00EC2BF0"/>
    <w:rsid w:val="00EC2EA7"/>
    <w:rsid w:val="00EC3212"/>
    <w:rsid w:val="00EC3DAA"/>
    <w:rsid w:val="00EC46CF"/>
    <w:rsid w:val="00EC6CA9"/>
    <w:rsid w:val="00EC6DEB"/>
    <w:rsid w:val="00EC6FC6"/>
    <w:rsid w:val="00ED0B6D"/>
    <w:rsid w:val="00ED0E20"/>
    <w:rsid w:val="00ED0E23"/>
    <w:rsid w:val="00ED193F"/>
    <w:rsid w:val="00ED1B40"/>
    <w:rsid w:val="00ED22CC"/>
    <w:rsid w:val="00ED24DB"/>
    <w:rsid w:val="00ED29F4"/>
    <w:rsid w:val="00ED2A34"/>
    <w:rsid w:val="00ED2CB1"/>
    <w:rsid w:val="00ED2D51"/>
    <w:rsid w:val="00ED2D7A"/>
    <w:rsid w:val="00ED2DE4"/>
    <w:rsid w:val="00ED4B5A"/>
    <w:rsid w:val="00ED4C63"/>
    <w:rsid w:val="00ED4CD6"/>
    <w:rsid w:val="00ED5959"/>
    <w:rsid w:val="00ED5B20"/>
    <w:rsid w:val="00ED5FE9"/>
    <w:rsid w:val="00ED6CA2"/>
    <w:rsid w:val="00ED7A17"/>
    <w:rsid w:val="00EE0258"/>
    <w:rsid w:val="00EE0570"/>
    <w:rsid w:val="00EE0BB3"/>
    <w:rsid w:val="00EE1CBE"/>
    <w:rsid w:val="00EE344B"/>
    <w:rsid w:val="00EE3FBD"/>
    <w:rsid w:val="00EE4837"/>
    <w:rsid w:val="00EE630F"/>
    <w:rsid w:val="00EE6512"/>
    <w:rsid w:val="00EE7FC5"/>
    <w:rsid w:val="00EF0701"/>
    <w:rsid w:val="00EF165E"/>
    <w:rsid w:val="00EF170F"/>
    <w:rsid w:val="00EF20B1"/>
    <w:rsid w:val="00EF5166"/>
    <w:rsid w:val="00EF6504"/>
    <w:rsid w:val="00EF72C0"/>
    <w:rsid w:val="00F0025A"/>
    <w:rsid w:val="00F00728"/>
    <w:rsid w:val="00F0072F"/>
    <w:rsid w:val="00F010AD"/>
    <w:rsid w:val="00F02CB6"/>
    <w:rsid w:val="00F035BF"/>
    <w:rsid w:val="00F04766"/>
    <w:rsid w:val="00F04A45"/>
    <w:rsid w:val="00F05638"/>
    <w:rsid w:val="00F05721"/>
    <w:rsid w:val="00F05A60"/>
    <w:rsid w:val="00F0656F"/>
    <w:rsid w:val="00F0693C"/>
    <w:rsid w:val="00F06A0F"/>
    <w:rsid w:val="00F10007"/>
    <w:rsid w:val="00F10803"/>
    <w:rsid w:val="00F10EE6"/>
    <w:rsid w:val="00F1227B"/>
    <w:rsid w:val="00F12856"/>
    <w:rsid w:val="00F13288"/>
    <w:rsid w:val="00F14534"/>
    <w:rsid w:val="00F14576"/>
    <w:rsid w:val="00F14596"/>
    <w:rsid w:val="00F14B4A"/>
    <w:rsid w:val="00F15291"/>
    <w:rsid w:val="00F1599C"/>
    <w:rsid w:val="00F172CC"/>
    <w:rsid w:val="00F209BC"/>
    <w:rsid w:val="00F20B0E"/>
    <w:rsid w:val="00F2126E"/>
    <w:rsid w:val="00F2168A"/>
    <w:rsid w:val="00F21D06"/>
    <w:rsid w:val="00F2232B"/>
    <w:rsid w:val="00F247CD"/>
    <w:rsid w:val="00F24CBB"/>
    <w:rsid w:val="00F2511E"/>
    <w:rsid w:val="00F257A2"/>
    <w:rsid w:val="00F25A25"/>
    <w:rsid w:val="00F26B27"/>
    <w:rsid w:val="00F26BBB"/>
    <w:rsid w:val="00F27245"/>
    <w:rsid w:val="00F27B81"/>
    <w:rsid w:val="00F27C5C"/>
    <w:rsid w:val="00F31481"/>
    <w:rsid w:val="00F31F79"/>
    <w:rsid w:val="00F32837"/>
    <w:rsid w:val="00F329B5"/>
    <w:rsid w:val="00F33789"/>
    <w:rsid w:val="00F34237"/>
    <w:rsid w:val="00F34795"/>
    <w:rsid w:val="00F35159"/>
    <w:rsid w:val="00F35E6E"/>
    <w:rsid w:val="00F361BB"/>
    <w:rsid w:val="00F3670A"/>
    <w:rsid w:val="00F369AE"/>
    <w:rsid w:val="00F4072C"/>
    <w:rsid w:val="00F40F1E"/>
    <w:rsid w:val="00F414F4"/>
    <w:rsid w:val="00F42FC4"/>
    <w:rsid w:val="00F43D2F"/>
    <w:rsid w:val="00F44580"/>
    <w:rsid w:val="00F456EB"/>
    <w:rsid w:val="00F46222"/>
    <w:rsid w:val="00F47386"/>
    <w:rsid w:val="00F47CF9"/>
    <w:rsid w:val="00F50306"/>
    <w:rsid w:val="00F51223"/>
    <w:rsid w:val="00F51256"/>
    <w:rsid w:val="00F512BF"/>
    <w:rsid w:val="00F5139C"/>
    <w:rsid w:val="00F5149D"/>
    <w:rsid w:val="00F514A3"/>
    <w:rsid w:val="00F5195F"/>
    <w:rsid w:val="00F530DD"/>
    <w:rsid w:val="00F53161"/>
    <w:rsid w:val="00F54BC6"/>
    <w:rsid w:val="00F55439"/>
    <w:rsid w:val="00F5552C"/>
    <w:rsid w:val="00F55A54"/>
    <w:rsid w:val="00F56013"/>
    <w:rsid w:val="00F56F52"/>
    <w:rsid w:val="00F575AE"/>
    <w:rsid w:val="00F605E7"/>
    <w:rsid w:val="00F607F3"/>
    <w:rsid w:val="00F60BBE"/>
    <w:rsid w:val="00F60CE3"/>
    <w:rsid w:val="00F6158F"/>
    <w:rsid w:val="00F62480"/>
    <w:rsid w:val="00F62BDC"/>
    <w:rsid w:val="00F62FE5"/>
    <w:rsid w:val="00F63129"/>
    <w:rsid w:val="00F632AA"/>
    <w:rsid w:val="00F639A1"/>
    <w:rsid w:val="00F63BAC"/>
    <w:rsid w:val="00F63F05"/>
    <w:rsid w:val="00F64EE7"/>
    <w:rsid w:val="00F64F63"/>
    <w:rsid w:val="00F676D4"/>
    <w:rsid w:val="00F67F71"/>
    <w:rsid w:val="00F7074D"/>
    <w:rsid w:val="00F70D85"/>
    <w:rsid w:val="00F71A18"/>
    <w:rsid w:val="00F71EDF"/>
    <w:rsid w:val="00F71F04"/>
    <w:rsid w:val="00F7400A"/>
    <w:rsid w:val="00F745E7"/>
    <w:rsid w:val="00F74700"/>
    <w:rsid w:val="00F74CB5"/>
    <w:rsid w:val="00F74DDC"/>
    <w:rsid w:val="00F756F8"/>
    <w:rsid w:val="00F75B98"/>
    <w:rsid w:val="00F75F40"/>
    <w:rsid w:val="00F75F80"/>
    <w:rsid w:val="00F77988"/>
    <w:rsid w:val="00F77993"/>
    <w:rsid w:val="00F8021F"/>
    <w:rsid w:val="00F80328"/>
    <w:rsid w:val="00F80C78"/>
    <w:rsid w:val="00F80D63"/>
    <w:rsid w:val="00F810E7"/>
    <w:rsid w:val="00F81ABC"/>
    <w:rsid w:val="00F8260B"/>
    <w:rsid w:val="00F82948"/>
    <w:rsid w:val="00F82F5A"/>
    <w:rsid w:val="00F831A4"/>
    <w:rsid w:val="00F84B84"/>
    <w:rsid w:val="00F855D5"/>
    <w:rsid w:val="00F85622"/>
    <w:rsid w:val="00F85F2B"/>
    <w:rsid w:val="00F87138"/>
    <w:rsid w:val="00F91DF9"/>
    <w:rsid w:val="00F92EAE"/>
    <w:rsid w:val="00F934B4"/>
    <w:rsid w:val="00F93AD4"/>
    <w:rsid w:val="00F9439D"/>
    <w:rsid w:val="00F94508"/>
    <w:rsid w:val="00F94656"/>
    <w:rsid w:val="00F94978"/>
    <w:rsid w:val="00F94C72"/>
    <w:rsid w:val="00F9654C"/>
    <w:rsid w:val="00F96D19"/>
    <w:rsid w:val="00F97E04"/>
    <w:rsid w:val="00FA0874"/>
    <w:rsid w:val="00FA08B4"/>
    <w:rsid w:val="00FA135E"/>
    <w:rsid w:val="00FA1E91"/>
    <w:rsid w:val="00FA2543"/>
    <w:rsid w:val="00FA32B8"/>
    <w:rsid w:val="00FA32FF"/>
    <w:rsid w:val="00FA39E5"/>
    <w:rsid w:val="00FA62A3"/>
    <w:rsid w:val="00FA7250"/>
    <w:rsid w:val="00FB02E5"/>
    <w:rsid w:val="00FB10B1"/>
    <w:rsid w:val="00FB17D4"/>
    <w:rsid w:val="00FB1D77"/>
    <w:rsid w:val="00FB29B5"/>
    <w:rsid w:val="00FB2B5A"/>
    <w:rsid w:val="00FB343B"/>
    <w:rsid w:val="00FB39AA"/>
    <w:rsid w:val="00FB3E54"/>
    <w:rsid w:val="00FB512C"/>
    <w:rsid w:val="00FB7DF5"/>
    <w:rsid w:val="00FC0B83"/>
    <w:rsid w:val="00FC150D"/>
    <w:rsid w:val="00FC181A"/>
    <w:rsid w:val="00FC1994"/>
    <w:rsid w:val="00FC1D88"/>
    <w:rsid w:val="00FC2218"/>
    <w:rsid w:val="00FC320E"/>
    <w:rsid w:val="00FC37C6"/>
    <w:rsid w:val="00FC452B"/>
    <w:rsid w:val="00FC4753"/>
    <w:rsid w:val="00FC4ED8"/>
    <w:rsid w:val="00FC51C9"/>
    <w:rsid w:val="00FC5553"/>
    <w:rsid w:val="00FC5882"/>
    <w:rsid w:val="00FC7D80"/>
    <w:rsid w:val="00FD154C"/>
    <w:rsid w:val="00FD1765"/>
    <w:rsid w:val="00FD1B7B"/>
    <w:rsid w:val="00FD22CC"/>
    <w:rsid w:val="00FD3D22"/>
    <w:rsid w:val="00FD4A06"/>
    <w:rsid w:val="00FD5763"/>
    <w:rsid w:val="00FD5B5E"/>
    <w:rsid w:val="00FD62CA"/>
    <w:rsid w:val="00FD704D"/>
    <w:rsid w:val="00FD75BC"/>
    <w:rsid w:val="00FE11FA"/>
    <w:rsid w:val="00FE2BB1"/>
    <w:rsid w:val="00FE4459"/>
    <w:rsid w:val="00FE50AA"/>
    <w:rsid w:val="00FE51A7"/>
    <w:rsid w:val="00FE575A"/>
    <w:rsid w:val="00FE60C2"/>
    <w:rsid w:val="00FE641A"/>
    <w:rsid w:val="00FE653D"/>
    <w:rsid w:val="00FF0752"/>
    <w:rsid w:val="00FF137E"/>
    <w:rsid w:val="00FF15B7"/>
    <w:rsid w:val="00FF2CEA"/>
    <w:rsid w:val="00FF3A80"/>
    <w:rsid w:val="00FF5671"/>
    <w:rsid w:val="010827C0"/>
    <w:rsid w:val="01086C64"/>
    <w:rsid w:val="010A29DC"/>
    <w:rsid w:val="010D4339"/>
    <w:rsid w:val="01695955"/>
    <w:rsid w:val="01747257"/>
    <w:rsid w:val="018965BF"/>
    <w:rsid w:val="019329D2"/>
    <w:rsid w:val="0194674A"/>
    <w:rsid w:val="019809D3"/>
    <w:rsid w:val="01A14CAD"/>
    <w:rsid w:val="01BF64F7"/>
    <w:rsid w:val="01E274B5"/>
    <w:rsid w:val="01E85206"/>
    <w:rsid w:val="01FB40D3"/>
    <w:rsid w:val="02203B3A"/>
    <w:rsid w:val="022E0D6C"/>
    <w:rsid w:val="023615AF"/>
    <w:rsid w:val="02363994"/>
    <w:rsid w:val="023A2E4D"/>
    <w:rsid w:val="025005CD"/>
    <w:rsid w:val="0250441F"/>
    <w:rsid w:val="02581365"/>
    <w:rsid w:val="0261487E"/>
    <w:rsid w:val="02691A5F"/>
    <w:rsid w:val="02B80216"/>
    <w:rsid w:val="02BF15A4"/>
    <w:rsid w:val="02BF3353"/>
    <w:rsid w:val="02DA6E91"/>
    <w:rsid w:val="02F23728"/>
    <w:rsid w:val="02F9250E"/>
    <w:rsid w:val="030B2604"/>
    <w:rsid w:val="031F12CE"/>
    <w:rsid w:val="033A29CA"/>
    <w:rsid w:val="03435E1D"/>
    <w:rsid w:val="034A2073"/>
    <w:rsid w:val="035E0DBD"/>
    <w:rsid w:val="03671055"/>
    <w:rsid w:val="0373358E"/>
    <w:rsid w:val="03764359"/>
    <w:rsid w:val="03971CCE"/>
    <w:rsid w:val="039D14F8"/>
    <w:rsid w:val="03CD3125"/>
    <w:rsid w:val="04476F33"/>
    <w:rsid w:val="044D407B"/>
    <w:rsid w:val="045F6B9B"/>
    <w:rsid w:val="047C6C17"/>
    <w:rsid w:val="04926F71"/>
    <w:rsid w:val="04C44C50"/>
    <w:rsid w:val="04C655D4"/>
    <w:rsid w:val="04DC01EC"/>
    <w:rsid w:val="04E11CA6"/>
    <w:rsid w:val="04E43544"/>
    <w:rsid w:val="050D2A9B"/>
    <w:rsid w:val="050D4849"/>
    <w:rsid w:val="050D7BBE"/>
    <w:rsid w:val="05374F27"/>
    <w:rsid w:val="05544226"/>
    <w:rsid w:val="056326BB"/>
    <w:rsid w:val="05685F23"/>
    <w:rsid w:val="05776166"/>
    <w:rsid w:val="05B253F0"/>
    <w:rsid w:val="05C3315A"/>
    <w:rsid w:val="06156967"/>
    <w:rsid w:val="06251807"/>
    <w:rsid w:val="068218BB"/>
    <w:rsid w:val="068A5032"/>
    <w:rsid w:val="06936FD0"/>
    <w:rsid w:val="069B192F"/>
    <w:rsid w:val="06A44D39"/>
    <w:rsid w:val="06D03D80"/>
    <w:rsid w:val="06DA075B"/>
    <w:rsid w:val="071F2612"/>
    <w:rsid w:val="074327A4"/>
    <w:rsid w:val="074D717F"/>
    <w:rsid w:val="075A4737"/>
    <w:rsid w:val="075E313A"/>
    <w:rsid w:val="077927CF"/>
    <w:rsid w:val="077A1F3E"/>
    <w:rsid w:val="0788753E"/>
    <w:rsid w:val="078B5EF9"/>
    <w:rsid w:val="07946C96"/>
    <w:rsid w:val="079923C4"/>
    <w:rsid w:val="07C66F31"/>
    <w:rsid w:val="07E06D3A"/>
    <w:rsid w:val="07E64320"/>
    <w:rsid w:val="07F905D5"/>
    <w:rsid w:val="08051549"/>
    <w:rsid w:val="082B32A2"/>
    <w:rsid w:val="083210FA"/>
    <w:rsid w:val="08495D9A"/>
    <w:rsid w:val="084C0924"/>
    <w:rsid w:val="084F77D5"/>
    <w:rsid w:val="08684CE0"/>
    <w:rsid w:val="0898267C"/>
    <w:rsid w:val="08AF0FBB"/>
    <w:rsid w:val="08C2578B"/>
    <w:rsid w:val="08E27D9B"/>
    <w:rsid w:val="08FA50E4"/>
    <w:rsid w:val="0902518B"/>
    <w:rsid w:val="091176C7"/>
    <w:rsid w:val="09134B9D"/>
    <w:rsid w:val="091A2534"/>
    <w:rsid w:val="095D60FA"/>
    <w:rsid w:val="09656D08"/>
    <w:rsid w:val="096B38AC"/>
    <w:rsid w:val="09903C9B"/>
    <w:rsid w:val="09AF4121"/>
    <w:rsid w:val="09B65EF2"/>
    <w:rsid w:val="09B822B3"/>
    <w:rsid w:val="09C15C02"/>
    <w:rsid w:val="09C474A0"/>
    <w:rsid w:val="09CB082F"/>
    <w:rsid w:val="09E0048C"/>
    <w:rsid w:val="09EF7D37"/>
    <w:rsid w:val="0A1246B0"/>
    <w:rsid w:val="0A4A5CD5"/>
    <w:rsid w:val="0A4D76C5"/>
    <w:rsid w:val="0A546A76"/>
    <w:rsid w:val="0A857FE9"/>
    <w:rsid w:val="0A8729A8"/>
    <w:rsid w:val="0A8C4462"/>
    <w:rsid w:val="0A981059"/>
    <w:rsid w:val="0AA36264"/>
    <w:rsid w:val="0AE55D40"/>
    <w:rsid w:val="0B4E34C6"/>
    <w:rsid w:val="0B5A150C"/>
    <w:rsid w:val="0B5D2AA8"/>
    <w:rsid w:val="0B7C07C5"/>
    <w:rsid w:val="0B7D1FFD"/>
    <w:rsid w:val="0B83590E"/>
    <w:rsid w:val="0B9A670B"/>
    <w:rsid w:val="0BB060BE"/>
    <w:rsid w:val="0BC96FF0"/>
    <w:rsid w:val="0C534F33"/>
    <w:rsid w:val="0C7863A0"/>
    <w:rsid w:val="0C8A677F"/>
    <w:rsid w:val="0C9A1576"/>
    <w:rsid w:val="0CD0487B"/>
    <w:rsid w:val="0CD21ED4"/>
    <w:rsid w:val="0CDD71F7"/>
    <w:rsid w:val="0CE07EE3"/>
    <w:rsid w:val="0D166C60"/>
    <w:rsid w:val="0D26095D"/>
    <w:rsid w:val="0D2C5A88"/>
    <w:rsid w:val="0D330BC5"/>
    <w:rsid w:val="0D3F57BC"/>
    <w:rsid w:val="0D443A40"/>
    <w:rsid w:val="0D5254FD"/>
    <w:rsid w:val="0D6E6B91"/>
    <w:rsid w:val="0D7C256C"/>
    <w:rsid w:val="0D8238FA"/>
    <w:rsid w:val="0DA2253D"/>
    <w:rsid w:val="0DD855EE"/>
    <w:rsid w:val="0E9C038E"/>
    <w:rsid w:val="0EBD44A4"/>
    <w:rsid w:val="0EC87A33"/>
    <w:rsid w:val="0EDB7766"/>
    <w:rsid w:val="0EE94D93"/>
    <w:rsid w:val="0F113188"/>
    <w:rsid w:val="0F135AE3"/>
    <w:rsid w:val="0F2E3D3A"/>
    <w:rsid w:val="0F344EAE"/>
    <w:rsid w:val="0F347B74"/>
    <w:rsid w:val="0F474DFC"/>
    <w:rsid w:val="0F4867E1"/>
    <w:rsid w:val="0F4C0664"/>
    <w:rsid w:val="0F4E56DF"/>
    <w:rsid w:val="0F64136A"/>
    <w:rsid w:val="0F67724C"/>
    <w:rsid w:val="0FA652F3"/>
    <w:rsid w:val="0FAD6840"/>
    <w:rsid w:val="0FDF5034"/>
    <w:rsid w:val="103661B5"/>
    <w:rsid w:val="1045393E"/>
    <w:rsid w:val="10751581"/>
    <w:rsid w:val="10754F35"/>
    <w:rsid w:val="10766EB3"/>
    <w:rsid w:val="107A6C8B"/>
    <w:rsid w:val="108D5E7E"/>
    <w:rsid w:val="10967DE9"/>
    <w:rsid w:val="10AE4602"/>
    <w:rsid w:val="10C224D8"/>
    <w:rsid w:val="10F36A14"/>
    <w:rsid w:val="113F0D6E"/>
    <w:rsid w:val="117479FE"/>
    <w:rsid w:val="118916FB"/>
    <w:rsid w:val="11A06DE7"/>
    <w:rsid w:val="11A953E5"/>
    <w:rsid w:val="11B00002"/>
    <w:rsid w:val="124E72A0"/>
    <w:rsid w:val="127A45ED"/>
    <w:rsid w:val="127A5093"/>
    <w:rsid w:val="127C300E"/>
    <w:rsid w:val="12887C05"/>
    <w:rsid w:val="12A04F4F"/>
    <w:rsid w:val="12A61E39"/>
    <w:rsid w:val="12E75305"/>
    <w:rsid w:val="13001549"/>
    <w:rsid w:val="13051255"/>
    <w:rsid w:val="1324792E"/>
    <w:rsid w:val="13444037"/>
    <w:rsid w:val="134542B6"/>
    <w:rsid w:val="13554FCA"/>
    <w:rsid w:val="137731BF"/>
    <w:rsid w:val="137912FC"/>
    <w:rsid w:val="13861583"/>
    <w:rsid w:val="13954387"/>
    <w:rsid w:val="13A26886"/>
    <w:rsid w:val="13B55B78"/>
    <w:rsid w:val="13E36E67"/>
    <w:rsid w:val="13FF5CA5"/>
    <w:rsid w:val="140B464A"/>
    <w:rsid w:val="142838F9"/>
    <w:rsid w:val="14320908"/>
    <w:rsid w:val="14575AE1"/>
    <w:rsid w:val="14611454"/>
    <w:rsid w:val="14854397"/>
    <w:rsid w:val="14A34882"/>
    <w:rsid w:val="14A5684C"/>
    <w:rsid w:val="14C044BD"/>
    <w:rsid w:val="14C22DE3"/>
    <w:rsid w:val="14CB6990"/>
    <w:rsid w:val="14F04B70"/>
    <w:rsid w:val="14F236FC"/>
    <w:rsid w:val="1506741F"/>
    <w:rsid w:val="15245F48"/>
    <w:rsid w:val="15267261"/>
    <w:rsid w:val="155B282E"/>
    <w:rsid w:val="158E5532"/>
    <w:rsid w:val="159D5775"/>
    <w:rsid w:val="159E329B"/>
    <w:rsid w:val="15B157C4"/>
    <w:rsid w:val="15CE307A"/>
    <w:rsid w:val="15F42B78"/>
    <w:rsid w:val="160131BB"/>
    <w:rsid w:val="161241C0"/>
    <w:rsid w:val="16241AD1"/>
    <w:rsid w:val="16246841"/>
    <w:rsid w:val="162C4671"/>
    <w:rsid w:val="16302145"/>
    <w:rsid w:val="1638549E"/>
    <w:rsid w:val="16445BF1"/>
    <w:rsid w:val="1653052A"/>
    <w:rsid w:val="16657759"/>
    <w:rsid w:val="169528F0"/>
    <w:rsid w:val="169E79F7"/>
    <w:rsid w:val="16B216C0"/>
    <w:rsid w:val="16BB6A4C"/>
    <w:rsid w:val="16BB72CE"/>
    <w:rsid w:val="16E2633E"/>
    <w:rsid w:val="16F05D79"/>
    <w:rsid w:val="17033CFE"/>
    <w:rsid w:val="1719707D"/>
    <w:rsid w:val="171C091C"/>
    <w:rsid w:val="171E606A"/>
    <w:rsid w:val="175D6154"/>
    <w:rsid w:val="17683B61"/>
    <w:rsid w:val="17710C68"/>
    <w:rsid w:val="177F28B7"/>
    <w:rsid w:val="17CE7E68"/>
    <w:rsid w:val="17D95D82"/>
    <w:rsid w:val="17E16D7D"/>
    <w:rsid w:val="17E83604"/>
    <w:rsid w:val="17FB2C27"/>
    <w:rsid w:val="17FC74C0"/>
    <w:rsid w:val="180478DF"/>
    <w:rsid w:val="180513B0"/>
    <w:rsid w:val="180F2747"/>
    <w:rsid w:val="18115FA7"/>
    <w:rsid w:val="18251831"/>
    <w:rsid w:val="183E662D"/>
    <w:rsid w:val="18501D8C"/>
    <w:rsid w:val="18573883"/>
    <w:rsid w:val="18704CC4"/>
    <w:rsid w:val="187F5606"/>
    <w:rsid w:val="18982224"/>
    <w:rsid w:val="18AC4849"/>
    <w:rsid w:val="18BA0AB1"/>
    <w:rsid w:val="18D47700"/>
    <w:rsid w:val="18DC4807"/>
    <w:rsid w:val="190401B9"/>
    <w:rsid w:val="194A5C14"/>
    <w:rsid w:val="196025C5"/>
    <w:rsid w:val="196E4F40"/>
    <w:rsid w:val="197C796D"/>
    <w:rsid w:val="197D7D98"/>
    <w:rsid w:val="1988673C"/>
    <w:rsid w:val="19993C07"/>
    <w:rsid w:val="19A20750"/>
    <w:rsid w:val="19A215AC"/>
    <w:rsid w:val="19ED659F"/>
    <w:rsid w:val="1A0006C1"/>
    <w:rsid w:val="1A225A66"/>
    <w:rsid w:val="1A564145"/>
    <w:rsid w:val="1A5A3C35"/>
    <w:rsid w:val="1AAE793C"/>
    <w:rsid w:val="1AB52F78"/>
    <w:rsid w:val="1ABD5F72"/>
    <w:rsid w:val="1AEA60DF"/>
    <w:rsid w:val="1B0016FF"/>
    <w:rsid w:val="1B07305E"/>
    <w:rsid w:val="1B163B9A"/>
    <w:rsid w:val="1B244243"/>
    <w:rsid w:val="1B465198"/>
    <w:rsid w:val="1B726910"/>
    <w:rsid w:val="1B86423A"/>
    <w:rsid w:val="1B8B6070"/>
    <w:rsid w:val="1B975453"/>
    <w:rsid w:val="1BA027E4"/>
    <w:rsid w:val="1BAA0BEC"/>
    <w:rsid w:val="1BBD045C"/>
    <w:rsid w:val="1BBD5FCF"/>
    <w:rsid w:val="1BEA723A"/>
    <w:rsid w:val="1BF105C9"/>
    <w:rsid w:val="1C180C49"/>
    <w:rsid w:val="1C3E504A"/>
    <w:rsid w:val="1C490D10"/>
    <w:rsid w:val="1C613BC7"/>
    <w:rsid w:val="1C767A3B"/>
    <w:rsid w:val="1CAB4C1C"/>
    <w:rsid w:val="1CD5442F"/>
    <w:rsid w:val="1CD778AC"/>
    <w:rsid w:val="1CD87093"/>
    <w:rsid w:val="1CDA0B62"/>
    <w:rsid w:val="1D585B0D"/>
    <w:rsid w:val="1D76208F"/>
    <w:rsid w:val="1D8E280B"/>
    <w:rsid w:val="1DB00010"/>
    <w:rsid w:val="1E127DF9"/>
    <w:rsid w:val="1E854FF8"/>
    <w:rsid w:val="1EA02417"/>
    <w:rsid w:val="1EA45E93"/>
    <w:rsid w:val="1EAD380C"/>
    <w:rsid w:val="1EB853CE"/>
    <w:rsid w:val="1EEB7551"/>
    <w:rsid w:val="1EF93301"/>
    <w:rsid w:val="1F1A1BE5"/>
    <w:rsid w:val="1F242A02"/>
    <w:rsid w:val="1F2B5263"/>
    <w:rsid w:val="1F5671D3"/>
    <w:rsid w:val="1F6605F9"/>
    <w:rsid w:val="1F807CAF"/>
    <w:rsid w:val="1F94396F"/>
    <w:rsid w:val="1FA616CA"/>
    <w:rsid w:val="1FA7145B"/>
    <w:rsid w:val="1FF02946"/>
    <w:rsid w:val="1FF16DE9"/>
    <w:rsid w:val="202248D0"/>
    <w:rsid w:val="20496816"/>
    <w:rsid w:val="204E2A69"/>
    <w:rsid w:val="20596994"/>
    <w:rsid w:val="207A1407"/>
    <w:rsid w:val="208512E0"/>
    <w:rsid w:val="20B86208"/>
    <w:rsid w:val="20C51B07"/>
    <w:rsid w:val="20CC33B3"/>
    <w:rsid w:val="20E81F4E"/>
    <w:rsid w:val="20EA0BE3"/>
    <w:rsid w:val="210902B5"/>
    <w:rsid w:val="212F26E9"/>
    <w:rsid w:val="215D225D"/>
    <w:rsid w:val="2167135F"/>
    <w:rsid w:val="219E6AFD"/>
    <w:rsid w:val="21AB2FC8"/>
    <w:rsid w:val="21B9320A"/>
    <w:rsid w:val="21EF3181"/>
    <w:rsid w:val="21F737A6"/>
    <w:rsid w:val="21FE134A"/>
    <w:rsid w:val="22250FCC"/>
    <w:rsid w:val="222C235B"/>
    <w:rsid w:val="22397E14"/>
    <w:rsid w:val="22883309"/>
    <w:rsid w:val="22C06F65"/>
    <w:rsid w:val="22EB3C0A"/>
    <w:rsid w:val="230F7587"/>
    <w:rsid w:val="231E08D1"/>
    <w:rsid w:val="2349429B"/>
    <w:rsid w:val="23563407"/>
    <w:rsid w:val="235976EC"/>
    <w:rsid w:val="2366364A"/>
    <w:rsid w:val="23A97406"/>
    <w:rsid w:val="23CB77BA"/>
    <w:rsid w:val="23DA7B95"/>
    <w:rsid w:val="23FE2088"/>
    <w:rsid w:val="2403714E"/>
    <w:rsid w:val="2414085E"/>
    <w:rsid w:val="24671633"/>
    <w:rsid w:val="246B6A3F"/>
    <w:rsid w:val="248D2E59"/>
    <w:rsid w:val="249254E8"/>
    <w:rsid w:val="24D80578"/>
    <w:rsid w:val="24E16D01"/>
    <w:rsid w:val="24E8008F"/>
    <w:rsid w:val="252966D9"/>
    <w:rsid w:val="252D2ED5"/>
    <w:rsid w:val="255D5EF0"/>
    <w:rsid w:val="25675458"/>
    <w:rsid w:val="25702134"/>
    <w:rsid w:val="25752037"/>
    <w:rsid w:val="258673AF"/>
    <w:rsid w:val="259A75DB"/>
    <w:rsid w:val="25C30C51"/>
    <w:rsid w:val="25C44658"/>
    <w:rsid w:val="25C91C6F"/>
    <w:rsid w:val="25D30D3F"/>
    <w:rsid w:val="25F73A7D"/>
    <w:rsid w:val="26091345"/>
    <w:rsid w:val="2624159B"/>
    <w:rsid w:val="266C0C6A"/>
    <w:rsid w:val="26732897"/>
    <w:rsid w:val="26926A95"/>
    <w:rsid w:val="26CA3750"/>
    <w:rsid w:val="26D65F40"/>
    <w:rsid w:val="26F70A5D"/>
    <w:rsid w:val="27002C48"/>
    <w:rsid w:val="27174C5C"/>
    <w:rsid w:val="272C0707"/>
    <w:rsid w:val="274517C9"/>
    <w:rsid w:val="27840543"/>
    <w:rsid w:val="27AC7A9A"/>
    <w:rsid w:val="27B70919"/>
    <w:rsid w:val="28594C54"/>
    <w:rsid w:val="28672875"/>
    <w:rsid w:val="28966508"/>
    <w:rsid w:val="28A075FF"/>
    <w:rsid w:val="28AB7D51"/>
    <w:rsid w:val="28BF64DE"/>
    <w:rsid w:val="28CD7CC8"/>
    <w:rsid w:val="28D42E04"/>
    <w:rsid w:val="28E444C1"/>
    <w:rsid w:val="28F3713A"/>
    <w:rsid w:val="2907142C"/>
    <w:rsid w:val="291B46A3"/>
    <w:rsid w:val="29454B99"/>
    <w:rsid w:val="295D3CC9"/>
    <w:rsid w:val="297B3DA5"/>
    <w:rsid w:val="297C2905"/>
    <w:rsid w:val="2984482A"/>
    <w:rsid w:val="29C4095E"/>
    <w:rsid w:val="29CD79B1"/>
    <w:rsid w:val="29DE7A56"/>
    <w:rsid w:val="29E57780"/>
    <w:rsid w:val="29F4363A"/>
    <w:rsid w:val="2A0911D4"/>
    <w:rsid w:val="2A0B58F3"/>
    <w:rsid w:val="2A6D1762"/>
    <w:rsid w:val="2A9E11D6"/>
    <w:rsid w:val="2AA809EC"/>
    <w:rsid w:val="2ADE2756"/>
    <w:rsid w:val="2ADE440E"/>
    <w:rsid w:val="2B2F067D"/>
    <w:rsid w:val="2B391902"/>
    <w:rsid w:val="2B7E34FB"/>
    <w:rsid w:val="2B944C3D"/>
    <w:rsid w:val="2BAA607C"/>
    <w:rsid w:val="2BB86A0D"/>
    <w:rsid w:val="2BBC4B53"/>
    <w:rsid w:val="2BC120BC"/>
    <w:rsid w:val="2BD33847"/>
    <w:rsid w:val="2BFC0FF0"/>
    <w:rsid w:val="2BFE33B8"/>
    <w:rsid w:val="2C070483"/>
    <w:rsid w:val="2C0C0B07"/>
    <w:rsid w:val="2C143EC1"/>
    <w:rsid w:val="2C2F3AC5"/>
    <w:rsid w:val="2C5C733A"/>
    <w:rsid w:val="2C637962"/>
    <w:rsid w:val="2C6E7AE6"/>
    <w:rsid w:val="2C772424"/>
    <w:rsid w:val="2C800C15"/>
    <w:rsid w:val="2C8252CD"/>
    <w:rsid w:val="2C956D4E"/>
    <w:rsid w:val="2CA4205F"/>
    <w:rsid w:val="2CA84CD4"/>
    <w:rsid w:val="2CB05126"/>
    <w:rsid w:val="2CBD13CB"/>
    <w:rsid w:val="2CCC145C"/>
    <w:rsid w:val="2D1759B5"/>
    <w:rsid w:val="2D2307FE"/>
    <w:rsid w:val="2D325092"/>
    <w:rsid w:val="2D615488"/>
    <w:rsid w:val="2D6230D5"/>
    <w:rsid w:val="2D6A4F2A"/>
    <w:rsid w:val="2D8C1F00"/>
    <w:rsid w:val="2D9246F5"/>
    <w:rsid w:val="2D9E0E4E"/>
    <w:rsid w:val="2DC46CCE"/>
    <w:rsid w:val="2DCD42C6"/>
    <w:rsid w:val="2DE51610"/>
    <w:rsid w:val="2DEC28FF"/>
    <w:rsid w:val="2DFF1ABC"/>
    <w:rsid w:val="2E0004FC"/>
    <w:rsid w:val="2E0777D8"/>
    <w:rsid w:val="2E090714"/>
    <w:rsid w:val="2E4B1DBB"/>
    <w:rsid w:val="2E7634FC"/>
    <w:rsid w:val="2E772BB0"/>
    <w:rsid w:val="2E881DAC"/>
    <w:rsid w:val="2E905A1F"/>
    <w:rsid w:val="2EA2374F"/>
    <w:rsid w:val="2EA94D33"/>
    <w:rsid w:val="2EBC745E"/>
    <w:rsid w:val="2ED72453"/>
    <w:rsid w:val="2EE47B19"/>
    <w:rsid w:val="2EF75A9F"/>
    <w:rsid w:val="2F1A79DF"/>
    <w:rsid w:val="2F34284F"/>
    <w:rsid w:val="2F5922B5"/>
    <w:rsid w:val="2F666780"/>
    <w:rsid w:val="2F863502"/>
    <w:rsid w:val="2F8C7C3F"/>
    <w:rsid w:val="2FAD520D"/>
    <w:rsid w:val="2FC1199C"/>
    <w:rsid w:val="301B2484"/>
    <w:rsid w:val="301B57BD"/>
    <w:rsid w:val="30446AC1"/>
    <w:rsid w:val="3058256D"/>
    <w:rsid w:val="30707DAF"/>
    <w:rsid w:val="307A65E1"/>
    <w:rsid w:val="308C2216"/>
    <w:rsid w:val="30937A49"/>
    <w:rsid w:val="30C776F3"/>
    <w:rsid w:val="30EE51B9"/>
    <w:rsid w:val="30F45845"/>
    <w:rsid w:val="30FB68BC"/>
    <w:rsid w:val="312D42FE"/>
    <w:rsid w:val="31384C69"/>
    <w:rsid w:val="31712187"/>
    <w:rsid w:val="3191367F"/>
    <w:rsid w:val="31A415D4"/>
    <w:rsid w:val="31CB6D6E"/>
    <w:rsid w:val="31CC30D7"/>
    <w:rsid w:val="31D43E75"/>
    <w:rsid w:val="32026C34"/>
    <w:rsid w:val="320329AC"/>
    <w:rsid w:val="3204001F"/>
    <w:rsid w:val="322015A4"/>
    <w:rsid w:val="322E7A29"/>
    <w:rsid w:val="323963CE"/>
    <w:rsid w:val="324B5BCE"/>
    <w:rsid w:val="324C0413"/>
    <w:rsid w:val="32540B72"/>
    <w:rsid w:val="328C4750"/>
    <w:rsid w:val="32AF0E67"/>
    <w:rsid w:val="32B302B1"/>
    <w:rsid w:val="32C71C2C"/>
    <w:rsid w:val="32CC7242"/>
    <w:rsid w:val="32DA54BB"/>
    <w:rsid w:val="32DE11FE"/>
    <w:rsid w:val="32FB3683"/>
    <w:rsid w:val="33092305"/>
    <w:rsid w:val="333D0B2E"/>
    <w:rsid w:val="335746DC"/>
    <w:rsid w:val="335C4122"/>
    <w:rsid w:val="336F02F9"/>
    <w:rsid w:val="33767A20"/>
    <w:rsid w:val="33932D48"/>
    <w:rsid w:val="33953AD8"/>
    <w:rsid w:val="33957B8E"/>
    <w:rsid w:val="33C06DA7"/>
    <w:rsid w:val="33D75E9F"/>
    <w:rsid w:val="33D9323A"/>
    <w:rsid w:val="3400221F"/>
    <w:rsid w:val="34394463"/>
    <w:rsid w:val="344931C5"/>
    <w:rsid w:val="34621C0C"/>
    <w:rsid w:val="346B4E2D"/>
    <w:rsid w:val="346C5F6A"/>
    <w:rsid w:val="347A189B"/>
    <w:rsid w:val="348F22D5"/>
    <w:rsid w:val="349B66E5"/>
    <w:rsid w:val="34A87EF5"/>
    <w:rsid w:val="34B87A7E"/>
    <w:rsid w:val="34EE3B36"/>
    <w:rsid w:val="34F04F90"/>
    <w:rsid w:val="34F666BA"/>
    <w:rsid w:val="35225F95"/>
    <w:rsid w:val="35324372"/>
    <w:rsid w:val="35692CE4"/>
    <w:rsid w:val="357065AB"/>
    <w:rsid w:val="35780FBB"/>
    <w:rsid w:val="3583135D"/>
    <w:rsid w:val="358856A2"/>
    <w:rsid w:val="3589141A"/>
    <w:rsid w:val="359B39D4"/>
    <w:rsid w:val="35B70990"/>
    <w:rsid w:val="35B9585C"/>
    <w:rsid w:val="36175199"/>
    <w:rsid w:val="361B6516"/>
    <w:rsid w:val="364A0BAA"/>
    <w:rsid w:val="36533F02"/>
    <w:rsid w:val="365B3302"/>
    <w:rsid w:val="3667175C"/>
    <w:rsid w:val="36683624"/>
    <w:rsid w:val="367125DA"/>
    <w:rsid w:val="36736147"/>
    <w:rsid w:val="36851BE2"/>
    <w:rsid w:val="369E2CA4"/>
    <w:rsid w:val="36AA33F6"/>
    <w:rsid w:val="36C97D20"/>
    <w:rsid w:val="36D17FEA"/>
    <w:rsid w:val="36EE0F21"/>
    <w:rsid w:val="36F1453A"/>
    <w:rsid w:val="370A792C"/>
    <w:rsid w:val="372C02AF"/>
    <w:rsid w:val="379235D1"/>
    <w:rsid w:val="379B110E"/>
    <w:rsid w:val="37B54749"/>
    <w:rsid w:val="37BC4B4E"/>
    <w:rsid w:val="37E172EC"/>
    <w:rsid w:val="381C0324"/>
    <w:rsid w:val="38292529"/>
    <w:rsid w:val="383A26FD"/>
    <w:rsid w:val="38431D54"/>
    <w:rsid w:val="384368F2"/>
    <w:rsid w:val="38482EC7"/>
    <w:rsid w:val="386341A5"/>
    <w:rsid w:val="38666E04"/>
    <w:rsid w:val="38A02D03"/>
    <w:rsid w:val="38A50E3F"/>
    <w:rsid w:val="38BE3437"/>
    <w:rsid w:val="38C11545"/>
    <w:rsid w:val="38C65069"/>
    <w:rsid w:val="38E72650"/>
    <w:rsid w:val="39044CF1"/>
    <w:rsid w:val="39137979"/>
    <w:rsid w:val="391B05DB"/>
    <w:rsid w:val="391F1A60"/>
    <w:rsid w:val="3925271D"/>
    <w:rsid w:val="392840E5"/>
    <w:rsid w:val="39363667"/>
    <w:rsid w:val="395F671A"/>
    <w:rsid w:val="3986639D"/>
    <w:rsid w:val="399A39EF"/>
    <w:rsid w:val="39A24859"/>
    <w:rsid w:val="39A44A75"/>
    <w:rsid w:val="39B2528E"/>
    <w:rsid w:val="39BC4C91"/>
    <w:rsid w:val="39C00E25"/>
    <w:rsid w:val="39DD1DFB"/>
    <w:rsid w:val="39F27DA1"/>
    <w:rsid w:val="3A06303A"/>
    <w:rsid w:val="3A2047EC"/>
    <w:rsid w:val="3A4477AA"/>
    <w:rsid w:val="3A8C0CED"/>
    <w:rsid w:val="3A8D7370"/>
    <w:rsid w:val="3A97328C"/>
    <w:rsid w:val="3A9C75B8"/>
    <w:rsid w:val="3AAC2D03"/>
    <w:rsid w:val="3AE710BD"/>
    <w:rsid w:val="3AEF7F72"/>
    <w:rsid w:val="3B084B8F"/>
    <w:rsid w:val="3B1508DA"/>
    <w:rsid w:val="3B2D45F6"/>
    <w:rsid w:val="3B392F9B"/>
    <w:rsid w:val="3B3F51A6"/>
    <w:rsid w:val="3B4262F3"/>
    <w:rsid w:val="3B485A3C"/>
    <w:rsid w:val="3B5129DA"/>
    <w:rsid w:val="3B556027"/>
    <w:rsid w:val="3B585B17"/>
    <w:rsid w:val="3B7A736B"/>
    <w:rsid w:val="3BAE1DA8"/>
    <w:rsid w:val="3BD3519D"/>
    <w:rsid w:val="3BEF422D"/>
    <w:rsid w:val="3BF7045E"/>
    <w:rsid w:val="3C12216A"/>
    <w:rsid w:val="3C17723B"/>
    <w:rsid w:val="3C2B4FD9"/>
    <w:rsid w:val="3C524EFE"/>
    <w:rsid w:val="3C676C45"/>
    <w:rsid w:val="3C84050A"/>
    <w:rsid w:val="3C8779FB"/>
    <w:rsid w:val="3C8E3A48"/>
    <w:rsid w:val="3C9D4F6C"/>
    <w:rsid w:val="3CA53188"/>
    <w:rsid w:val="3CAD59EE"/>
    <w:rsid w:val="3CCF3BB7"/>
    <w:rsid w:val="3CD51D4E"/>
    <w:rsid w:val="3CDB69FF"/>
    <w:rsid w:val="3CE875EB"/>
    <w:rsid w:val="3CEA615B"/>
    <w:rsid w:val="3CF17FD1"/>
    <w:rsid w:val="3CFB44C3"/>
    <w:rsid w:val="3D0507F0"/>
    <w:rsid w:val="3D33667E"/>
    <w:rsid w:val="3D400197"/>
    <w:rsid w:val="3D466B0B"/>
    <w:rsid w:val="3D4B7B0D"/>
    <w:rsid w:val="3D4D43A6"/>
    <w:rsid w:val="3D6E2990"/>
    <w:rsid w:val="3DA60CF7"/>
    <w:rsid w:val="3DBB4F53"/>
    <w:rsid w:val="3E1877DF"/>
    <w:rsid w:val="3E1A5306"/>
    <w:rsid w:val="3E30739E"/>
    <w:rsid w:val="3E575950"/>
    <w:rsid w:val="3E742234"/>
    <w:rsid w:val="3E794529"/>
    <w:rsid w:val="3E9B552D"/>
    <w:rsid w:val="3ED71449"/>
    <w:rsid w:val="3EDB3409"/>
    <w:rsid w:val="3EDD652A"/>
    <w:rsid w:val="3EF26F0C"/>
    <w:rsid w:val="3F1137B5"/>
    <w:rsid w:val="3F154F70"/>
    <w:rsid w:val="3F157A04"/>
    <w:rsid w:val="3F1B30E3"/>
    <w:rsid w:val="3F2E19E9"/>
    <w:rsid w:val="3F433D33"/>
    <w:rsid w:val="3F557A44"/>
    <w:rsid w:val="3F696545"/>
    <w:rsid w:val="3F892743"/>
    <w:rsid w:val="3F8A64BB"/>
    <w:rsid w:val="3F8C2233"/>
    <w:rsid w:val="3F9A10D7"/>
    <w:rsid w:val="3FAB1DD4"/>
    <w:rsid w:val="3FC77658"/>
    <w:rsid w:val="3FF2288E"/>
    <w:rsid w:val="404814DD"/>
    <w:rsid w:val="40496E88"/>
    <w:rsid w:val="406F0A80"/>
    <w:rsid w:val="40797D44"/>
    <w:rsid w:val="408525AF"/>
    <w:rsid w:val="40866C82"/>
    <w:rsid w:val="408D4294"/>
    <w:rsid w:val="40A14C36"/>
    <w:rsid w:val="40C36C37"/>
    <w:rsid w:val="40E90FBF"/>
    <w:rsid w:val="410B53D9"/>
    <w:rsid w:val="411249BA"/>
    <w:rsid w:val="41346343"/>
    <w:rsid w:val="415B010F"/>
    <w:rsid w:val="416F2D21"/>
    <w:rsid w:val="41717317"/>
    <w:rsid w:val="41812627"/>
    <w:rsid w:val="41923405"/>
    <w:rsid w:val="41990C37"/>
    <w:rsid w:val="41A3767B"/>
    <w:rsid w:val="41AA6639"/>
    <w:rsid w:val="41B4449A"/>
    <w:rsid w:val="41BB6E00"/>
    <w:rsid w:val="41BF24B3"/>
    <w:rsid w:val="41FB4945"/>
    <w:rsid w:val="420F331B"/>
    <w:rsid w:val="42332E3A"/>
    <w:rsid w:val="42352B76"/>
    <w:rsid w:val="426C3C56"/>
    <w:rsid w:val="428C42F8"/>
    <w:rsid w:val="428E6651"/>
    <w:rsid w:val="429343CD"/>
    <w:rsid w:val="4297531D"/>
    <w:rsid w:val="429C0466"/>
    <w:rsid w:val="42BA0214"/>
    <w:rsid w:val="42C57F36"/>
    <w:rsid w:val="42CE60EE"/>
    <w:rsid w:val="42D33CD5"/>
    <w:rsid w:val="42DA69F7"/>
    <w:rsid w:val="42FA74B4"/>
    <w:rsid w:val="42FE0D52"/>
    <w:rsid w:val="43192C36"/>
    <w:rsid w:val="43243FD6"/>
    <w:rsid w:val="43397498"/>
    <w:rsid w:val="435624D6"/>
    <w:rsid w:val="435766B4"/>
    <w:rsid w:val="43593652"/>
    <w:rsid w:val="435C016E"/>
    <w:rsid w:val="436F39FE"/>
    <w:rsid w:val="437E1E93"/>
    <w:rsid w:val="43835115"/>
    <w:rsid w:val="438F1CE3"/>
    <w:rsid w:val="43D1290A"/>
    <w:rsid w:val="43E202FE"/>
    <w:rsid w:val="43F41CD4"/>
    <w:rsid w:val="43FF1DCB"/>
    <w:rsid w:val="4400619E"/>
    <w:rsid w:val="44095C00"/>
    <w:rsid w:val="441822E7"/>
    <w:rsid w:val="44524D55"/>
    <w:rsid w:val="445269C3"/>
    <w:rsid w:val="44544042"/>
    <w:rsid w:val="44567C4C"/>
    <w:rsid w:val="44591CA1"/>
    <w:rsid w:val="445D5F4C"/>
    <w:rsid w:val="445F7F16"/>
    <w:rsid w:val="4476700E"/>
    <w:rsid w:val="448E0F67"/>
    <w:rsid w:val="4493490D"/>
    <w:rsid w:val="449B32D3"/>
    <w:rsid w:val="44A20EEC"/>
    <w:rsid w:val="44A43B7B"/>
    <w:rsid w:val="44B26298"/>
    <w:rsid w:val="451243C7"/>
    <w:rsid w:val="452A0A8E"/>
    <w:rsid w:val="45467D25"/>
    <w:rsid w:val="4557299B"/>
    <w:rsid w:val="45A7429D"/>
    <w:rsid w:val="45B50E2F"/>
    <w:rsid w:val="45DD5596"/>
    <w:rsid w:val="45F74F45"/>
    <w:rsid w:val="46390601"/>
    <w:rsid w:val="46513B67"/>
    <w:rsid w:val="46532D73"/>
    <w:rsid w:val="46612BBF"/>
    <w:rsid w:val="466510E8"/>
    <w:rsid w:val="467557CF"/>
    <w:rsid w:val="467E4216"/>
    <w:rsid w:val="46C202E8"/>
    <w:rsid w:val="46F95AEB"/>
    <w:rsid w:val="46FA3F26"/>
    <w:rsid w:val="472745EF"/>
    <w:rsid w:val="475A2C17"/>
    <w:rsid w:val="47CA44D1"/>
    <w:rsid w:val="47FE35A2"/>
    <w:rsid w:val="48330486"/>
    <w:rsid w:val="48594C7C"/>
    <w:rsid w:val="48933C6E"/>
    <w:rsid w:val="48981C49"/>
    <w:rsid w:val="48CA61B5"/>
    <w:rsid w:val="48EE565D"/>
    <w:rsid w:val="491E48FE"/>
    <w:rsid w:val="49245802"/>
    <w:rsid w:val="49280C32"/>
    <w:rsid w:val="49591CBF"/>
    <w:rsid w:val="4964174A"/>
    <w:rsid w:val="49777AB0"/>
    <w:rsid w:val="49B13CE4"/>
    <w:rsid w:val="49BC1AC3"/>
    <w:rsid w:val="49C37BB9"/>
    <w:rsid w:val="49DB166A"/>
    <w:rsid w:val="49EA6966"/>
    <w:rsid w:val="49ED7D72"/>
    <w:rsid w:val="4A193364"/>
    <w:rsid w:val="4A273284"/>
    <w:rsid w:val="4ABA40F8"/>
    <w:rsid w:val="4AC34955"/>
    <w:rsid w:val="4AC960E9"/>
    <w:rsid w:val="4ACC5BD9"/>
    <w:rsid w:val="4ACD7C7A"/>
    <w:rsid w:val="4ACF6FC9"/>
    <w:rsid w:val="4AEB6602"/>
    <w:rsid w:val="4AF86D17"/>
    <w:rsid w:val="4B19322D"/>
    <w:rsid w:val="4B5856BF"/>
    <w:rsid w:val="4B8913FE"/>
    <w:rsid w:val="4B8E1BD2"/>
    <w:rsid w:val="4BAF3FE0"/>
    <w:rsid w:val="4BCF3BD3"/>
    <w:rsid w:val="4BD905AE"/>
    <w:rsid w:val="4BE86A7D"/>
    <w:rsid w:val="4BEE2565"/>
    <w:rsid w:val="4BF076A6"/>
    <w:rsid w:val="4C001FDF"/>
    <w:rsid w:val="4C082C41"/>
    <w:rsid w:val="4C107D48"/>
    <w:rsid w:val="4C3752D5"/>
    <w:rsid w:val="4C3E6663"/>
    <w:rsid w:val="4C545E87"/>
    <w:rsid w:val="4C892CA6"/>
    <w:rsid w:val="4CB44B77"/>
    <w:rsid w:val="4CB6269D"/>
    <w:rsid w:val="4CEC1239"/>
    <w:rsid w:val="4CF3173C"/>
    <w:rsid w:val="4CF431C6"/>
    <w:rsid w:val="4D326056"/>
    <w:rsid w:val="4D423F31"/>
    <w:rsid w:val="4D474A0D"/>
    <w:rsid w:val="4D6B16DA"/>
    <w:rsid w:val="4D720CBA"/>
    <w:rsid w:val="4D7627AE"/>
    <w:rsid w:val="4D7D31BB"/>
    <w:rsid w:val="4D86480B"/>
    <w:rsid w:val="4DB901A8"/>
    <w:rsid w:val="4DCD7C9F"/>
    <w:rsid w:val="4DDD266E"/>
    <w:rsid w:val="4E214EED"/>
    <w:rsid w:val="4E41243B"/>
    <w:rsid w:val="4E423A35"/>
    <w:rsid w:val="4E4B3BC6"/>
    <w:rsid w:val="4E503C30"/>
    <w:rsid w:val="4E5B79A0"/>
    <w:rsid w:val="4E720846"/>
    <w:rsid w:val="4ED455B5"/>
    <w:rsid w:val="4EDD6DF3"/>
    <w:rsid w:val="4F001684"/>
    <w:rsid w:val="4F2C6C47"/>
    <w:rsid w:val="4F3A75B6"/>
    <w:rsid w:val="4F5A7C58"/>
    <w:rsid w:val="4F75548E"/>
    <w:rsid w:val="4FBA61EF"/>
    <w:rsid w:val="4FBD6973"/>
    <w:rsid w:val="4FE15C85"/>
    <w:rsid w:val="4FE25169"/>
    <w:rsid w:val="4FED4628"/>
    <w:rsid w:val="4FF10000"/>
    <w:rsid w:val="50000F6E"/>
    <w:rsid w:val="50377F99"/>
    <w:rsid w:val="5046798C"/>
    <w:rsid w:val="50785C44"/>
    <w:rsid w:val="508B3E41"/>
    <w:rsid w:val="508E5482"/>
    <w:rsid w:val="50AB540A"/>
    <w:rsid w:val="50B96C00"/>
    <w:rsid w:val="50CF01D2"/>
    <w:rsid w:val="50D2381E"/>
    <w:rsid w:val="50D9309B"/>
    <w:rsid w:val="50F85903"/>
    <w:rsid w:val="5100038B"/>
    <w:rsid w:val="510B332F"/>
    <w:rsid w:val="511947C5"/>
    <w:rsid w:val="511C4931"/>
    <w:rsid w:val="51316796"/>
    <w:rsid w:val="5161268E"/>
    <w:rsid w:val="51671427"/>
    <w:rsid w:val="51695F30"/>
    <w:rsid w:val="51870AAC"/>
    <w:rsid w:val="518F0F33"/>
    <w:rsid w:val="51C413B8"/>
    <w:rsid w:val="51E66B19"/>
    <w:rsid w:val="520040DE"/>
    <w:rsid w:val="52061760"/>
    <w:rsid w:val="52067C23"/>
    <w:rsid w:val="523302EC"/>
    <w:rsid w:val="523E73BD"/>
    <w:rsid w:val="52483D98"/>
    <w:rsid w:val="52546BE0"/>
    <w:rsid w:val="5257222D"/>
    <w:rsid w:val="526037D7"/>
    <w:rsid w:val="52614E59"/>
    <w:rsid w:val="5285323E"/>
    <w:rsid w:val="528648C0"/>
    <w:rsid w:val="528C45CC"/>
    <w:rsid w:val="52E84717"/>
    <w:rsid w:val="52F45CCD"/>
    <w:rsid w:val="530C74BB"/>
    <w:rsid w:val="534327B1"/>
    <w:rsid w:val="535844AE"/>
    <w:rsid w:val="535B7AFB"/>
    <w:rsid w:val="53915C12"/>
    <w:rsid w:val="53C5766A"/>
    <w:rsid w:val="54084F80"/>
    <w:rsid w:val="541254E0"/>
    <w:rsid w:val="54134A99"/>
    <w:rsid w:val="54296C1E"/>
    <w:rsid w:val="54534906"/>
    <w:rsid w:val="54607829"/>
    <w:rsid w:val="546E01B9"/>
    <w:rsid w:val="54784632"/>
    <w:rsid w:val="54994D7E"/>
    <w:rsid w:val="54A0435F"/>
    <w:rsid w:val="54B64C6E"/>
    <w:rsid w:val="54DC2EBD"/>
    <w:rsid w:val="54E83A99"/>
    <w:rsid w:val="551E21BE"/>
    <w:rsid w:val="5583158B"/>
    <w:rsid w:val="558F13B4"/>
    <w:rsid w:val="55A17CFD"/>
    <w:rsid w:val="5604091D"/>
    <w:rsid w:val="5629178B"/>
    <w:rsid w:val="563F3703"/>
    <w:rsid w:val="566C52A4"/>
    <w:rsid w:val="56791F36"/>
    <w:rsid w:val="568E01E7"/>
    <w:rsid w:val="569D0344"/>
    <w:rsid w:val="56B063AF"/>
    <w:rsid w:val="56BE42E8"/>
    <w:rsid w:val="56D8599E"/>
    <w:rsid w:val="56FA587C"/>
    <w:rsid w:val="57202BE7"/>
    <w:rsid w:val="5746661C"/>
    <w:rsid w:val="57485A00"/>
    <w:rsid w:val="5755438D"/>
    <w:rsid w:val="575B456D"/>
    <w:rsid w:val="575B4970"/>
    <w:rsid w:val="576D42A0"/>
    <w:rsid w:val="57853398"/>
    <w:rsid w:val="57875362"/>
    <w:rsid w:val="57A33439"/>
    <w:rsid w:val="57AD4118"/>
    <w:rsid w:val="57F468B1"/>
    <w:rsid w:val="5814296E"/>
    <w:rsid w:val="582E1C82"/>
    <w:rsid w:val="584D65AC"/>
    <w:rsid w:val="586E268E"/>
    <w:rsid w:val="58900246"/>
    <w:rsid w:val="589715D5"/>
    <w:rsid w:val="589C75F5"/>
    <w:rsid w:val="58B06B3A"/>
    <w:rsid w:val="58BD0FFC"/>
    <w:rsid w:val="58DE0E74"/>
    <w:rsid w:val="58E31BE9"/>
    <w:rsid w:val="58EF7663"/>
    <w:rsid w:val="591470C9"/>
    <w:rsid w:val="59445639"/>
    <w:rsid w:val="594D30BE"/>
    <w:rsid w:val="596A023E"/>
    <w:rsid w:val="597E75FB"/>
    <w:rsid w:val="599E6993"/>
    <w:rsid w:val="59CF4D14"/>
    <w:rsid w:val="59DC0BCE"/>
    <w:rsid w:val="59DD37F0"/>
    <w:rsid w:val="59E7658C"/>
    <w:rsid w:val="59EE791A"/>
    <w:rsid w:val="5A1D0200"/>
    <w:rsid w:val="5A213326"/>
    <w:rsid w:val="5A3A490E"/>
    <w:rsid w:val="5A472AAA"/>
    <w:rsid w:val="5A6279C1"/>
    <w:rsid w:val="5A6B0F6B"/>
    <w:rsid w:val="5AB3646E"/>
    <w:rsid w:val="5B034BDE"/>
    <w:rsid w:val="5B1213E7"/>
    <w:rsid w:val="5B252ECE"/>
    <w:rsid w:val="5B293721"/>
    <w:rsid w:val="5B49241D"/>
    <w:rsid w:val="5B4E26A5"/>
    <w:rsid w:val="5B5163B3"/>
    <w:rsid w:val="5B8E3311"/>
    <w:rsid w:val="5BAC183B"/>
    <w:rsid w:val="5BAD54FC"/>
    <w:rsid w:val="5BCB750F"/>
    <w:rsid w:val="5BE32D83"/>
    <w:rsid w:val="5BE508A9"/>
    <w:rsid w:val="5BE85205"/>
    <w:rsid w:val="5C1A158E"/>
    <w:rsid w:val="5C1D4AF5"/>
    <w:rsid w:val="5C1D7F11"/>
    <w:rsid w:val="5C2A2760"/>
    <w:rsid w:val="5C566E68"/>
    <w:rsid w:val="5C62014C"/>
    <w:rsid w:val="5C673835"/>
    <w:rsid w:val="5C8E0F41"/>
    <w:rsid w:val="5C9A78E6"/>
    <w:rsid w:val="5CD008FA"/>
    <w:rsid w:val="5CE13766"/>
    <w:rsid w:val="5D14180F"/>
    <w:rsid w:val="5D2D17EA"/>
    <w:rsid w:val="5D2F7CA9"/>
    <w:rsid w:val="5D3B7AC8"/>
    <w:rsid w:val="5D3F4519"/>
    <w:rsid w:val="5D43083C"/>
    <w:rsid w:val="5D47180E"/>
    <w:rsid w:val="5D4A28AD"/>
    <w:rsid w:val="5D4B6E32"/>
    <w:rsid w:val="5D69550A"/>
    <w:rsid w:val="5D6E6D98"/>
    <w:rsid w:val="5D8D744A"/>
    <w:rsid w:val="5D995DEF"/>
    <w:rsid w:val="5DA24496"/>
    <w:rsid w:val="5DBA42CC"/>
    <w:rsid w:val="5DCB3ACF"/>
    <w:rsid w:val="5DCF3B8B"/>
    <w:rsid w:val="5DD4565E"/>
    <w:rsid w:val="5DDE1A54"/>
    <w:rsid w:val="5DE73612"/>
    <w:rsid w:val="5DE84681"/>
    <w:rsid w:val="5DEE0640"/>
    <w:rsid w:val="5DF43025"/>
    <w:rsid w:val="5E0A0A9B"/>
    <w:rsid w:val="5E136313"/>
    <w:rsid w:val="5E56192D"/>
    <w:rsid w:val="5E622685"/>
    <w:rsid w:val="5E7A79CF"/>
    <w:rsid w:val="5E9B5B97"/>
    <w:rsid w:val="5EA05EA1"/>
    <w:rsid w:val="5EA74B28"/>
    <w:rsid w:val="5EBD78BB"/>
    <w:rsid w:val="5EC76EBC"/>
    <w:rsid w:val="5ECC3737"/>
    <w:rsid w:val="5EDC1FD4"/>
    <w:rsid w:val="5EDF4A13"/>
    <w:rsid w:val="5EDF7832"/>
    <w:rsid w:val="5F094B10"/>
    <w:rsid w:val="5F342CA6"/>
    <w:rsid w:val="5F3E6C4E"/>
    <w:rsid w:val="5F48187B"/>
    <w:rsid w:val="5F4A1A8C"/>
    <w:rsid w:val="5F9F5213"/>
    <w:rsid w:val="5FA647F3"/>
    <w:rsid w:val="5FB30CA1"/>
    <w:rsid w:val="5FB707AE"/>
    <w:rsid w:val="5FC5111D"/>
    <w:rsid w:val="60187342"/>
    <w:rsid w:val="602A3124"/>
    <w:rsid w:val="603174C1"/>
    <w:rsid w:val="60365498"/>
    <w:rsid w:val="60433DF0"/>
    <w:rsid w:val="605B253F"/>
    <w:rsid w:val="60623A34"/>
    <w:rsid w:val="608B3359"/>
    <w:rsid w:val="60DA1F55"/>
    <w:rsid w:val="60E2226A"/>
    <w:rsid w:val="60F4563A"/>
    <w:rsid w:val="610C0686"/>
    <w:rsid w:val="613025C6"/>
    <w:rsid w:val="613634C6"/>
    <w:rsid w:val="613A51F3"/>
    <w:rsid w:val="615F2EAC"/>
    <w:rsid w:val="61644C9B"/>
    <w:rsid w:val="618172C6"/>
    <w:rsid w:val="619669CB"/>
    <w:rsid w:val="61C07EF0"/>
    <w:rsid w:val="620A5E27"/>
    <w:rsid w:val="620B1345"/>
    <w:rsid w:val="622B0FE0"/>
    <w:rsid w:val="62320544"/>
    <w:rsid w:val="623956FD"/>
    <w:rsid w:val="62461EB9"/>
    <w:rsid w:val="6251225F"/>
    <w:rsid w:val="62546789"/>
    <w:rsid w:val="62572235"/>
    <w:rsid w:val="626F369E"/>
    <w:rsid w:val="628308FB"/>
    <w:rsid w:val="629C1102"/>
    <w:rsid w:val="62CF4061"/>
    <w:rsid w:val="62DB5585"/>
    <w:rsid w:val="62F958AC"/>
    <w:rsid w:val="62FD0BCE"/>
    <w:rsid w:val="63075FE4"/>
    <w:rsid w:val="632048BD"/>
    <w:rsid w:val="63224191"/>
    <w:rsid w:val="632443AD"/>
    <w:rsid w:val="6333694F"/>
    <w:rsid w:val="635835FF"/>
    <w:rsid w:val="6362003E"/>
    <w:rsid w:val="63721EBB"/>
    <w:rsid w:val="637C367C"/>
    <w:rsid w:val="637E4BB3"/>
    <w:rsid w:val="63957502"/>
    <w:rsid w:val="63C81B5F"/>
    <w:rsid w:val="640308ED"/>
    <w:rsid w:val="64064131"/>
    <w:rsid w:val="641451FA"/>
    <w:rsid w:val="641937E6"/>
    <w:rsid w:val="641E2BAA"/>
    <w:rsid w:val="64340620"/>
    <w:rsid w:val="644C515F"/>
    <w:rsid w:val="647F2ED4"/>
    <w:rsid w:val="64903DCF"/>
    <w:rsid w:val="64CA1DE6"/>
    <w:rsid w:val="64D42453"/>
    <w:rsid w:val="64E22B50"/>
    <w:rsid w:val="64FB3A69"/>
    <w:rsid w:val="65102150"/>
    <w:rsid w:val="651238D3"/>
    <w:rsid w:val="653B59DE"/>
    <w:rsid w:val="65556026"/>
    <w:rsid w:val="656211BC"/>
    <w:rsid w:val="65984564"/>
    <w:rsid w:val="659F5A94"/>
    <w:rsid w:val="65A417D5"/>
    <w:rsid w:val="65C14BAB"/>
    <w:rsid w:val="65DE4CE7"/>
    <w:rsid w:val="6608317E"/>
    <w:rsid w:val="662C0ABA"/>
    <w:rsid w:val="667B32D7"/>
    <w:rsid w:val="66824FCA"/>
    <w:rsid w:val="668A2164"/>
    <w:rsid w:val="669C06FE"/>
    <w:rsid w:val="66B617C0"/>
    <w:rsid w:val="66ED0F5A"/>
    <w:rsid w:val="66F47D30"/>
    <w:rsid w:val="66F52974"/>
    <w:rsid w:val="66FE3B5D"/>
    <w:rsid w:val="67254250"/>
    <w:rsid w:val="672C2A5E"/>
    <w:rsid w:val="672C50B4"/>
    <w:rsid w:val="67362901"/>
    <w:rsid w:val="67575255"/>
    <w:rsid w:val="67627252"/>
    <w:rsid w:val="676A061C"/>
    <w:rsid w:val="676A6106"/>
    <w:rsid w:val="67786FF6"/>
    <w:rsid w:val="67955C0D"/>
    <w:rsid w:val="6797772A"/>
    <w:rsid w:val="67D64AF1"/>
    <w:rsid w:val="67DF08A2"/>
    <w:rsid w:val="67DF34E4"/>
    <w:rsid w:val="67F768F0"/>
    <w:rsid w:val="683C7C30"/>
    <w:rsid w:val="6865279D"/>
    <w:rsid w:val="68752623"/>
    <w:rsid w:val="68862EE1"/>
    <w:rsid w:val="68955405"/>
    <w:rsid w:val="68C27158"/>
    <w:rsid w:val="68DF1D45"/>
    <w:rsid w:val="68E84E17"/>
    <w:rsid w:val="692A3F84"/>
    <w:rsid w:val="69391E5C"/>
    <w:rsid w:val="694829C0"/>
    <w:rsid w:val="694F4082"/>
    <w:rsid w:val="697804FF"/>
    <w:rsid w:val="698369D2"/>
    <w:rsid w:val="69C42668"/>
    <w:rsid w:val="69E2467A"/>
    <w:rsid w:val="69EB7CC6"/>
    <w:rsid w:val="6A6A700A"/>
    <w:rsid w:val="6A8B6AC0"/>
    <w:rsid w:val="6A9E2C97"/>
    <w:rsid w:val="6ABF6F65"/>
    <w:rsid w:val="6AF208ED"/>
    <w:rsid w:val="6B07083C"/>
    <w:rsid w:val="6BB27053"/>
    <w:rsid w:val="6BBB5183"/>
    <w:rsid w:val="6BC84A99"/>
    <w:rsid w:val="6BD44496"/>
    <w:rsid w:val="6BDD37C1"/>
    <w:rsid w:val="6C046B2A"/>
    <w:rsid w:val="6C2C7E2E"/>
    <w:rsid w:val="6C5630FD"/>
    <w:rsid w:val="6C6770B8"/>
    <w:rsid w:val="6C7C0A1C"/>
    <w:rsid w:val="6C8B724B"/>
    <w:rsid w:val="6C9C2097"/>
    <w:rsid w:val="6CA441EA"/>
    <w:rsid w:val="6CB03EAD"/>
    <w:rsid w:val="6CCB7DC9"/>
    <w:rsid w:val="6D077A62"/>
    <w:rsid w:val="6D2D4989"/>
    <w:rsid w:val="6D3C66A0"/>
    <w:rsid w:val="6D4B2564"/>
    <w:rsid w:val="6D4C219F"/>
    <w:rsid w:val="6D602ADB"/>
    <w:rsid w:val="6D8D4598"/>
    <w:rsid w:val="6D91263F"/>
    <w:rsid w:val="6D97577B"/>
    <w:rsid w:val="6DF0265A"/>
    <w:rsid w:val="6DFD56C4"/>
    <w:rsid w:val="6DFE038D"/>
    <w:rsid w:val="6E0C436E"/>
    <w:rsid w:val="6E361438"/>
    <w:rsid w:val="6E387310"/>
    <w:rsid w:val="6E6D4BA6"/>
    <w:rsid w:val="6E7A1325"/>
    <w:rsid w:val="6EB34837"/>
    <w:rsid w:val="6EB917E0"/>
    <w:rsid w:val="6EBE0B4D"/>
    <w:rsid w:val="6EC8327B"/>
    <w:rsid w:val="6EDF562C"/>
    <w:rsid w:val="6EE45C9F"/>
    <w:rsid w:val="6EFF5436"/>
    <w:rsid w:val="6F1F6036"/>
    <w:rsid w:val="6F693147"/>
    <w:rsid w:val="6F6F69B0"/>
    <w:rsid w:val="6F8D6E36"/>
    <w:rsid w:val="6F8F53E1"/>
    <w:rsid w:val="6F97029C"/>
    <w:rsid w:val="6FA42A99"/>
    <w:rsid w:val="6FF661BE"/>
    <w:rsid w:val="7018714F"/>
    <w:rsid w:val="701A124D"/>
    <w:rsid w:val="701B2159"/>
    <w:rsid w:val="70293003"/>
    <w:rsid w:val="703419A7"/>
    <w:rsid w:val="704158C2"/>
    <w:rsid w:val="7064228D"/>
    <w:rsid w:val="70914EC9"/>
    <w:rsid w:val="70AB1C6A"/>
    <w:rsid w:val="70AB5F9E"/>
    <w:rsid w:val="70AD6439"/>
    <w:rsid w:val="70B34FC2"/>
    <w:rsid w:val="70CE34A4"/>
    <w:rsid w:val="70E138DD"/>
    <w:rsid w:val="70FD6883"/>
    <w:rsid w:val="70FF625C"/>
    <w:rsid w:val="713F23B2"/>
    <w:rsid w:val="71425CE8"/>
    <w:rsid w:val="714D0F73"/>
    <w:rsid w:val="715B301F"/>
    <w:rsid w:val="71602248"/>
    <w:rsid w:val="71641E18"/>
    <w:rsid w:val="718A7AD1"/>
    <w:rsid w:val="719E71D7"/>
    <w:rsid w:val="71F211B6"/>
    <w:rsid w:val="72107463"/>
    <w:rsid w:val="72417682"/>
    <w:rsid w:val="7245773D"/>
    <w:rsid w:val="726C58D8"/>
    <w:rsid w:val="728C7F6A"/>
    <w:rsid w:val="72DE41C4"/>
    <w:rsid w:val="730833A3"/>
    <w:rsid w:val="7309743E"/>
    <w:rsid w:val="730E5FBE"/>
    <w:rsid w:val="735760D9"/>
    <w:rsid w:val="73612AB3"/>
    <w:rsid w:val="736F2051"/>
    <w:rsid w:val="73B7347A"/>
    <w:rsid w:val="73C1654E"/>
    <w:rsid w:val="73C31175"/>
    <w:rsid w:val="73E5734F"/>
    <w:rsid w:val="740A2783"/>
    <w:rsid w:val="740A314B"/>
    <w:rsid w:val="741E6204"/>
    <w:rsid w:val="74251D33"/>
    <w:rsid w:val="745014B9"/>
    <w:rsid w:val="746D7C6A"/>
    <w:rsid w:val="74720851"/>
    <w:rsid w:val="747E6EFF"/>
    <w:rsid w:val="74A375D0"/>
    <w:rsid w:val="74BA06F2"/>
    <w:rsid w:val="74BB61F3"/>
    <w:rsid w:val="74C652C4"/>
    <w:rsid w:val="750F7BEE"/>
    <w:rsid w:val="751C14C7"/>
    <w:rsid w:val="75732923"/>
    <w:rsid w:val="758141FF"/>
    <w:rsid w:val="75866801"/>
    <w:rsid w:val="75890554"/>
    <w:rsid w:val="758E60DA"/>
    <w:rsid w:val="759D629E"/>
    <w:rsid w:val="75A675E6"/>
    <w:rsid w:val="75C80C26"/>
    <w:rsid w:val="75C94940"/>
    <w:rsid w:val="75E151FB"/>
    <w:rsid w:val="75F61BD9"/>
    <w:rsid w:val="76120095"/>
    <w:rsid w:val="761958C7"/>
    <w:rsid w:val="76410536"/>
    <w:rsid w:val="764D731F"/>
    <w:rsid w:val="76646B42"/>
    <w:rsid w:val="76832D41"/>
    <w:rsid w:val="769767EC"/>
    <w:rsid w:val="76CC5467"/>
    <w:rsid w:val="76CC5558"/>
    <w:rsid w:val="76DD4DE8"/>
    <w:rsid w:val="76EF6C71"/>
    <w:rsid w:val="76F51E90"/>
    <w:rsid w:val="76FF4FF8"/>
    <w:rsid w:val="7735580A"/>
    <w:rsid w:val="77391EDD"/>
    <w:rsid w:val="773E1717"/>
    <w:rsid w:val="77404207"/>
    <w:rsid w:val="77640DC4"/>
    <w:rsid w:val="77707769"/>
    <w:rsid w:val="777D3D8D"/>
    <w:rsid w:val="777F4B4F"/>
    <w:rsid w:val="778601D1"/>
    <w:rsid w:val="779D2186"/>
    <w:rsid w:val="77A6318B"/>
    <w:rsid w:val="77A71672"/>
    <w:rsid w:val="77CD482C"/>
    <w:rsid w:val="77E43CB3"/>
    <w:rsid w:val="77EF301B"/>
    <w:rsid w:val="780103C1"/>
    <w:rsid w:val="780460F6"/>
    <w:rsid w:val="78054355"/>
    <w:rsid w:val="78177BE5"/>
    <w:rsid w:val="781E0F73"/>
    <w:rsid w:val="78216835"/>
    <w:rsid w:val="78444715"/>
    <w:rsid w:val="78450E1C"/>
    <w:rsid w:val="784C5CC1"/>
    <w:rsid w:val="785A1755"/>
    <w:rsid w:val="787225AD"/>
    <w:rsid w:val="78874D6A"/>
    <w:rsid w:val="78A91128"/>
    <w:rsid w:val="78C25DA2"/>
    <w:rsid w:val="7931117A"/>
    <w:rsid w:val="79464C25"/>
    <w:rsid w:val="794E5888"/>
    <w:rsid w:val="79584959"/>
    <w:rsid w:val="795C1802"/>
    <w:rsid w:val="797F524E"/>
    <w:rsid w:val="79960FDD"/>
    <w:rsid w:val="79A11E5C"/>
    <w:rsid w:val="79A177D4"/>
    <w:rsid w:val="79C142AC"/>
    <w:rsid w:val="79DC10E6"/>
    <w:rsid w:val="79F052A1"/>
    <w:rsid w:val="79FE29D3"/>
    <w:rsid w:val="7A2D7B93"/>
    <w:rsid w:val="7A7632E8"/>
    <w:rsid w:val="7AC11B9D"/>
    <w:rsid w:val="7AC4352C"/>
    <w:rsid w:val="7B072192"/>
    <w:rsid w:val="7B0C00A5"/>
    <w:rsid w:val="7B152B01"/>
    <w:rsid w:val="7B1D19B6"/>
    <w:rsid w:val="7B2B3C0B"/>
    <w:rsid w:val="7B58269F"/>
    <w:rsid w:val="7B7B66DC"/>
    <w:rsid w:val="7B902188"/>
    <w:rsid w:val="7BA66491"/>
    <w:rsid w:val="7BAF7EBD"/>
    <w:rsid w:val="7BC52B57"/>
    <w:rsid w:val="7BFD2B58"/>
    <w:rsid w:val="7C2A25DC"/>
    <w:rsid w:val="7C36441A"/>
    <w:rsid w:val="7C3B7382"/>
    <w:rsid w:val="7C417926"/>
    <w:rsid w:val="7C835849"/>
    <w:rsid w:val="7C84240C"/>
    <w:rsid w:val="7C943EFA"/>
    <w:rsid w:val="7CB93960"/>
    <w:rsid w:val="7CDB7433"/>
    <w:rsid w:val="7CF404F4"/>
    <w:rsid w:val="7D053E64"/>
    <w:rsid w:val="7D172435"/>
    <w:rsid w:val="7D6065E3"/>
    <w:rsid w:val="7D6A6A08"/>
    <w:rsid w:val="7D6C4C9B"/>
    <w:rsid w:val="7D827CD7"/>
    <w:rsid w:val="7DAE683F"/>
    <w:rsid w:val="7DFA7D8C"/>
    <w:rsid w:val="7E024E93"/>
    <w:rsid w:val="7E2B263C"/>
    <w:rsid w:val="7E2D63B4"/>
    <w:rsid w:val="7E755665"/>
    <w:rsid w:val="7E973746"/>
    <w:rsid w:val="7EC30AC6"/>
    <w:rsid w:val="7EC3302F"/>
    <w:rsid w:val="7ECA0A63"/>
    <w:rsid w:val="7F10538E"/>
    <w:rsid w:val="7F2D5F40"/>
    <w:rsid w:val="7F587460"/>
    <w:rsid w:val="7F5A06FB"/>
    <w:rsid w:val="7F602278"/>
    <w:rsid w:val="7F6846AF"/>
    <w:rsid w:val="7F792E5F"/>
    <w:rsid w:val="7F82628B"/>
    <w:rsid w:val="7F8C2C66"/>
    <w:rsid w:val="7F8E0D28"/>
    <w:rsid w:val="7F991FC1"/>
    <w:rsid w:val="7FA459F6"/>
    <w:rsid w:val="7FCC39AA"/>
    <w:rsid w:val="7FE42AA2"/>
    <w:rsid w:val="7FE923A0"/>
    <w:rsid w:val="7FEB2083"/>
    <w:rsid w:val="7FF69B65"/>
    <w:rsid w:val="865F5C53"/>
    <w:rsid w:val="97BF26F5"/>
    <w:rsid w:val="DDF6A28A"/>
    <w:rsid w:val="F6F7EF4D"/>
    <w:rsid w:val="FFDCB857"/>
  </w:rsids>
  <m:mathPr>
    <m:mathFont m:val="Cambria Math"/>
    <m:brkBin m:val="before"/>
    <m:brkBinSub m:val="--"/>
    <m:smallFrac m:val="0"/>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0" w:semiHidden="0"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qFormat="1" w:unhideWhenUsed="0" w:uiPriority="0" w:semiHidden="0" w:name="List Bullet 3"/>
    <w:lsdException w:uiPriority="99" w:name="List Bullet 4"/>
    <w:lsdException w:uiPriority="99" w:name="List Bullet 5"/>
    <w:lsdException w:qFormat="1" w:unhideWhenUsed="0" w:uiPriority="0" w:semiHidden="0" w:name="List Number 2"/>
    <w:lsdException w:uiPriority="99" w:name="List Number 3"/>
    <w:lsdException w:qFormat="1" w:unhideWhenUsed="0" w:uiPriority="0" w:semiHidden="0"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pPr>
    <w:rPr>
      <w:rFonts w:ascii="Calibri" w:hAnsi="Calibri" w:eastAsia="宋体" w:cs="Times New Roman"/>
      <w:sz w:val="22"/>
      <w:szCs w:val="22"/>
      <w:lang w:val="en-US" w:eastAsia="en-US" w:bidi="ar-SA"/>
    </w:rPr>
  </w:style>
  <w:style w:type="paragraph" w:styleId="2">
    <w:name w:val="heading 1"/>
    <w:basedOn w:val="1"/>
    <w:next w:val="1"/>
    <w:link w:val="89"/>
    <w:autoRedefine/>
    <w:qFormat/>
    <w:uiPriority w:val="0"/>
    <w:pPr>
      <w:ind w:left="3"/>
      <w:outlineLvl w:val="0"/>
    </w:pPr>
    <w:rPr>
      <w:rFonts w:ascii="Microsoft JhengHei" w:hAnsi="Microsoft JhengHei" w:eastAsia="Microsoft JhengHei"/>
      <w:b/>
      <w:bCs/>
      <w:sz w:val="44"/>
      <w:szCs w:val="44"/>
    </w:rPr>
  </w:style>
  <w:style w:type="paragraph" w:styleId="3">
    <w:name w:val="heading 2"/>
    <w:basedOn w:val="1"/>
    <w:next w:val="1"/>
    <w:link w:val="685"/>
    <w:autoRedefine/>
    <w:qFormat/>
    <w:uiPriority w:val="0"/>
    <w:pPr>
      <w:spacing w:before="120" w:after="120"/>
      <w:ind w:left="3"/>
      <w:jc w:val="center"/>
      <w:outlineLvl w:val="1"/>
    </w:pPr>
    <w:rPr>
      <w:rFonts w:ascii="宋体" w:hAnsi="宋体"/>
      <w:b/>
      <w:sz w:val="44"/>
      <w:szCs w:val="44"/>
    </w:rPr>
  </w:style>
  <w:style w:type="paragraph" w:styleId="4">
    <w:name w:val="heading 3"/>
    <w:basedOn w:val="1"/>
    <w:next w:val="1"/>
    <w:link w:val="91"/>
    <w:autoRedefine/>
    <w:qFormat/>
    <w:uiPriority w:val="9"/>
    <w:pPr>
      <w:ind w:left="100"/>
      <w:outlineLvl w:val="2"/>
    </w:pPr>
    <w:rPr>
      <w:rFonts w:ascii="Microsoft JhengHei" w:hAnsi="Microsoft JhengHei"/>
      <w:b/>
      <w:bCs/>
      <w:sz w:val="30"/>
      <w:szCs w:val="32"/>
    </w:rPr>
  </w:style>
  <w:style w:type="paragraph" w:styleId="5">
    <w:name w:val="heading 4"/>
    <w:basedOn w:val="1"/>
    <w:next w:val="1"/>
    <w:link w:val="92"/>
    <w:autoRedefine/>
    <w:qFormat/>
    <w:uiPriority w:val="0"/>
    <w:pPr>
      <w:ind w:left="237"/>
      <w:outlineLvl w:val="3"/>
    </w:pPr>
    <w:rPr>
      <w:rFonts w:ascii="宋体" w:hAnsi="宋体"/>
      <w:sz w:val="28"/>
      <w:szCs w:val="28"/>
    </w:rPr>
  </w:style>
  <w:style w:type="paragraph" w:styleId="6">
    <w:name w:val="heading 5"/>
    <w:basedOn w:val="1"/>
    <w:next w:val="1"/>
    <w:link w:val="93"/>
    <w:autoRedefine/>
    <w:qFormat/>
    <w:uiPriority w:val="0"/>
    <w:pPr>
      <w:ind w:left="522"/>
      <w:outlineLvl w:val="4"/>
    </w:pPr>
    <w:rPr>
      <w:rFonts w:ascii="Times New Roman" w:hAnsi="Times New Roman" w:eastAsia="Times New Roman"/>
      <w:b/>
      <w:bCs/>
      <w:sz w:val="21"/>
      <w:szCs w:val="21"/>
    </w:rPr>
  </w:style>
  <w:style w:type="paragraph" w:styleId="7">
    <w:name w:val="heading 6"/>
    <w:basedOn w:val="1"/>
    <w:next w:val="1"/>
    <w:link w:val="94"/>
    <w:autoRedefine/>
    <w:qFormat/>
    <w:uiPriority w:val="0"/>
    <w:pPr>
      <w:widowControl/>
      <w:tabs>
        <w:tab w:val="left" w:pos="567"/>
        <w:tab w:val="left" w:pos="1418"/>
        <w:tab w:val="left" w:pos="2268"/>
        <w:tab w:val="left" w:pos="3402"/>
        <w:tab w:val="left" w:pos="4536"/>
        <w:tab w:val="left" w:pos="5954"/>
      </w:tabs>
      <w:overflowPunct w:val="0"/>
      <w:autoSpaceDE w:val="0"/>
      <w:autoSpaceDN w:val="0"/>
      <w:adjustRightInd w:val="0"/>
      <w:ind w:left="200" w:leftChars="200" w:right="100" w:rightChars="100"/>
      <w:jc w:val="both"/>
      <w:textAlignment w:val="baseline"/>
      <w:outlineLvl w:val="5"/>
    </w:pPr>
    <w:rPr>
      <w:rFonts w:ascii="Helvetica" w:hAnsi="Helvetica"/>
      <w:position w:val="-6"/>
      <w:szCs w:val="20"/>
      <w:lang w:val="en-GB" w:eastAsia="zh-CN"/>
    </w:rPr>
  </w:style>
  <w:style w:type="paragraph" w:styleId="8">
    <w:name w:val="heading 7"/>
    <w:basedOn w:val="1"/>
    <w:next w:val="1"/>
    <w:link w:val="95"/>
    <w:autoRedefine/>
    <w:qFormat/>
    <w:uiPriority w:val="0"/>
    <w:pPr>
      <w:widowControl/>
      <w:numPr>
        <w:ilvl w:val="6"/>
        <w:numId w:val="1"/>
      </w:numPr>
      <w:overflowPunct w:val="0"/>
      <w:autoSpaceDE w:val="0"/>
      <w:autoSpaceDN w:val="0"/>
      <w:adjustRightInd w:val="0"/>
      <w:jc w:val="both"/>
      <w:textAlignment w:val="baseline"/>
      <w:outlineLvl w:val="6"/>
    </w:pPr>
    <w:rPr>
      <w:rFonts w:ascii="Times New Roman" w:hAnsi="Times New Roman"/>
      <w:i/>
      <w:position w:val="-6"/>
      <w:szCs w:val="20"/>
      <w:lang w:val="en-GB" w:eastAsia="zh-CN"/>
    </w:rPr>
  </w:style>
  <w:style w:type="paragraph" w:styleId="9">
    <w:name w:val="heading 8"/>
    <w:basedOn w:val="1"/>
    <w:next w:val="1"/>
    <w:link w:val="96"/>
    <w:autoRedefine/>
    <w:qFormat/>
    <w:uiPriority w:val="0"/>
    <w:pPr>
      <w:widowControl/>
      <w:numPr>
        <w:ilvl w:val="7"/>
        <w:numId w:val="1"/>
      </w:numPr>
      <w:overflowPunct w:val="0"/>
      <w:autoSpaceDE w:val="0"/>
      <w:autoSpaceDN w:val="0"/>
      <w:adjustRightInd w:val="0"/>
      <w:jc w:val="both"/>
      <w:textAlignment w:val="baseline"/>
      <w:outlineLvl w:val="7"/>
    </w:pPr>
    <w:rPr>
      <w:rFonts w:ascii="Times New Roman" w:hAnsi="Times New Roman"/>
      <w:i/>
      <w:position w:val="-6"/>
      <w:szCs w:val="20"/>
      <w:lang w:val="en-GB" w:eastAsia="zh-CN"/>
    </w:rPr>
  </w:style>
  <w:style w:type="paragraph" w:styleId="10">
    <w:name w:val="heading 9"/>
    <w:basedOn w:val="1"/>
    <w:next w:val="1"/>
    <w:link w:val="97"/>
    <w:autoRedefine/>
    <w:qFormat/>
    <w:uiPriority w:val="0"/>
    <w:pPr>
      <w:widowControl/>
      <w:numPr>
        <w:ilvl w:val="8"/>
        <w:numId w:val="1"/>
      </w:numPr>
      <w:overflowPunct w:val="0"/>
      <w:autoSpaceDE w:val="0"/>
      <w:autoSpaceDN w:val="0"/>
      <w:adjustRightInd w:val="0"/>
      <w:jc w:val="both"/>
      <w:textAlignment w:val="baseline"/>
      <w:outlineLvl w:val="8"/>
    </w:pPr>
    <w:rPr>
      <w:rFonts w:ascii="Times New Roman" w:hAnsi="Times New Roman"/>
      <w:i/>
      <w:position w:val="-6"/>
      <w:szCs w:val="20"/>
      <w:lang w:val="en-GB" w:eastAsia="zh-CN"/>
    </w:rPr>
  </w:style>
  <w:style w:type="character" w:default="1" w:styleId="71">
    <w:name w:val="Default Paragraph Font"/>
    <w:autoRedefine/>
    <w:semiHidden/>
    <w:unhideWhenUsed/>
    <w:qFormat/>
    <w:uiPriority w:val="1"/>
  </w:style>
  <w:style w:type="table" w:default="1" w:styleId="67">
    <w:name w:val="Normal Table"/>
    <w:autoRedefin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adjustRightInd w:val="0"/>
      <w:spacing w:line="312" w:lineRule="atLeast"/>
      <w:ind w:left="1260" w:hanging="420"/>
      <w:jc w:val="both"/>
      <w:textAlignment w:val="baseline"/>
    </w:pPr>
    <w:rPr>
      <w:rFonts w:ascii="Times New Roman" w:hAnsi="Times New Roman"/>
      <w:sz w:val="21"/>
      <w:szCs w:val="20"/>
      <w:lang w:eastAsia="zh-CN"/>
    </w:rPr>
  </w:style>
  <w:style w:type="paragraph" w:styleId="12">
    <w:name w:val="toc 7"/>
    <w:basedOn w:val="1"/>
    <w:next w:val="1"/>
    <w:autoRedefine/>
    <w:qFormat/>
    <w:uiPriority w:val="39"/>
    <w:pPr>
      <w:widowControl/>
      <w:ind w:left="1200"/>
    </w:pPr>
    <w:rPr>
      <w:rFonts w:ascii="Times New Roman" w:hAnsi="Times New Roman"/>
      <w:sz w:val="20"/>
      <w:szCs w:val="21"/>
      <w:lang w:eastAsia="zh-CN"/>
    </w:rPr>
  </w:style>
  <w:style w:type="paragraph" w:styleId="13">
    <w:name w:val="List Number 2"/>
    <w:basedOn w:val="1"/>
    <w:autoRedefine/>
    <w:qFormat/>
    <w:uiPriority w:val="0"/>
    <w:pPr>
      <w:tabs>
        <w:tab w:val="left" w:pos="360"/>
        <w:tab w:val="left" w:pos="1200"/>
      </w:tabs>
    </w:pPr>
    <w:rPr>
      <w:rFonts w:ascii="Times New Roman" w:hAnsi="Times New Roman" w:cs="Arial"/>
      <w:kern w:val="2"/>
      <w:sz w:val="28"/>
      <w:szCs w:val="20"/>
      <w:lang w:eastAsia="zh-CN"/>
    </w:rPr>
  </w:style>
  <w:style w:type="paragraph" w:styleId="14">
    <w:name w:val="table of authorities"/>
    <w:basedOn w:val="1"/>
    <w:next w:val="1"/>
    <w:autoRedefine/>
    <w:qFormat/>
    <w:uiPriority w:val="0"/>
    <w:pPr>
      <w:ind w:left="420" w:leftChars="200"/>
      <w:jc w:val="both"/>
    </w:pPr>
    <w:rPr>
      <w:rFonts w:ascii="Times New Roman" w:hAnsi="Times New Roman"/>
      <w:kern w:val="2"/>
      <w:sz w:val="21"/>
      <w:szCs w:val="24"/>
      <w:lang w:eastAsia="zh-CN"/>
    </w:rPr>
  </w:style>
  <w:style w:type="paragraph" w:styleId="15">
    <w:name w:val="index 8"/>
    <w:basedOn w:val="1"/>
    <w:next w:val="1"/>
    <w:autoRedefine/>
    <w:qFormat/>
    <w:uiPriority w:val="0"/>
    <w:pPr>
      <w:spacing w:line="440" w:lineRule="exact"/>
      <w:ind w:left="1400" w:leftChars="1400" w:firstLine="300" w:firstLineChars="300"/>
    </w:pPr>
    <w:rPr>
      <w:rFonts w:ascii="华文细黑" w:hAnsi="华文细黑" w:cs="Arial"/>
      <w:sz w:val="21"/>
      <w:szCs w:val="21"/>
      <w:lang w:eastAsia="zh-CN"/>
    </w:rPr>
  </w:style>
  <w:style w:type="paragraph" w:styleId="16">
    <w:name w:val="List Number"/>
    <w:basedOn w:val="1"/>
    <w:autoRedefine/>
    <w:qFormat/>
    <w:uiPriority w:val="0"/>
    <w:pPr>
      <w:widowControl/>
      <w:overflowPunct w:val="0"/>
      <w:autoSpaceDE w:val="0"/>
      <w:autoSpaceDN w:val="0"/>
      <w:adjustRightInd w:val="0"/>
      <w:ind w:left="425" w:hanging="425"/>
      <w:jc w:val="both"/>
      <w:textAlignment w:val="baseline"/>
    </w:pPr>
    <w:rPr>
      <w:rFonts w:ascii="Times New Roman" w:hAnsi="Arial"/>
      <w:sz w:val="28"/>
      <w:szCs w:val="28"/>
      <w:lang w:eastAsia="zh-CN"/>
    </w:rPr>
  </w:style>
  <w:style w:type="paragraph" w:styleId="17">
    <w:name w:val="Normal Indent"/>
    <w:basedOn w:val="1"/>
    <w:next w:val="1"/>
    <w:link w:val="98"/>
    <w:autoRedefine/>
    <w:qFormat/>
    <w:uiPriority w:val="0"/>
    <w:pPr>
      <w:ind w:firstLine="420" w:firstLineChars="200"/>
      <w:jc w:val="both"/>
    </w:pPr>
    <w:rPr>
      <w:kern w:val="2"/>
      <w:sz w:val="21"/>
      <w:szCs w:val="24"/>
    </w:rPr>
  </w:style>
  <w:style w:type="paragraph" w:styleId="18">
    <w:name w:val="caption"/>
    <w:basedOn w:val="1"/>
    <w:next w:val="1"/>
    <w:autoRedefine/>
    <w:qFormat/>
    <w:uiPriority w:val="0"/>
    <w:pPr>
      <w:tabs>
        <w:tab w:val="left" w:pos="1050"/>
      </w:tabs>
      <w:spacing w:line="400" w:lineRule="exact"/>
      <w:ind w:firstLine="100"/>
      <w:jc w:val="both"/>
    </w:pPr>
    <w:rPr>
      <w:rFonts w:ascii="Times New Roman" w:hAnsi="Times New Roman"/>
      <w:kern w:val="2"/>
      <w:sz w:val="28"/>
      <w:szCs w:val="24"/>
      <w:lang w:eastAsia="zh-CN"/>
    </w:rPr>
  </w:style>
  <w:style w:type="paragraph" w:styleId="19">
    <w:name w:val="index 5"/>
    <w:basedOn w:val="1"/>
    <w:next w:val="1"/>
    <w:autoRedefine/>
    <w:qFormat/>
    <w:uiPriority w:val="0"/>
    <w:pPr>
      <w:spacing w:line="440" w:lineRule="exact"/>
      <w:ind w:left="800" w:leftChars="800" w:firstLine="300" w:firstLineChars="300"/>
    </w:pPr>
    <w:rPr>
      <w:rFonts w:ascii="华文细黑" w:hAnsi="华文细黑" w:cs="Arial"/>
      <w:sz w:val="21"/>
      <w:szCs w:val="21"/>
      <w:lang w:eastAsia="zh-CN"/>
    </w:rPr>
  </w:style>
  <w:style w:type="paragraph" w:styleId="20">
    <w:name w:val="List Bullet"/>
    <w:basedOn w:val="1"/>
    <w:autoRedefine/>
    <w:qFormat/>
    <w:uiPriority w:val="0"/>
    <w:pPr>
      <w:numPr>
        <w:ilvl w:val="0"/>
        <w:numId w:val="2"/>
      </w:numPr>
      <w:tabs>
        <w:tab w:val="left" w:pos="284"/>
        <w:tab w:val="clear" w:pos="860"/>
      </w:tabs>
      <w:jc w:val="both"/>
    </w:pPr>
    <w:rPr>
      <w:rFonts w:ascii="Times New Roman" w:hAnsi="Times New Roman"/>
      <w:kern w:val="2"/>
      <w:sz w:val="21"/>
      <w:szCs w:val="20"/>
      <w:lang w:eastAsia="zh-CN"/>
    </w:rPr>
  </w:style>
  <w:style w:type="paragraph" w:styleId="21">
    <w:name w:val="Document Map"/>
    <w:basedOn w:val="1"/>
    <w:link w:val="99"/>
    <w:autoRedefine/>
    <w:qFormat/>
    <w:uiPriority w:val="0"/>
    <w:pPr>
      <w:widowControl/>
      <w:shd w:val="clear" w:color="auto" w:fill="000080"/>
      <w:tabs>
        <w:tab w:val="left" w:pos="851"/>
      </w:tabs>
      <w:autoSpaceDE w:val="0"/>
      <w:autoSpaceDN w:val="0"/>
      <w:snapToGrid w:val="0"/>
      <w:spacing w:after="120" w:line="360" w:lineRule="auto"/>
      <w:ind w:left="-4" w:leftChars="-4" w:hanging="11" w:hangingChars="4"/>
      <w:jc w:val="both"/>
      <w:textAlignment w:val="bottom"/>
    </w:pPr>
    <w:rPr>
      <w:rFonts w:ascii="宋体" w:hAnsi="宋体"/>
      <w:bCs/>
      <w:spacing w:val="20"/>
      <w:kern w:val="21"/>
      <w:sz w:val="24"/>
      <w:lang w:eastAsia="zh-CN"/>
    </w:rPr>
  </w:style>
  <w:style w:type="paragraph" w:styleId="22">
    <w:name w:val="toa heading"/>
    <w:basedOn w:val="1"/>
    <w:next w:val="1"/>
    <w:autoRedefine/>
    <w:qFormat/>
    <w:uiPriority w:val="0"/>
    <w:pPr>
      <w:spacing w:before="120"/>
      <w:jc w:val="both"/>
    </w:pPr>
    <w:rPr>
      <w:rFonts w:ascii="Arial" w:hAnsi="Arial" w:cs="Arial"/>
      <w:kern w:val="2"/>
      <w:sz w:val="24"/>
      <w:szCs w:val="24"/>
      <w:lang w:eastAsia="zh-CN"/>
    </w:rPr>
  </w:style>
  <w:style w:type="paragraph" w:styleId="23">
    <w:name w:val="annotation text"/>
    <w:basedOn w:val="1"/>
    <w:link w:val="100"/>
    <w:autoRedefine/>
    <w:qFormat/>
    <w:uiPriority w:val="0"/>
  </w:style>
  <w:style w:type="paragraph" w:styleId="24">
    <w:name w:val="index 6"/>
    <w:basedOn w:val="1"/>
    <w:next w:val="1"/>
    <w:autoRedefine/>
    <w:qFormat/>
    <w:uiPriority w:val="0"/>
    <w:pPr>
      <w:spacing w:line="440" w:lineRule="exact"/>
      <w:ind w:left="1000" w:leftChars="1000" w:firstLine="300" w:firstLineChars="300"/>
    </w:pPr>
    <w:rPr>
      <w:rFonts w:ascii="华文细黑" w:hAnsi="华文细黑" w:cs="Arial"/>
      <w:sz w:val="21"/>
      <w:szCs w:val="21"/>
      <w:lang w:eastAsia="zh-CN"/>
    </w:rPr>
  </w:style>
  <w:style w:type="paragraph" w:styleId="25">
    <w:name w:val="Salutation"/>
    <w:basedOn w:val="1"/>
    <w:next w:val="1"/>
    <w:link w:val="101"/>
    <w:autoRedefine/>
    <w:qFormat/>
    <w:uiPriority w:val="0"/>
    <w:pPr>
      <w:ind w:firstLine="630" w:firstLineChars="300"/>
    </w:pPr>
    <w:rPr>
      <w:rFonts w:ascii="Times New Roman" w:hAnsi="Times New Roman" w:cs="Arial"/>
      <w:kern w:val="2"/>
      <w:sz w:val="28"/>
      <w:szCs w:val="20"/>
      <w:lang w:eastAsia="zh-CN"/>
    </w:rPr>
  </w:style>
  <w:style w:type="paragraph" w:styleId="26">
    <w:name w:val="Body Text 3"/>
    <w:basedOn w:val="1"/>
    <w:link w:val="102"/>
    <w:autoRedefine/>
    <w:qFormat/>
    <w:uiPriority w:val="0"/>
    <w:pPr>
      <w:widowControl/>
    </w:pPr>
    <w:rPr>
      <w:rFonts w:ascii="宋体"/>
      <w:b/>
      <w:bCs/>
      <w:sz w:val="21"/>
      <w:lang w:eastAsia="zh-CN"/>
    </w:rPr>
  </w:style>
  <w:style w:type="paragraph" w:styleId="27">
    <w:name w:val="List Bullet 3"/>
    <w:basedOn w:val="1"/>
    <w:autoRedefine/>
    <w:qFormat/>
    <w:uiPriority w:val="0"/>
    <w:pPr>
      <w:widowControl/>
      <w:tabs>
        <w:tab w:val="left" w:pos="1200"/>
      </w:tabs>
      <w:spacing w:after="120" w:line="360" w:lineRule="auto"/>
      <w:ind w:left="1200" w:hanging="360"/>
    </w:pPr>
    <w:rPr>
      <w:rFonts w:ascii="Times New Roman" w:hAnsi="Times New Roman" w:cs="Arial"/>
      <w:sz w:val="20"/>
      <w:szCs w:val="20"/>
      <w:lang w:eastAsia="zh-CN"/>
    </w:rPr>
  </w:style>
  <w:style w:type="paragraph" w:styleId="28">
    <w:name w:val="Body Text"/>
    <w:basedOn w:val="1"/>
    <w:link w:val="88"/>
    <w:autoRedefine/>
    <w:qFormat/>
    <w:uiPriority w:val="0"/>
    <w:pPr>
      <w:ind w:left="100"/>
    </w:pPr>
    <w:rPr>
      <w:rFonts w:ascii="宋体" w:hAnsi="宋体"/>
      <w:sz w:val="21"/>
      <w:szCs w:val="21"/>
    </w:rPr>
  </w:style>
  <w:style w:type="paragraph" w:styleId="29">
    <w:name w:val="Body Text Indent"/>
    <w:basedOn w:val="1"/>
    <w:next w:val="30"/>
    <w:link w:val="103"/>
    <w:autoRedefine/>
    <w:qFormat/>
    <w:uiPriority w:val="0"/>
    <w:pPr>
      <w:widowControl/>
      <w:tabs>
        <w:tab w:val="left" w:pos="993"/>
      </w:tabs>
      <w:spacing w:line="360" w:lineRule="auto"/>
      <w:ind w:left="4099" w:leftChars="949" w:hanging="2201" w:hangingChars="687"/>
      <w:jc w:val="both"/>
    </w:pPr>
    <w:rPr>
      <w:rFonts w:ascii="Arial" w:hAnsi="Arial" w:eastAsia="幼圆"/>
      <w:b/>
      <w:sz w:val="32"/>
      <w:lang w:eastAsia="zh-CN"/>
    </w:rPr>
  </w:style>
  <w:style w:type="paragraph" w:styleId="30">
    <w:name w:val="envelope return"/>
    <w:basedOn w:val="1"/>
    <w:qFormat/>
    <w:uiPriority w:val="0"/>
    <w:pPr>
      <w:snapToGrid w:val="0"/>
    </w:pPr>
    <w:rPr>
      <w:rFonts w:ascii="Arial" w:hAnsi="Arial"/>
    </w:rPr>
  </w:style>
  <w:style w:type="paragraph" w:styleId="31">
    <w:name w:val="List 2"/>
    <w:basedOn w:val="1"/>
    <w:autoRedefine/>
    <w:qFormat/>
    <w:uiPriority w:val="0"/>
    <w:pPr>
      <w:ind w:left="100" w:hanging="200"/>
      <w:jc w:val="both"/>
    </w:pPr>
    <w:rPr>
      <w:rFonts w:ascii="宋体" w:hAnsi="Times New Roman"/>
      <w:kern w:val="2"/>
      <w:sz w:val="24"/>
      <w:szCs w:val="24"/>
      <w:lang w:eastAsia="zh-CN"/>
    </w:rPr>
  </w:style>
  <w:style w:type="paragraph" w:styleId="32">
    <w:name w:val="Block Text"/>
    <w:basedOn w:val="1"/>
    <w:autoRedefine/>
    <w:qFormat/>
    <w:uiPriority w:val="0"/>
    <w:pPr>
      <w:widowControl/>
      <w:spacing w:line="360" w:lineRule="auto"/>
      <w:ind w:left="3828" w:right="1410" w:hanging="258"/>
      <w:jc w:val="both"/>
    </w:pPr>
    <w:rPr>
      <w:rFonts w:ascii="Arial" w:hAnsi="Arial" w:eastAsia="幼圆"/>
      <w:b/>
      <w:sz w:val="32"/>
      <w:szCs w:val="20"/>
      <w:lang w:eastAsia="zh-CN"/>
    </w:rPr>
  </w:style>
  <w:style w:type="paragraph" w:styleId="33">
    <w:name w:val="index 4"/>
    <w:basedOn w:val="1"/>
    <w:next w:val="1"/>
    <w:autoRedefine/>
    <w:qFormat/>
    <w:uiPriority w:val="0"/>
    <w:pPr>
      <w:spacing w:line="440" w:lineRule="exact"/>
      <w:ind w:left="600" w:leftChars="600" w:firstLine="300" w:firstLineChars="300"/>
    </w:pPr>
    <w:rPr>
      <w:rFonts w:ascii="华文细黑" w:hAnsi="华文细黑" w:cs="Arial"/>
      <w:sz w:val="21"/>
      <w:szCs w:val="21"/>
      <w:lang w:eastAsia="zh-CN"/>
    </w:rPr>
  </w:style>
  <w:style w:type="paragraph" w:styleId="34">
    <w:name w:val="toc 5"/>
    <w:basedOn w:val="1"/>
    <w:next w:val="1"/>
    <w:autoRedefine/>
    <w:qFormat/>
    <w:uiPriority w:val="39"/>
    <w:pPr>
      <w:widowControl/>
      <w:ind w:left="800"/>
    </w:pPr>
    <w:rPr>
      <w:rFonts w:ascii="Times New Roman" w:hAnsi="Times New Roman"/>
      <w:sz w:val="20"/>
      <w:szCs w:val="21"/>
      <w:lang w:eastAsia="zh-CN"/>
    </w:rPr>
  </w:style>
  <w:style w:type="paragraph" w:styleId="35">
    <w:name w:val="toc 3"/>
    <w:basedOn w:val="1"/>
    <w:next w:val="1"/>
    <w:autoRedefine/>
    <w:qFormat/>
    <w:uiPriority w:val="39"/>
    <w:pPr>
      <w:ind w:left="520"/>
    </w:pPr>
    <w:rPr>
      <w:rFonts w:ascii="宋体" w:hAnsi="宋体"/>
      <w:sz w:val="21"/>
      <w:szCs w:val="21"/>
    </w:rPr>
  </w:style>
  <w:style w:type="paragraph" w:styleId="36">
    <w:name w:val="Plain Text"/>
    <w:basedOn w:val="1"/>
    <w:next w:val="1"/>
    <w:link w:val="104"/>
    <w:autoRedefine/>
    <w:qFormat/>
    <w:uiPriority w:val="0"/>
    <w:pPr>
      <w:jc w:val="both"/>
    </w:pPr>
    <w:rPr>
      <w:rFonts w:ascii="宋体"/>
      <w:kern w:val="2"/>
      <w:sz w:val="21"/>
      <w:lang w:eastAsia="zh-CN"/>
    </w:rPr>
  </w:style>
  <w:style w:type="paragraph" w:styleId="37">
    <w:name w:val="List Number 4"/>
    <w:basedOn w:val="1"/>
    <w:autoRedefine/>
    <w:qFormat/>
    <w:uiPriority w:val="0"/>
    <w:pPr>
      <w:widowControl/>
      <w:numPr>
        <w:ilvl w:val="0"/>
        <w:numId w:val="3"/>
      </w:numPr>
      <w:tabs>
        <w:tab w:val="left" w:pos="1209"/>
        <w:tab w:val="left" w:pos="1260"/>
        <w:tab w:val="left" w:pos="1418"/>
        <w:tab w:val="left" w:pos="1728"/>
        <w:tab w:val="left" w:pos="2160"/>
        <w:tab w:val="left" w:pos="6521"/>
        <w:tab w:val="clear" w:pos="900"/>
      </w:tabs>
      <w:ind w:left="1209"/>
      <w:jc w:val="both"/>
    </w:pPr>
    <w:rPr>
      <w:rFonts w:ascii="Arial" w:hAnsi="Arial"/>
      <w:szCs w:val="20"/>
      <w:lang w:val="en-GB" w:eastAsia="zh-CN"/>
    </w:rPr>
  </w:style>
  <w:style w:type="paragraph" w:styleId="38">
    <w:name w:val="toc 8"/>
    <w:basedOn w:val="1"/>
    <w:next w:val="1"/>
    <w:autoRedefine/>
    <w:qFormat/>
    <w:uiPriority w:val="39"/>
    <w:pPr>
      <w:widowControl/>
      <w:ind w:left="1400"/>
    </w:pPr>
    <w:rPr>
      <w:rFonts w:ascii="Times New Roman" w:hAnsi="Times New Roman"/>
      <w:sz w:val="20"/>
      <w:szCs w:val="21"/>
      <w:lang w:eastAsia="zh-CN"/>
    </w:rPr>
  </w:style>
  <w:style w:type="paragraph" w:styleId="39">
    <w:name w:val="index 3"/>
    <w:basedOn w:val="1"/>
    <w:next w:val="1"/>
    <w:autoRedefine/>
    <w:qFormat/>
    <w:uiPriority w:val="0"/>
    <w:pPr>
      <w:spacing w:line="440" w:lineRule="exact"/>
      <w:ind w:left="400" w:leftChars="400" w:firstLine="300" w:firstLineChars="300"/>
    </w:pPr>
    <w:rPr>
      <w:rFonts w:ascii="华文细黑" w:hAnsi="华文细黑" w:cs="Arial"/>
      <w:sz w:val="21"/>
      <w:szCs w:val="21"/>
      <w:lang w:eastAsia="zh-CN"/>
    </w:rPr>
  </w:style>
  <w:style w:type="paragraph" w:styleId="40">
    <w:name w:val="Date"/>
    <w:basedOn w:val="1"/>
    <w:next w:val="1"/>
    <w:link w:val="105"/>
    <w:autoRedefine/>
    <w:qFormat/>
    <w:uiPriority w:val="0"/>
    <w:pPr>
      <w:spacing w:line="360" w:lineRule="auto"/>
      <w:ind w:left="100" w:leftChars="2500"/>
      <w:jc w:val="both"/>
    </w:pPr>
    <w:rPr>
      <w:kern w:val="2"/>
      <w:sz w:val="28"/>
      <w:lang w:eastAsia="zh-CN"/>
    </w:rPr>
  </w:style>
  <w:style w:type="paragraph" w:styleId="41">
    <w:name w:val="Body Text Indent 2"/>
    <w:basedOn w:val="1"/>
    <w:link w:val="106"/>
    <w:autoRedefine/>
    <w:qFormat/>
    <w:uiPriority w:val="0"/>
    <w:pPr>
      <w:adjustRightInd w:val="0"/>
      <w:spacing w:line="360" w:lineRule="auto"/>
      <w:ind w:firstLine="425"/>
      <w:jc w:val="both"/>
      <w:textAlignment w:val="baseline"/>
    </w:pPr>
    <w:rPr>
      <w:rFonts w:ascii="仿宋_GB2312" w:hAnsi="Arial" w:eastAsia="仿宋_GB2312"/>
      <w:sz w:val="24"/>
      <w:szCs w:val="20"/>
      <w:lang w:eastAsia="zh-CN"/>
    </w:rPr>
  </w:style>
  <w:style w:type="paragraph" w:styleId="42">
    <w:name w:val="endnote text"/>
    <w:basedOn w:val="1"/>
    <w:link w:val="107"/>
    <w:autoRedefine/>
    <w:qFormat/>
    <w:uiPriority w:val="0"/>
    <w:pPr>
      <w:widowControl/>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240"/>
      <w:jc w:val="both"/>
    </w:pPr>
    <w:rPr>
      <w:rFonts w:ascii="Times New Roman" w:hAnsi="Times New Roman"/>
      <w:sz w:val="24"/>
      <w:szCs w:val="20"/>
      <w:lang w:eastAsia="zh-CN"/>
    </w:rPr>
  </w:style>
  <w:style w:type="paragraph" w:styleId="43">
    <w:name w:val="Balloon Text"/>
    <w:basedOn w:val="1"/>
    <w:link w:val="108"/>
    <w:autoRedefine/>
    <w:qFormat/>
    <w:uiPriority w:val="0"/>
    <w:rPr>
      <w:sz w:val="18"/>
      <w:szCs w:val="18"/>
    </w:rPr>
  </w:style>
  <w:style w:type="paragraph" w:styleId="44">
    <w:name w:val="footer"/>
    <w:basedOn w:val="1"/>
    <w:link w:val="109"/>
    <w:autoRedefine/>
    <w:qFormat/>
    <w:uiPriority w:val="99"/>
    <w:pPr>
      <w:tabs>
        <w:tab w:val="center" w:pos="4153"/>
        <w:tab w:val="right" w:pos="8306"/>
      </w:tabs>
      <w:snapToGrid w:val="0"/>
    </w:pPr>
    <w:rPr>
      <w:sz w:val="18"/>
      <w:szCs w:val="18"/>
    </w:rPr>
  </w:style>
  <w:style w:type="paragraph" w:styleId="45">
    <w:name w:val="header"/>
    <w:basedOn w:val="1"/>
    <w:link w:val="110"/>
    <w:autoRedefine/>
    <w:qFormat/>
    <w:uiPriority w:val="0"/>
    <w:pPr>
      <w:pBdr>
        <w:bottom w:val="single" w:color="auto" w:sz="6" w:space="1"/>
      </w:pBdr>
      <w:tabs>
        <w:tab w:val="center" w:pos="4153"/>
        <w:tab w:val="right" w:pos="8306"/>
      </w:tabs>
      <w:snapToGrid w:val="0"/>
      <w:jc w:val="center"/>
    </w:pPr>
    <w:rPr>
      <w:sz w:val="18"/>
      <w:szCs w:val="18"/>
    </w:rPr>
  </w:style>
  <w:style w:type="paragraph" w:styleId="46">
    <w:name w:val="toc 1"/>
    <w:basedOn w:val="1"/>
    <w:next w:val="1"/>
    <w:autoRedefine/>
    <w:qFormat/>
    <w:uiPriority w:val="39"/>
    <w:rPr>
      <w:rFonts w:ascii="宋体" w:hAnsi="宋体"/>
      <w:sz w:val="21"/>
      <w:szCs w:val="21"/>
    </w:rPr>
  </w:style>
  <w:style w:type="paragraph" w:styleId="47">
    <w:name w:val="toc 4"/>
    <w:basedOn w:val="1"/>
    <w:next w:val="1"/>
    <w:autoRedefine/>
    <w:qFormat/>
    <w:uiPriority w:val="39"/>
    <w:pPr>
      <w:ind w:left="940"/>
    </w:pPr>
    <w:rPr>
      <w:rFonts w:ascii="宋体" w:hAnsi="宋体"/>
      <w:sz w:val="21"/>
      <w:szCs w:val="21"/>
    </w:rPr>
  </w:style>
  <w:style w:type="paragraph" w:styleId="48">
    <w:name w:val="index heading"/>
    <w:basedOn w:val="1"/>
    <w:next w:val="49"/>
    <w:autoRedefine/>
    <w:qFormat/>
    <w:uiPriority w:val="0"/>
    <w:pPr>
      <w:spacing w:line="440" w:lineRule="exact"/>
      <w:ind w:firstLine="630" w:firstLineChars="300"/>
    </w:pPr>
    <w:rPr>
      <w:rFonts w:ascii="华文细黑" w:hAnsi="华文细黑" w:cs="Arial"/>
      <w:sz w:val="21"/>
      <w:szCs w:val="21"/>
      <w:lang w:eastAsia="zh-CN"/>
    </w:rPr>
  </w:style>
  <w:style w:type="paragraph" w:styleId="49">
    <w:name w:val="index 1"/>
    <w:basedOn w:val="1"/>
    <w:next w:val="1"/>
    <w:autoRedefine/>
    <w:qFormat/>
    <w:uiPriority w:val="0"/>
    <w:pPr>
      <w:spacing w:before="60" w:after="60" w:line="240" w:lineRule="atLeast"/>
      <w:jc w:val="center"/>
    </w:pPr>
    <w:rPr>
      <w:rFonts w:ascii="Times New Roman" w:hAnsi="Times New Roman"/>
      <w:kern w:val="2"/>
      <w:sz w:val="21"/>
      <w:szCs w:val="24"/>
      <w:lang w:eastAsia="zh-CN"/>
    </w:rPr>
  </w:style>
  <w:style w:type="paragraph" w:styleId="50">
    <w:name w:val="List"/>
    <w:basedOn w:val="1"/>
    <w:autoRedefine/>
    <w:qFormat/>
    <w:uiPriority w:val="0"/>
    <w:pPr>
      <w:ind w:left="200" w:hanging="200" w:hangingChars="200"/>
      <w:jc w:val="both"/>
    </w:pPr>
    <w:rPr>
      <w:rFonts w:ascii="Times New Roman" w:hAnsi="Times New Roman"/>
      <w:kern w:val="2"/>
      <w:sz w:val="21"/>
      <w:szCs w:val="20"/>
      <w:lang w:eastAsia="zh-CN"/>
    </w:rPr>
  </w:style>
  <w:style w:type="paragraph" w:styleId="51">
    <w:name w:val="footnote text"/>
    <w:basedOn w:val="1"/>
    <w:link w:val="111"/>
    <w:autoRedefine/>
    <w:qFormat/>
    <w:uiPriority w:val="0"/>
    <w:pPr>
      <w:adjustRightInd w:val="0"/>
      <w:spacing w:line="315" w:lineRule="atLeast"/>
      <w:jc w:val="both"/>
      <w:textAlignment w:val="baseline"/>
    </w:pPr>
    <w:rPr>
      <w:rFonts w:ascii="宋体" w:hAnsi="Times New Roman"/>
      <w:sz w:val="24"/>
      <w:szCs w:val="20"/>
      <w:lang w:eastAsia="zh-CN"/>
    </w:rPr>
  </w:style>
  <w:style w:type="paragraph" w:styleId="52">
    <w:name w:val="toc 6"/>
    <w:basedOn w:val="1"/>
    <w:next w:val="1"/>
    <w:autoRedefine/>
    <w:qFormat/>
    <w:uiPriority w:val="39"/>
    <w:pPr>
      <w:widowControl/>
      <w:ind w:left="1000"/>
    </w:pPr>
    <w:rPr>
      <w:rFonts w:ascii="Times New Roman" w:hAnsi="Times New Roman"/>
      <w:sz w:val="20"/>
      <w:szCs w:val="21"/>
      <w:lang w:eastAsia="zh-CN"/>
    </w:rPr>
  </w:style>
  <w:style w:type="paragraph" w:styleId="53">
    <w:name w:val="Body Text Indent 3"/>
    <w:basedOn w:val="1"/>
    <w:link w:val="112"/>
    <w:autoRedefine/>
    <w:qFormat/>
    <w:uiPriority w:val="0"/>
    <w:pPr>
      <w:widowControl/>
      <w:spacing w:line="360" w:lineRule="auto"/>
      <w:ind w:left="506"/>
    </w:pPr>
    <w:rPr>
      <w:rFonts w:ascii="Arial Narrow" w:hAnsi="Arial Narrow" w:eastAsia="幼圆"/>
      <w:sz w:val="24"/>
      <w:szCs w:val="20"/>
      <w:lang w:eastAsia="zh-CN"/>
    </w:rPr>
  </w:style>
  <w:style w:type="paragraph" w:styleId="54">
    <w:name w:val="index 7"/>
    <w:basedOn w:val="1"/>
    <w:next w:val="1"/>
    <w:autoRedefine/>
    <w:qFormat/>
    <w:uiPriority w:val="0"/>
    <w:pPr>
      <w:spacing w:line="440" w:lineRule="exact"/>
      <w:ind w:left="1200" w:leftChars="1200" w:firstLine="300" w:firstLineChars="300"/>
    </w:pPr>
    <w:rPr>
      <w:rFonts w:ascii="华文细黑" w:hAnsi="华文细黑" w:cs="Arial"/>
      <w:sz w:val="21"/>
      <w:szCs w:val="21"/>
      <w:lang w:eastAsia="zh-CN"/>
    </w:rPr>
  </w:style>
  <w:style w:type="paragraph" w:styleId="55">
    <w:name w:val="index 9"/>
    <w:basedOn w:val="1"/>
    <w:next w:val="1"/>
    <w:autoRedefine/>
    <w:qFormat/>
    <w:uiPriority w:val="0"/>
    <w:pPr>
      <w:spacing w:line="440" w:lineRule="exact"/>
      <w:ind w:left="1600" w:leftChars="1600" w:firstLine="300" w:firstLineChars="300"/>
    </w:pPr>
    <w:rPr>
      <w:rFonts w:ascii="华文细黑" w:hAnsi="华文细黑" w:cs="Arial"/>
      <w:sz w:val="21"/>
      <w:szCs w:val="21"/>
      <w:lang w:eastAsia="zh-CN"/>
    </w:rPr>
  </w:style>
  <w:style w:type="paragraph" w:styleId="56">
    <w:name w:val="toc 2"/>
    <w:basedOn w:val="1"/>
    <w:next w:val="1"/>
    <w:autoRedefine/>
    <w:qFormat/>
    <w:uiPriority w:val="39"/>
    <w:pPr>
      <w:ind w:left="100"/>
    </w:pPr>
    <w:rPr>
      <w:rFonts w:ascii="宋体" w:hAnsi="宋体"/>
      <w:sz w:val="21"/>
      <w:szCs w:val="21"/>
    </w:rPr>
  </w:style>
  <w:style w:type="paragraph" w:styleId="57">
    <w:name w:val="toc 9"/>
    <w:basedOn w:val="1"/>
    <w:next w:val="1"/>
    <w:autoRedefine/>
    <w:qFormat/>
    <w:uiPriority w:val="39"/>
    <w:pPr>
      <w:widowControl/>
      <w:ind w:left="1600"/>
    </w:pPr>
    <w:rPr>
      <w:rFonts w:ascii="Times New Roman" w:hAnsi="Times New Roman"/>
      <w:sz w:val="20"/>
      <w:szCs w:val="21"/>
      <w:lang w:eastAsia="zh-CN"/>
    </w:rPr>
  </w:style>
  <w:style w:type="paragraph" w:styleId="58">
    <w:name w:val="Body Text 2"/>
    <w:basedOn w:val="1"/>
    <w:link w:val="113"/>
    <w:autoRedefine/>
    <w:qFormat/>
    <w:uiPriority w:val="0"/>
    <w:pPr>
      <w:widowControl/>
      <w:tabs>
        <w:tab w:val="left" w:pos="210"/>
      </w:tabs>
    </w:pPr>
    <w:rPr>
      <w:rFonts w:ascii="宋体" w:hAnsi="宋体"/>
      <w:sz w:val="24"/>
      <w:szCs w:val="20"/>
      <w:lang w:eastAsia="zh-CN"/>
    </w:rPr>
  </w:style>
  <w:style w:type="paragraph" w:styleId="59">
    <w:name w:val="List Continue 2"/>
    <w:basedOn w:val="1"/>
    <w:autoRedefine/>
    <w:qFormat/>
    <w:uiPriority w:val="0"/>
    <w:pPr>
      <w:spacing w:after="120"/>
      <w:ind w:left="840" w:leftChars="400"/>
    </w:pPr>
    <w:rPr>
      <w:rFonts w:ascii="Times New Roman" w:hAnsi="Times New Roman" w:cs="Arial"/>
      <w:kern w:val="2"/>
      <w:sz w:val="21"/>
      <w:szCs w:val="21"/>
      <w:lang w:eastAsia="zh-CN"/>
    </w:rPr>
  </w:style>
  <w:style w:type="paragraph" w:styleId="60">
    <w:name w:val="HTML Preformatted"/>
    <w:basedOn w:val="1"/>
    <w:link w:val="11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cs="Arial"/>
      <w:sz w:val="21"/>
      <w:szCs w:val="21"/>
    </w:rPr>
  </w:style>
  <w:style w:type="paragraph" w:styleId="61">
    <w:name w:val="Normal (Web)"/>
    <w:basedOn w:val="1"/>
    <w:link w:val="115"/>
    <w:autoRedefine/>
    <w:qFormat/>
    <w:uiPriority w:val="0"/>
    <w:pPr>
      <w:widowControl/>
      <w:spacing w:before="100" w:beforeAutospacing="1" w:after="100" w:afterAutospacing="1"/>
    </w:pPr>
    <w:rPr>
      <w:rFonts w:ascii="宋体" w:hAnsi="宋体" w:cs="宋体"/>
      <w:sz w:val="24"/>
      <w:szCs w:val="24"/>
      <w:lang w:eastAsia="zh-CN"/>
    </w:rPr>
  </w:style>
  <w:style w:type="paragraph" w:styleId="62">
    <w:name w:val="index 2"/>
    <w:basedOn w:val="1"/>
    <w:next w:val="1"/>
    <w:autoRedefine/>
    <w:qFormat/>
    <w:uiPriority w:val="0"/>
    <w:pPr>
      <w:spacing w:line="440" w:lineRule="exact"/>
      <w:ind w:left="200" w:leftChars="200" w:firstLine="300" w:firstLineChars="300"/>
    </w:pPr>
    <w:rPr>
      <w:rFonts w:ascii="华文细黑" w:hAnsi="华文细黑" w:cs="Arial"/>
      <w:sz w:val="21"/>
      <w:szCs w:val="21"/>
      <w:lang w:eastAsia="zh-CN"/>
    </w:rPr>
  </w:style>
  <w:style w:type="paragraph" w:styleId="63">
    <w:name w:val="Title"/>
    <w:basedOn w:val="1"/>
    <w:next w:val="1"/>
    <w:link w:val="116"/>
    <w:autoRedefine/>
    <w:qFormat/>
    <w:uiPriority w:val="0"/>
    <w:pPr>
      <w:autoSpaceDE w:val="0"/>
      <w:autoSpaceDN w:val="0"/>
      <w:adjustRightInd w:val="0"/>
      <w:spacing w:beforeLines="50" w:after="60" w:line="360" w:lineRule="auto"/>
      <w:jc w:val="center"/>
      <w:textAlignment w:val="baseline"/>
      <w:outlineLvl w:val="0"/>
    </w:pPr>
    <w:rPr>
      <w:rFonts w:ascii="Arial" w:hAnsi="Arial" w:cs="Arial"/>
      <w:b/>
      <w:bCs/>
      <w:sz w:val="32"/>
      <w:szCs w:val="32"/>
      <w:lang w:eastAsia="zh-CN"/>
    </w:rPr>
  </w:style>
  <w:style w:type="paragraph" w:styleId="64">
    <w:name w:val="annotation subject"/>
    <w:basedOn w:val="23"/>
    <w:next w:val="23"/>
    <w:link w:val="117"/>
    <w:autoRedefine/>
    <w:qFormat/>
    <w:uiPriority w:val="0"/>
    <w:rPr>
      <w:b/>
      <w:bCs/>
    </w:rPr>
  </w:style>
  <w:style w:type="paragraph" w:styleId="65">
    <w:name w:val="Body Text First Indent"/>
    <w:basedOn w:val="28"/>
    <w:link w:val="118"/>
    <w:autoRedefine/>
    <w:qFormat/>
    <w:uiPriority w:val="0"/>
    <w:pPr>
      <w:spacing w:after="120"/>
      <w:ind w:left="0" w:firstLine="420" w:firstLineChars="100"/>
      <w:jc w:val="both"/>
    </w:pPr>
    <w:rPr>
      <w:rFonts w:ascii="Times New Roman" w:hAnsi="Times New Roman"/>
      <w:kern w:val="2"/>
      <w:szCs w:val="24"/>
      <w:lang w:eastAsia="zh-CN"/>
    </w:rPr>
  </w:style>
  <w:style w:type="paragraph" w:styleId="66">
    <w:name w:val="Body Text First Indent 2"/>
    <w:basedOn w:val="29"/>
    <w:link w:val="119"/>
    <w:autoRedefine/>
    <w:qFormat/>
    <w:uiPriority w:val="0"/>
    <w:pPr>
      <w:widowControl w:val="0"/>
      <w:spacing w:after="120" w:line="240" w:lineRule="auto"/>
      <w:ind w:left="420" w:leftChars="200" w:firstLine="420" w:firstLineChars="200"/>
    </w:pPr>
    <w:rPr>
      <w:rFonts w:ascii="Times New Roman" w:hAnsi="Times New Roman" w:eastAsia="宋体"/>
      <w:b w:val="0"/>
      <w:kern w:val="2"/>
      <w:sz w:val="21"/>
      <w:szCs w:val="24"/>
    </w:rPr>
  </w:style>
  <w:style w:type="table" w:styleId="68">
    <w:name w:val="Table Grid"/>
    <w:basedOn w:val="67"/>
    <w:autoRedefine/>
    <w:qFormat/>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9">
    <w:name w:val="Table Theme"/>
    <w:basedOn w:val="67"/>
    <w:autoRedefine/>
    <w:qFormat/>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0">
    <w:name w:val="Table Elegant"/>
    <w:basedOn w:val="67"/>
    <w:autoRedefine/>
    <w:qFormat/>
    <w:uiPriority w:val="0"/>
    <w:pPr>
      <w:jc w:val="both"/>
    </w:pPr>
    <w:tblPr>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72">
    <w:name w:val="Strong"/>
    <w:basedOn w:val="71"/>
    <w:autoRedefine/>
    <w:qFormat/>
    <w:uiPriority w:val="0"/>
    <w:rPr>
      <w:rFonts w:ascii="Calibri" w:hAnsi="Calibri" w:eastAsia="宋体" w:cs="Times New Roman"/>
      <w:b/>
      <w:bCs/>
    </w:rPr>
  </w:style>
  <w:style w:type="character" w:styleId="73">
    <w:name w:val="page number"/>
    <w:autoRedefine/>
    <w:qFormat/>
    <w:uiPriority w:val="0"/>
    <w:rPr>
      <w:rFonts w:ascii="Calibri" w:hAnsi="Calibri" w:eastAsia="宋体" w:cs="Times New Roman"/>
    </w:rPr>
  </w:style>
  <w:style w:type="character" w:styleId="74">
    <w:name w:val="FollowedHyperlink"/>
    <w:autoRedefine/>
    <w:qFormat/>
    <w:uiPriority w:val="99"/>
    <w:rPr>
      <w:rFonts w:ascii="Calibri" w:hAnsi="Calibri" w:eastAsia="宋体" w:cs="Times New Roman"/>
      <w:color w:val="800080"/>
      <w:u w:val="single"/>
    </w:rPr>
  </w:style>
  <w:style w:type="character" w:styleId="75">
    <w:name w:val="Emphasis"/>
    <w:autoRedefine/>
    <w:qFormat/>
    <w:uiPriority w:val="0"/>
    <w:rPr>
      <w:rFonts w:ascii="Calibri" w:hAnsi="Calibri" w:eastAsia="宋体" w:cs="Times New Roman"/>
      <w:i/>
      <w:iCs/>
    </w:rPr>
  </w:style>
  <w:style w:type="character" w:styleId="76">
    <w:name w:val="HTML Definition"/>
    <w:autoRedefine/>
    <w:qFormat/>
    <w:uiPriority w:val="0"/>
    <w:rPr>
      <w:rFonts w:ascii="Calibri" w:hAnsi="Calibri" w:eastAsia="宋体" w:cs="Times New Roman"/>
      <w:color w:val="000000"/>
      <w:kern w:val="0"/>
    </w:rPr>
  </w:style>
  <w:style w:type="character" w:styleId="77">
    <w:name w:val="HTML Variable"/>
    <w:autoRedefine/>
    <w:qFormat/>
    <w:uiPriority w:val="0"/>
    <w:rPr>
      <w:rFonts w:ascii="Calibri" w:hAnsi="Calibri" w:eastAsia="宋体" w:cs="Times New Roman"/>
      <w:color w:val="000000"/>
      <w:kern w:val="0"/>
    </w:rPr>
  </w:style>
  <w:style w:type="character" w:styleId="78">
    <w:name w:val="Hyperlink"/>
    <w:basedOn w:val="71"/>
    <w:autoRedefine/>
    <w:qFormat/>
    <w:uiPriority w:val="99"/>
    <w:rPr>
      <w:rFonts w:ascii="Calibri" w:hAnsi="Calibri" w:eastAsia="宋体" w:cs="Times New Roman"/>
      <w:color w:val="0000FF"/>
      <w:u w:val="single"/>
    </w:rPr>
  </w:style>
  <w:style w:type="character" w:styleId="79">
    <w:name w:val="HTML Code"/>
    <w:autoRedefine/>
    <w:qFormat/>
    <w:uiPriority w:val="0"/>
    <w:rPr>
      <w:rFonts w:ascii="Courier New" w:hAnsi="Courier New" w:eastAsia="Courier New" w:cs="Courier New"/>
      <w:color w:val="000000"/>
      <w:kern w:val="0"/>
      <w:sz w:val="20"/>
    </w:rPr>
  </w:style>
  <w:style w:type="character" w:styleId="80">
    <w:name w:val="annotation reference"/>
    <w:autoRedefine/>
    <w:qFormat/>
    <w:uiPriority w:val="0"/>
    <w:rPr>
      <w:rFonts w:ascii="Calibri" w:hAnsi="Calibri" w:eastAsia="宋体" w:cs="Times New Roman"/>
      <w:sz w:val="21"/>
      <w:szCs w:val="21"/>
    </w:rPr>
  </w:style>
  <w:style w:type="character" w:styleId="81">
    <w:name w:val="HTML Cite"/>
    <w:autoRedefine/>
    <w:qFormat/>
    <w:uiPriority w:val="0"/>
    <w:rPr>
      <w:rFonts w:ascii="Calibri" w:hAnsi="Calibri" w:eastAsia="宋体" w:cs="Times New Roman"/>
      <w:color w:val="000000"/>
      <w:kern w:val="0"/>
    </w:rPr>
  </w:style>
  <w:style w:type="character" w:styleId="82">
    <w:name w:val="HTML Keyboard"/>
    <w:autoRedefine/>
    <w:qFormat/>
    <w:uiPriority w:val="0"/>
    <w:rPr>
      <w:rFonts w:ascii="Courier New" w:hAnsi="Courier New" w:eastAsia="Courier New" w:cs="Courier New"/>
      <w:color w:val="000000"/>
      <w:kern w:val="0"/>
      <w:sz w:val="20"/>
    </w:rPr>
  </w:style>
  <w:style w:type="character" w:styleId="83">
    <w:name w:val="HTML Sample"/>
    <w:autoRedefine/>
    <w:qFormat/>
    <w:uiPriority w:val="0"/>
    <w:rPr>
      <w:rFonts w:ascii="Courier New" w:hAnsi="Courier New" w:eastAsia="Courier New" w:cs="Courier New"/>
      <w:color w:val="000000"/>
      <w:kern w:val="0"/>
    </w:rPr>
  </w:style>
  <w:style w:type="paragraph" w:customStyle="1" w:styleId="84">
    <w:name w:val="Default"/>
    <w:link w:val="137"/>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85">
    <w:name w:val="目录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86">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7">
    <w:name w:val="段"/>
    <w:next w:val="1"/>
    <w:autoRedefine/>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character" w:customStyle="1" w:styleId="88">
    <w:name w:val="正文文本 字符"/>
    <w:link w:val="28"/>
    <w:autoRedefine/>
    <w:qFormat/>
    <w:uiPriority w:val="0"/>
    <w:rPr>
      <w:rFonts w:ascii="宋体" w:hAnsi="宋体" w:eastAsia="宋体" w:cs="Times New Roman"/>
      <w:sz w:val="21"/>
      <w:szCs w:val="21"/>
    </w:rPr>
  </w:style>
  <w:style w:type="character" w:customStyle="1" w:styleId="89">
    <w:name w:val="标题 1 字符"/>
    <w:link w:val="2"/>
    <w:autoRedefine/>
    <w:qFormat/>
    <w:uiPriority w:val="0"/>
    <w:rPr>
      <w:rFonts w:ascii="Microsoft JhengHei" w:hAnsi="Microsoft JhengHei" w:eastAsia="Microsoft JhengHei" w:cs="Times New Roman"/>
      <w:b/>
      <w:bCs/>
      <w:sz w:val="44"/>
      <w:szCs w:val="44"/>
    </w:rPr>
  </w:style>
  <w:style w:type="character" w:customStyle="1" w:styleId="90">
    <w:name w:val="标题 2 字符"/>
    <w:link w:val="3"/>
    <w:autoRedefine/>
    <w:qFormat/>
    <w:uiPriority w:val="0"/>
    <w:rPr>
      <w:rFonts w:ascii="宋体" w:hAnsi="宋体" w:eastAsia="宋体" w:cs="Times New Roman"/>
      <w:b/>
      <w:sz w:val="44"/>
      <w:szCs w:val="44"/>
    </w:rPr>
  </w:style>
  <w:style w:type="character" w:customStyle="1" w:styleId="91">
    <w:name w:val="标题 3 字符"/>
    <w:link w:val="4"/>
    <w:autoRedefine/>
    <w:qFormat/>
    <w:uiPriority w:val="9"/>
    <w:rPr>
      <w:rFonts w:ascii="Microsoft JhengHei" w:hAnsi="Microsoft JhengHei" w:eastAsia="宋体" w:cs="Times New Roman"/>
      <w:b/>
      <w:bCs/>
      <w:sz w:val="30"/>
      <w:szCs w:val="32"/>
    </w:rPr>
  </w:style>
  <w:style w:type="character" w:customStyle="1" w:styleId="92">
    <w:name w:val="标题 4 字符"/>
    <w:link w:val="5"/>
    <w:autoRedefine/>
    <w:qFormat/>
    <w:uiPriority w:val="0"/>
    <w:rPr>
      <w:rFonts w:ascii="宋体" w:hAnsi="宋体" w:eastAsia="宋体" w:cs="Times New Roman"/>
      <w:sz w:val="28"/>
      <w:szCs w:val="28"/>
    </w:rPr>
  </w:style>
  <w:style w:type="character" w:customStyle="1" w:styleId="93">
    <w:name w:val="标题 5 字符"/>
    <w:link w:val="6"/>
    <w:autoRedefine/>
    <w:qFormat/>
    <w:uiPriority w:val="0"/>
    <w:rPr>
      <w:rFonts w:ascii="Times New Roman" w:hAnsi="Times New Roman" w:eastAsia="Times New Roman" w:cs="Times New Roman"/>
      <w:b/>
      <w:bCs/>
      <w:sz w:val="21"/>
      <w:szCs w:val="21"/>
    </w:rPr>
  </w:style>
  <w:style w:type="character" w:customStyle="1" w:styleId="94">
    <w:name w:val="标题 6 字符1"/>
    <w:link w:val="7"/>
    <w:autoRedefine/>
    <w:qFormat/>
    <w:uiPriority w:val="0"/>
    <w:rPr>
      <w:rFonts w:ascii="Helvetica" w:hAnsi="Helvetica" w:eastAsia="宋体" w:cs="Times New Roman"/>
      <w:position w:val="-6"/>
      <w:szCs w:val="20"/>
      <w:lang w:val="en-GB" w:eastAsia="zh-CN"/>
    </w:rPr>
  </w:style>
  <w:style w:type="character" w:customStyle="1" w:styleId="95">
    <w:name w:val="标题 7 字符1"/>
    <w:link w:val="8"/>
    <w:autoRedefine/>
    <w:qFormat/>
    <w:uiPriority w:val="0"/>
    <w:rPr>
      <w:rFonts w:ascii="Times New Roman" w:hAnsi="Times New Roman" w:eastAsia="宋体" w:cs="Times New Roman"/>
      <w:i/>
      <w:position w:val="-6"/>
      <w:szCs w:val="20"/>
      <w:lang w:val="en-GB" w:eastAsia="zh-CN"/>
    </w:rPr>
  </w:style>
  <w:style w:type="character" w:customStyle="1" w:styleId="96">
    <w:name w:val="标题 8 字符1"/>
    <w:link w:val="9"/>
    <w:autoRedefine/>
    <w:qFormat/>
    <w:uiPriority w:val="0"/>
    <w:rPr>
      <w:rFonts w:ascii="Times New Roman" w:hAnsi="Times New Roman" w:eastAsia="宋体" w:cs="Times New Roman"/>
      <w:i/>
      <w:position w:val="-6"/>
      <w:szCs w:val="20"/>
      <w:lang w:val="en-GB" w:eastAsia="zh-CN"/>
    </w:rPr>
  </w:style>
  <w:style w:type="character" w:customStyle="1" w:styleId="97">
    <w:name w:val="标题 9 字符1"/>
    <w:link w:val="10"/>
    <w:autoRedefine/>
    <w:qFormat/>
    <w:uiPriority w:val="0"/>
    <w:rPr>
      <w:rFonts w:ascii="Times New Roman" w:hAnsi="Times New Roman" w:eastAsia="宋体" w:cs="Times New Roman"/>
      <w:i/>
      <w:position w:val="-6"/>
      <w:szCs w:val="20"/>
      <w:lang w:val="en-GB" w:eastAsia="zh-CN"/>
    </w:rPr>
  </w:style>
  <w:style w:type="character" w:customStyle="1" w:styleId="98">
    <w:name w:val="正文缩进 字符"/>
    <w:link w:val="17"/>
    <w:autoRedefine/>
    <w:qFormat/>
    <w:uiPriority w:val="0"/>
    <w:rPr>
      <w:rFonts w:ascii="Calibri" w:hAnsi="Calibri" w:eastAsia="宋体" w:cs="Times New Roman"/>
      <w:kern w:val="2"/>
      <w:sz w:val="21"/>
      <w:szCs w:val="24"/>
    </w:rPr>
  </w:style>
  <w:style w:type="character" w:customStyle="1" w:styleId="99">
    <w:name w:val="文档结构图 字符"/>
    <w:link w:val="21"/>
    <w:autoRedefine/>
    <w:qFormat/>
    <w:uiPriority w:val="0"/>
    <w:rPr>
      <w:rFonts w:ascii="宋体" w:hAnsi="宋体" w:eastAsia="宋体" w:cs="Times New Roman"/>
      <w:bCs/>
      <w:spacing w:val="20"/>
      <w:kern w:val="21"/>
      <w:sz w:val="24"/>
      <w:shd w:val="clear" w:color="auto" w:fill="000080"/>
      <w:lang w:eastAsia="zh-CN"/>
    </w:rPr>
  </w:style>
  <w:style w:type="character" w:customStyle="1" w:styleId="100">
    <w:name w:val="批注文字 字符1"/>
    <w:link w:val="23"/>
    <w:autoRedefine/>
    <w:qFormat/>
    <w:uiPriority w:val="0"/>
    <w:rPr>
      <w:rFonts w:ascii="Calibri" w:hAnsi="Calibri" w:eastAsia="宋体" w:cs="Times New Roman"/>
    </w:rPr>
  </w:style>
  <w:style w:type="character" w:customStyle="1" w:styleId="101">
    <w:name w:val="称呼 字符"/>
    <w:link w:val="25"/>
    <w:autoRedefine/>
    <w:qFormat/>
    <w:uiPriority w:val="0"/>
    <w:rPr>
      <w:rFonts w:ascii="Times New Roman" w:hAnsi="Times New Roman" w:eastAsia="宋体" w:cs="Arial"/>
      <w:kern w:val="2"/>
      <w:sz w:val="28"/>
      <w:szCs w:val="20"/>
      <w:lang w:eastAsia="zh-CN"/>
    </w:rPr>
  </w:style>
  <w:style w:type="character" w:customStyle="1" w:styleId="102">
    <w:name w:val="正文文本 3 字符1"/>
    <w:link w:val="26"/>
    <w:autoRedefine/>
    <w:qFormat/>
    <w:uiPriority w:val="0"/>
    <w:rPr>
      <w:rFonts w:ascii="宋体" w:hAnsi="Calibri" w:eastAsia="宋体" w:cs="Times New Roman"/>
      <w:b/>
      <w:bCs/>
      <w:sz w:val="21"/>
      <w:lang w:eastAsia="zh-CN"/>
    </w:rPr>
  </w:style>
  <w:style w:type="character" w:customStyle="1" w:styleId="103">
    <w:name w:val="正文文本缩进 字符1"/>
    <w:link w:val="29"/>
    <w:autoRedefine/>
    <w:qFormat/>
    <w:uiPriority w:val="0"/>
    <w:rPr>
      <w:rFonts w:ascii="Arial" w:hAnsi="Arial" w:eastAsia="幼圆" w:cs="Times New Roman"/>
      <w:b/>
      <w:sz w:val="32"/>
      <w:lang w:eastAsia="zh-CN"/>
    </w:rPr>
  </w:style>
  <w:style w:type="character" w:customStyle="1" w:styleId="104">
    <w:name w:val="纯文本 字符1"/>
    <w:link w:val="36"/>
    <w:autoRedefine/>
    <w:qFormat/>
    <w:uiPriority w:val="0"/>
    <w:rPr>
      <w:rFonts w:ascii="宋体" w:hAnsi="Calibri" w:eastAsia="宋体" w:cs="Times New Roman"/>
      <w:kern w:val="2"/>
      <w:sz w:val="21"/>
      <w:lang w:eastAsia="zh-CN"/>
    </w:rPr>
  </w:style>
  <w:style w:type="character" w:customStyle="1" w:styleId="105">
    <w:name w:val="日期 字符1"/>
    <w:link w:val="40"/>
    <w:autoRedefine/>
    <w:qFormat/>
    <w:uiPriority w:val="0"/>
    <w:rPr>
      <w:rFonts w:ascii="Calibri" w:hAnsi="Calibri" w:eastAsia="宋体" w:cs="Times New Roman"/>
      <w:kern w:val="2"/>
      <w:sz w:val="28"/>
      <w:lang w:eastAsia="zh-CN"/>
    </w:rPr>
  </w:style>
  <w:style w:type="character" w:customStyle="1" w:styleId="106">
    <w:name w:val="正文文本缩进 2 字符"/>
    <w:link w:val="41"/>
    <w:autoRedefine/>
    <w:qFormat/>
    <w:uiPriority w:val="0"/>
    <w:rPr>
      <w:rFonts w:ascii="仿宋_GB2312" w:hAnsi="Arial" w:eastAsia="仿宋_GB2312" w:cs="Times New Roman"/>
      <w:sz w:val="24"/>
      <w:szCs w:val="20"/>
      <w:lang w:eastAsia="zh-CN"/>
    </w:rPr>
  </w:style>
  <w:style w:type="character" w:customStyle="1" w:styleId="107">
    <w:name w:val="尾注文本 字符"/>
    <w:link w:val="42"/>
    <w:autoRedefine/>
    <w:qFormat/>
    <w:uiPriority w:val="0"/>
    <w:rPr>
      <w:rFonts w:ascii="Times New Roman" w:hAnsi="Times New Roman" w:eastAsia="宋体" w:cs="Times New Roman"/>
      <w:sz w:val="24"/>
      <w:szCs w:val="20"/>
      <w:lang w:eastAsia="zh-CN"/>
    </w:rPr>
  </w:style>
  <w:style w:type="character" w:customStyle="1" w:styleId="108">
    <w:name w:val="批注框文本 字符1"/>
    <w:link w:val="43"/>
    <w:autoRedefine/>
    <w:qFormat/>
    <w:uiPriority w:val="0"/>
    <w:rPr>
      <w:rFonts w:ascii="Calibri" w:hAnsi="Calibri" w:eastAsia="宋体" w:cs="Times New Roman"/>
      <w:sz w:val="18"/>
      <w:szCs w:val="18"/>
    </w:rPr>
  </w:style>
  <w:style w:type="character" w:customStyle="1" w:styleId="109">
    <w:name w:val="页脚 字符"/>
    <w:link w:val="44"/>
    <w:autoRedefine/>
    <w:qFormat/>
    <w:uiPriority w:val="99"/>
    <w:rPr>
      <w:rFonts w:ascii="Calibri" w:hAnsi="Calibri" w:eastAsia="宋体" w:cs="Times New Roman"/>
      <w:sz w:val="18"/>
      <w:szCs w:val="18"/>
    </w:rPr>
  </w:style>
  <w:style w:type="character" w:customStyle="1" w:styleId="110">
    <w:name w:val="页眉 字符"/>
    <w:link w:val="45"/>
    <w:autoRedefine/>
    <w:qFormat/>
    <w:uiPriority w:val="0"/>
    <w:rPr>
      <w:rFonts w:ascii="Calibri" w:hAnsi="Calibri" w:eastAsia="宋体" w:cs="Times New Roman"/>
      <w:sz w:val="18"/>
      <w:szCs w:val="18"/>
    </w:rPr>
  </w:style>
  <w:style w:type="character" w:customStyle="1" w:styleId="111">
    <w:name w:val="脚注文本 字符"/>
    <w:link w:val="51"/>
    <w:autoRedefine/>
    <w:qFormat/>
    <w:uiPriority w:val="0"/>
    <w:rPr>
      <w:rFonts w:ascii="宋体" w:hAnsi="Times New Roman" w:eastAsia="宋体" w:cs="Times New Roman"/>
      <w:sz w:val="24"/>
      <w:szCs w:val="20"/>
      <w:lang w:eastAsia="zh-CN"/>
    </w:rPr>
  </w:style>
  <w:style w:type="character" w:customStyle="1" w:styleId="112">
    <w:name w:val="正文文本缩进 3 字符"/>
    <w:link w:val="53"/>
    <w:autoRedefine/>
    <w:qFormat/>
    <w:uiPriority w:val="0"/>
    <w:rPr>
      <w:rFonts w:ascii="Arial Narrow" w:hAnsi="Arial Narrow" w:eastAsia="幼圆" w:cs="Times New Roman"/>
      <w:sz w:val="24"/>
      <w:szCs w:val="20"/>
      <w:lang w:eastAsia="zh-CN"/>
    </w:rPr>
  </w:style>
  <w:style w:type="character" w:customStyle="1" w:styleId="113">
    <w:name w:val="正文文本 2 字符"/>
    <w:link w:val="58"/>
    <w:autoRedefine/>
    <w:qFormat/>
    <w:uiPriority w:val="0"/>
    <w:rPr>
      <w:rFonts w:ascii="宋体" w:hAnsi="宋体" w:eastAsia="宋体" w:cs="Times New Roman"/>
      <w:sz w:val="24"/>
      <w:szCs w:val="20"/>
      <w:lang w:eastAsia="zh-CN"/>
    </w:rPr>
  </w:style>
  <w:style w:type="character" w:customStyle="1" w:styleId="114">
    <w:name w:val="HTML 预设格式 字符1"/>
    <w:link w:val="60"/>
    <w:autoRedefine/>
    <w:qFormat/>
    <w:uiPriority w:val="0"/>
    <w:rPr>
      <w:rFonts w:ascii="Arial" w:hAnsi="Arial" w:eastAsia="宋体" w:cs="Arial"/>
      <w:sz w:val="21"/>
      <w:szCs w:val="21"/>
    </w:rPr>
  </w:style>
  <w:style w:type="character" w:customStyle="1" w:styleId="115">
    <w:name w:val="普通(网站) 字符"/>
    <w:link w:val="61"/>
    <w:autoRedefine/>
    <w:qFormat/>
    <w:uiPriority w:val="0"/>
    <w:rPr>
      <w:rFonts w:ascii="宋体" w:hAnsi="宋体" w:eastAsia="宋体" w:cs="宋体"/>
      <w:sz w:val="24"/>
      <w:szCs w:val="24"/>
    </w:rPr>
  </w:style>
  <w:style w:type="character" w:customStyle="1" w:styleId="116">
    <w:name w:val="标题 字符"/>
    <w:link w:val="63"/>
    <w:autoRedefine/>
    <w:qFormat/>
    <w:uiPriority w:val="0"/>
    <w:rPr>
      <w:rFonts w:ascii="Arial" w:hAnsi="Arial" w:eastAsia="宋体" w:cs="Arial"/>
      <w:b/>
      <w:bCs/>
      <w:sz w:val="32"/>
      <w:szCs w:val="32"/>
      <w:lang w:eastAsia="zh-CN"/>
    </w:rPr>
  </w:style>
  <w:style w:type="character" w:customStyle="1" w:styleId="117">
    <w:name w:val="批注主题 字符"/>
    <w:link w:val="64"/>
    <w:autoRedefine/>
    <w:qFormat/>
    <w:uiPriority w:val="0"/>
    <w:rPr>
      <w:rFonts w:ascii="Calibri" w:hAnsi="Calibri" w:eastAsia="宋体" w:cs="Times New Roman"/>
      <w:b/>
      <w:bCs/>
    </w:rPr>
  </w:style>
  <w:style w:type="character" w:customStyle="1" w:styleId="118">
    <w:name w:val="正文文本首行缩进 字符"/>
    <w:link w:val="65"/>
    <w:autoRedefine/>
    <w:qFormat/>
    <w:uiPriority w:val="0"/>
    <w:rPr>
      <w:rFonts w:ascii="Times New Roman" w:hAnsi="Times New Roman" w:eastAsia="宋体" w:cs="Times New Roman"/>
      <w:kern w:val="2"/>
      <w:sz w:val="21"/>
      <w:szCs w:val="24"/>
      <w:lang w:eastAsia="zh-CN"/>
    </w:rPr>
  </w:style>
  <w:style w:type="character" w:customStyle="1" w:styleId="119">
    <w:name w:val="正文文本首行缩进 2 字符"/>
    <w:link w:val="66"/>
    <w:autoRedefine/>
    <w:qFormat/>
    <w:uiPriority w:val="0"/>
    <w:rPr>
      <w:rFonts w:ascii="Times New Roman" w:hAnsi="Times New Roman" w:eastAsia="宋体" w:cs="Times New Roman"/>
      <w:kern w:val="2"/>
      <w:sz w:val="21"/>
      <w:szCs w:val="24"/>
      <w:lang w:eastAsia="zh-CN"/>
    </w:rPr>
  </w:style>
  <w:style w:type="character" w:customStyle="1" w:styleId="120">
    <w:name w:val="批注文字 Char1"/>
    <w:autoRedefine/>
    <w:qFormat/>
    <w:uiPriority w:val="0"/>
    <w:rPr>
      <w:rFonts w:ascii="Calibri" w:hAnsi="Calibri" w:eastAsia="宋体" w:cs="Times New Roman"/>
      <w:bCs/>
      <w:spacing w:val="20"/>
      <w:kern w:val="21"/>
      <w:sz w:val="24"/>
      <w:lang w:val="en-US" w:eastAsia="zh-CN" w:bidi="ar-SA"/>
    </w:rPr>
  </w:style>
  <w:style w:type="character" w:customStyle="1" w:styleId="121">
    <w:name w:val="批注框文本 字符"/>
    <w:autoRedefine/>
    <w:qFormat/>
    <w:uiPriority w:val="0"/>
    <w:rPr>
      <w:rFonts w:ascii="Calibri" w:hAnsi="Calibri" w:eastAsia="宋体" w:cs="Times New Roman"/>
      <w:sz w:val="18"/>
      <w:szCs w:val="18"/>
    </w:rPr>
  </w:style>
  <w:style w:type="character" w:customStyle="1" w:styleId="122">
    <w:name w:val="sidecatalog-index2"/>
    <w:autoRedefine/>
    <w:qFormat/>
    <w:uiPriority w:val="0"/>
    <w:rPr>
      <w:rFonts w:ascii="Arail" w:hAnsi="Arail" w:eastAsia="Arail" w:cs="Arail"/>
      <w:color w:val="999999"/>
      <w:kern w:val="0"/>
      <w:sz w:val="21"/>
      <w:szCs w:val="21"/>
    </w:rPr>
  </w:style>
  <w:style w:type="character" w:customStyle="1" w:styleId="123">
    <w:name w:val="标题 7 字符"/>
    <w:autoRedefine/>
    <w:qFormat/>
    <w:uiPriority w:val="0"/>
    <w:rPr>
      <w:rFonts w:ascii="Calibri" w:hAnsi="Calibri" w:eastAsia="宋体" w:cs="Times New Roman"/>
      <w:b/>
      <w:bCs/>
      <w:sz w:val="24"/>
      <w:szCs w:val="24"/>
    </w:rPr>
  </w:style>
  <w:style w:type="character" w:customStyle="1" w:styleId="124">
    <w:name w:val="H6 Char2"/>
    <w:autoRedefine/>
    <w:qFormat/>
    <w:uiPriority w:val="0"/>
    <w:rPr>
      <w:rFonts w:ascii="Helvetica" w:hAnsi="Helvetica" w:eastAsia="宋体" w:cs="Times New Roman"/>
      <w:b/>
      <w:i/>
      <w:position w:val="-6"/>
      <w:sz w:val="22"/>
      <w:lang w:val="en-GB"/>
    </w:rPr>
  </w:style>
  <w:style w:type="character" w:customStyle="1" w:styleId="125">
    <w:name w:val="页脚 Char1"/>
    <w:autoRedefine/>
    <w:qFormat/>
    <w:uiPriority w:val="0"/>
    <w:rPr>
      <w:rFonts w:ascii="Calibri" w:hAnsi="Calibri" w:eastAsia="宋体" w:cs="Times New Roman"/>
      <w:sz w:val="18"/>
      <w:szCs w:val="18"/>
    </w:rPr>
  </w:style>
  <w:style w:type="character" w:customStyle="1" w:styleId="126">
    <w:name w:val="polysemyred"/>
    <w:autoRedefine/>
    <w:qFormat/>
    <w:uiPriority w:val="0"/>
    <w:rPr>
      <w:rFonts w:ascii="Calibri" w:hAnsi="Calibri" w:eastAsia="宋体" w:cs="Times New Roman"/>
      <w:color w:val="FF6666"/>
      <w:kern w:val="0"/>
      <w:sz w:val="18"/>
      <w:szCs w:val="18"/>
    </w:rPr>
  </w:style>
  <w:style w:type="character" w:customStyle="1" w:styleId="127">
    <w:name w:val="正文文本 3 字符"/>
    <w:autoRedefine/>
    <w:qFormat/>
    <w:uiPriority w:val="0"/>
    <w:rPr>
      <w:rFonts w:ascii="Calibri" w:hAnsi="Calibri" w:eastAsia="宋体" w:cs="Times New Roman"/>
      <w:sz w:val="16"/>
      <w:szCs w:val="16"/>
    </w:rPr>
  </w:style>
  <w:style w:type="character" w:customStyle="1" w:styleId="128">
    <w:name w:val="Char Char14"/>
    <w:autoRedefine/>
    <w:qFormat/>
    <w:uiPriority w:val="0"/>
    <w:rPr>
      <w:rFonts w:ascii="Arial" w:hAnsi="Arial" w:eastAsia="黑体" w:cs="Times New Roman"/>
      <w:b/>
      <w:bCs/>
      <w:kern w:val="2"/>
      <w:sz w:val="32"/>
      <w:szCs w:val="32"/>
      <w:lang w:val="en-US" w:eastAsia="zh-CN" w:bidi="ar-SA"/>
    </w:rPr>
  </w:style>
  <w:style w:type="character" w:customStyle="1" w:styleId="129">
    <w:name w:val="Char Char7"/>
    <w:autoRedefine/>
    <w:qFormat/>
    <w:uiPriority w:val="0"/>
    <w:rPr>
      <w:rFonts w:ascii="Calibri" w:hAnsi="Calibri" w:eastAsia="宋体" w:cs="Times New Roman"/>
      <w:kern w:val="2"/>
      <w:sz w:val="18"/>
      <w:szCs w:val="18"/>
      <w:lang w:val="en-US" w:eastAsia="zh-CN" w:bidi="ar-SA"/>
    </w:rPr>
  </w:style>
  <w:style w:type="character" w:customStyle="1" w:styleId="130">
    <w:name w:val="页脚 Char2"/>
    <w:autoRedefine/>
    <w:qFormat/>
    <w:uiPriority w:val="0"/>
    <w:rPr>
      <w:rFonts w:ascii="Calibri" w:hAnsi="Calibri" w:eastAsia="宋体" w:cs="Times New Roman"/>
      <w:sz w:val="18"/>
      <w:szCs w:val="18"/>
    </w:rPr>
  </w:style>
  <w:style w:type="character" w:customStyle="1" w:styleId="131">
    <w:name w:val="未处理的提及2"/>
    <w:autoRedefine/>
    <w:qFormat/>
    <w:uiPriority w:val="0"/>
    <w:rPr>
      <w:rFonts w:ascii="Calibri" w:hAnsi="Calibri" w:eastAsia="宋体" w:cs="Times New Roman"/>
      <w:color w:val="808080"/>
      <w:shd w:val="clear" w:color="auto" w:fill="E6E6E6"/>
    </w:rPr>
  </w:style>
  <w:style w:type="character" w:customStyle="1" w:styleId="132">
    <w:name w:val="PIM 6 Char"/>
    <w:autoRedefine/>
    <w:qFormat/>
    <w:uiPriority w:val="0"/>
    <w:rPr>
      <w:rFonts w:ascii="Arial" w:hAnsi="Arial" w:eastAsia="黑体" w:cs="Times New Roman"/>
      <w:b/>
      <w:bCs/>
      <w:sz w:val="24"/>
      <w:szCs w:val="24"/>
    </w:rPr>
  </w:style>
  <w:style w:type="character" w:customStyle="1" w:styleId="133">
    <w:name w:val="标题 3 Char"/>
    <w:autoRedefine/>
    <w:qFormat/>
    <w:uiPriority w:val="0"/>
    <w:rPr>
      <w:rFonts w:ascii="Calibri" w:hAnsi="Calibri" w:eastAsia="宋体" w:cs="Times New Roman"/>
      <w:b/>
      <w:bCs/>
      <w:kern w:val="2"/>
      <w:sz w:val="32"/>
      <w:szCs w:val="32"/>
    </w:rPr>
  </w:style>
  <w:style w:type="character" w:customStyle="1" w:styleId="134">
    <w:name w:val="grame"/>
    <w:autoRedefine/>
    <w:qFormat/>
    <w:uiPriority w:val="0"/>
    <w:rPr>
      <w:rFonts w:cs="Times New Roman"/>
    </w:rPr>
  </w:style>
  <w:style w:type="character" w:customStyle="1" w:styleId="135">
    <w:name w:val="表格 Char"/>
    <w:link w:val="136"/>
    <w:autoRedefine/>
    <w:qFormat/>
    <w:uiPriority w:val="0"/>
    <w:rPr>
      <w:rFonts w:ascii="宋体" w:hAnsi="Times New Roman" w:eastAsia="宋体" w:cs="Times New Roman"/>
      <w:kern w:val="2"/>
      <w:sz w:val="24"/>
      <w:szCs w:val="18"/>
      <w:lang w:eastAsia="zh-CN"/>
    </w:rPr>
  </w:style>
  <w:style w:type="paragraph" w:customStyle="1" w:styleId="136">
    <w:name w:val="表格"/>
    <w:basedOn w:val="1"/>
    <w:link w:val="135"/>
    <w:autoRedefine/>
    <w:qFormat/>
    <w:uiPriority w:val="0"/>
    <w:pPr>
      <w:tabs>
        <w:tab w:val="left" w:pos="1200"/>
      </w:tabs>
      <w:spacing w:line="500" w:lineRule="exact"/>
      <w:jc w:val="center"/>
    </w:pPr>
    <w:rPr>
      <w:rFonts w:ascii="宋体" w:hAnsi="Times New Roman"/>
      <w:kern w:val="2"/>
      <w:sz w:val="24"/>
      <w:szCs w:val="18"/>
      <w:lang w:eastAsia="zh-CN"/>
    </w:rPr>
  </w:style>
  <w:style w:type="character" w:customStyle="1" w:styleId="137">
    <w:name w:val="Default Char"/>
    <w:link w:val="84"/>
    <w:autoRedefine/>
    <w:qFormat/>
    <w:uiPriority w:val="0"/>
    <w:rPr>
      <w:rFonts w:ascii="宋体" w:hAnsi="Calibri" w:eastAsia="宋体" w:cs="宋体"/>
      <w:color w:val="000000"/>
      <w:sz w:val="24"/>
      <w:szCs w:val="24"/>
      <w:lang w:eastAsia="zh-CN"/>
    </w:rPr>
  </w:style>
  <w:style w:type="character" w:customStyle="1" w:styleId="138">
    <w:name w:val="desc12"/>
    <w:autoRedefine/>
    <w:qFormat/>
    <w:uiPriority w:val="0"/>
    <w:rPr>
      <w:rFonts w:ascii="Calibri" w:hAnsi="Calibri" w:eastAsia="宋体" w:cs="Times New Roman"/>
      <w:color w:val="000000"/>
      <w:kern w:val="0"/>
      <w:sz w:val="18"/>
      <w:szCs w:val="18"/>
    </w:rPr>
  </w:style>
  <w:style w:type="character" w:customStyle="1" w:styleId="139">
    <w:name w:val="批注主题 Char"/>
    <w:autoRedefine/>
    <w:qFormat/>
    <w:uiPriority w:val="0"/>
    <w:rPr>
      <w:rFonts w:ascii="Calibri" w:hAnsi="Calibri" w:eastAsia="宋体" w:cs="Times New Roman"/>
      <w:b/>
      <w:bCs/>
      <w:kern w:val="2"/>
      <w:sz w:val="21"/>
      <w:szCs w:val="24"/>
    </w:rPr>
  </w:style>
  <w:style w:type="character" w:customStyle="1" w:styleId="140">
    <w:name w:val="页脚 Char"/>
    <w:autoRedefine/>
    <w:qFormat/>
    <w:uiPriority w:val="99"/>
    <w:rPr>
      <w:rFonts w:ascii="Calibri" w:hAnsi="Calibri" w:eastAsia="宋体" w:cs="Times New Roman"/>
      <w:kern w:val="2"/>
      <w:sz w:val="18"/>
      <w:szCs w:val="18"/>
    </w:rPr>
  </w:style>
  <w:style w:type="character" w:customStyle="1" w:styleId="141">
    <w:name w:val="纯文本 字符"/>
    <w:autoRedefine/>
    <w:qFormat/>
    <w:uiPriority w:val="0"/>
    <w:rPr>
      <w:rFonts w:ascii="宋体" w:hAnsi="Courier New" w:eastAsia="宋体" w:cs="Courier New"/>
    </w:rPr>
  </w:style>
  <w:style w:type="character" w:customStyle="1" w:styleId="142">
    <w:name w:val="bds_nopic2"/>
    <w:autoRedefine/>
    <w:qFormat/>
    <w:uiPriority w:val="0"/>
    <w:rPr>
      <w:rFonts w:ascii="Calibri" w:hAnsi="Calibri" w:eastAsia="宋体" w:cs="Times New Roman"/>
      <w:color w:val="000000"/>
      <w:kern w:val="0"/>
    </w:rPr>
  </w:style>
  <w:style w:type="character" w:customStyle="1" w:styleId="143">
    <w:name w:val="未处理的提及4"/>
    <w:autoRedefine/>
    <w:unhideWhenUsed/>
    <w:qFormat/>
    <w:uiPriority w:val="99"/>
    <w:rPr>
      <w:color w:val="605E5C"/>
      <w:shd w:val="clear" w:color="auto" w:fill="E1DFDD"/>
    </w:rPr>
  </w:style>
  <w:style w:type="character" w:customStyle="1" w:styleId="144">
    <w:name w:val="中等深浅网格 2 Char"/>
    <w:link w:val="145"/>
    <w:autoRedefine/>
    <w:qFormat/>
    <w:uiPriority w:val="0"/>
    <w:rPr>
      <w:rFonts w:ascii="Calibri" w:hAnsi="Calibri" w:eastAsia="宋体" w:cs="Times New Roman"/>
      <w:lang w:eastAsia="zh-CN"/>
    </w:rPr>
  </w:style>
  <w:style w:type="paragraph" w:customStyle="1" w:styleId="145">
    <w:name w:val="中等深浅网格 21"/>
    <w:link w:val="144"/>
    <w:autoRedefine/>
    <w:qFormat/>
    <w:uiPriority w:val="0"/>
    <w:rPr>
      <w:rFonts w:ascii="Calibri" w:hAnsi="Calibri" w:eastAsia="宋体" w:cs="Times New Roman"/>
      <w:sz w:val="22"/>
      <w:szCs w:val="22"/>
      <w:lang w:val="en-US" w:eastAsia="zh-CN" w:bidi="ar-SA"/>
    </w:rPr>
  </w:style>
  <w:style w:type="character" w:customStyle="1" w:styleId="146">
    <w:name w:val="日期 字符"/>
    <w:autoRedefine/>
    <w:qFormat/>
    <w:uiPriority w:val="0"/>
    <w:rPr>
      <w:rFonts w:ascii="Calibri" w:hAnsi="Calibri" w:eastAsia="宋体" w:cs="Times New Roman"/>
    </w:rPr>
  </w:style>
  <w:style w:type="character" w:customStyle="1" w:styleId="147">
    <w:name w:val="morelink-item"/>
    <w:autoRedefine/>
    <w:qFormat/>
    <w:uiPriority w:val="0"/>
    <w:rPr>
      <w:rFonts w:ascii="Calibri" w:hAnsi="Calibri" w:eastAsia="宋体" w:cs="Times New Roman"/>
      <w:color w:val="000000"/>
      <w:kern w:val="0"/>
    </w:rPr>
  </w:style>
  <w:style w:type="character" w:customStyle="1" w:styleId="148">
    <w:name w:val="Char Char9"/>
    <w:autoRedefine/>
    <w:qFormat/>
    <w:uiPriority w:val="0"/>
    <w:rPr>
      <w:rFonts w:ascii="宋体" w:hAnsi="宋体" w:eastAsia="宋体" w:cs="Times New Roman"/>
      <w:bCs/>
      <w:spacing w:val="20"/>
      <w:kern w:val="21"/>
      <w:sz w:val="24"/>
      <w:lang w:val="en-US" w:eastAsia="zh-CN" w:bidi="ar-SA"/>
    </w:rPr>
  </w:style>
  <w:style w:type="character" w:customStyle="1" w:styleId="149">
    <w:name w:val="Char Char Char Char Char Char Char Char Char Char Char Char Char Char Char Char Char"/>
    <w:link w:val="150"/>
    <w:autoRedefine/>
    <w:qFormat/>
    <w:uiPriority w:val="0"/>
    <w:rPr>
      <w:rFonts w:ascii="Verdana" w:hAnsi="Verdana" w:eastAsia="仿宋_GB2312" w:cs="Times New Roman"/>
      <w:sz w:val="24"/>
    </w:rPr>
  </w:style>
  <w:style w:type="paragraph" w:customStyle="1" w:styleId="150">
    <w:name w:val="Char Char Char Char Char Char Char Char Char Char Char Char Char Char Char Char1"/>
    <w:basedOn w:val="1"/>
    <w:link w:val="149"/>
    <w:autoRedefine/>
    <w:qFormat/>
    <w:uiPriority w:val="0"/>
    <w:pPr>
      <w:widowControl/>
      <w:spacing w:after="160" w:line="240" w:lineRule="exact"/>
    </w:pPr>
    <w:rPr>
      <w:rFonts w:ascii="Verdana" w:hAnsi="Verdana" w:eastAsia="仿宋_GB2312"/>
      <w:sz w:val="24"/>
    </w:rPr>
  </w:style>
  <w:style w:type="character" w:customStyle="1" w:styleId="151">
    <w:name w:val="未处理的提及1"/>
    <w:autoRedefine/>
    <w:qFormat/>
    <w:uiPriority w:val="0"/>
    <w:rPr>
      <w:rFonts w:ascii="Calibri" w:hAnsi="Calibri" w:eastAsia="宋体" w:cs="Times New Roman"/>
      <w:color w:val="808080"/>
      <w:shd w:val="clear" w:color="auto" w:fill="E6E6E6"/>
    </w:rPr>
  </w:style>
  <w:style w:type="character" w:customStyle="1" w:styleId="152">
    <w:name w:val="bds_more10"/>
    <w:autoRedefine/>
    <w:qFormat/>
    <w:uiPriority w:val="0"/>
    <w:rPr>
      <w:rFonts w:ascii="Calibri" w:hAnsi="Calibri" w:eastAsia="宋体" w:cs="Times New Roman"/>
      <w:color w:val="000000"/>
      <w:kern w:val="0"/>
    </w:rPr>
  </w:style>
  <w:style w:type="character" w:customStyle="1" w:styleId="153">
    <w:name w:val="font01"/>
    <w:autoRedefine/>
    <w:qFormat/>
    <w:uiPriority w:val="0"/>
    <w:rPr>
      <w:rFonts w:hint="eastAsia" w:ascii="宋体" w:hAnsi="宋体" w:eastAsia="宋体" w:cs="宋体"/>
      <w:color w:val="000000"/>
      <w:sz w:val="24"/>
      <w:szCs w:val="24"/>
      <w:u w:val="none"/>
    </w:rPr>
  </w:style>
  <w:style w:type="character" w:customStyle="1" w:styleId="154">
    <w:name w:val="lemmatitleh12"/>
    <w:autoRedefine/>
    <w:qFormat/>
    <w:uiPriority w:val="0"/>
    <w:rPr>
      <w:rFonts w:ascii="Calibri" w:hAnsi="Calibri" w:eastAsia="宋体" w:cs="Times New Roman"/>
      <w:color w:val="000000"/>
      <w:kern w:val="0"/>
    </w:rPr>
  </w:style>
  <w:style w:type="character" w:customStyle="1" w:styleId="155">
    <w:name w:val="Char Char16"/>
    <w:autoRedefine/>
    <w:qFormat/>
    <w:uiPriority w:val="0"/>
    <w:rPr>
      <w:rFonts w:ascii="Times New Roman" w:hAnsi="Times New Roman" w:eastAsia="宋体" w:cs="Times New Roman"/>
      <w:kern w:val="0"/>
      <w:sz w:val="24"/>
      <w:szCs w:val="20"/>
    </w:rPr>
  </w:style>
  <w:style w:type="character" w:customStyle="1" w:styleId="156">
    <w:name w:val="标题 1 Char"/>
    <w:autoRedefine/>
    <w:qFormat/>
    <w:uiPriority w:val="0"/>
    <w:rPr>
      <w:rFonts w:ascii="Calibri" w:hAnsi="Calibri" w:eastAsia="宋体" w:cs="Times New Roman"/>
      <w:b/>
      <w:bCs/>
      <w:kern w:val="44"/>
      <w:sz w:val="44"/>
      <w:szCs w:val="44"/>
    </w:rPr>
  </w:style>
  <w:style w:type="character" w:customStyle="1" w:styleId="157">
    <w:name w:val="页眉 Char2"/>
    <w:autoRedefine/>
    <w:qFormat/>
    <w:uiPriority w:val="0"/>
    <w:rPr>
      <w:rFonts w:ascii="Calibri" w:hAnsi="Calibri" w:eastAsia="宋体" w:cs="Times New Roman"/>
      <w:sz w:val="18"/>
      <w:szCs w:val="18"/>
    </w:rPr>
  </w:style>
  <w:style w:type="character" w:customStyle="1" w:styleId="158">
    <w:name w:val="纯文本 Char1"/>
    <w:autoRedefine/>
    <w:qFormat/>
    <w:uiPriority w:val="0"/>
    <w:rPr>
      <w:rFonts w:ascii="宋体" w:hAnsi="Courier New" w:eastAsia="宋体" w:cs="Courier New"/>
      <w:sz w:val="21"/>
      <w:szCs w:val="21"/>
    </w:rPr>
  </w:style>
  <w:style w:type="character" w:customStyle="1" w:styleId="159">
    <w:name w:val="不明显强调1"/>
    <w:autoRedefine/>
    <w:qFormat/>
    <w:uiPriority w:val="0"/>
    <w:rPr>
      <w:rFonts w:hint="eastAsia" w:ascii="仿宋_GB2312" w:hAnsi="Calibri" w:eastAsia="仿宋_GB2312" w:cs="Times New Roman"/>
      <w:iCs/>
      <w:color w:val="auto"/>
      <w:sz w:val="24"/>
    </w:rPr>
  </w:style>
  <w:style w:type="character" w:customStyle="1" w:styleId="160">
    <w:name w:val="标题 Char1"/>
    <w:autoRedefine/>
    <w:qFormat/>
    <w:uiPriority w:val="0"/>
    <w:rPr>
      <w:rFonts w:hint="default" w:ascii="Cambria" w:hAnsi="Cambria" w:eastAsia="宋体" w:cs="Times New Roman"/>
      <w:b/>
      <w:bCs/>
      <w:kern w:val="2"/>
      <w:sz w:val="32"/>
      <w:szCs w:val="32"/>
    </w:rPr>
  </w:style>
  <w:style w:type="character" w:customStyle="1" w:styleId="161">
    <w:name w:val="普通文字 Char Char"/>
    <w:autoRedefine/>
    <w:qFormat/>
    <w:uiPriority w:val="0"/>
    <w:rPr>
      <w:rFonts w:ascii="宋体" w:hAnsi="Calibri" w:eastAsia="宋体" w:cs="Times New Roman"/>
      <w:kern w:val="2"/>
      <w:sz w:val="21"/>
      <w:lang w:val="en-US" w:eastAsia="zh-CN" w:bidi="ar-SA"/>
    </w:rPr>
  </w:style>
  <w:style w:type="character" w:customStyle="1" w:styleId="162">
    <w:name w:val="font31"/>
    <w:basedOn w:val="71"/>
    <w:autoRedefine/>
    <w:qFormat/>
    <w:uiPriority w:val="0"/>
    <w:rPr>
      <w:rFonts w:hint="eastAsia" w:ascii="宋体" w:hAnsi="宋体" w:eastAsia="宋体" w:cs="宋体"/>
      <w:b/>
      <w:bCs/>
      <w:color w:val="000000"/>
      <w:sz w:val="20"/>
      <w:szCs w:val="20"/>
      <w:u w:val="none"/>
    </w:rPr>
  </w:style>
  <w:style w:type="character" w:customStyle="1" w:styleId="163">
    <w:name w:val="px141"/>
    <w:autoRedefine/>
    <w:qFormat/>
    <w:uiPriority w:val="0"/>
    <w:rPr>
      <w:rFonts w:hint="default" w:ascii="ˎ̥" w:hAnsi="ˎ̥" w:eastAsia="宋体" w:cs="Times New Roman"/>
      <w:sz w:val="21"/>
      <w:szCs w:val="21"/>
    </w:rPr>
  </w:style>
  <w:style w:type="character" w:customStyle="1" w:styleId="164">
    <w:name w:val="标题 9 字符"/>
    <w:autoRedefine/>
    <w:qFormat/>
    <w:uiPriority w:val="0"/>
    <w:rPr>
      <w:rFonts w:ascii="Cambria" w:hAnsi="Cambria" w:eastAsia="宋体" w:cs="Times New Roman"/>
      <w:sz w:val="21"/>
      <w:szCs w:val="21"/>
    </w:rPr>
  </w:style>
  <w:style w:type="character" w:customStyle="1" w:styleId="165">
    <w:name w:val="g Char Char1"/>
    <w:autoRedefine/>
    <w:qFormat/>
    <w:uiPriority w:val="0"/>
    <w:rPr>
      <w:rFonts w:ascii="Calibri" w:hAnsi="Calibri" w:eastAsia="宋体" w:cs="Times New Roman"/>
      <w:kern w:val="2"/>
      <w:sz w:val="18"/>
      <w:lang w:val="en-US" w:eastAsia="zh-CN" w:bidi="ar-SA"/>
    </w:rPr>
  </w:style>
  <w:style w:type="character" w:customStyle="1" w:styleId="166">
    <w:name w:val="HTML 预设格式 Char1"/>
    <w:autoRedefine/>
    <w:qFormat/>
    <w:uiPriority w:val="0"/>
    <w:rPr>
      <w:rFonts w:ascii="Courier New" w:hAnsi="Courier New" w:eastAsia="宋体" w:cs="Courier New"/>
      <w:sz w:val="20"/>
      <w:szCs w:val="20"/>
    </w:rPr>
  </w:style>
  <w:style w:type="character" w:customStyle="1" w:styleId="167">
    <w:name w:val="HTML 预设格式 字符"/>
    <w:autoRedefine/>
    <w:qFormat/>
    <w:uiPriority w:val="0"/>
    <w:rPr>
      <w:rFonts w:ascii="Courier New" w:hAnsi="Courier New" w:eastAsia="宋体" w:cs="Courier New"/>
      <w:sz w:val="20"/>
      <w:szCs w:val="20"/>
    </w:rPr>
  </w:style>
  <w:style w:type="character" w:customStyle="1" w:styleId="168">
    <w:name w:val="Char Char13"/>
    <w:autoRedefine/>
    <w:qFormat/>
    <w:uiPriority w:val="0"/>
    <w:rPr>
      <w:rFonts w:ascii="Calibri" w:hAnsi="Calibri" w:eastAsia="宋体" w:cs="Times New Roman"/>
      <w:b/>
      <w:bCs/>
      <w:sz w:val="32"/>
      <w:szCs w:val="32"/>
      <w:lang w:val="en-US" w:eastAsia="zh-CN" w:bidi="ar-SA"/>
    </w:rPr>
  </w:style>
  <w:style w:type="character" w:customStyle="1" w:styleId="169">
    <w:name w:val="Char Char151"/>
    <w:autoRedefine/>
    <w:qFormat/>
    <w:uiPriority w:val="0"/>
    <w:rPr>
      <w:rFonts w:ascii="Arial Narrow" w:hAnsi="Arial Narrow" w:eastAsia="宋体" w:cs="Times New Roman"/>
      <w:b/>
      <w:bCs/>
      <w:snapToGrid/>
      <w:sz w:val="28"/>
      <w:szCs w:val="44"/>
      <w:lang w:val="en-US" w:eastAsia="zh-CN" w:bidi="ar-SA"/>
    </w:rPr>
  </w:style>
  <w:style w:type="character" w:customStyle="1" w:styleId="170">
    <w:name w:val="标题 1.1 Char Char"/>
    <w:autoRedefine/>
    <w:qFormat/>
    <w:uiPriority w:val="0"/>
    <w:rPr>
      <w:rFonts w:ascii="Arial" w:hAnsi="Arial" w:eastAsia="黑体" w:cs="Times New Roman"/>
      <w:b/>
      <w:bCs/>
      <w:kern w:val="2"/>
      <w:sz w:val="28"/>
      <w:szCs w:val="32"/>
      <w:lang w:val="en-US" w:eastAsia="zh-CN" w:bidi="ar-SA"/>
    </w:rPr>
  </w:style>
  <w:style w:type="character" w:customStyle="1" w:styleId="171">
    <w:name w:val="文档结构图 Char"/>
    <w:autoRedefine/>
    <w:qFormat/>
    <w:uiPriority w:val="0"/>
    <w:rPr>
      <w:rFonts w:ascii="Calibri" w:hAnsi="Calibri" w:eastAsia="宋体" w:cs="Times New Roman"/>
      <w:kern w:val="2"/>
      <w:sz w:val="21"/>
      <w:szCs w:val="24"/>
      <w:shd w:val="clear" w:color="auto" w:fill="000080"/>
    </w:rPr>
  </w:style>
  <w:style w:type="character" w:customStyle="1" w:styleId="172">
    <w:name w:val="条标题1.1.1 Char"/>
    <w:autoRedefine/>
    <w:qFormat/>
    <w:uiPriority w:val="0"/>
    <w:rPr>
      <w:rFonts w:ascii="Times New Roman" w:hAnsi="Times New Roman" w:eastAsia="宋体" w:cs="Times New Roman"/>
      <w:b/>
      <w:bCs/>
      <w:kern w:val="0"/>
      <w:sz w:val="32"/>
      <w:szCs w:val="32"/>
    </w:rPr>
  </w:style>
  <w:style w:type="character" w:customStyle="1" w:styleId="173">
    <w:name w:val="Char Char3"/>
    <w:autoRedefine/>
    <w:qFormat/>
    <w:uiPriority w:val="0"/>
    <w:rPr>
      <w:rFonts w:ascii="宋体" w:hAnsi="Courier New" w:eastAsia="宋体" w:cs="Courier New"/>
      <w:kern w:val="2"/>
      <w:sz w:val="21"/>
      <w:szCs w:val="21"/>
      <w:lang w:val="en-US" w:eastAsia="zh-CN" w:bidi="ar-SA"/>
    </w:rPr>
  </w:style>
  <w:style w:type="character" w:customStyle="1" w:styleId="174">
    <w:name w:val="批注文字 字符"/>
    <w:autoRedefine/>
    <w:qFormat/>
    <w:uiPriority w:val="0"/>
    <w:rPr>
      <w:rFonts w:ascii="Calibri" w:hAnsi="Calibri" w:eastAsia="宋体" w:cs="Times New Roman"/>
    </w:rPr>
  </w:style>
  <w:style w:type="character" w:customStyle="1" w:styleId="175">
    <w:name w:val="标题 6 字符"/>
    <w:autoRedefine/>
    <w:qFormat/>
    <w:uiPriority w:val="0"/>
    <w:rPr>
      <w:rFonts w:ascii="Cambria" w:hAnsi="Cambria" w:eastAsia="宋体" w:cs="Times New Roman"/>
      <w:b/>
      <w:bCs/>
      <w:sz w:val="24"/>
      <w:szCs w:val="24"/>
    </w:rPr>
  </w:style>
  <w:style w:type="character" w:customStyle="1" w:styleId="176">
    <w:name w:val="bds_more7"/>
    <w:autoRedefine/>
    <w:qFormat/>
    <w:uiPriority w:val="0"/>
    <w:rPr>
      <w:rFonts w:hint="eastAsia" w:ascii="宋体" w:hAnsi="宋体" w:eastAsia="宋体" w:cs="宋体"/>
      <w:color w:val="000000"/>
      <w:kern w:val="0"/>
    </w:rPr>
  </w:style>
  <w:style w:type="character" w:customStyle="1" w:styleId="177">
    <w:name w:val="sort1"/>
    <w:autoRedefine/>
    <w:qFormat/>
    <w:uiPriority w:val="0"/>
    <w:rPr>
      <w:rFonts w:ascii="Calibri" w:hAnsi="Calibri" w:eastAsia="宋体" w:cs="Times New Roman"/>
      <w:color w:val="000000"/>
      <w:kern w:val="0"/>
    </w:rPr>
  </w:style>
  <w:style w:type="character" w:customStyle="1" w:styleId="178">
    <w:name w:val="g Char Char"/>
    <w:autoRedefine/>
    <w:qFormat/>
    <w:uiPriority w:val="0"/>
    <w:rPr>
      <w:rFonts w:ascii="Calibri" w:hAnsi="Calibri" w:eastAsia="宋体" w:cs="Times New Roman"/>
      <w:kern w:val="2"/>
      <w:sz w:val="18"/>
      <w:szCs w:val="18"/>
      <w:lang w:val="en-US" w:eastAsia="zh-CN" w:bidi="ar-SA"/>
    </w:rPr>
  </w:style>
  <w:style w:type="character" w:customStyle="1" w:styleId="179">
    <w:name w:val="font41"/>
    <w:autoRedefine/>
    <w:qFormat/>
    <w:uiPriority w:val="0"/>
    <w:rPr>
      <w:rFonts w:hint="eastAsia" w:ascii="宋体" w:hAnsi="宋体" w:eastAsia="宋体" w:cs="宋体"/>
      <w:color w:val="000000"/>
      <w:sz w:val="21"/>
      <w:szCs w:val="21"/>
      <w:u w:val="none"/>
    </w:rPr>
  </w:style>
  <w:style w:type="character" w:customStyle="1" w:styleId="180">
    <w:name w:val="批注文字 Char"/>
    <w:autoRedefine/>
    <w:qFormat/>
    <w:uiPriority w:val="0"/>
    <w:rPr>
      <w:rFonts w:ascii="Calibri" w:hAnsi="Calibri" w:eastAsia="宋体" w:cs="Times New Roman"/>
      <w:kern w:val="2"/>
      <w:sz w:val="21"/>
      <w:szCs w:val="24"/>
    </w:rPr>
  </w:style>
  <w:style w:type="character" w:customStyle="1" w:styleId="181">
    <w:name w:val="未处理的提及3"/>
    <w:autoRedefine/>
    <w:unhideWhenUsed/>
    <w:qFormat/>
    <w:uiPriority w:val="99"/>
    <w:rPr>
      <w:color w:val="605E5C"/>
      <w:shd w:val="clear" w:color="auto" w:fill="E1DFDD"/>
    </w:rPr>
  </w:style>
  <w:style w:type="character" w:customStyle="1" w:styleId="182">
    <w:name w:val="XW封面－日期 Char Char"/>
    <w:autoRedefine/>
    <w:qFormat/>
    <w:uiPriority w:val="0"/>
    <w:rPr>
      <w:rFonts w:ascii="Arial" w:hAnsi="Arial" w:eastAsia="幼圆" w:cs="Times New Roman"/>
      <w:b/>
      <w:kern w:val="0"/>
      <w:sz w:val="32"/>
      <w:szCs w:val="20"/>
    </w:rPr>
  </w:style>
  <w:style w:type="character" w:customStyle="1" w:styleId="183">
    <w:name w:val="sidecatalog-dot"/>
    <w:autoRedefine/>
    <w:qFormat/>
    <w:uiPriority w:val="0"/>
    <w:rPr>
      <w:rFonts w:ascii="Calibri" w:hAnsi="Calibri" w:eastAsia="宋体" w:cs="Times New Roman"/>
      <w:color w:val="000000"/>
      <w:kern w:val="0"/>
    </w:rPr>
  </w:style>
  <w:style w:type="character" w:customStyle="1" w:styleId="184">
    <w:name w:val="标题 Char"/>
    <w:autoRedefine/>
    <w:qFormat/>
    <w:uiPriority w:val="0"/>
    <w:rPr>
      <w:rFonts w:ascii="Calibri" w:hAnsi="Calibri" w:eastAsia="宋体" w:cs="Times New Roman"/>
      <w:b/>
      <w:kern w:val="2"/>
      <w:sz w:val="28"/>
      <w:szCs w:val="24"/>
      <w:lang w:val="en-US" w:eastAsia="zh-CN" w:bidi="ar-SA"/>
    </w:rPr>
  </w:style>
  <w:style w:type="character" w:customStyle="1" w:styleId="185">
    <w:name w:val="H4 Char1"/>
    <w:autoRedefine/>
    <w:qFormat/>
    <w:uiPriority w:val="0"/>
    <w:rPr>
      <w:rFonts w:ascii="宋体" w:hAnsi="Arial" w:eastAsia="宋体" w:cs="Times New Roman"/>
      <w:szCs w:val="20"/>
    </w:rPr>
  </w:style>
  <w:style w:type="character" w:customStyle="1" w:styleId="186">
    <w:name w:val="批注主题 Char1"/>
    <w:autoRedefine/>
    <w:qFormat/>
    <w:uiPriority w:val="0"/>
    <w:rPr>
      <w:rFonts w:ascii="Calibri" w:hAnsi="Calibri" w:eastAsia="宋体" w:cs="Times New Roman"/>
      <w:b/>
      <w:bCs/>
      <w:spacing w:val="20"/>
      <w:kern w:val="2"/>
      <w:sz w:val="21"/>
      <w:szCs w:val="24"/>
      <w:lang w:val="en-US" w:eastAsia="zh-CN" w:bidi="ar-SA"/>
    </w:rPr>
  </w:style>
  <w:style w:type="character" w:customStyle="1" w:styleId="187">
    <w:name w:val="文档结构图 Char2"/>
    <w:autoRedefine/>
    <w:qFormat/>
    <w:uiPriority w:val="0"/>
    <w:rPr>
      <w:rFonts w:ascii="Calibri" w:hAnsi="Calibri" w:eastAsia="宋体" w:cs="Times New Roman"/>
      <w:kern w:val="2"/>
      <w:sz w:val="21"/>
      <w:szCs w:val="24"/>
      <w:lang w:val="en-US" w:eastAsia="zh-CN" w:bidi="ar-SA"/>
    </w:rPr>
  </w:style>
  <w:style w:type="character" w:customStyle="1" w:styleId="188">
    <w:name w:val="无间隔 字符"/>
    <w:link w:val="189"/>
    <w:autoRedefine/>
    <w:qFormat/>
    <w:uiPriority w:val="0"/>
    <w:rPr>
      <w:rFonts w:ascii="Calibri" w:hAnsi="Calibri" w:eastAsia="宋体" w:cs="Times New Roman"/>
      <w:sz w:val="22"/>
      <w:szCs w:val="22"/>
      <w:lang w:val="en-US" w:eastAsia="zh-CN" w:bidi="ar-SA"/>
    </w:rPr>
  </w:style>
  <w:style w:type="paragraph" w:styleId="189">
    <w:name w:val="No Spacing"/>
    <w:link w:val="188"/>
    <w:autoRedefine/>
    <w:qFormat/>
    <w:uiPriority w:val="0"/>
    <w:pPr>
      <w:widowControl w:val="0"/>
    </w:pPr>
    <w:rPr>
      <w:rFonts w:ascii="Calibri" w:hAnsi="Calibri" w:eastAsia="宋体" w:cs="Times New Roman"/>
      <w:sz w:val="22"/>
      <w:szCs w:val="22"/>
      <w:lang w:val="en-US" w:eastAsia="zh-CN" w:bidi="ar-SA"/>
    </w:rPr>
  </w:style>
  <w:style w:type="character" w:customStyle="1" w:styleId="190">
    <w:name w:val="日期 Char"/>
    <w:autoRedefine/>
    <w:qFormat/>
    <w:uiPriority w:val="0"/>
    <w:rPr>
      <w:rFonts w:ascii="Calibri" w:hAnsi="Calibri" w:eastAsia="宋体" w:cs="Times New Roman"/>
      <w:kern w:val="2"/>
      <w:sz w:val="21"/>
      <w:szCs w:val="24"/>
    </w:rPr>
  </w:style>
  <w:style w:type="character" w:customStyle="1" w:styleId="191">
    <w:name w:val="标题 字符1"/>
    <w:autoRedefine/>
    <w:qFormat/>
    <w:uiPriority w:val="0"/>
    <w:rPr>
      <w:rFonts w:hint="eastAsia" w:ascii="等线 Light" w:hAnsi="等线 Light" w:eastAsia="等线 Light" w:cs="Times New Roman"/>
      <w:b/>
      <w:bCs/>
      <w:kern w:val="2"/>
      <w:sz w:val="32"/>
      <w:szCs w:val="32"/>
    </w:rPr>
  </w:style>
  <w:style w:type="character" w:customStyle="1" w:styleId="192">
    <w:name w:val="bds_more8"/>
    <w:autoRedefine/>
    <w:qFormat/>
    <w:uiPriority w:val="0"/>
    <w:rPr>
      <w:rFonts w:ascii="Calibri" w:hAnsi="Calibri" w:eastAsia="宋体" w:cs="Times New Roman"/>
      <w:color w:val="000000"/>
      <w:kern w:val="0"/>
    </w:rPr>
  </w:style>
  <w:style w:type="character" w:customStyle="1" w:styleId="193">
    <w:name w:val="MB1 Char"/>
    <w:autoRedefine/>
    <w:qFormat/>
    <w:uiPriority w:val="0"/>
    <w:rPr>
      <w:rFonts w:ascii="Arial Narrow" w:hAnsi="Arial Narrow" w:eastAsia="宋体" w:cs="Times New Roman"/>
      <w:b/>
      <w:bCs/>
      <w:snapToGrid/>
      <w:sz w:val="36"/>
      <w:szCs w:val="36"/>
      <w:lang w:val="en-US" w:eastAsia="zh-CN" w:bidi="ar-SA"/>
    </w:rPr>
  </w:style>
  <w:style w:type="character" w:customStyle="1" w:styleId="194">
    <w:name w:val="Char Char8"/>
    <w:autoRedefine/>
    <w:qFormat/>
    <w:uiPriority w:val="0"/>
    <w:rPr>
      <w:rFonts w:ascii="宋体" w:hAnsi="Calibri" w:eastAsia="宋体" w:cs="Times New Roman"/>
      <w:b/>
      <w:bCs/>
      <w:sz w:val="21"/>
      <w:lang w:val="en-US" w:eastAsia="zh-CN" w:bidi="ar-SA"/>
    </w:rPr>
  </w:style>
  <w:style w:type="character" w:customStyle="1" w:styleId="195">
    <w:name w:val="H4 Char2"/>
    <w:autoRedefine/>
    <w:qFormat/>
    <w:uiPriority w:val="0"/>
    <w:rPr>
      <w:rFonts w:ascii="宋体" w:hAnsi="Arial" w:eastAsia="宋体" w:cs="Times New Roman"/>
      <w:szCs w:val="20"/>
    </w:rPr>
  </w:style>
  <w:style w:type="character" w:customStyle="1" w:styleId="196">
    <w:name w:val="MB5 Char1"/>
    <w:autoRedefine/>
    <w:qFormat/>
    <w:uiPriority w:val="0"/>
    <w:rPr>
      <w:rFonts w:ascii="Times New Roman" w:hAnsi="Times New Roman" w:eastAsia="宋体" w:cs="Times New Roman"/>
      <w:position w:val="-6"/>
      <w:sz w:val="24"/>
      <w:lang w:val="en-GB"/>
    </w:rPr>
  </w:style>
  <w:style w:type="character" w:customStyle="1" w:styleId="197">
    <w:name w:val="apple-converted-space"/>
    <w:autoRedefine/>
    <w:qFormat/>
    <w:uiPriority w:val="0"/>
    <w:rPr>
      <w:rFonts w:ascii="Calibri" w:hAnsi="Calibri" w:eastAsia="宋体" w:cs="Times New Roman"/>
    </w:rPr>
  </w:style>
  <w:style w:type="character" w:customStyle="1" w:styleId="198">
    <w:name w:val="标题 8 字符"/>
    <w:autoRedefine/>
    <w:qFormat/>
    <w:uiPriority w:val="0"/>
    <w:rPr>
      <w:rFonts w:ascii="Cambria" w:hAnsi="Cambria" w:eastAsia="宋体" w:cs="Times New Roman"/>
      <w:sz w:val="24"/>
      <w:szCs w:val="24"/>
    </w:rPr>
  </w:style>
  <w:style w:type="character" w:customStyle="1" w:styleId="199">
    <w:name w:val="孙普文字 Char"/>
    <w:autoRedefine/>
    <w:qFormat/>
    <w:uiPriority w:val="0"/>
    <w:rPr>
      <w:rFonts w:ascii="宋体" w:hAnsi="Courier New" w:eastAsia="宋体" w:cs="Times New Roman"/>
      <w:szCs w:val="20"/>
    </w:rPr>
  </w:style>
  <w:style w:type="character" w:customStyle="1" w:styleId="200">
    <w:name w:val="Char Char20"/>
    <w:autoRedefine/>
    <w:qFormat/>
    <w:uiPriority w:val="0"/>
    <w:rPr>
      <w:rFonts w:ascii="楷体_GB2312" w:hAnsi="Calibri" w:eastAsia="楷体_GB2312" w:cs="Times New Roman"/>
      <w:b/>
      <w:kern w:val="2"/>
      <w:sz w:val="28"/>
      <w:lang w:val="en-US" w:eastAsia="zh-CN" w:bidi="ar-SA"/>
    </w:rPr>
  </w:style>
  <w:style w:type="character" w:customStyle="1" w:styleId="201">
    <w:name w:val="bds_nopic"/>
    <w:autoRedefine/>
    <w:qFormat/>
    <w:uiPriority w:val="0"/>
    <w:rPr>
      <w:rFonts w:ascii="Calibri" w:hAnsi="Calibri" w:eastAsia="宋体" w:cs="Times New Roman"/>
      <w:color w:val="000000"/>
      <w:kern w:val="0"/>
    </w:rPr>
  </w:style>
  <w:style w:type="character" w:customStyle="1" w:styleId="202">
    <w:name w:val="正文缩进 Char"/>
    <w:autoRedefine/>
    <w:qFormat/>
    <w:uiPriority w:val="0"/>
    <w:rPr>
      <w:rFonts w:ascii="Calibri" w:hAnsi="Calibri" w:eastAsia="宋体" w:cs="Times New Roman"/>
      <w:kern w:val="2"/>
      <w:sz w:val="21"/>
    </w:rPr>
  </w:style>
  <w:style w:type="character" w:customStyle="1" w:styleId="203">
    <w:name w:val="H6 Char1"/>
    <w:autoRedefine/>
    <w:qFormat/>
    <w:uiPriority w:val="0"/>
    <w:rPr>
      <w:rFonts w:ascii="Helvetica" w:hAnsi="Helvetica" w:eastAsia="宋体" w:cs="Times New Roman"/>
      <w:b/>
      <w:i/>
      <w:position w:val="-6"/>
      <w:sz w:val="22"/>
      <w:lang w:val="en-GB" w:eastAsia="zh-CN" w:bidi="ar-SA"/>
    </w:rPr>
  </w:style>
  <w:style w:type="character" w:customStyle="1" w:styleId="204">
    <w:name w:val="正文缩进 Char2"/>
    <w:autoRedefine/>
    <w:qFormat/>
    <w:uiPriority w:val="0"/>
    <w:rPr>
      <w:rFonts w:ascii="Calibri" w:hAnsi="Calibri" w:eastAsia="宋体" w:cs="Times New Roman"/>
      <w:kern w:val="2"/>
      <w:sz w:val="21"/>
    </w:rPr>
  </w:style>
  <w:style w:type="character" w:customStyle="1" w:styleId="205">
    <w:name w:val="Char Char10"/>
    <w:autoRedefine/>
    <w:qFormat/>
    <w:uiPriority w:val="0"/>
    <w:rPr>
      <w:rFonts w:ascii="Helvetica" w:hAnsi="Helvetica" w:eastAsia="宋体" w:cs="Times New Roman"/>
      <w:b/>
      <w:i/>
      <w:position w:val="-6"/>
      <w:sz w:val="22"/>
      <w:lang w:val="en-GB" w:eastAsia="zh-CN" w:bidi="ar-SA"/>
    </w:rPr>
  </w:style>
  <w:style w:type="character" w:customStyle="1" w:styleId="206">
    <w:name w:val="XW封面－日期 Char Char1"/>
    <w:autoRedefine/>
    <w:qFormat/>
    <w:uiPriority w:val="0"/>
    <w:rPr>
      <w:rFonts w:ascii="Times New Roman" w:hAnsi="Times New Roman" w:eastAsia="宋体" w:cs="Times New Roman"/>
      <w:sz w:val="28"/>
      <w:szCs w:val="20"/>
    </w:rPr>
  </w:style>
  <w:style w:type="character" w:customStyle="1" w:styleId="207">
    <w:name w:val="列表段落 字符"/>
    <w:link w:val="208"/>
    <w:autoRedefine/>
    <w:qFormat/>
    <w:uiPriority w:val="34"/>
    <w:rPr>
      <w:rFonts w:ascii="Calibri" w:hAnsi="Calibri" w:eastAsia="宋体" w:cs="Times New Roman"/>
      <w:sz w:val="22"/>
      <w:szCs w:val="22"/>
      <w:lang w:eastAsia="en-US"/>
    </w:rPr>
  </w:style>
  <w:style w:type="paragraph" w:styleId="208">
    <w:name w:val="List Paragraph"/>
    <w:basedOn w:val="1"/>
    <w:link w:val="207"/>
    <w:autoRedefine/>
    <w:qFormat/>
    <w:uiPriority w:val="34"/>
  </w:style>
  <w:style w:type="character" w:customStyle="1" w:styleId="209">
    <w:name w:val="bds_more6"/>
    <w:autoRedefine/>
    <w:qFormat/>
    <w:uiPriority w:val="0"/>
    <w:rPr>
      <w:rFonts w:ascii="Calibri" w:hAnsi="Calibri" w:eastAsia="宋体" w:cs="Times New Roman"/>
      <w:color w:val="000000"/>
      <w:kern w:val="0"/>
    </w:rPr>
  </w:style>
  <w:style w:type="character" w:customStyle="1" w:styleId="210">
    <w:name w:val="Char Char141"/>
    <w:autoRedefine/>
    <w:qFormat/>
    <w:uiPriority w:val="0"/>
    <w:rPr>
      <w:rFonts w:ascii="Arial" w:hAnsi="Arial" w:eastAsia="黑体" w:cs="Times New Roman"/>
      <w:b/>
      <w:bCs/>
      <w:kern w:val="2"/>
      <w:sz w:val="32"/>
      <w:szCs w:val="32"/>
      <w:lang w:val="en-US" w:eastAsia="zh-CN" w:bidi="ar-SA"/>
    </w:rPr>
  </w:style>
  <w:style w:type="character" w:customStyle="1" w:styleId="211">
    <w:name w:val="批注框文本 Char"/>
    <w:autoRedefine/>
    <w:qFormat/>
    <w:uiPriority w:val="0"/>
    <w:rPr>
      <w:rFonts w:ascii="Calibri" w:hAnsi="Calibri" w:eastAsia="宋体" w:cs="Times New Roman"/>
      <w:kern w:val="2"/>
      <w:sz w:val="18"/>
      <w:szCs w:val="18"/>
    </w:rPr>
  </w:style>
  <w:style w:type="character" w:customStyle="1" w:styleId="212">
    <w:name w:val="Char Char2"/>
    <w:autoRedefine/>
    <w:qFormat/>
    <w:uiPriority w:val="0"/>
    <w:rPr>
      <w:rFonts w:ascii="宋体" w:hAnsi="宋体" w:eastAsia="宋体" w:cs="Times New Roman"/>
      <w:kern w:val="2"/>
      <w:sz w:val="28"/>
      <w:lang w:val="en-US" w:eastAsia="zh-CN" w:bidi="ar-SA"/>
    </w:rPr>
  </w:style>
  <w:style w:type="character" w:customStyle="1" w:styleId="213">
    <w:name w:val="Char Char15"/>
    <w:autoRedefine/>
    <w:qFormat/>
    <w:uiPriority w:val="0"/>
    <w:rPr>
      <w:rFonts w:ascii="Arial Narrow" w:hAnsi="Arial Narrow" w:eastAsia="宋体" w:cs="Times New Roman"/>
      <w:b/>
      <w:bCs/>
      <w:snapToGrid/>
      <w:sz w:val="28"/>
      <w:szCs w:val="44"/>
      <w:lang w:val="en-US" w:eastAsia="zh-CN" w:bidi="ar-SA"/>
    </w:rPr>
  </w:style>
  <w:style w:type="character" w:customStyle="1" w:styleId="214">
    <w:name w:val="标题 1.1 Char"/>
    <w:autoRedefine/>
    <w:qFormat/>
    <w:uiPriority w:val="0"/>
    <w:rPr>
      <w:rFonts w:ascii="Arial" w:hAnsi="Arial" w:eastAsia="黑体" w:cs="Times New Roman"/>
      <w:b/>
      <w:bCs/>
      <w:kern w:val="2"/>
      <w:sz w:val="28"/>
      <w:szCs w:val="32"/>
      <w:lang w:val="en-US" w:eastAsia="zh-CN" w:bidi="ar-SA"/>
    </w:rPr>
  </w:style>
  <w:style w:type="character" w:customStyle="1" w:styleId="215">
    <w:name w:val="sort"/>
    <w:autoRedefine/>
    <w:qFormat/>
    <w:uiPriority w:val="0"/>
    <w:rPr>
      <w:rFonts w:ascii="Calibri" w:hAnsi="Calibri" w:eastAsia="宋体" w:cs="Times New Roman"/>
      <w:color w:val="FFFFFF"/>
      <w:kern w:val="0"/>
      <w:bdr w:val="single" w:color="auto" w:sz="24" w:space="0"/>
    </w:rPr>
  </w:style>
  <w:style w:type="character" w:customStyle="1" w:styleId="216">
    <w:name w:val="正文文本缩进 字符"/>
    <w:autoRedefine/>
    <w:qFormat/>
    <w:uiPriority w:val="0"/>
    <w:rPr>
      <w:rFonts w:ascii="Calibri" w:hAnsi="Calibri" w:eastAsia="宋体" w:cs="Times New Roman"/>
    </w:rPr>
  </w:style>
  <w:style w:type="character" w:customStyle="1" w:styleId="217">
    <w:name w:val="页眉 Char1"/>
    <w:autoRedefine/>
    <w:qFormat/>
    <w:uiPriority w:val="0"/>
    <w:rPr>
      <w:rFonts w:ascii="Calibri" w:hAnsi="Calibri" w:eastAsia="宋体" w:cs="Times New Roman"/>
      <w:sz w:val="18"/>
      <w:lang w:val="en-US" w:eastAsia="zh-CN" w:bidi="ar-SA"/>
    </w:rPr>
  </w:style>
  <w:style w:type="character" w:customStyle="1" w:styleId="218">
    <w:name w:val="正文文本缩进 Char1"/>
    <w:autoRedefine/>
    <w:qFormat/>
    <w:uiPriority w:val="0"/>
    <w:rPr>
      <w:rFonts w:ascii="Calibri" w:hAnsi="Calibri" w:eastAsia="宋体" w:cs="Times New Roman"/>
    </w:rPr>
  </w:style>
  <w:style w:type="character" w:customStyle="1" w:styleId="219">
    <w:name w:val="批注框文本 Char1"/>
    <w:autoRedefine/>
    <w:qFormat/>
    <w:uiPriority w:val="0"/>
    <w:rPr>
      <w:rFonts w:ascii="Calibri" w:hAnsi="Calibri" w:eastAsia="宋体" w:cs="Times New Roman"/>
      <w:sz w:val="18"/>
      <w:szCs w:val="18"/>
      <w:lang w:val="en-US" w:eastAsia="zh-CN" w:bidi="ar-SA"/>
    </w:rPr>
  </w:style>
  <w:style w:type="character" w:customStyle="1" w:styleId="220">
    <w:name w:val="Char Char12"/>
    <w:autoRedefine/>
    <w:qFormat/>
    <w:uiPriority w:val="0"/>
    <w:rPr>
      <w:rFonts w:ascii="宋体" w:hAnsi="Arial" w:eastAsia="宋体" w:cs="Times New Roman"/>
      <w:kern w:val="2"/>
      <w:sz w:val="21"/>
      <w:lang w:val="en-US" w:eastAsia="zh-CN" w:bidi="ar-SA"/>
    </w:rPr>
  </w:style>
  <w:style w:type="character" w:customStyle="1" w:styleId="221">
    <w:name w:val="p121"/>
    <w:autoRedefine/>
    <w:qFormat/>
    <w:uiPriority w:val="0"/>
    <w:rPr>
      <w:rFonts w:hint="default" w:ascii="Calibri" w:hAnsi="Calibri" w:eastAsia="宋体" w:cs="Times New Roman"/>
      <w:sz w:val="24"/>
      <w:szCs w:val="24"/>
      <w:u w:val="none"/>
    </w:rPr>
  </w:style>
  <w:style w:type="character" w:customStyle="1" w:styleId="222">
    <w:name w:val="H3 Char"/>
    <w:autoRedefine/>
    <w:qFormat/>
    <w:uiPriority w:val="0"/>
    <w:rPr>
      <w:rFonts w:ascii="黑体" w:hAnsi="宋体" w:eastAsia="黑体" w:cs="Arial"/>
      <w:color w:val="000000"/>
      <w:kern w:val="24"/>
      <w:sz w:val="28"/>
      <w:szCs w:val="28"/>
      <w:lang w:val="sv-SE"/>
    </w:rPr>
  </w:style>
  <w:style w:type="character" w:customStyle="1" w:styleId="223">
    <w:name w:val="文档结构图 Char1"/>
    <w:autoRedefine/>
    <w:qFormat/>
    <w:uiPriority w:val="0"/>
    <w:rPr>
      <w:rFonts w:ascii="宋体" w:hAnsi="Calibri" w:eastAsia="宋体" w:cs="Times New Roman"/>
      <w:sz w:val="18"/>
      <w:szCs w:val="18"/>
    </w:rPr>
  </w:style>
  <w:style w:type="character" w:customStyle="1" w:styleId="224">
    <w:name w:val="普通文字 Char Char2"/>
    <w:autoRedefine/>
    <w:qFormat/>
    <w:uiPriority w:val="0"/>
    <w:rPr>
      <w:rFonts w:ascii="宋体" w:hAnsi="Courier New" w:eastAsia="宋体" w:cs="Courier New"/>
      <w:kern w:val="0"/>
      <w:szCs w:val="21"/>
    </w:rPr>
  </w:style>
  <w:style w:type="character" w:customStyle="1" w:styleId="225">
    <w:name w:val="公式 Char Char Char"/>
    <w:autoRedefine/>
    <w:qFormat/>
    <w:uiPriority w:val="0"/>
    <w:rPr>
      <w:rFonts w:ascii="华文细黑" w:hAnsi="华文细黑" w:eastAsia="华文细黑" w:cs="Arial"/>
      <w:color w:val="000000"/>
      <w:sz w:val="30"/>
      <w:szCs w:val="28"/>
      <w:lang w:val="en-US" w:eastAsia="zh-CN" w:bidi="ar-SA"/>
    </w:rPr>
  </w:style>
  <w:style w:type="character" w:customStyle="1" w:styleId="226">
    <w:name w:val="编号  ww Char"/>
    <w:autoRedefine/>
    <w:qFormat/>
    <w:uiPriority w:val="0"/>
    <w:rPr>
      <w:rFonts w:ascii="Arial" w:hAnsi="Arial" w:eastAsia="黑体" w:cs="Times New Roman"/>
      <w:b/>
      <w:bCs/>
      <w:sz w:val="28"/>
      <w:szCs w:val="28"/>
    </w:rPr>
  </w:style>
  <w:style w:type="character" w:customStyle="1" w:styleId="227">
    <w:name w:val="Char Char Char Char Char Char Char Char Char Char Char Char Char Char Char Char Char1"/>
    <w:autoRedefine/>
    <w:qFormat/>
    <w:uiPriority w:val="0"/>
    <w:rPr>
      <w:rFonts w:ascii="Verdana" w:hAnsi="Verdana" w:eastAsia="仿宋_GB2312" w:cs="Times New Roman"/>
      <w:sz w:val="24"/>
      <w:lang w:eastAsia="en-US"/>
    </w:rPr>
  </w:style>
  <w:style w:type="character" w:customStyle="1" w:styleId="228">
    <w:name w:val="MB5 Char"/>
    <w:autoRedefine/>
    <w:qFormat/>
    <w:uiPriority w:val="0"/>
    <w:rPr>
      <w:rFonts w:ascii="Calibri" w:hAnsi="Calibri" w:eastAsia="宋体" w:cs="Times New Roman"/>
      <w:position w:val="-6"/>
      <w:sz w:val="24"/>
      <w:lang w:val="en-GB" w:eastAsia="zh-CN" w:bidi="ar-SA"/>
    </w:rPr>
  </w:style>
  <w:style w:type="character" w:customStyle="1" w:styleId="229">
    <w:name w:val="bds_nopic1"/>
    <w:autoRedefine/>
    <w:qFormat/>
    <w:uiPriority w:val="0"/>
    <w:rPr>
      <w:rFonts w:ascii="Calibri" w:hAnsi="Calibri" w:eastAsia="宋体" w:cs="Times New Roman"/>
      <w:color w:val="000000"/>
      <w:kern w:val="0"/>
    </w:rPr>
  </w:style>
  <w:style w:type="character" w:customStyle="1" w:styleId="230">
    <w:name w:val="GEDI正文样式 Char"/>
    <w:link w:val="231"/>
    <w:autoRedefine/>
    <w:qFormat/>
    <w:uiPriority w:val="0"/>
    <w:rPr>
      <w:rFonts w:ascii="Times New Roman" w:hAnsi="Times New Roman" w:eastAsia="宋体" w:cs="Times New Roman"/>
      <w:kern w:val="2"/>
      <w:sz w:val="21"/>
      <w:szCs w:val="24"/>
      <w:lang w:eastAsia="zh-CN"/>
    </w:rPr>
  </w:style>
  <w:style w:type="paragraph" w:customStyle="1" w:styleId="231">
    <w:name w:val="GEDI正文样式"/>
    <w:basedOn w:val="1"/>
    <w:link w:val="230"/>
    <w:autoRedefine/>
    <w:qFormat/>
    <w:uiPriority w:val="0"/>
    <w:pPr>
      <w:adjustRightInd w:val="0"/>
      <w:snapToGrid w:val="0"/>
      <w:spacing w:line="480" w:lineRule="atLeast"/>
      <w:ind w:firstLine="480" w:firstLineChars="200"/>
      <w:jc w:val="both"/>
    </w:pPr>
    <w:rPr>
      <w:rFonts w:ascii="Times New Roman" w:hAnsi="Times New Roman"/>
      <w:kern w:val="2"/>
      <w:sz w:val="21"/>
      <w:szCs w:val="24"/>
      <w:lang w:eastAsia="zh-CN"/>
    </w:rPr>
  </w:style>
  <w:style w:type="character" w:customStyle="1" w:styleId="232">
    <w:name w:val="图表名 Char"/>
    <w:link w:val="233"/>
    <w:autoRedefine/>
    <w:qFormat/>
    <w:uiPriority w:val="0"/>
    <w:rPr>
      <w:rFonts w:ascii="宋体" w:hAnsi="宋体" w:eastAsia="宋体" w:cs="Times New Roman"/>
      <w:sz w:val="28"/>
      <w:szCs w:val="28"/>
    </w:rPr>
  </w:style>
  <w:style w:type="paragraph" w:customStyle="1" w:styleId="233">
    <w:name w:val="图表名"/>
    <w:basedOn w:val="1"/>
    <w:next w:val="1"/>
    <w:link w:val="232"/>
    <w:autoRedefine/>
    <w:qFormat/>
    <w:uiPriority w:val="0"/>
    <w:pPr>
      <w:tabs>
        <w:tab w:val="left" w:pos="770"/>
        <w:tab w:val="left" w:pos="4660"/>
      </w:tabs>
      <w:adjustRightInd w:val="0"/>
      <w:snapToGrid w:val="0"/>
      <w:spacing w:line="360" w:lineRule="auto"/>
      <w:jc w:val="center"/>
    </w:pPr>
    <w:rPr>
      <w:rFonts w:ascii="宋体" w:hAnsi="宋体"/>
      <w:sz w:val="28"/>
      <w:szCs w:val="28"/>
    </w:rPr>
  </w:style>
  <w:style w:type="character" w:customStyle="1" w:styleId="234">
    <w:name w:val="样式 标题 1TITRE1章节合同标题H1h1Section Head1st levell1H11H12H... Char"/>
    <w:link w:val="235"/>
    <w:autoRedefine/>
    <w:qFormat/>
    <w:uiPriority w:val="0"/>
    <w:rPr>
      <w:rFonts w:ascii="Arial" w:hAnsi="Arial" w:eastAsia="宋体" w:cs="Times New Roman"/>
      <w:b/>
      <w:bCs/>
      <w:kern w:val="44"/>
      <w:sz w:val="30"/>
      <w:szCs w:val="44"/>
      <w:lang w:eastAsia="zh-CN"/>
    </w:rPr>
  </w:style>
  <w:style w:type="paragraph" w:customStyle="1" w:styleId="235">
    <w:name w:val="样式 标题 1TITRE1章节合同标题H1h1Section Head1st levell1H11H12H..."/>
    <w:basedOn w:val="2"/>
    <w:link w:val="234"/>
    <w:autoRedefine/>
    <w:qFormat/>
    <w:uiPriority w:val="0"/>
    <w:pPr>
      <w:keepNext/>
      <w:keepLines/>
      <w:spacing w:before="340" w:after="330" w:line="576" w:lineRule="auto"/>
      <w:ind w:left="0"/>
      <w:jc w:val="both"/>
    </w:pPr>
    <w:rPr>
      <w:rFonts w:ascii="Arial" w:hAnsi="Arial" w:eastAsia="宋体"/>
      <w:kern w:val="44"/>
      <w:sz w:val="30"/>
      <w:lang w:eastAsia="zh-CN"/>
    </w:rPr>
  </w:style>
  <w:style w:type="character" w:customStyle="1" w:styleId="236">
    <w:name w:val="正文文本 Char"/>
    <w:autoRedefine/>
    <w:qFormat/>
    <w:uiPriority w:val="0"/>
    <w:rPr>
      <w:rFonts w:ascii="Calibri" w:hAnsi="Calibri" w:eastAsia="宋体" w:cs="Times New Roman"/>
      <w:kern w:val="2"/>
      <w:sz w:val="21"/>
      <w:szCs w:val="24"/>
    </w:rPr>
  </w:style>
  <w:style w:type="character" w:customStyle="1" w:styleId="237">
    <w:name w:val="sidecatalog-index1"/>
    <w:autoRedefine/>
    <w:qFormat/>
    <w:uiPriority w:val="0"/>
    <w:rPr>
      <w:rFonts w:ascii="Arial" w:hAnsi="Arial" w:eastAsia="宋体" w:cs="Arial"/>
      <w:b/>
      <w:color w:val="999999"/>
      <w:kern w:val="0"/>
      <w:sz w:val="21"/>
      <w:szCs w:val="21"/>
    </w:rPr>
  </w:style>
  <w:style w:type="character" w:customStyle="1" w:styleId="238">
    <w:name w:val="正文文本缩进 Char"/>
    <w:autoRedefine/>
    <w:qFormat/>
    <w:uiPriority w:val="0"/>
    <w:rPr>
      <w:rFonts w:ascii="Calibri" w:hAnsi="Calibri" w:eastAsia="宋体" w:cs="Times New Roman"/>
      <w:kern w:val="2"/>
      <w:sz w:val="28"/>
      <w:szCs w:val="24"/>
    </w:rPr>
  </w:style>
  <w:style w:type="character" w:customStyle="1" w:styleId="239">
    <w:name w:val="H5 Char"/>
    <w:autoRedefine/>
    <w:qFormat/>
    <w:uiPriority w:val="0"/>
    <w:rPr>
      <w:rFonts w:ascii="Times New Roman" w:hAnsi="Times New Roman" w:eastAsia="宋体" w:cs="Times New Roman"/>
      <w:b/>
      <w:bCs/>
      <w:sz w:val="28"/>
      <w:szCs w:val="28"/>
    </w:rPr>
  </w:style>
  <w:style w:type="character" w:customStyle="1" w:styleId="240">
    <w:name w:val="black1"/>
    <w:autoRedefine/>
    <w:qFormat/>
    <w:uiPriority w:val="0"/>
    <w:rPr>
      <w:rFonts w:hint="default" w:ascii="ˎ̥" w:hAnsi="ˎ̥" w:eastAsia="宋体" w:cs="Times New Roman"/>
      <w:color w:val="333333"/>
      <w:sz w:val="18"/>
      <w:szCs w:val="18"/>
      <w:u w:val="none"/>
    </w:rPr>
  </w:style>
  <w:style w:type="character" w:customStyle="1" w:styleId="241">
    <w:name w:val="polysemyexp"/>
    <w:autoRedefine/>
    <w:qFormat/>
    <w:uiPriority w:val="0"/>
    <w:rPr>
      <w:rFonts w:ascii="Calibri" w:hAnsi="Calibri" w:eastAsia="宋体" w:cs="Times New Roman"/>
      <w:color w:val="AAAAAA"/>
      <w:kern w:val="0"/>
      <w:sz w:val="18"/>
      <w:szCs w:val="18"/>
    </w:rPr>
  </w:style>
  <w:style w:type="character" w:customStyle="1" w:styleId="242">
    <w:name w:val="Char Char17"/>
    <w:autoRedefine/>
    <w:qFormat/>
    <w:uiPriority w:val="0"/>
    <w:rPr>
      <w:rFonts w:ascii="Times New Roman" w:hAnsi="Times New Roman" w:eastAsia="宋体" w:cs="Times New Roman"/>
      <w:kern w:val="0"/>
      <w:sz w:val="18"/>
      <w:szCs w:val="20"/>
    </w:rPr>
  </w:style>
  <w:style w:type="character" w:customStyle="1" w:styleId="243">
    <w:name w:val="正文文本 Char1"/>
    <w:autoRedefine/>
    <w:qFormat/>
    <w:uiPriority w:val="0"/>
    <w:rPr>
      <w:rFonts w:ascii="Calibri" w:hAnsi="Calibri" w:eastAsia="宋体" w:cs="Times New Roman"/>
      <w:kern w:val="2"/>
      <w:sz w:val="21"/>
      <w:szCs w:val="24"/>
    </w:rPr>
  </w:style>
  <w:style w:type="character" w:customStyle="1" w:styleId="244">
    <w:name w:val="sidecatalog-dot1"/>
    <w:autoRedefine/>
    <w:qFormat/>
    <w:uiPriority w:val="0"/>
    <w:rPr>
      <w:rFonts w:ascii="Calibri" w:hAnsi="Calibri" w:eastAsia="宋体" w:cs="Times New Roman"/>
      <w:color w:val="000000"/>
      <w:kern w:val="0"/>
    </w:rPr>
  </w:style>
  <w:style w:type="character" w:customStyle="1" w:styleId="245">
    <w:name w:val="页眉 Char"/>
    <w:autoRedefine/>
    <w:qFormat/>
    <w:uiPriority w:val="99"/>
    <w:rPr>
      <w:rFonts w:ascii="Calibri" w:hAnsi="Calibri" w:eastAsia="宋体" w:cs="Times New Roman"/>
      <w:kern w:val="2"/>
      <w:sz w:val="18"/>
      <w:szCs w:val="18"/>
    </w:rPr>
  </w:style>
  <w:style w:type="character" w:customStyle="1" w:styleId="246">
    <w:name w:val="纯文本 Char"/>
    <w:autoRedefine/>
    <w:qFormat/>
    <w:uiPriority w:val="0"/>
    <w:rPr>
      <w:rFonts w:ascii="宋体" w:hAnsi="Courier New" w:eastAsia="宋体" w:cs="Times New Roman"/>
      <w:kern w:val="2"/>
      <w:sz w:val="21"/>
    </w:rPr>
  </w:style>
  <w:style w:type="character" w:customStyle="1" w:styleId="247">
    <w:name w:val="bds_more9"/>
    <w:autoRedefine/>
    <w:qFormat/>
    <w:uiPriority w:val="0"/>
    <w:rPr>
      <w:rFonts w:ascii="Calibri" w:hAnsi="Calibri" w:eastAsia="宋体" w:cs="Times New Roman"/>
      <w:color w:val="000000"/>
      <w:kern w:val="0"/>
    </w:rPr>
  </w:style>
  <w:style w:type="character" w:customStyle="1" w:styleId="248">
    <w:name w:val="日期 Char1"/>
    <w:autoRedefine/>
    <w:qFormat/>
    <w:uiPriority w:val="0"/>
    <w:rPr>
      <w:rFonts w:ascii="Calibri" w:hAnsi="Calibri" w:eastAsia="宋体" w:cs="Times New Roman"/>
    </w:rPr>
  </w:style>
  <w:style w:type="character" w:customStyle="1" w:styleId="249">
    <w:name w:val="正文文本 3 Char1"/>
    <w:autoRedefine/>
    <w:qFormat/>
    <w:uiPriority w:val="0"/>
    <w:rPr>
      <w:rFonts w:ascii="Calibri" w:hAnsi="Calibri" w:eastAsia="宋体" w:cs="Times New Roman"/>
      <w:sz w:val="16"/>
      <w:szCs w:val="16"/>
    </w:rPr>
  </w:style>
  <w:style w:type="character" w:customStyle="1" w:styleId="250">
    <w:name w:val="标题 2 Char"/>
    <w:link w:val="3"/>
    <w:autoRedefine/>
    <w:qFormat/>
    <w:uiPriority w:val="0"/>
    <w:rPr>
      <w:rFonts w:ascii="Arial" w:hAnsi="Arial" w:eastAsia="黑体" w:cs="Times New Roman"/>
      <w:b/>
      <w:bCs/>
      <w:kern w:val="2"/>
      <w:sz w:val="32"/>
      <w:szCs w:val="32"/>
    </w:rPr>
  </w:style>
  <w:style w:type="character" w:customStyle="1" w:styleId="251">
    <w:name w:val="Char Char11"/>
    <w:autoRedefine/>
    <w:qFormat/>
    <w:uiPriority w:val="0"/>
    <w:rPr>
      <w:rFonts w:ascii="Calibri" w:hAnsi="Calibri" w:eastAsia="宋体" w:cs="Times New Roman"/>
      <w:position w:val="-6"/>
      <w:sz w:val="24"/>
      <w:lang w:val="en-GB" w:eastAsia="zh-CN" w:bidi="ar-SA"/>
    </w:rPr>
  </w:style>
  <w:style w:type="character" w:customStyle="1" w:styleId="252">
    <w:name w:val="plus"/>
    <w:autoRedefine/>
    <w:qFormat/>
    <w:uiPriority w:val="0"/>
    <w:rPr>
      <w:rFonts w:ascii="Calibri" w:hAnsi="Calibri" w:eastAsia="宋体" w:cs="Times New Roman"/>
      <w:b/>
      <w:vanish/>
      <w:color w:val="1F8DEF"/>
      <w:kern w:val="0"/>
      <w:sz w:val="24"/>
      <w:szCs w:val="24"/>
    </w:rPr>
  </w:style>
  <w:style w:type="character" w:customStyle="1" w:styleId="253">
    <w:name w:val="标题 3 Char1"/>
    <w:autoRedefine/>
    <w:qFormat/>
    <w:uiPriority w:val="0"/>
    <w:rPr>
      <w:rFonts w:hint="eastAsia" w:ascii="Microsoft JhengHei" w:hAnsi="Microsoft JhengHei" w:eastAsia="Microsoft JhengHei" w:cs="Microsoft JhengHei"/>
      <w:b/>
      <w:sz w:val="30"/>
      <w:szCs w:val="32"/>
      <w:lang w:eastAsia="en-US"/>
    </w:rPr>
  </w:style>
  <w:style w:type="character" w:customStyle="1" w:styleId="254">
    <w:name w:val="font101"/>
    <w:autoRedefine/>
    <w:qFormat/>
    <w:uiPriority w:val="0"/>
    <w:rPr>
      <w:rFonts w:hint="eastAsia" w:ascii="宋体" w:hAnsi="宋体" w:eastAsia="宋体" w:cs="宋体"/>
      <w:color w:val="000000"/>
      <w:sz w:val="22"/>
      <w:szCs w:val="22"/>
      <w:u w:val="none"/>
    </w:rPr>
  </w:style>
  <w:style w:type="character" w:customStyle="1" w:styleId="255">
    <w:name w:val="font131"/>
    <w:autoRedefine/>
    <w:qFormat/>
    <w:uiPriority w:val="0"/>
    <w:rPr>
      <w:rFonts w:hint="default" w:ascii="Times New Roman" w:hAnsi="Times New Roman" w:cs="Times New Roman"/>
      <w:color w:val="000000"/>
      <w:sz w:val="22"/>
      <w:szCs w:val="22"/>
      <w:u w:val="none"/>
    </w:rPr>
  </w:style>
  <w:style w:type="character" w:customStyle="1" w:styleId="256">
    <w:name w:val="未处理的提及41"/>
    <w:autoRedefine/>
    <w:unhideWhenUsed/>
    <w:qFormat/>
    <w:uiPriority w:val="99"/>
    <w:rPr>
      <w:color w:val="605E5C"/>
      <w:shd w:val="clear" w:color="auto" w:fill="E1DFDD"/>
    </w:rPr>
  </w:style>
  <w:style w:type="character" w:customStyle="1" w:styleId="257">
    <w:name w:val="font21"/>
    <w:autoRedefine/>
    <w:qFormat/>
    <w:uiPriority w:val="0"/>
    <w:rPr>
      <w:rFonts w:hint="eastAsia" w:ascii="微软雅黑" w:hAnsi="微软雅黑" w:eastAsia="微软雅黑" w:cs="微软雅黑"/>
      <w:color w:val="000000"/>
      <w:sz w:val="24"/>
      <w:szCs w:val="24"/>
      <w:u w:val="none"/>
    </w:rPr>
  </w:style>
  <w:style w:type="character" w:customStyle="1" w:styleId="258">
    <w:name w:val="未处理的提及5"/>
    <w:autoRedefine/>
    <w:unhideWhenUsed/>
    <w:qFormat/>
    <w:uiPriority w:val="99"/>
    <w:rPr>
      <w:color w:val="605E5C"/>
      <w:shd w:val="clear" w:color="auto" w:fill="E1DFDD"/>
    </w:rPr>
  </w:style>
  <w:style w:type="paragraph" w:customStyle="1" w:styleId="259">
    <w:name w:val="CM34"/>
    <w:basedOn w:val="84"/>
    <w:next w:val="84"/>
    <w:autoRedefine/>
    <w:qFormat/>
    <w:uiPriority w:val="0"/>
    <w:pPr>
      <w:spacing w:line="398" w:lineRule="atLeast"/>
    </w:pPr>
    <w:rPr>
      <w:rFonts w:ascii="Calibri" w:cs="Times New Roman"/>
      <w:color w:val="auto"/>
    </w:rPr>
  </w:style>
  <w:style w:type="paragraph" w:customStyle="1" w:styleId="260">
    <w:name w:val="正文部分"/>
    <w:basedOn w:val="1"/>
    <w:autoRedefine/>
    <w:qFormat/>
    <w:uiPriority w:val="0"/>
    <w:pPr>
      <w:spacing w:line="500" w:lineRule="exact"/>
      <w:ind w:firstLine="480" w:firstLineChars="200"/>
      <w:textAlignment w:val="center"/>
    </w:pPr>
    <w:rPr>
      <w:rFonts w:ascii="华文细黑" w:hAnsi="华文细黑"/>
      <w:kern w:val="2"/>
      <w:sz w:val="24"/>
      <w:szCs w:val="20"/>
      <w:lang w:eastAsia="zh-CN"/>
    </w:rPr>
  </w:style>
  <w:style w:type="paragraph" w:customStyle="1" w:styleId="261">
    <w:name w:val="CM19"/>
    <w:basedOn w:val="84"/>
    <w:next w:val="84"/>
    <w:autoRedefine/>
    <w:qFormat/>
    <w:uiPriority w:val="0"/>
    <w:pPr>
      <w:spacing w:line="398" w:lineRule="atLeast"/>
    </w:pPr>
    <w:rPr>
      <w:rFonts w:ascii="Calibri" w:cs="Times New Roman"/>
      <w:color w:val="auto"/>
    </w:rPr>
  </w:style>
  <w:style w:type="paragraph" w:customStyle="1" w:styleId="262">
    <w:name w:val="font8"/>
    <w:basedOn w:val="1"/>
    <w:autoRedefine/>
    <w:qFormat/>
    <w:uiPriority w:val="0"/>
    <w:pPr>
      <w:widowControl/>
      <w:spacing w:before="100" w:beforeAutospacing="1" w:after="100" w:afterAutospacing="1"/>
    </w:pPr>
    <w:rPr>
      <w:rFonts w:hint="eastAsia" w:ascii="宋体" w:hAnsi="宋体"/>
      <w:lang w:eastAsia="zh-CN"/>
    </w:rPr>
  </w:style>
  <w:style w:type="paragraph" w:customStyle="1" w:styleId="263">
    <w:name w:val="legal 2"/>
    <w:basedOn w:val="84"/>
    <w:next w:val="84"/>
    <w:autoRedefine/>
    <w:qFormat/>
    <w:uiPriority w:val="0"/>
    <w:pPr>
      <w:spacing w:after="120"/>
    </w:pPr>
    <w:rPr>
      <w:rFonts w:ascii="Calibri" w:cs="Times New Roman"/>
      <w:color w:val="auto"/>
    </w:rPr>
  </w:style>
  <w:style w:type="paragraph" w:customStyle="1" w:styleId="264">
    <w:name w:val="CM7"/>
    <w:basedOn w:val="84"/>
    <w:next w:val="84"/>
    <w:autoRedefine/>
    <w:qFormat/>
    <w:uiPriority w:val="0"/>
    <w:pPr>
      <w:spacing w:line="191" w:lineRule="atLeast"/>
    </w:pPr>
    <w:rPr>
      <w:rFonts w:ascii="Times New Roman" w:hAnsi="Times New Roman" w:cs="Times New Roman"/>
      <w:color w:val="auto"/>
    </w:rPr>
  </w:style>
  <w:style w:type="paragraph" w:customStyle="1" w:styleId="265">
    <w:name w:val="标题11"/>
    <w:basedOn w:val="1"/>
    <w:autoRedefine/>
    <w:qFormat/>
    <w:uiPriority w:val="0"/>
    <w:pPr>
      <w:numPr>
        <w:ilvl w:val="0"/>
        <w:numId w:val="4"/>
      </w:numPr>
      <w:tabs>
        <w:tab w:val="left" w:pos="284"/>
        <w:tab w:val="clear" w:pos="900"/>
      </w:tabs>
      <w:spacing w:line="360" w:lineRule="auto"/>
      <w:ind w:left="722" w:firstLine="116" w:firstLineChars="48"/>
      <w:jc w:val="both"/>
      <w:textAlignment w:val="bottom"/>
    </w:pPr>
    <w:rPr>
      <w:rFonts w:ascii="宋体" w:hAnsi="宋体"/>
      <w:b/>
      <w:sz w:val="24"/>
      <w:szCs w:val="24"/>
      <w:lang w:eastAsia="zh-CN"/>
    </w:rPr>
  </w:style>
  <w:style w:type="paragraph" w:customStyle="1" w:styleId="266">
    <w:name w:val="Char Char Char Char Char Char Char Char Char Char Char Char Char Char Char Char"/>
    <w:basedOn w:val="1"/>
    <w:autoRedefine/>
    <w:qFormat/>
    <w:uiPriority w:val="0"/>
    <w:pPr>
      <w:widowControl/>
      <w:spacing w:after="160" w:line="240" w:lineRule="exact"/>
    </w:pPr>
    <w:rPr>
      <w:rFonts w:ascii="Verdana" w:hAnsi="Verdana" w:eastAsia="仿宋_GB2312"/>
      <w:sz w:val="24"/>
      <w:szCs w:val="20"/>
    </w:rPr>
  </w:style>
  <w:style w:type="paragraph" w:customStyle="1" w:styleId="267">
    <w:name w:val="xl89"/>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pPr>
    <w:rPr>
      <w:rFonts w:ascii="宋体" w:hAnsi="宋体"/>
      <w:b/>
      <w:bCs/>
      <w:lang w:eastAsia="zh-CN"/>
    </w:rPr>
  </w:style>
  <w:style w:type="paragraph" w:customStyle="1" w:styleId="268">
    <w:name w:val="标题 1+ 黑体"/>
    <w:basedOn w:val="63"/>
    <w:autoRedefine/>
    <w:qFormat/>
    <w:uiPriority w:val="0"/>
    <w:pPr>
      <w:autoSpaceDE/>
      <w:autoSpaceDN/>
      <w:adjustRightInd/>
      <w:spacing w:beforeLines="0" w:line="240" w:lineRule="auto"/>
      <w:textAlignment w:val="auto"/>
    </w:pPr>
    <w:rPr>
      <w:rFonts w:ascii="黑体" w:hAnsi="Calibri" w:eastAsia="黑体" w:cs="Times New Roman"/>
      <w:kern w:val="2"/>
    </w:rPr>
  </w:style>
  <w:style w:type="paragraph" w:customStyle="1" w:styleId="269">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b/>
      <w:bCs/>
      <w:lang w:eastAsia="zh-CN"/>
    </w:rPr>
  </w:style>
  <w:style w:type="paragraph" w:customStyle="1" w:styleId="270">
    <w:name w:val="Table Paragraph"/>
    <w:basedOn w:val="1"/>
    <w:autoRedefine/>
    <w:qFormat/>
    <w:uiPriority w:val="0"/>
  </w:style>
  <w:style w:type="paragraph" w:customStyle="1" w:styleId="271">
    <w:name w:val="CM31"/>
    <w:basedOn w:val="84"/>
    <w:next w:val="84"/>
    <w:autoRedefine/>
    <w:qFormat/>
    <w:uiPriority w:val="0"/>
    <w:pPr>
      <w:spacing w:line="400" w:lineRule="atLeast"/>
    </w:pPr>
    <w:rPr>
      <w:rFonts w:ascii="Calibri" w:cs="Times New Roman"/>
      <w:color w:val="auto"/>
    </w:rPr>
  </w:style>
  <w:style w:type="paragraph" w:customStyle="1" w:styleId="272">
    <w:name w:val="CM15"/>
    <w:basedOn w:val="84"/>
    <w:next w:val="84"/>
    <w:autoRedefine/>
    <w:qFormat/>
    <w:uiPriority w:val="0"/>
    <w:pPr>
      <w:spacing w:line="313" w:lineRule="atLeast"/>
    </w:pPr>
    <w:rPr>
      <w:rFonts w:ascii="Calibri" w:cs="Times New Roman"/>
      <w:color w:val="auto"/>
    </w:rPr>
  </w:style>
  <w:style w:type="paragraph" w:customStyle="1" w:styleId="273">
    <w:name w:val="设备规范标题2"/>
    <w:next w:val="1"/>
    <w:autoRedefine/>
    <w:qFormat/>
    <w:uiPriority w:val="0"/>
    <w:pPr>
      <w:tabs>
        <w:tab w:val="left" w:pos="425"/>
        <w:tab w:val="left" w:pos="720"/>
        <w:tab w:val="left" w:pos="840"/>
      </w:tabs>
      <w:spacing w:beforeLines="100" w:afterLines="50"/>
      <w:ind w:hanging="425"/>
    </w:pPr>
    <w:rPr>
      <w:rFonts w:ascii="Times New Roman" w:hAnsi="Times New Roman" w:eastAsia="楷体_GB2312" w:cs="Times New Roman"/>
      <w:b/>
      <w:bCs/>
      <w:sz w:val="24"/>
      <w:lang w:val="en-US" w:eastAsia="zh-CN" w:bidi="ar-SA"/>
    </w:rPr>
  </w:style>
  <w:style w:type="paragraph" w:customStyle="1" w:styleId="274">
    <w:name w:val="CM98"/>
    <w:basedOn w:val="84"/>
    <w:next w:val="84"/>
    <w:autoRedefine/>
    <w:qFormat/>
    <w:uiPriority w:val="0"/>
    <w:pPr>
      <w:spacing w:after="570"/>
    </w:pPr>
    <w:rPr>
      <w:rFonts w:ascii="Calibri" w:cs="Times New Roman"/>
      <w:color w:val="auto"/>
    </w:rPr>
  </w:style>
  <w:style w:type="paragraph" w:customStyle="1" w:styleId="275">
    <w:name w:val="xl155"/>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76">
    <w:name w:val="Char Char Char"/>
    <w:basedOn w:val="1"/>
    <w:autoRedefine/>
    <w:qFormat/>
    <w:uiPriority w:val="0"/>
    <w:pPr>
      <w:spacing w:line="360" w:lineRule="auto"/>
      <w:jc w:val="both"/>
    </w:pPr>
    <w:rPr>
      <w:rFonts w:ascii="Tahoma" w:hAnsi="Tahoma"/>
      <w:kern w:val="2"/>
      <w:sz w:val="24"/>
      <w:szCs w:val="20"/>
      <w:lang w:eastAsia="zh-CN"/>
    </w:rPr>
  </w:style>
  <w:style w:type="paragraph" w:customStyle="1" w:styleId="277">
    <w:name w:val="xl11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278">
    <w:name w:val="xl123"/>
    <w:basedOn w:val="1"/>
    <w:autoRedefine/>
    <w:qFormat/>
    <w:uiPriority w:val="0"/>
    <w:pPr>
      <w:widowControl/>
      <w:pBdr>
        <w:top w:val="single" w:color="auto" w:sz="4" w:space="0"/>
        <w:bottom w:val="single" w:color="auto" w:sz="4" w:space="0"/>
        <w:right w:val="single" w:color="auto" w:sz="8"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279">
    <w:name w:val="封面样式1"/>
    <w:basedOn w:val="1"/>
    <w:autoRedefine/>
    <w:qFormat/>
    <w:uiPriority w:val="0"/>
    <w:pPr>
      <w:spacing w:line="440" w:lineRule="exact"/>
      <w:ind w:firstLine="630" w:firstLineChars="300"/>
    </w:pPr>
    <w:rPr>
      <w:rFonts w:ascii="华文细黑" w:hAnsi="华文细黑" w:cs="Arial"/>
      <w:sz w:val="21"/>
      <w:szCs w:val="21"/>
      <w:lang w:eastAsia="zh-CN"/>
    </w:rPr>
  </w:style>
  <w:style w:type="paragraph" w:customStyle="1" w:styleId="280">
    <w:name w:val="font12"/>
    <w:basedOn w:val="1"/>
    <w:autoRedefine/>
    <w:qFormat/>
    <w:uiPriority w:val="0"/>
    <w:pPr>
      <w:widowControl/>
      <w:spacing w:before="100" w:beforeAutospacing="1" w:after="100" w:afterAutospacing="1"/>
    </w:pPr>
    <w:rPr>
      <w:rFonts w:ascii="Times New Roman" w:hAnsi="Times New Roman"/>
      <w:sz w:val="20"/>
      <w:szCs w:val="20"/>
      <w:lang w:eastAsia="zh-CN"/>
    </w:rPr>
  </w:style>
  <w:style w:type="paragraph" w:customStyle="1" w:styleId="281">
    <w:name w:val="Table"/>
    <w:basedOn w:val="1"/>
    <w:autoRedefine/>
    <w:qFormat/>
    <w:uiPriority w:val="0"/>
    <w:pPr>
      <w:widowControl/>
    </w:pPr>
    <w:rPr>
      <w:rFonts w:ascii="宋体" w:hAnsi="宋体"/>
      <w:sz w:val="24"/>
      <w:szCs w:val="24"/>
      <w:lang w:val="en-GB"/>
    </w:rPr>
  </w:style>
  <w:style w:type="paragraph" w:customStyle="1" w:styleId="282">
    <w:name w:val="xl140"/>
    <w:basedOn w:val="1"/>
    <w:autoRedefine/>
    <w:qFormat/>
    <w:uiPriority w:val="0"/>
    <w:pPr>
      <w:widowControl/>
      <w:spacing w:before="100" w:beforeAutospacing="1" w:after="100" w:afterAutospacing="1"/>
    </w:pPr>
    <w:rPr>
      <w:rFonts w:hint="eastAsia" w:ascii="宋体" w:hAnsi="宋体" w:cs="Arial Unicode MS"/>
      <w:sz w:val="24"/>
      <w:szCs w:val="24"/>
      <w:lang w:eastAsia="zh-CN"/>
    </w:rPr>
  </w:style>
  <w:style w:type="paragraph" w:customStyle="1" w:styleId="283">
    <w:name w:val="xl174"/>
    <w:basedOn w:val="1"/>
    <w:autoRedefine/>
    <w:qFormat/>
    <w:uiPriority w:val="0"/>
    <w:pPr>
      <w:widowControl/>
      <w:pBdr>
        <w:top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84">
    <w:name w:val="xl95"/>
    <w:basedOn w:val="1"/>
    <w:autoRedefine/>
    <w:qFormat/>
    <w:uiPriority w:val="0"/>
    <w:pPr>
      <w:widowControl/>
      <w:pBdr>
        <w:top w:val="single" w:color="auto" w:sz="4" w:space="0"/>
        <w:left w:val="single" w:color="auto" w:sz="8" w:space="0"/>
        <w:bottom w:val="single" w:color="auto" w:sz="4" w:space="0"/>
      </w:pBdr>
      <w:shd w:val="clear" w:color="auto" w:fill="FFFFFF"/>
      <w:spacing w:before="100" w:beforeAutospacing="1" w:after="100" w:afterAutospacing="1"/>
      <w:jc w:val="center"/>
    </w:pPr>
    <w:rPr>
      <w:rFonts w:ascii="宋体" w:hAnsi="宋体"/>
      <w:b/>
      <w:bCs/>
      <w:sz w:val="24"/>
      <w:szCs w:val="24"/>
      <w:lang w:eastAsia="zh-CN"/>
    </w:rPr>
  </w:style>
  <w:style w:type="paragraph" w:customStyle="1" w:styleId="285">
    <w:name w:val="xl194"/>
    <w:basedOn w:val="1"/>
    <w:autoRedefine/>
    <w:qFormat/>
    <w:uiPriority w:val="0"/>
    <w:pPr>
      <w:widowControl/>
      <w:pBdr>
        <w:bottom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86">
    <w:name w:val="CM39"/>
    <w:basedOn w:val="84"/>
    <w:next w:val="84"/>
    <w:autoRedefine/>
    <w:qFormat/>
    <w:uiPriority w:val="0"/>
    <w:pPr>
      <w:spacing w:line="400" w:lineRule="atLeast"/>
    </w:pPr>
    <w:rPr>
      <w:rFonts w:ascii="Calibri" w:cs="Times New Roman"/>
      <w:color w:val="auto"/>
    </w:rPr>
  </w:style>
  <w:style w:type="paragraph" w:customStyle="1" w:styleId="287">
    <w:name w:val="附件"/>
    <w:basedOn w:val="1"/>
    <w:autoRedefine/>
    <w:qFormat/>
    <w:uiPriority w:val="0"/>
    <w:pPr>
      <w:numPr>
        <w:ilvl w:val="0"/>
        <w:numId w:val="5"/>
      </w:numPr>
      <w:tabs>
        <w:tab w:val="left" w:pos="420"/>
      </w:tabs>
      <w:spacing w:beforeLines="50" w:line="360" w:lineRule="auto"/>
      <w:jc w:val="both"/>
    </w:pPr>
    <w:rPr>
      <w:rFonts w:ascii="宋体" w:hAnsi="Times New Roman"/>
      <w:b/>
      <w:kern w:val="2"/>
      <w:sz w:val="28"/>
      <w:szCs w:val="24"/>
      <w:lang w:eastAsia="zh-CN"/>
    </w:rPr>
  </w:style>
  <w:style w:type="paragraph" w:customStyle="1" w:styleId="288">
    <w:name w:val="xl132"/>
    <w:basedOn w:val="1"/>
    <w:autoRedefine/>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289">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b/>
      <w:bCs/>
      <w:color w:val="FF0000"/>
      <w:lang w:eastAsia="zh-CN"/>
    </w:rPr>
  </w:style>
  <w:style w:type="paragraph" w:customStyle="1" w:styleId="290">
    <w:name w:val="font10"/>
    <w:basedOn w:val="1"/>
    <w:autoRedefine/>
    <w:qFormat/>
    <w:uiPriority w:val="0"/>
    <w:pPr>
      <w:widowControl/>
      <w:spacing w:before="100" w:beforeAutospacing="1" w:after="100" w:afterAutospacing="1"/>
    </w:pPr>
    <w:rPr>
      <w:rFonts w:ascii="Times New Roman" w:hAnsi="Times New Roman"/>
      <w:b/>
      <w:bCs/>
      <w:sz w:val="20"/>
      <w:szCs w:val="20"/>
      <w:lang w:eastAsia="zh-CN"/>
    </w:rPr>
  </w:style>
  <w:style w:type="paragraph" w:customStyle="1" w:styleId="291">
    <w:name w:val="xl1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292">
    <w:name w:val="xl175"/>
    <w:basedOn w:val="1"/>
    <w:autoRedefine/>
    <w:qFormat/>
    <w:uiPriority w:val="0"/>
    <w:pPr>
      <w:widowControl/>
      <w:pBdr>
        <w:top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93">
    <w:name w:val="xl5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olor w:val="FF0000"/>
      <w:lang w:eastAsia="zh-CN"/>
    </w:rPr>
  </w:style>
  <w:style w:type="paragraph" w:customStyle="1" w:styleId="294">
    <w:name w:val="xl166"/>
    <w:basedOn w:val="1"/>
    <w:autoRedefine/>
    <w:qFormat/>
    <w:uiPriority w:val="0"/>
    <w:pPr>
      <w:widowControl/>
      <w:pBdr>
        <w:left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95">
    <w:name w:val="自定义标题3"/>
    <w:basedOn w:val="1"/>
    <w:next w:val="1"/>
    <w:autoRedefine/>
    <w:qFormat/>
    <w:uiPriority w:val="0"/>
    <w:pPr>
      <w:adjustRightInd w:val="0"/>
      <w:spacing w:before="100" w:after="120" w:line="320" w:lineRule="exact"/>
      <w:jc w:val="both"/>
      <w:textAlignment w:val="baseline"/>
    </w:pPr>
    <w:rPr>
      <w:rFonts w:ascii="Arial" w:hAnsi="Arial"/>
      <w:color w:val="0000FF"/>
      <w:sz w:val="24"/>
      <w:szCs w:val="20"/>
      <w:lang w:eastAsia="zh-CN"/>
    </w:rPr>
  </w:style>
  <w:style w:type="paragraph" w:customStyle="1" w:styleId="296">
    <w:name w:val="xl129"/>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297">
    <w:name w:val="正文1"/>
    <w:basedOn w:val="1"/>
    <w:autoRedefine/>
    <w:qFormat/>
    <w:uiPriority w:val="0"/>
    <w:pPr>
      <w:adjustRightInd w:val="0"/>
      <w:spacing w:line="360" w:lineRule="atLeast"/>
      <w:textAlignment w:val="baseline"/>
    </w:pPr>
    <w:rPr>
      <w:rFonts w:ascii="宋体" w:hAnsi="Times New Roman"/>
      <w:sz w:val="24"/>
      <w:szCs w:val="20"/>
      <w:lang w:eastAsia="zh-CN"/>
    </w:rPr>
  </w:style>
  <w:style w:type="paragraph" w:customStyle="1" w:styleId="298">
    <w:name w:val="默认段落字体 Para Char Char Char Char"/>
    <w:basedOn w:val="1"/>
    <w:autoRedefine/>
    <w:qFormat/>
    <w:uiPriority w:val="0"/>
    <w:pPr>
      <w:jc w:val="both"/>
    </w:pPr>
    <w:rPr>
      <w:rFonts w:ascii="Times New Roman" w:hAnsi="Times New Roman"/>
      <w:kern w:val="2"/>
      <w:sz w:val="21"/>
      <w:szCs w:val="24"/>
      <w:lang w:eastAsia="zh-CN"/>
    </w:rPr>
  </w:style>
  <w:style w:type="paragraph" w:customStyle="1" w:styleId="299">
    <w:name w:val="xl88"/>
    <w:basedOn w:val="1"/>
    <w:autoRedefine/>
    <w:qFormat/>
    <w:uiPriority w:val="0"/>
    <w:pPr>
      <w:widowControl/>
      <w:pBdr>
        <w:top w:val="single" w:color="auto" w:sz="4" w:space="0"/>
        <w:left w:val="single" w:color="auto" w:sz="8"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300">
    <w:name w:val="Head 2"/>
    <w:basedOn w:val="10"/>
    <w:autoRedefine/>
    <w:qFormat/>
    <w:uiPriority w:val="0"/>
    <w:pPr>
      <w:keepNext/>
      <w:widowControl w:val="0"/>
      <w:numPr>
        <w:ilvl w:val="0"/>
        <w:numId w:val="0"/>
      </w:numPr>
      <w:suppressAutoHyphens/>
      <w:overflowPunct/>
      <w:autoSpaceDE/>
      <w:autoSpaceDN/>
      <w:adjustRightInd/>
      <w:spacing w:line="360" w:lineRule="auto"/>
      <w:textAlignment w:val="auto"/>
      <w:outlineLvl w:val="9"/>
    </w:pPr>
    <w:rPr>
      <w:rFonts w:ascii="Times New Roman Bold" w:hAnsi="Times New Roman Bold"/>
      <w:i w:val="0"/>
      <w:spacing w:val="-4"/>
      <w:position w:val="0"/>
      <w:sz w:val="32"/>
      <w:lang w:val="en-US" w:eastAsia="en-US"/>
    </w:rPr>
  </w:style>
  <w:style w:type="paragraph" w:customStyle="1" w:styleId="301">
    <w:name w:val="样式2"/>
    <w:basedOn w:val="1"/>
    <w:autoRedefine/>
    <w:qFormat/>
    <w:uiPriority w:val="0"/>
    <w:pPr>
      <w:adjustRightInd w:val="0"/>
      <w:spacing w:line="410" w:lineRule="atLeast"/>
      <w:jc w:val="both"/>
      <w:textAlignment w:val="baseline"/>
    </w:pPr>
    <w:rPr>
      <w:rFonts w:ascii="Times New Roman" w:hAnsi="Times New Roman"/>
      <w:sz w:val="24"/>
      <w:szCs w:val="20"/>
      <w:lang w:eastAsia="zh-CN"/>
    </w:rPr>
  </w:style>
  <w:style w:type="paragraph" w:customStyle="1" w:styleId="302">
    <w:name w:val="CM69"/>
    <w:basedOn w:val="84"/>
    <w:next w:val="84"/>
    <w:autoRedefine/>
    <w:qFormat/>
    <w:uiPriority w:val="0"/>
    <w:pPr>
      <w:spacing w:line="400" w:lineRule="atLeast"/>
    </w:pPr>
    <w:rPr>
      <w:rFonts w:ascii="Calibri" w:cs="Times New Roman"/>
      <w:color w:val="auto"/>
    </w:rPr>
  </w:style>
  <w:style w:type="paragraph" w:customStyle="1" w:styleId="303">
    <w:name w:val="Normal1"/>
    <w:next w:val="1"/>
    <w:autoRedefine/>
    <w:qFormat/>
    <w:uiPriority w:val="0"/>
    <w:pPr>
      <w:overflowPunct w:val="0"/>
      <w:autoSpaceDE w:val="0"/>
      <w:autoSpaceDN w:val="0"/>
      <w:adjustRightInd w:val="0"/>
      <w:textAlignment w:val="baseline"/>
    </w:pPr>
    <w:rPr>
      <w:rFonts w:ascii="Times" w:hAnsi="Times" w:eastAsia="宋体" w:cs="Times New Roman"/>
      <w:sz w:val="24"/>
      <w:lang w:val="fr-FR" w:eastAsia="zh-CN" w:bidi="ar-SA"/>
    </w:rPr>
  </w:style>
  <w:style w:type="paragraph" w:customStyle="1" w:styleId="304">
    <w:name w:val="xl92"/>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lang w:eastAsia="zh-CN"/>
    </w:rPr>
  </w:style>
  <w:style w:type="paragraph" w:customStyle="1" w:styleId="305">
    <w:name w:val="封面字体1"/>
    <w:basedOn w:val="279"/>
    <w:autoRedefine/>
    <w:qFormat/>
    <w:uiPriority w:val="0"/>
    <w:pPr>
      <w:spacing w:line="240" w:lineRule="atLeast"/>
      <w:ind w:firstLine="0" w:firstLineChars="0"/>
    </w:pPr>
    <w:rPr>
      <w:rFonts w:ascii="Calibri" w:hAnsi="Calibri" w:cs="Times New Roman"/>
      <w:b/>
      <w:bCs/>
      <w:spacing w:val="100"/>
      <w:sz w:val="44"/>
    </w:rPr>
  </w:style>
  <w:style w:type="paragraph" w:customStyle="1" w:styleId="306">
    <w:name w:val="正文五号"/>
    <w:basedOn w:val="1"/>
    <w:autoRedefine/>
    <w:qFormat/>
    <w:uiPriority w:val="0"/>
    <w:pPr>
      <w:jc w:val="both"/>
    </w:pPr>
    <w:rPr>
      <w:rFonts w:ascii="宋体" w:eastAsia="仿宋_GB2312"/>
      <w:kern w:val="2"/>
      <w:sz w:val="21"/>
      <w:szCs w:val="20"/>
      <w:lang w:eastAsia="zh-CN"/>
    </w:rPr>
  </w:style>
  <w:style w:type="paragraph" w:customStyle="1" w:styleId="307">
    <w:name w:val="xl3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Times New Roman" w:hAnsi="Times New Roman"/>
      <w:lang w:eastAsia="zh-CN"/>
    </w:rPr>
  </w:style>
  <w:style w:type="paragraph" w:customStyle="1" w:styleId="308">
    <w:name w:val="xl183"/>
    <w:basedOn w:val="1"/>
    <w:autoRedefine/>
    <w:qFormat/>
    <w:uiPriority w:val="0"/>
    <w:pPr>
      <w:widowControl/>
      <w:pBdr>
        <w:left w:val="single" w:color="auto" w:sz="8" w:space="0"/>
        <w:bottom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309">
    <w:name w:val="Char Char Char Char Char Char Char Char1"/>
    <w:basedOn w:val="1"/>
    <w:autoRedefine/>
    <w:qFormat/>
    <w:uiPriority w:val="0"/>
    <w:pPr>
      <w:widowControl/>
      <w:spacing w:after="160" w:line="240" w:lineRule="exact"/>
    </w:pPr>
    <w:rPr>
      <w:rFonts w:ascii="Verdana" w:hAnsi="Verdana"/>
      <w:sz w:val="20"/>
      <w:szCs w:val="20"/>
    </w:rPr>
  </w:style>
  <w:style w:type="paragraph" w:customStyle="1" w:styleId="310">
    <w:name w:val="CM36"/>
    <w:basedOn w:val="84"/>
    <w:next w:val="84"/>
    <w:autoRedefine/>
    <w:qFormat/>
    <w:uiPriority w:val="0"/>
    <w:pPr>
      <w:spacing w:line="400" w:lineRule="atLeast"/>
    </w:pPr>
    <w:rPr>
      <w:rFonts w:ascii="Calibri" w:cs="Times New Roman"/>
      <w:color w:val="auto"/>
    </w:rPr>
  </w:style>
  <w:style w:type="paragraph" w:customStyle="1" w:styleId="311">
    <w:name w:val="p12"/>
    <w:basedOn w:val="1"/>
    <w:autoRedefine/>
    <w:qFormat/>
    <w:uiPriority w:val="0"/>
    <w:pPr>
      <w:widowControl/>
      <w:spacing w:before="100" w:beforeAutospacing="1" w:after="100" w:afterAutospacing="1"/>
    </w:pPr>
    <w:rPr>
      <w:color w:val="000000"/>
      <w:sz w:val="24"/>
      <w:szCs w:val="24"/>
      <w:lang w:eastAsia="zh-CN"/>
    </w:rPr>
  </w:style>
  <w:style w:type="paragraph" w:customStyle="1" w:styleId="312">
    <w:name w:val="大标题"/>
    <w:autoRedefine/>
    <w:qFormat/>
    <w:uiPriority w:val="0"/>
    <w:pPr>
      <w:jc w:val="center"/>
    </w:pPr>
    <w:rPr>
      <w:rFonts w:ascii="Times New Roman" w:hAnsi="Times New Roman" w:eastAsia="楷体_GB2312" w:cs="Times New Roman"/>
      <w:b/>
      <w:sz w:val="48"/>
      <w:lang w:val="en-US" w:eastAsia="zh-CN" w:bidi="ar-SA"/>
    </w:rPr>
  </w:style>
  <w:style w:type="paragraph" w:customStyle="1" w:styleId="313">
    <w:name w:val="封面样式2"/>
    <w:basedOn w:val="1"/>
    <w:autoRedefine/>
    <w:qFormat/>
    <w:uiPriority w:val="0"/>
    <w:pPr>
      <w:spacing w:line="440" w:lineRule="exact"/>
      <w:ind w:firstLine="630" w:firstLineChars="300"/>
    </w:pPr>
    <w:rPr>
      <w:rFonts w:ascii="华文细黑" w:hAnsi="华文细黑" w:cs="Arial"/>
      <w:sz w:val="21"/>
      <w:szCs w:val="21"/>
      <w:lang w:eastAsia="zh-CN"/>
    </w:rPr>
  </w:style>
  <w:style w:type="paragraph" w:customStyle="1" w:styleId="314">
    <w:name w:val="xl148"/>
    <w:basedOn w:val="1"/>
    <w:autoRedefine/>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15">
    <w:name w:val="列表编号 2A"/>
    <w:basedOn w:val="1"/>
    <w:autoRedefine/>
    <w:qFormat/>
    <w:uiPriority w:val="0"/>
    <w:pPr>
      <w:numPr>
        <w:ilvl w:val="0"/>
        <w:numId w:val="6"/>
      </w:numPr>
      <w:tabs>
        <w:tab w:val="left" w:pos="845"/>
        <w:tab w:val="left" w:pos="1260"/>
        <w:tab w:val="clear" w:pos="420"/>
      </w:tabs>
      <w:ind w:firstLine="630" w:firstLineChars="300"/>
    </w:pPr>
    <w:rPr>
      <w:rFonts w:ascii="Times New Roman" w:hAnsi="Times New Roman" w:cs="Arial"/>
      <w:kern w:val="2"/>
      <w:sz w:val="28"/>
      <w:szCs w:val="20"/>
      <w:lang w:eastAsia="zh-CN"/>
    </w:rPr>
  </w:style>
  <w:style w:type="paragraph" w:customStyle="1" w:styleId="316">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17">
    <w:name w:val="xl42"/>
    <w:basedOn w:val="1"/>
    <w:autoRedefine/>
    <w:qFormat/>
    <w:uiPriority w:val="0"/>
    <w:pPr>
      <w:widowControl/>
      <w:pBdr>
        <w:left w:val="single" w:color="auto" w:sz="8" w:space="0"/>
        <w:bottom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318">
    <w:name w:val="CM60"/>
    <w:basedOn w:val="84"/>
    <w:next w:val="84"/>
    <w:autoRedefine/>
    <w:qFormat/>
    <w:uiPriority w:val="0"/>
    <w:rPr>
      <w:rFonts w:ascii="Times New Roman" w:hAnsi="Times New Roman" w:cs="Times New Roman"/>
      <w:color w:val="auto"/>
    </w:rPr>
  </w:style>
  <w:style w:type="paragraph" w:customStyle="1" w:styleId="319">
    <w:name w:val="CM85"/>
    <w:basedOn w:val="84"/>
    <w:next w:val="84"/>
    <w:autoRedefine/>
    <w:qFormat/>
    <w:uiPriority w:val="0"/>
    <w:pPr>
      <w:spacing w:line="443" w:lineRule="atLeast"/>
    </w:pPr>
    <w:rPr>
      <w:rFonts w:ascii="Calibri" w:cs="Times New Roman"/>
      <w:color w:val="auto"/>
    </w:rPr>
  </w:style>
  <w:style w:type="paragraph" w:customStyle="1" w:styleId="320">
    <w:name w:val="CM103"/>
    <w:basedOn w:val="84"/>
    <w:next w:val="84"/>
    <w:autoRedefine/>
    <w:qFormat/>
    <w:uiPriority w:val="0"/>
    <w:pPr>
      <w:spacing w:after="1508"/>
    </w:pPr>
    <w:rPr>
      <w:rFonts w:ascii="Calibri" w:cs="Times New Roman"/>
      <w:color w:val="auto"/>
    </w:rPr>
  </w:style>
  <w:style w:type="paragraph" w:customStyle="1" w:styleId="321">
    <w:name w:val="xl44"/>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322">
    <w:name w:val="xl124"/>
    <w:basedOn w:val="1"/>
    <w:autoRedefine/>
    <w:qFormat/>
    <w:uiPriority w:val="0"/>
    <w:pPr>
      <w:widowControl/>
      <w:pBdr>
        <w:top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323">
    <w:name w:val="opening2"/>
    <w:basedOn w:val="1"/>
    <w:autoRedefine/>
    <w:qFormat/>
    <w:uiPriority w:val="0"/>
    <w:pPr>
      <w:widowControl/>
      <w:spacing w:before="100" w:beforeAutospacing="1" w:after="100" w:afterAutospacing="1" w:line="360" w:lineRule="auto"/>
    </w:pPr>
    <w:rPr>
      <w:rFonts w:ascii="宋体" w:hAnsi="宋体"/>
      <w:color w:val="000000"/>
      <w:sz w:val="23"/>
      <w:szCs w:val="23"/>
      <w:lang w:eastAsia="zh-CN"/>
    </w:rPr>
  </w:style>
  <w:style w:type="paragraph" w:customStyle="1" w:styleId="324">
    <w:name w:val="xl189"/>
    <w:basedOn w:val="1"/>
    <w:autoRedefine/>
    <w:qFormat/>
    <w:uiPriority w:val="0"/>
    <w:pPr>
      <w:widowControl/>
      <w:pBdr>
        <w:top w:val="single" w:color="auto" w:sz="8" w:space="0"/>
        <w:left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25">
    <w:name w:val="xl162"/>
    <w:basedOn w:val="1"/>
    <w:autoRedefine/>
    <w:qFormat/>
    <w:uiPriority w:val="0"/>
    <w:pPr>
      <w:widowControl/>
      <w:pBdr>
        <w:left w:val="single" w:color="auto" w:sz="4" w:space="0"/>
        <w:bottom w:val="single" w:color="auto" w:sz="8" w:space="0"/>
      </w:pBdr>
      <w:spacing w:before="100" w:beforeAutospacing="1" w:after="100" w:afterAutospacing="1"/>
      <w:jc w:val="center"/>
    </w:pPr>
    <w:rPr>
      <w:rFonts w:ascii="Arial Unicode MS" w:hAnsi="Arial Unicode MS" w:eastAsia="Arial Unicode MS" w:cs="Arial Unicode MS"/>
      <w:sz w:val="24"/>
      <w:szCs w:val="24"/>
      <w:lang w:eastAsia="zh-CN"/>
    </w:rPr>
  </w:style>
  <w:style w:type="paragraph" w:customStyle="1" w:styleId="326">
    <w:name w:val="CM56"/>
    <w:basedOn w:val="84"/>
    <w:next w:val="84"/>
    <w:autoRedefine/>
    <w:qFormat/>
    <w:uiPriority w:val="0"/>
    <w:rPr>
      <w:rFonts w:ascii="Calibri" w:cs="Times New Roman"/>
      <w:color w:val="auto"/>
    </w:rPr>
  </w:style>
  <w:style w:type="paragraph" w:customStyle="1" w:styleId="327">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lang w:eastAsia="zh-CN"/>
    </w:rPr>
  </w:style>
  <w:style w:type="paragraph" w:customStyle="1" w:styleId="328">
    <w:name w:val="Body"/>
    <w:autoRedefine/>
    <w:qFormat/>
    <w:uiPriority w:val="0"/>
    <w:pPr>
      <w:spacing w:after="120"/>
      <w:ind w:left="1418"/>
    </w:pPr>
    <w:rPr>
      <w:rFonts w:ascii="Arial" w:hAnsi="Arial" w:eastAsia="宋体" w:cs="Times New Roman"/>
      <w:sz w:val="22"/>
      <w:lang w:val="en-US" w:eastAsia="en-US" w:bidi="ar-SA"/>
    </w:rPr>
  </w:style>
  <w:style w:type="paragraph" w:customStyle="1" w:styleId="329">
    <w:name w:val="xl13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330">
    <w:name w:val="xl188"/>
    <w:basedOn w:val="1"/>
    <w:autoRedefine/>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31">
    <w:name w:val="默认段落字体 Para Char Char Char Char Char Char Char"/>
    <w:basedOn w:val="1"/>
    <w:autoRedefine/>
    <w:qFormat/>
    <w:uiPriority w:val="0"/>
    <w:pPr>
      <w:jc w:val="both"/>
    </w:pPr>
    <w:rPr>
      <w:rFonts w:ascii="Tahoma" w:hAnsi="Tahoma"/>
      <w:kern w:val="2"/>
      <w:sz w:val="24"/>
      <w:szCs w:val="20"/>
      <w:lang w:eastAsia="zh-CN"/>
    </w:rPr>
  </w:style>
  <w:style w:type="paragraph" w:customStyle="1" w:styleId="332">
    <w:name w:val="CB&amp;I 1.1"/>
    <w:basedOn w:val="1"/>
    <w:autoRedefine/>
    <w:qFormat/>
    <w:uiPriority w:val="0"/>
    <w:pPr>
      <w:numPr>
        <w:ilvl w:val="1"/>
        <w:numId w:val="7"/>
      </w:numPr>
      <w:adjustRightInd w:val="0"/>
      <w:spacing w:after="180" w:line="320" w:lineRule="exact"/>
      <w:jc w:val="both"/>
      <w:textAlignment w:val="baseline"/>
    </w:pPr>
    <w:rPr>
      <w:rFonts w:ascii="Arial" w:hAnsi="Arial"/>
      <w:sz w:val="24"/>
      <w:szCs w:val="20"/>
      <w:lang w:eastAsia="zh-CN"/>
    </w:rPr>
  </w:style>
  <w:style w:type="paragraph" w:customStyle="1" w:styleId="333">
    <w:name w:val="强调文字"/>
    <w:basedOn w:val="1"/>
    <w:autoRedefine/>
    <w:qFormat/>
    <w:uiPriority w:val="0"/>
    <w:pPr>
      <w:spacing w:line="440" w:lineRule="exact"/>
      <w:ind w:firstLine="480" w:firstLineChars="200"/>
      <w:jc w:val="both"/>
    </w:pPr>
    <w:rPr>
      <w:rFonts w:ascii="华文细黑" w:hAnsi="华文细黑" w:eastAsia="黑体" w:cs="Arial"/>
      <w:sz w:val="24"/>
      <w:szCs w:val="28"/>
      <w:lang w:eastAsia="zh-CN"/>
    </w:rPr>
  </w:style>
  <w:style w:type="paragraph" w:customStyle="1" w:styleId="334">
    <w:name w:val="xl11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335">
    <w:name w:val="Char1"/>
    <w:basedOn w:val="1"/>
    <w:autoRedefine/>
    <w:qFormat/>
    <w:uiPriority w:val="0"/>
    <w:pPr>
      <w:spacing w:line="360" w:lineRule="auto"/>
      <w:jc w:val="both"/>
    </w:pPr>
    <w:rPr>
      <w:rFonts w:ascii="Times New Roman" w:hAnsi="Times New Roman"/>
      <w:kern w:val="2"/>
      <w:sz w:val="24"/>
      <w:szCs w:val="24"/>
      <w:lang w:eastAsia="zh-CN"/>
    </w:rPr>
  </w:style>
  <w:style w:type="paragraph" w:customStyle="1" w:styleId="336">
    <w:name w:val="Char Char"/>
    <w:basedOn w:val="21"/>
    <w:autoRedefine/>
    <w:qFormat/>
    <w:uiPriority w:val="0"/>
    <w:pPr>
      <w:widowControl w:val="0"/>
      <w:tabs>
        <w:tab w:val="clear" w:pos="851"/>
      </w:tabs>
      <w:autoSpaceDE/>
      <w:autoSpaceDN/>
      <w:snapToGrid/>
      <w:spacing w:after="0" w:line="240" w:lineRule="auto"/>
      <w:textAlignment w:val="auto"/>
    </w:pPr>
    <w:rPr>
      <w:rFonts w:ascii="Times New Roman" w:hAnsi="Times New Roman"/>
      <w:bCs w:val="0"/>
      <w:spacing w:val="0"/>
      <w:kern w:val="2"/>
      <w:sz w:val="21"/>
      <w:szCs w:val="24"/>
    </w:rPr>
  </w:style>
  <w:style w:type="paragraph" w:customStyle="1" w:styleId="337">
    <w:name w:val="font7"/>
    <w:basedOn w:val="1"/>
    <w:autoRedefine/>
    <w:qFormat/>
    <w:uiPriority w:val="0"/>
    <w:pPr>
      <w:widowControl/>
      <w:spacing w:before="100" w:beforeAutospacing="1" w:after="100" w:afterAutospacing="1"/>
    </w:pPr>
    <w:rPr>
      <w:rFonts w:hint="eastAsia" w:ascii="宋体" w:hAnsi="宋体"/>
      <w:lang w:eastAsia="zh-CN"/>
    </w:rPr>
  </w:style>
  <w:style w:type="paragraph" w:customStyle="1" w:styleId="338">
    <w:name w:val="xl185"/>
    <w:basedOn w:val="1"/>
    <w:autoRedefine/>
    <w:qFormat/>
    <w:uiPriority w:val="0"/>
    <w:pPr>
      <w:widowControl/>
      <w:pBdr>
        <w:top w:val="single" w:color="auto" w:sz="8" w:space="0"/>
        <w:left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39">
    <w:name w:val="xl149"/>
    <w:basedOn w:val="1"/>
    <w:autoRedefine/>
    <w:qFormat/>
    <w:uiPriority w:val="0"/>
    <w:pPr>
      <w:widowControl/>
      <w:pBdr>
        <w:top w:val="single" w:color="auto" w:sz="4" w:space="0"/>
        <w:left w:val="single" w:color="auto" w:sz="4" w:space="0"/>
        <w:right w:val="single" w:color="auto" w:sz="8"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40">
    <w:name w:val="样式 正文"/>
    <w:basedOn w:val="1"/>
    <w:autoRedefine/>
    <w:qFormat/>
    <w:uiPriority w:val="0"/>
    <w:pPr>
      <w:adjustRightInd w:val="0"/>
      <w:spacing w:line="360" w:lineRule="auto"/>
      <w:jc w:val="both"/>
      <w:textAlignment w:val="baseline"/>
    </w:pPr>
    <w:rPr>
      <w:rFonts w:ascii="Arial" w:hAnsi="宋体" w:cs="Arial"/>
      <w:sz w:val="24"/>
      <w:szCs w:val="24"/>
      <w:lang w:eastAsia="zh-CN"/>
    </w:rPr>
  </w:style>
  <w:style w:type="paragraph" w:customStyle="1" w:styleId="341">
    <w:name w:val="CM23"/>
    <w:basedOn w:val="84"/>
    <w:next w:val="84"/>
    <w:autoRedefine/>
    <w:qFormat/>
    <w:uiPriority w:val="0"/>
    <w:pPr>
      <w:spacing w:line="398" w:lineRule="atLeast"/>
    </w:pPr>
    <w:rPr>
      <w:rFonts w:ascii="Calibri" w:cs="Times New Roman"/>
      <w:color w:val="auto"/>
    </w:rPr>
  </w:style>
  <w:style w:type="paragraph" w:customStyle="1" w:styleId="342">
    <w:name w:val="xl57"/>
    <w:basedOn w:val="1"/>
    <w:autoRedefine/>
    <w:qFormat/>
    <w:uiPriority w:val="0"/>
    <w:pPr>
      <w:widowControl/>
      <w:pBdr>
        <w:top w:val="single" w:color="auto" w:sz="8"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color w:val="FF0000"/>
      <w:lang w:eastAsia="zh-CN"/>
    </w:rPr>
  </w:style>
  <w:style w:type="paragraph" w:customStyle="1" w:styleId="343">
    <w:name w:val="样式3"/>
    <w:basedOn w:val="63"/>
    <w:autoRedefine/>
    <w:qFormat/>
    <w:uiPriority w:val="0"/>
    <w:pPr>
      <w:autoSpaceDE/>
      <w:autoSpaceDN/>
      <w:adjustRightInd/>
      <w:spacing w:beforeLines="0" w:line="240" w:lineRule="auto"/>
      <w:textAlignment w:val="auto"/>
    </w:pPr>
    <w:rPr>
      <w:rFonts w:ascii="Calibri" w:hAnsi="Calibri" w:cs="Times New Roman"/>
      <w:kern w:val="2"/>
    </w:rPr>
  </w:style>
  <w:style w:type="paragraph" w:customStyle="1" w:styleId="344">
    <w:name w:val="xl172"/>
    <w:basedOn w:val="1"/>
    <w:autoRedefine/>
    <w:qFormat/>
    <w:uiPriority w:val="0"/>
    <w:pPr>
      <w:widowControl/>
      <w:pBdr>
        <w:left w:val="single" w:color="auto" w:sz="8" w:space="0"/>
        <w:bottom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45">
    <w:name w:val="xl134"/>
    <w:basedOn w:val="1"/>
    <w:autoRedefine/>
    <w:qFormat/>
    <w:uiPriority w:val="0"/>
    <w:pPr>
      <w:widowControl/>
      <w:pBdr>
        <w:top w:val="single" w:color="auto" w:sz="4" w:space="0"/>
        <w:left w:val="single" w:color="auto" w:sz="8" w:space="0"/>
        <w:bottom w:val="single" w:color="auto" w:sz="4" w:space="0"/>
        <w:right w:val="single" w:color="auto" w:sz="8" w:space="0"/>
      </w:pBdr>
      <w:spacing w:before="100" w:beforeAutospacing="1" w:after="100" w:afterAutospacing="1"/>
    </w:pPr>
    <w:rPr>
      <w:rFonts w:ascii="Arial" w:hAnsi="Arial" w:eastAsia="Arial Unicode MS" w:cs="Arial"/>
      <w:b/>
      <w:bCs/>
      <w:sz w:val="24"/>
      <w:szCs w:val="24"/>
      <w:lang w:eastAsia="zh-CN"/>
    </w:rPr>
  </w:style>
  <w:style w:type="paragraph" w:customStyle="1" w:styleId="346">
    <w:name w:val="xl51"/>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pPr>
    <w:rPr>
      <w:rFonts w:ascii="宋体" w:hAnsi="宋体"/>
      <w:lang w:eastAsia="zh-CN"/>
    </w:rPr>
  </w:style>
  <w:style w:type="paragraph" w:customStyle="1" w:styleId="347">
    <w:name w:val="Absatz2AL"/>
    <w:basedOn w:val="28"/>
    <w:next w:val="1"/>
    <w:autoRedefine/>
    <w:qFormat/>
    <w:uiPriority w:val="0"/>
    <w:pPr>
      <w:widowControl/>
      <w:overflowPunct w:val="0"/>
      <w:autoSpaceDE w:val="0"/>
      <w:autoSpaceDN w:val="0"/>
      <w:adjustRightInd w:val="0"/>
      <w:ind w:left="0"/>
      <w:jc w:val="both"/>
      <w:textAlignment w:val="baseline"/>
    </w:pPr>
    <w:rPr>
      <w:rFonts w:ascii="Times New Roman" w:hAnsi="Times New Roman" w:eastAsia="楷体_GB2312"/>
      <w:sz w:val="24"/>
      <w:szCs w:val="20"/>
      <w:lang w:val="de-DE" w:eastAsia="zh-CN"/>
    </w:rPr>
  </w:style>
  <w:style w:type="paragraph" w:customStyle="1" w:styleId="348">
    <w:name w:val="封面标题"/>
    <w:autoRedefine/>
    <w:qFormat/>
    <w:uiPriority w:val="0"/>
    <w:pPr>
      <w:jc w:val="center"/>
    </w:pPr>
    <w:rPr>
      <w:rFonts w:ascii="Times New Roman" w:hAnsi="Times New Roman" w:eastAsia="隶书" w:cs="Times New Roman"/>
      <w:b/>
      <w:sz w:val="52"/>
      <w:lang w:val="en-US" w:eastAsia="zh-CN" w:bidi="ar-SA"/>
    </w:rPr>
  </w:style>
  <w:style w:type="paragraph" w:customStyle="1" w:styleId="349">
    <w:name w:val="节标题"/>
    <w:basedOn w:val="1"/>
    <w:autoRedefine/>
    <w:qFormat/>
    <w:uiPriority w:val="0"/>
    <w:pPr>
      <w:widowControl/>
      <w:spacing w:line="289" w:lineRule="atLeast"/>
      <w:jc w:val="center"/>
      <w:textAlignment w:val="baseline"/>
    </w:pPr>
    <w:rPr>
      <w:rFonts w:ascii="Times New Roman" w:hAnsi="Times New Roman"/>
      <w:color w:val="000000"/>
      <w:sz w:val="28"/>
      <w:szCs w:val="20"/>
      <w:lang w:eastAsia="zh-CN"/>
    </w:rPr>
  </w:style>
  <w:style w:type="paragraph" w:customStyle="1" w:styleId="350">
    <w:name w:val="CM72"/>
    <w:basedOn w:val="84"/>
    <w:next w:val="84"/>
    <w:autoRedefine/>
    <w:qFormat/>
    <w:uiPriority w:val="0"/>
    <w:rPr>
      <w:rFonts w:ascii="Calibri" w:cs="Times New Roman"/>
      <w:color w:val="auto"/>
    </w:rPr>
  </w:style>
  <w:style w:type="paragraph" w:customStyle="1" w:styleId="351">
    <w:name w:val="Hdr 2"/>
    <w:basedOn w:val="1"/>
    <w:autoRedefine/>
    <w:qFormat/>
    <w:uiPriority w:val="0"/>
    <w:pPr>
      <w:widowControl/>
      <w:spacing w:before="60" w:after="60"/>
    </w:pPr>
    <w:rPr>
      <w:rFonts w:ascii="Times New Roman" w:hAnsi="Times New Roman"/>
      <w:sz w:val="28"/>
      <w:szCs w:val="24"/>
      <w:lang w:eastAsia="zh-CN"/>
    </w:rPr>
  </w:style>
  <w:style w:type="paragraph" w:customStyle="1" w:styleId="352">
    <w:name w:val="设备规范标题1"/>
    <w:next w:val="273"/>
    <w:autoRedefine/>
    <w:qFormat/>
    <w:uiPriority w:val="0"/>
    <w:pPr>
      <w:keepNext/>
      <w:numPr>
        <w:ilvl w:val="0"/>
        <w:numId w:val="8"/>
      </w:numPr>
      <w:tabs>
        <w:tab w:val="left" w:pos="284"/>
      </w:tabs>
      <w:spacing w:beforeLines="100" w:afterLines="50"/>
    </w:pPr>
    <w:rPr>
      <w:rFonts w:ascii="Times New Roman" w:hAnsi="Times New Roman" w:eastAsia="楷体_GB2312" w:cs="Times New Roman"/>
      <w:b/>
      <w:sz w:val="24"/>
      <w:lang w:val="en-US" w:eastAsia="zh-CN" w:bidi="ar-SA"/>
    </w:rPr>
  </w:style>
  <w:style w:type="paragraph" w:customStyle="1" w:styleId="353">
    <w:name w:val="xl6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Times New Roman" w:hAnsi="Times New Roman"/>
      <w:color w:val="FF0000"/>
      <w:lang w:eastAsia="zh-CN"/>
    </w:rPr>
  </w:style>
  <w:style w:type="paragraph" w:customStyle="1" w:styleId="354">
    <w:name w:val="CM95"/>
    <w:basedOn w:val="84"/>
    <w:next w:val="84"/>
    <w:autoRedefine/>
    <w:qFormat/>
    <w:uiPriority w:val="0"/>
    <w:pPr>
      <w:spacing w:after="115"/>
    </w:pPr>
    <w:rPr>
      <w:rFonts w:ascii="Calibri" w:cs="Times New Roman"/>
      <w:color w:val="auto"/>
    </w:rPr>
  </w:style>
  <w:style w:type="paragraph" w:customStyle="1" w:styleId="355">
    <w:name w:val="正文-zy"/>
    <w:basedOn w:val="1"/>
    <w:autoRedefine/>
    <w:qFormat/>
    <w:uiPriority w:val="0"/>
    <w:pPr>
      <w:widowControl/>
      <w:spacing w:line="360" w:lineRule="auto"/>
      <w:ind w:firstLine="480" w:firstLineChars="200"/>
    </w:pPr>
  </w:style>
  <w:style w:type="paragraph" w:customStyle="1" w:styleId="356">
    <w:name w:val="CM26"/>
    <w:basedOn w:val="84"/>
    <w:next w:val="84"/>
    <w:autoRedefine/>
    <w:qFormat/>
    <w:uiPriority w:val="0"/>
    <w:pPr>
      <w:spacing w:line="400" w:lineRule="atLeast"/>
    </w:pPr>
    <w:rPr>
      <w:rFonts w:ascii="Calibri" w:cs="Times New Roman"/>
      <w:color w:val="auto"/>
    </w:rPr>
  </w:style>
  <w:style w:type="paragraph" w:customStyle="1" w:styleId="357">
    <w:name w:val="CM96"/>
    <w:basedOn w:val="84"/>
    <w:next w:val="84"/>
    <w:autoRedefine/>
    <w:qFormat/>
    <w:uiPriority w:val="0"/>
    <w:pPr>
      <w:spacing w:after="298"/>
    </w:pPr>
    <w:rPr>
      <w:rFonts w:ascii="Calibri" w:cs="Times New Roman"/>
      <w:color w:val="auto"/>
    </w:rPr>
  </w:style>
  <w:style w:type="paragraph" w:customStyle="1" w:styleId="358">
    <w:name w:val="正文再缩近"/>
    <w:basedOn w:val="1"/>
    <w:autoRedefine/>
    <w:qFormat/>
    <w:uiPriority w:val="0"/>
    <w:pPr>
      <w:spacing w:line="440" w:lineRule="exact"/>
      <w:ind w:firstLine="400" w:firstLineChars="400"/>
      <w:jc w:val="both"/>
    </w:pPr>
    <w:rPr>
      <w:rFonts w:ascii="华文细黑" w:hAnsi="华文细黑" w:cs="Arial"/>
      <w:color w:val="FF0000"/>
      <w:sz w:val="21"/>
      <w:szCs w:val="21"/>
      <w:lang w:eastAsia="zh-CN"/>
    </w:rPr>
  </w:style>
  <w:style w:type="paragraph" w:customStyle="1" w:styleId="359">
    <w:name w:val="正文文本缩进 31"/>
    <w:basedOn w:val="1"/>
    <w:autoRedefine/>
    <w:qFormat/>
    <w:uiPriority w:val="0"/>
    <w:pPr>
      <w:adjustRightInd w:val="0"/>
      <w:spacing w:line="360" w:lineRule="auto"/>
      <w:ind w:firstLine="430"/>
      <w:jc w:val="both"/>
      <w:textAlignment w:val="baseline"/>
    </w:pPr>
    <w:rPr>
      <w:rFonts w:ascii="Times New Roman" w:hAnsi="Times New Roman"/>
      <w:kern w:val="2"/>
      <w:sz w:val="24"/>
      <w:szCs w:val="20"/>
      <w:lang w:eastAsia="zh-CN"/>
    </w:rPr>
  </w:style>
  <w:style w:type="paragraph" w:customStyle="1" w:styleId="360">
    <w:name w:val="xl147"/>
    <w:basedOn w:val="1"/>
    <w:autoRedefine/>
    <w:qFormat/>
    <w:uiPriority w:val="0"/>
    <w:pPr>
      <w:widowControl/>
      <w:pBdr>
        <w:left w:val="single" w:color="auto" w:sz="4"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61">
    <w:name w:val="xl193"/>
    <w:basedOn w:val="1"/>
    <w:autoRedefine/>
    <w:qFormat/>
    <w:uiPriority w:val="0"/>
    <w:pPr>
      <w:widowControl/>
      <w:pBdr>
        <w:left w:val="single" w:color="auto" w:sz="8" w:space="0"/>
        <w:bottom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62">
    <w:name w:val="xl138"/>
    <w:basedOn w:val="1"/>
    <w:autoRedefine/>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63">
    <w:name w:val="xl3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lang w:eastAsia="zh-CN"/>
    </w:rPr>
  </w:style>
  <w:style w:type="paragraph" w:customStyle="1" w:styleId="364">
    <w:name w:val="CB&amp;I 1.1.1.1"/>
    <w:basedOn w:val="1"/>
    <w:autoRedefine/>
    <w:qFormat/>
    <w:uiPriority w:val="0"/>
    <w:pPr>
      <w:numPr>
        <w:ilvl w:val="3"/>
        <w:numId w:val="7"/>
      </w:numPr>
      <w:adjustRightInd w:val="0"/>
      <w:spacing w:after="180" w:line="320" w:lineRule="exact"/>
      <w:jc w:val="both"/>
      <w:textAlignment w:val="baseline"/>
    </w:pPr>
    <w:rPr>
      <w:rFonts w:ascii="Arial" w:hAnsi="Arial"/>
      <w:sz w:val="24"/>
      <w:szCs w:val="20"/>
      <w:lang w:eastAsia="zh-CN"/>
    </w:rPr>
  </w:style>
  <w:style w:type="paragraph" w:customStyle="1" w:styleId="365">
    <w:name w:val="列表段落1"/>
    <w:basedOn w:val="1"/>
    <w:autoRedefine/>
    <w:qFormat/>
    <w:uiPriority w:val="0"/>
    <w:pPr>
      <w:ind w:firstLine="420" w:firstLineChars="200"/>
      <w:jc w:val="both"/>
    </w:pPr>
    <w:rPr>
      <w:kern w:val="2"/>
      <w:sz w:val="21"/>
      <w:lang w:eastAsia="zh-CN"/>
    </w:rPr>
  </w:style>
  <w:style w:type="paragraph" w:customStyle="1" w:styleId="366">
    <w:name w:val="xl146"/>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67">
    <w:name w:val="xl100"/>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68">
    <w:name w:val="强调文字(用于标题)"/>
    <w:basedOn w:val="2"/>
    <w:autoRedefine/>
    <w:qFormat/>
    <w:uiPriority w:val="0"/>
    <w:pPr>
      <w:keepNext/>
      <w:keepLines/>
      <w:tabs>
        <w:tab w:val="left" w:pos="432"/>
      </w:tabs>
      <w:spacing w:beforeLines="100" w:afterLines="100" w:line="440" w:lineRule="exact"/>
      <w:ind w:left="432" w:hanging="432"/>
      <w:jc w:val="center"/>
      <w:outlineLvl w:val="9"/>
    </w:pPr>
    <w:rPr>
      <w:rFonts w:ascii="黑体" w:hAnsi="华文细黑" w:eastAsia="黑体" w:cs="Arial"/>
      <w:b w:val="0"/>
      <w:color w:val="000000"/>
      <w:sz w:val="24"/>
      <w:szCs w:val="36"/>
      <w:lang w:eastAsia="zh-CN"/>
    </w:rPr>
  </w:style>
  <w:style w:type="paragraph" w:customStyle="1" w:styleId="369">
    <w:name w:val="样式1"/>
    <w:basedOn w:val="1"/>
    <w:autoRedefine/>
    <w:qFormat/>
    <w:uiPriority w:val="0"/>
    <w:pPr>
      <w:adjustRightInd w:val="0"/>
      <w:spacing w:line="420" w:lineRule="auto"/>
      <w:jc w:val="center"/>
      <w:textAlignment w:val="baseline"/>
    </w:pPr>
    <w:rPr>
      <w:rFonts w:ascii="宋体" w:hAnsi="Times New Roman"/>
      <w:sz w:val="24"/>
      <w:szCs w:val="20"/>
      <w:lang w:eastAsia="zh-CN"/>
    </w:rPr>
  </w:style>
  <w:style w:type="paragraph" w:customStyle="1" w:styleId="370">
    <w:name w:val="正文_1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71">
    <w:name w:val="xl156"/>
    <w:basedOn w:val="1"/>
    <w:autoRedefine/>
    <w:qFormat/>
    <w:uiPriority w:val="0"/>
    <w:pPr>
      <w:widowControl/>
      <w:pBdr>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72">
    <w:name w:val="xl160"/>
    <w:basedOn w:val="1"/>
    <w:autoRedefine/>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73">
    <w:name w:val="xl171"/>
    <w:basedOn w:val="1"/>
    <w:autoRedefine/>
    <w:qFormat/>
    <w:uiPriority w:val="0"/>
    <w:pPr>
      <w:widowControl/>
      <w:pBdr>
        <w:lef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74">
    <w:name w:val="xl173"/>
    <w:basedOn w:val="1"/>
    <w:autoRedefine/>
    <w:qFormat/>
    <w:uiPriority w:val="0"/>
    <w:pPr>
      <w:widowControl/>
      <w:pBdr>
        <w:top w:val="single" w:color="auto" w:sz="8" w:space="0"/>
        <w:lef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75">
    <w:name w:val="样式 标题 1 + 段前: 5 磅 段后: 3.6 磅"/>
    <w:basedOn w:val="2"/>
    <w:autoRedefine/>
    <w:qFormat/>
    <w:uiPriority w:val="0"/>
    <w:pPr>
      <w:keepNext/>
      <w:keepLines/>
      <w:widowControl/>
      <w:tabs>
        <w:tab w:val="left" w:pos="3780"/>
      </w:tabs>
      <w:spacing w:beforeLines="50" w:afterLines="50" w:line="360" w:lineRule="auto"/>
      <w:ind w:left="719" w:hanging="719" w:hangingChars="341"/>
      <w:outlineLvl w:val="1"/>
    </w:pPr>
    <w:rPr>
      <w:rFonts w:ascii="Arial" w:hAnsi="Arial" w:eastAsia="新宋体" w:cs="宋体"/>
      <w:color w:val="000000"/>
      <w:kern w:val="44"/>
      <w:sz w:val="21"/>
      <w:szCs w:val="24"/>
      <w:lang w:eastAsia="zh-CN"/>
    </w:rPr>
  </w:style>
  <w:style w:type="paragraph" w:customStyle="1" w:styleId="376">
    <w:name w:val="字元 字元11"/>
    <w:basedOn w:val="1"/>
    <w:autoRedefine/>
    <w:qFormat/>
    <w:uiPriority w:val="0"/>
    <w:pPr>
      <w:jc w:val="both"/>
    </w:pPr>
    <w:rPr>
      <w:rFonts w:ascii="Times New Roman" w:hAnsi="Times New Roman"/>
      <w:kern w:val="2"/>
      <w:sz w:val="21"/>
      <w:szCs w:val="24"/>
      <w:lang w:eastAsia="zh-CN"/>
    </w:rPr>
  </w:style>
  <w:style w:type="paragraph" w:customStyle="1" w:styleId="377">
    <w:name w:val="公式 Char Char"/>
    <w:basedOn w:val="1"/>
    <w:next w:val="1"/>
    <w:autoRedefine/>
    <w:qFormat/>
    <w:uiPriority w:val="0"/>
    <w:pPr>
      <w:spacing w:line="440" w:lineRule="exact"/>
      <w:ind w:firstLine="630" w:firstLineChars="300"/>
    </w:pPr>
    <w:rPr>
      <w:rFonts w:ascii="华文细黑" w:hAnsi="华文细黑" w:eastAsia="华文细黑" w:cs="Arial"/>
      <w:sz w:val="30"/>
      <w:szCs w:val="21"/>
      <w:lang w:eastAsia="zh-CN"/>
    </w:rPr>
  </w:style>
  <w:style w:type="paragraph" w:customStyle="1" w:styleId="378">
    <w:name w:val="Char Char Char Char Char Char1 Char Char11"/>
    <w:basedOn w:val="1"/>
    <w:autoRedefine/>
    <w:qFormat/>
    <w:uiPriority w:val="0"/>
    <w:pPr>
      <w:jc w:val="both"/>
    </w:pPr>
    <w:rPr>
      <w:rFonts w:ascii="Times New Roman" w:hAnsi="Times New Roman"/>
      <w:kern w:val="2"/>
      <w:sz w:val="21"/>
      <w:szCs w:val="24"/>
      <w:lang w:eastAsia="zh-CN"/>
    </w:rPr>
  </w:style>
  <w:style w:type="paragraph" w:customStyle="1" w:styleId="379">
    <w:name w:val="Char2"/>
    <w:basedOn w:val="1"/>
    <w:autoRedefine/>
    <w:qFormat/>
    <w:uiPriority w:val="0"/>
    <w:pPr>
      <w:jc w:val="both"/>
    </w:pPr>
    <w:rPr>
      <w:rFonts w:ascii="Tahoma" w:hAnsi="Tahoma"/>
      <w:kern w:val="2"/>
      <w:sz w:val="24"/>
      <w:szCs w:val="20"/>
      <w:lang w:eastAsia="zh-CN"/>
    </w:rPr>
  </w:style>
  <w:style w:type="paragraph" w:customStyle="1" w:styleId="380">
    <w:name w:val="落款"/>
    <w:basedOn w:val="1"/>
    <w:autoRedefine/>
    <w:qFormat/>
    <w:uiPriority w:val="0"/>
    <w:pPr>
      <w:spacing w:line="440" w:lineRule="exact"/>
      <w:ind w:firstLine="630" w:firstLineChars="300"/>
    </w:pPr>
    <w:rPr>
      <w:rFonts w:ascii="华文细黑" w:hAnsi="华文细黑" w:cs="Arial"/>
      <w:sz w:val="21"/>
      <w:szCs w:val="21"/>
      <w:lang w:eastAsia="zh-CN"/>
    </w:rPr>
  </w:style>
  <w:style w:type="paragraph" w:customStyle="1" w:styleId="381">
    <w:name w:val="xl177"/>
    <w:basedOn w:val="1"/>
    <w:autoRedefine/>
    <w:qFormat/>
    <w:uiPriority w:val="0"/>
    <w:pPr>
      <w:widowControl/>
      <w:pBdr>
        <w:top w:val="single" w:color="auto" w:sz="8" w:space="0"/>
        <w:bottom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82">
    <w:name w:val="CM99"/>
    <w:basedOn w:val="84"/>
    <w:next w:val="84"/>
    <w:autoRedefine/>
    <w:qFormat/>
    <w:uiPriority w:val="0"/>
    <w:pPr>
      <w:spacing w:after="443"/>
    </w:pPr>
    <w:rPr>
      <w:rFonts w:ascii="Calibri" w:cs="Times New Roman"/>
      <w:color w:val="auto"/>
    </w:rPr>
  </w:style>
  <w:style w:type="paragraph" w:customStyle="1" w:styleId="383">
    <w:name w:val="CM25"/>
    <w:basedOn w:val="84"/>
    <w:next w:val="84"/>
    <w:autoRedefine/>
    <w:qFormat/>
    <w:uiPriority w:val="0"/>
    <w:pPr>
      <w:spacing w:line="440" w:lineRule="atLeast"/>
    </w:pPr>
    <w:rPr>
      <w:rFonts w:ascii="Calibri" w:cs="Times New Roman"/>
      <w:color w:val="auto"/>
    </w:rPr>
  </w:style>
  <w:style w:type="paragraph" w:customStyle="1" w:styleId="384">
    <w:name w:val="小标题"/>
    <w:basedOn w:val="4"/>
    <w:autoRedefine/>
    <w:qFormat/>
    <w:uiPriority w:val="0"/>
    <w:pPr>
      <w:keepNext/>
      <w:tabs>
        <w:tab w:val="left" w:pos="1080"/>
      </w:tabs>
      <w:ind w:left="1080" w:hanging="1080"/>
      <w:jc w:val="both"/>
    </w:pPr>
    <w:rPr>
      <w:rFonts w:ascii="宋体" w:hAnsi="宋体"/>
      <w:kern w:val="2"/>
      <w:sz w:val="44"/>
      <w:szCs w:val="20"/>
      <w:lang w:eastAsia="zh-CN"/>
    </w:rPr>
  </w:style>
  <w:style w:type="paragraph" w:customStyle="1" w:styleId="385">
    <w:name w:val="小节标题"/>
    <w:basedOn w:val="1"/>
    <w:next w:val="1"/>
    <w:autoRedefine/>
    <w:qFormat/>
    <w:uiPriority w:val="0"/>
    <w:pPr>
      <w:widowControl/>
      <w:spacing w:before="175" w:after="102" w:line="351" w:lineRule="atLeast"/>
      <w:jc w:val="both"/>
      <w:textAlignment w:val="baseline"/>
    </w:pPr>
    <w:rPr>
      <w:rFonts w:ascii="Times New Roman" w:hAnsi="Times New Roman" w:eastAsia="黑体"/>
      <w:color w:val="000000"/>
      <w:sz w:val="21"/>
      <w:szCs w:val="20"/>
      <w:lang w:eastAsia="zh-CN"/>
    </w:rPr>
  </w:style>
  <w:style w:type="paragraph" w:customStyle="1" w:styleId="386">
    <w:name w:val="xl103"/>
    <w:basedOn w:val="1"/>
    <w:autoRedefine/>
    <w:qFormat/>
    <w:uiPriority w:val="0"/>
    <w:pPr>
      <w:widowControl/>
      <w:pBdr>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387">
    <w:name w:val="font1"/>
    <w:basedOn w:val="1"/>
    <w:autoRedefine/>
    <w:qFormat/>
    <w:uiPriority w:val="0"/>
    <w:pPr>
      <w:widowControl/>
      <w:spacing w:before="100" w:beforeAutospacing="1" w:after="100" w:afterAutospacing="1"/>
    </w:pPr>
    <w:rPr>
      <w:rFonts w:hint="eastAsia" w:ascii="宋体" w:hAnsi="宋体"/>
      <w:b/>
      <w:bCs/>
      <w:sz w:val="24"/>
      <w:szCs w:val="24"/>
      <w:lang w:eastAsia="zh-CN"/>
    </w:rPr>
  </w:style>
  <w:style w:type="paragraph" w:customStyle="1" w:styleId="388">
    <w:name w:val="Char Char1 Char"/>
    <w:basedOn w:val="21"/>
    <w:autoRedefine/>
    <w:qFormat/>
    <w:uiPriority w:val="0"/>
    <w:pPr>
      <w:widowControl w:val="0"/>
      <w:autoSpaceDE/>
      <w:autoSpaceDN/>
      <w:snapToGrid/>
      <w:spacing w:after="0"/>
      <w:ind w:left="0" w:leftChars="0" w:firstLine="0" w:firstLineChars="0"/>
      <w:textAlignment w:val="auto"/>
    </w:pPr>
    <w:rPr>
      <w:rFonts w:ascii="Tahoma" w:hAnsi="Tahoma"/>
      <w:bCs w:val="0"/>
      <w:spacing w:val="0"/>
      <w:kern w:val="2"/>
      <w:szCs w:val="24"/>
    </w:rPr>
  </w:style>
  <w:style w:type="paragraph" w:customStyle="1" w:styleId="389">
    <w:name w:val="xl4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lang w:eastAsia="zh-CN"/>
    </w:rPr>
  </w:style>
  <w:style w:type="paragraph" w:customStyle="1" w:styleId="390">
    <w:name w:val="xl164"/>
    <w:basedOn w:val="1"/>
    <w:autoRedefine/>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cs="Arial Unicode MS"/>
      <w:sz w:val="24"/>
      <w:szCs w:val="24"/>
      <w:lang w:eastAsia="zh-CN"/>
    </w:rPr>
  </w:style>
  <w:style w:type="paragraph" w:customStyle="1" w:styleId="391">
    <w:name w:val="正文_1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2">
    <w:name w:val="xl101"/>
    <w:basedOn w:val="1"/>
    <w:autoRedefine/>
    <w:qFormat/>
    <w:uiPriority w:val="0"/>
    <w:pPr>
      <w:widowControl/>
      <w:pBdr>
        <w:top w:val="single" w:color="auto" w:sz="4" w:space="0"/>
        <w:left w:val="single" w:color="auto" w:sz="8" w:space="0"/>
        <w:bottom w:val="single" w:color="auto" w:sz="4" w:space="0"/>
      </w:pBdr>
      <w:spacing w:before="100" w:beforeAutospacing="1" w:after="100" w:afterAutospacing="1"/>
      <w:jc w:val="right"/>
    </w:pPr>
    <w:rPr>
      <w:rFonts w:ascii="Arial" w:hAnsi="Arial" w:eastAsia="Arial Unicode MS" w:cs="Arial"/>
      <w:b/>
      <w:bCs/>
      <w:sz w:val="24"/>
      <w:szCs w:val="24"/>
      <w:lang w:eastAsia="zh-CN"/>
    </w:rPr>
  </w:style>
  <w:style w:type="paragraph" w:customStyle="1" w:styleId="393">
    <w:name w:val="日期1"/>
    <w:basedOn w:val="1"/>
    <w:next w:val="1"/>
    <w:autoRedefine/>
    <w:qFormat/>
    <w:uiPriority w:val="0"/>
    <w:pPr>
      <w:adjustRightInd w:val="0"/>
      <w:spacing w:line="360" w:lineRule="atLeast"/>
      <w:jc w:val="both"/>
      <w:textAlignment w:val="baseline"/>
    </w:pPr>
    <w:rPr>
      <w:rFonts w:ascii="宋体" w:hAnsi="Times New Roman"/>
      <w:sz w:val="28"/>
      <w:szCs w:val="20"/>
      <w:lang w:eastAsia="zh-CN"/>
    </w:rPr>
  </w:style>
  <w:style w:type="paragraph" w:customStyle="1" w:styleId="394">
    <w:name w:val="font0"/>
    <w:basedOn w:val="1"/>
    <w:autoRedefine/>
    <w:qFormat/>
    <w:uiPriority w:val="0"/>
    <w:pPr>
      <w:widowControl/>
      <w:spacing w:before="100" w:beforeAutospacing="1" w:after="100" w:afterAutospacing="1"/>
    </w:pPr>
    <w:rPr>
      <w:rFonts w:hint="eastAsia" w:ascii="宋体" w:hAnsi="宋体"/>
      <w:sz w:val="24"/>
      <w:szCs w:val="24"/>
      <w:lang w:eastAsia="zh-CN"/>
    </w:rPr>
  </w:style>
  <w:style w:type="paragraph" w:customStyle="1" w:styleId="395">
    <w:name w:val="正文(齐头)"/>
    <w:basedOn w:val="1"/>
    <w:autoRedefine/>
    <w:qFormat/>
    <w:uiPriority w:val="0"/>
    <w:pPr>
      <w:adjustRightInd w:val="0"/>
      <w:spacing w:after="180" w:line="320" w:lineRule="exact"/>
      <w:ind w:left="1009" w:hanging="1009"/>
      <w:jc w:val="both"/>
      <w:textAlignment w:val="bottom"/>
    </w:pPr>
    <w:rPr>
      <w:rFonts w:ascii="Arial" w:hAnsi="Arial"/>
      <w:sz w:val="24"/>
      <w:szCs w:val="20"/>
      <w:lang w:eastAsia="zh-CN"/>
    </w:rPr>
  </w:style>
  <w:style w:type="paragraph" w:customStyle="1" w:styleId="396">
    <w:name w:val="xl11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397">
    <w:name w:val="无间隔1"/>
    <w:autoRedefine/>
    <w:qFormat/>
    <w:uiPriority w:val="1"/>
    <w:pPr>
      <w:widowControl w:val="0"/>
      <w:spacing w:line="360" w:lineRule="auto"/>
      <w:jc w:val="both"/>
    </w:pPr>
    <w:rPr>
      <w:rFonts w:ascii="Times New Roman" w:hAnsi="Times New Roman" w:eastAsia="宋体" w:cs="Times New Roman"/>
      <w:sz w:val="24"/>
      <w:lang w:val="en-US" w:eastAsia="zh-CN" w:bidi="ar-SA"/>
    </w:rPr>
  </w:style>
  <w:style w:type="paragraph" w:customStyle="1" w:styleId="398">
    <w:name w:val="标题 0"/>
    <w:basedOn w:val="2"/>
    <w:autoRedefine/>
    <w:qFormat/>
    <w:uiPriority w:val="0"/>
    <w:pPr>
      <w:tabs>
        <w:tab w:val="left" w:pos="3780"/>
      </w:tabs>
      <w:spacing w:line="360" w:lineRule="auto"/>
      <w:ind w:left="0"/>
    </w:pPr>
    <w:rPr>
      <w:rFonts w:ascii="Times New Roman" w:hAnsi="Times New Roman" w:eastAsia="宋体"/>
      <w:bCs w:val="0"/>
      <w:color w:val="000000"/>
      <w:kern w:val="2"/>
      <w:sz w:val="30"/>
      <w:szCs w:val="20"/>
      <w:lang w:eastAsia="zh-CN"/>
    </w:rPr>
  </w:style>
  <w:style w:type="paragraph" w:customStyle="1" w:styleId="399">
    <w:name w:val="xl145"/>
    <w:basedOn w:val="1"/>
    <w:autoRedefine/>
    <w:qFormat/>
    <w:uiPriority w:val="0"/>
    <w:pPr>
      <w:widowControl/>
      <w:pBdr>
        <w:left w:val="single" w:color="auto" w:sz="8" w:space="0"/>
        <w:bottom w:val="single" w:color="auto" w:sz="8"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400">
    <w:name w:val="xl192"/>
    <w:basedOn w:val="1"/>
    <w:autoRedefine/>
    <w:qFormat/>
    <w:uiPriority w:val="0"/>
    <w:pPr>
      <w:widowControl/>
      <w:spacing w:before="100" w:beforeAutospacing="1" w:after="100" w:afterAutospacing="1"/>
      <w:jc w:val="center"/>
    </w:pPr>
    <w:rPr>
      <w:rFonts w:hint="eastAsia" w:ascii="宋体" w:hAnsi="宋体" w:cs="Arial Unicode MS"/>
      <w:b/>
      <w:bCs/>
      <w:sz w:val="24"/>
      <w:szCs w:val="24"/>
      <w:lang w:eastAsia="zh-CN"/>
    </w:rPr>
  </w:style>
  <w:style w:type="paragraph" w:customStyle="1" w:styleId="401">
    <w:name w:val="修订2"/>
    <w:autoRedefine/>
    <w:qFormat/>
    <w:uiPriority w:val="0"/>
    <w:rPr>
      <w:rFonts w:ascii="Calibri" w:hAnsi="Calibri" w:eastAsia="宋体" w:cs="Times New Roman"/>
      <w:sz w:val="22"/>
      <w:szCs w:val="22"/>
      <w:lang w:val="en-US" w:eastAsia="en-US" w:bidi="ar-SA"/>
    </w:rPr>
  </w:style>
  <w:style w:type="paragraph" w:customStyle="1" w:styleId="402">
    <w:name w:val="CM35"/>
    <w:basedOn w:val="84"/>
    <w:next w:val="84"/>
    <w:autoRedefine/>
    <w:qFormat/>
    <w:uiPriority w:val="0"/>
    <w:pPr>
      <w:spacing w:line="400" w:lineRule="atLeast"/>
    </w:pPr>
    <w:rPr>
      <w:rFonts w:ascii="Calibri" w:cs="Times New Roman"/>
      <w:color w:val="auto"/>
    </w:rPr>
  </w:style>
  <w:style w:type="paragraph" w:customStyle="1" w:styleId="403">
    <w:name w:val="Char Char Char Char Char Char Char Char Char Char1"/>
    <w:basedOn w:val="1"/>
    <w:autoRedefine/>
    <w:qFormat/>
    <w:uiPriority w:val="0"/>
    <w:pPr>
      <w:jc w:val="both"/>
    </w:pPr>
    <w:rPr>
      <w:rFonts w:ascii="Times New Roman" w:hAnsi="Times New Roman"/>
      <w:kern w:val="2"/>
      <w:sz w:val="21"/>
      <w:szCs w:val="20"/>
      <w:lang w:eastAsia="zh-CN"/>
    </w:rPr>
  </w:style>
  <w:style w:type="paragraph" w:customStyle="1" w:styleId="404">
    <w:name w:val="xl4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FF0000"/>
      <w:lang w:eastAsia="zh-CN"/>
    </w:rPr>
  </w:style>
  <w:style w:type="paragraph" w:customStyle="1" w:styleId="405">
    <w:name w:val="xl109"/>
    <w:basedOn w:val="1"/>
    <w:autoRedefine/>
    <w:qFormat/>
    <w:uiPriority w:val="0"/>
    <w:pPr>
      <w:widowControl/>
      <w:pBdr>
        <w:left w:val="single" w:color="auto" w:sz="4" w:space="0"/>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406">
    <w:name w:val="xl35"/>
    <w:basedOn w:val="1"/>
    <w:autoRedefine/>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b/>
      <w:bCs/>
      <w:lang w:eastAsia="zh-CN"/>
    </w:rPr>
  </w:style>
  <w:style w:type="paragraph" w:customStyle="1" w:styleId="407">
    <w:name w:val="Char12"/>
    <w:basedOn w:val="1"/>
    <w:autoRedefine/>
    <w:qFormat/>
    <w:uiPriority w:val="0"/>
    <w:pPr>
      <w:jc w:val="both"/>
    </w:pPr>
    <w:rPr>
      <w:rFonts w:ascii="Times New Roman" w:hAnsi="Times New Roman"/>
      <w:kern w:val="2"/>
      <w:sz w:val="21"/>
      <w:szCs w:val="24"/>
      <w:lang w:eastAsia="zh-CN"/>
    </w:rPr>
  </w:style>
  <w:style w:type="paragraph" w:customStyle="1" w:styleId="408">
    <w:name w:val="表格1"/>
    <w:basedOn w:val="1"/>
    <w:autoRedefine/>
    <w:qFormat/>
    <w:uiPriority w:val="0"/>
    <w:pPr>
      <w:tabs>
        <w:tab w:val="left" w:pos="203"/>
      </w:tabs>
      <w:spacing w:before="40" w:after="40"/>
      <w:jc w:val="center"/>
    </w:pPr>
    <w:rPr>
      <w:rFonts w:ascii="Times New Roman" w:hAnsi="Times New Roman"/>
      <w:b/>
      <w:bCs/>
      <w:kern w:val="2"/>
      <w:sz w:val="28"/>
      <w:szCs w:val="20"/>
      <w:lang w:eastAsia="zh-CN"/>
    </w:rPr>
  </w:style>
  <w:style w:type="paragraph" w:customStyle="1" w:styleId="409">
    <w:name w:val="默认段落字体 Para Char"/>
    <w:basedOn w:val="66"/>
    <w:autoRedefine/>
    <w:qFormat/>
    <w:uiPriority w:val="0"/>
    <w:pPr>
      <w:autoSpaceDE w:val="0"/>
      <w:autoSpaceDN w:val="0"/>
      <w:adjustRightInd w:val="0"/>
      <w:snapToGrid w:val="0"/>
      <w:spacing w:after="0" w:line="360" w:lineRule="auto"/>
      <w:ind w:left="0" w:leftChars="0" w:firstLine="0" w:firstLineChars="0"/>
      <w:jc w:val="left"/>
      <w:textAlignment w:val="baseline"/>
    </w:pPr>
    <w:rPr>
      <w:rFonts w:ascii="宋体" w:hAnsi="Calibri"/>
      <w:kern w:val="0"/>
      <w:sz w:val="28"/>
      <w:szCs w:val="20"/>
    </w:rPr>
  </w:style>
  <w:style w:type="paragraph" w:customStyle="1" w:styleId="410">
    <w:name w:val="xl7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lang w:eastAsia="zh-CN"/>
    </w:rPr>
  </w:style>
  <w:style w:type="paragraph" w:customStyle="1" w:styleId="411">
    <w:name w:val="xl26"/>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412">
    <w:name w:val="xl136"/>
    <w:basedOn w:val="1"/>
    <w:autoRedefine/>
    <w:qFormat/>
    <w:uiPriority w:val="0"/>
    <w:pPr>
      <w:widowControl/>
      <w:pBdr>
        <w:top w:val="single" w:color="auto" w:sz="4" w:space="0"/>
        <w:left w:val="single" w:color="auto" w:sz="8" w:space="0"/>
        <w:bottom w:val="single" w:color="auto" w:sz="4" w:space="0"/>
        <w:right w:val="single" w:color="auto" w:sz="8" w:space="0"/>
      </w:pBdr>
      <w:shd w:val="clear" w:color="auto" w:fill="FFFF99"/>
      <w:spacing w:before="100" w:beforeAutospacing="1" w:after="100" w:afterAutospacing="1"/>
    </w:pPr>
    <w:rPr>
      <w:rFonts w:hint="eastAsia" w:ascii="宋体" w:hAnsi="宋体" w:cs="Arial Unicode MS"/>
      <w:b/>
      <w:bCs/>
      <w:sz w:val="24"/>
      <w:szCs w:val="24"/>
      <w:lang w:eastAsia="zh-CN"/>
    </w:rPr>
  </w:style>
  <w:style w:type="paragraph" w:customStyle="1" w:styleId="413">
    <w:name w:val="表格文字"/>
    <w:next w:val="28"/>
    <w:autoRedefine/>
    <w:qFormat/>
    <w:uiPriority w:val="0"/>
    <w:pPr>
      <w:jc w:val="center"/>
    </w:pPr>
    <w:rPr>
      <w:rFonts w:ascii="Times New Roman" w:hAnsi="Times New Roman" w:eastAsia="楷体_GB2312" w:cs="Times New Roman"/>
      <w:sz w:val="24"/>
      <w:lang w:val="en-US" w:eastAsia="zh-CN" w:bidi="ar-SA"/>
    </w:rPr>
  </w:style>
  <w:style w:type="paragraph" w:customStyle="1" w:styleId="414">
    <w:name w:val="CM76"/>
    <w:basedOn w:val="84"/>
    <w:next w:val="84"/>
    <w:autoRedefine/>
    <w:qFormat/>
    <w:uiPriority w:val="0"/>
    <w:pPr>
      <w:spacing w:line="400" w:lineRule="atLeast"/>
    </w:pPr>
    <w:rPr>
      <w:rFonts w:ascii="Calibri" w:cs="Times New Roman"/>
      <w:color w:val="auto"/>
    </w:rPr>
  </w:style>
  <w:style w:type="paragraph" w:customStyle="1" w:styleId="415">
    <w:name w:val="xl29"/>
    <w:basedOn w:val="1"/>
    <w:autoRedefine/>
    <w:qFormat/>
    <w:uiPriority w:val="0"/>
    <w:pPr>
      <w:widowControl/>
      <w:pBdr>
        <w:left w:val="single" w:color="auto" w:sz="4" w:space="0"/>
        <w:bottom w:val="single" w:color="auto" w:sz="4" w:space="0"/>
        <w:right w:val="single" w:color="auto" w:sz="4" w:space="0"/>
      </w:pBdr>
      <w:spacing w:before="100" w:after="100"/>
      <w:jc w:val="center"/>
      <w:textAlignment w:val="center"/>
    </w:pPr>
    <w:rPr>
      <w:rFonts w:ascii="Arial Unicode MS" w:hAnsi="Arial Unicode MS" w:eastAsia="Arial Unicode MS"/>
      <w:sz w:val="24"/>
      <w:szCs w:val="20"/>
      <w:lang w:eastAsia="zh-CN"/>
    </w:rPr>
  </w:style>
  <w:style w:type="paragraph" w:customStyle="1" w:styleId="416">
    <w:name w:val="xl167"/>
    <w:basedOn w:val="1"/>
    <w:autoRedefine/>
    <w:qFormat/>
    <w:uiPriority w:val="0"/>
    <w:pPr>
      <w:widowControl/>
      <w:spacing w:before="100" w:beforeAutospacing="1" w:after="100" w:afterAutospacing="1"/>
    </w:pPr>
    <w:rPr>
      <w:rFonts w:ascii="Arial" w:hAnsi="Arial" w:eastAsia="Arial Unicode MS" w:cs="Arial"/>
      <w:b/>
      <w:bCs/>
      <w:sz w:val="24"/>
      <w:szCs w:val="24"/>
      <w:lang w:eastAsia="zh-CN"/>
    </w:rPr>
  </w:style>
  <w:style w:type="paragraph" w:customStyle="1" w:styleId="417">
    <w:name w:val="xl10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418">
    <w:name w:val="Char1 Char Char Char Char Char Char Char Char Char Char Char Char1"/>
    <w:basedOn w:val="1"/>
    <w:autoRedefine/>
    <w:qFormat/>
    <w:uiPriority w:val="0"/>
    <w:pPr>
      <w:widowControl/>
      <w:spacing w:after="160" w:line="240" w:lineRule="exact"/>
    </w:pPr>
    <w:rPr>
      <w:rFonts w:ascii="Verdana" w:hAnsi="Verdana" w:eastAsia="仿宋_GB2312"/>
      <w:sz w:val="24"/>
      <w:szCs w:val="20"/>
    </w:rPr>
  </w:style>
  <w:style w:type="paragraph" w:customStyle="1" w:styleId="419">
    <w:name w:val="CM46"/>
    <w:basedOn w:val="84"/>
    <w:next w:val="84"/>
    <w:autoRedefine/>
    <w:qFormat/>
    <w:uiPriority w:val="0"/>
    <w:rPr>
      <w:rFonts w:ascii="Calibri" w:cs="Times New Roman"/>
      <w:color w:val="auto"/>
    </w:rPr>
  </w:style>
  <w:style w:type="paragraph" w:customStyle="1" w:styleId="420">
    <w:name w:val="修订3"/>
    <w:autoRedefine/>
    <w:semiHidden/>
    <w:qFormat/>
    <w:uiPriority w:val="99"/>
    <w:rPr>
      <w:rFonts w:ascii="Calibri" w:hAnsi="Calibri" w:eastAsia="宋体" w:cs="Times New Roman"/>
      <w:sz w:val="22"/>
      <w:szCs w:val="22"/>
      <w:lang w:val="en-US" w:eastAsia="en-US" w:bidi="ar-SA"/>
    </w:rPr>
  </w:style>
  <w:style w:type="paragraph" w:customStyle="1" w:styleId="421">
    <w:name w:val="CM101"/>
    <w:basedOn w:val="84"/>
    <w:next w:val="84"/>
    <w:autoRedefine/>
    <w:qFormat/>
    <w:uiPriority w:val="0"/>
    <w:pPr>
      <w:spacing w:after="800"/>
    </w:pPr>
    <w:rPr>
      <w:rFonts w:ascii="Calibri" w:cs="Times New Roman"/>
      <w:color w:val="auto"/>
    </w:rPr>
  </w:style>
  <w:style w:type="paragraph" w:customStyle="1" w:styleId="422">
    <w:name w:val="CM20"/>
    <w:basedOn w:val="84"/>
    <w:next w:val="84"/>
    <w:autoRedefine/>
    <w:qFormat/>
    <w:uiPriority w:val="0"/>
    <w:pPr>
      <w:spacing w:line="400" w:lineRule="atLeast"/>
    </w:pPr>
    <w:rPr>
      <w:rFonts w:ascii="Calibri" w:cs="Times New Roman"/>
      <w:color w:val="auto"/>
    </w:rPr>
  </w:style>
  <w:style w:type="paragraph" w:customStyle="1" w:styleId="423">
    <w:name w:val="xl184"/>
    <w:basedOn w:val="1"/>
    <w:autoRedefine/>
    <w:qFormat/>
    <w:uiPriority w:val="0"/>
    <w:pPr>
      <w:widowControl/>
      <w:pBdr>
        <w:bottom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424">
    <w:name w:val="Знак Знак Знак"/>
    <w:basedOn w:val="28"/>
    <w:next w:val="28"/>
    <w:autoRedefine/>
    <w:qFormat/>
    <w:uiPriority w:val="0"/>
    <w:pPr>
      <w:widowControl/>
      <w:spacing w:before="60" w:after="160"/>
      <w:ind w:left="794"/>
      <w:jc w:val="both"/>
    </w:pPr>
    <w:rPr>
      <w:rFonts w:ascii="Arial" w:hAnsi="Arial" w:cs="Verdana"/>
      <w:color w:val="000000"/>
      <w:sz w:val="22"/>
      <w:szCs w:val="24"/>
      <w:lang w:val="en-GB" w:eastAsia="zh-CN"/>
    </w:rPr>
  </w:style>
  <w:style w:type="paragraph" w:customStyle="1" w:styleId="425">
    <w:name w:val="xl56"/>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pPr>
    <w:rPr>
      <w:rFonts w:ascii="宋体" w:hAnsi="宋体"/>
      <w:lang w:eastAsia="zh-CN"/>
    </w:rPr>
  </w:style>
  <w:style w:type="paragraph" w:customStyle="1" w:styleId="426">
    <w:name w:val="CM62"/>
    <w:basedOn w:val="84"/>
    <w:next w:val="84"/>
    <w:autoRedefine/>
    <w:qFormat/>
    <w:uiPriority w:val="0"/>
    <w:pPr>
      <w:spacing w:line="400" w:lineRule="atLeast"/>
    </w:pPr>
    <w:rPr>
      <w:rFonts w:ascii="Calibri" w:cs="Times New Roman"/>
      <w:color w:val="auto"/>
    </w:rPr>
  </w:style>
  <w:style w:type="paragraph" w:customStyle="1" w:styleId="427">
    <w:name w:val="抬头"/>
    <w:basedOn w:val="1"/>
    <w:autoRedefine/>
    <w:qFormat/>
    <w:uiPriority w:val="0"/>
    <w:pPr>
      <w:spacing w:beforeLines="50" w:line="360" w:lineRule="auto"/>
      <w:jc w:val="both"/>
    </w:pPr>
    <w:rPr>
      <w:rFonts w:ascii="宋体" w:hAnsi="Times New Roman"/>
      <w:kern w:val="2"/>
      <w:sz w:val="24"/>
      <w:szCs w:val="24"/>
      <w:lang w:eastAsia="zh-CN"/>
    </w:rPr>
  </w:style>
  <w:style w:type="paragraph" w:customStyle="1" w:styleId="428">
    <w:name w:val="CM44"/>
    <w:basedOn w:val="84"/>
    <w:next w:val="84"/>
    <w:autoRedefine/>
    <w:qFormat/>
    <w:uiPriority w:val="0"/>
    <w:pPr>
      <w:spacing w:line="440" w:lineRule="atLeast"/>
    </w:pPr>
    <w:rPr>
      <w:rFonts w:ascii="Calibri" w:cs="Times New Roman"/>
      <w:color w:val="auto"/>
    </w:rPr>
  </w:style>
  <w:style w:type="paragraph" w:customStyle="1" w:styleId="429">
    <w:name w:val="xl141"/>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30">
    <w:name w:val="xl40"/>
    <w:basedOn w:val="1"/>
    <w:autoRedefine/>
    <w:qFormat/>
    <w:uiPriority w:val="0"/>
    <w:pPr>
      <w:widowControl/>
      <w:pBdr>
        <w:left w:val="single" w:color="auto" w:sz="8"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431">
    <w:name w:val="封面样式4"/>
    <w:basedOn w:val="1"/>
    <w:autoRedefine/>
    <w:qFormat/>
    <w:uiPriority w:val="0"/>
    <w:pPr>
      <w:spacing w:line="440" w:lineRule="exact"/>
      <w:ind w:firstLine="630" w:firstLineChars="300"/>
    </w:pPr>
    <w:rPr>
      <w:rFonts w:ascii="华文细黑" w:hAnsi="华文细黑" w:cs="Arial"/>
      <w:sz w:val="21"/>
      <w:szCs w:val="21"/>
      <w:lang w:eastAsia="zh-CN"/>
    </w:rPr>
  </w:style>
  <w:style w:type="paragraph" w:customStyle="1" w:styleId="432">
    <w:name w:val="Char1 Char Char Char"/>
    <w:basedOn w:val="1"/>
    <w:autoRedefine/>
    <w:qFormat/>
    <w:uiPriority w:val="0"/>
    <w:pPr>
      <w:jc w:val="both"/>
    </w:pPr>
    <w:rPr>
      <w:rFonts w:ascii="Times New Roman" w:hAnsi="Times New Roman"/>
      <w:kern w:val="2"/>
      <w:sz w:val="21"/>
      <w:szCs w:val="24"/>
      <w:lang w:eastAsia="zh-CN"/>
    </w:rPr>
  </w:style>
  <w:style w:type="paragraph" w:customStyle="1" w:styleId="433">
    <w:name w:val="p2"/>
    <w:basedOn w:val="1"/>
    <w:autoRedefine/>
    <w:qFormat/>
    <w:uiPriority w:val="0"/>
    <w:pPr>
      <w:widowControl/>
      <w:spacing w:line="480" w:lineRule="auto"/>
      <w:ind w:firstLine="420"/>
    </w:pPr>
    <w:rPr>
      <w:rFonts w:ascii="宋体" w:hAnsi="宋体" w:cs="宋体"/>
      <w:sz w:val="21"/>
      <w:szCs w:val="21"/>
      <w:lang w:eastAsia="zh-CN"/>
    </w:rPr>
  </w:style>
  <w:style w:type="paragraph" w:customStyle="1" w:styleId="434">
    <w:name w:val="CM47"/>
    <w:basedOn w:val="84"/>
    <w:next w:val="84"/>
    <w:autoRedefine/>
    <w:qFormat/>
    <w:uiPriority w:val="0"/>
    <w:pPr>
      <w:spacing w:line="440" w:lineRule="atLeast"/>
    </w:pPr>
    <w:rPr>
      <w:rFonts w:ascii="Calibri" w:cs="Times New Roman"/>
      <w:color w:val="auto"/>
    </w:rPr>
  </w:style>
  <w:style w:type="paragraph" w:customStyle="1" w:styleId="435">
    <w:name w:val="不缩进"/>
    <w:basedOn w:val="1"/>
    <w:autoRedefine/>
    <w:qFormat/>
    <w:uiPriority w:val="0"/>
    <w:pPr>
      <w:jc w:val="center"/>
    </w:pPr>
    <w:rPr>
      <w:rFonts w:ascii="楷体_GB2312" w:hAnsi="Times New Roman" w:eastAsia="楷体_GB2312"/>
      <w:spacing w:val="-8"/>
      <w:kern w:val="2"/>
      <w:sz w:val="24"/>
      <w:szCs w:val="20"/>
      <w:lang w:eastAsia="zh-CN"/>
    </w:rPr>
  </w:style>
  <w:style w:type="paragraph" w:customStyle="1" w:styleId="436">
    <w:name w:val="xl106"/>
    <w:basedOn w:val="1"/>
    <w:autoRedefine/>
    <w:qFormat/>
    <w:uiPriority w:val="0"/>
    <w:pPr>
      <w:widowControl/>
      <w:pBdr>
        <w:left w:val="single" w:color="auto" w:sz="4" w:space="0"/>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437">
    <w:name w:val="n"/>
    <w:basedOn w:val="1"/>
    <w:autoRedefine/>
    <w:qFormat/>
    <w:uiPriority w:val="0"/>
    <w:pPr>
      <w:autoSpaceDE w:val="0"/>
      <w:autoSpaceDN w:val="0"/>
      <w:adjustRightInd w:val="0"/>
      <w:spacing w:line="400" w:lineRule="atLeast"/>
      <w:jc w:val="both"/>
      <w:textAlignment w:val="baseline"/>
    </w:pPr>
    <w:rPr>
      <w:rFonts w:ascii="宋体" w:hAnsi="Times New Roman"/>
      <w:sz w:val="24"/>
      <w:szCs w:val="20"/>
      <w:lang w:eastAsia="zh-CN"/>
    </w:rPr>
  </w:style>
  <w:style w:type="paragraph" w:customStyle="1" w:styleId="438">
    <w:name w:val="带编号的正文"/>
    <w:basedOn w:val="1"/>
    <w:autoRedefine/>
    <w:qFormat/>
    <w:uiPriority w:val="0"/>
    <w:pPr>
      <w:tabs>
        <w:tab w:val="left" w:pos="180"/>
        <w:tab w:val="left" w:pos="425"/>
      </w:tabs>
      <w:spacing w:line="360" w:lineRule="auto"/>
      <w:ind w:left="200" w:leftChars="200" w:hanging="425"/>
      <w:jc w:val="both"/>
      <w:textAlignment w:val="bottom"/>
    </w:pPr>
    <w:rPr>
      <w:rFonts w:ascii="宋体" w:hAnsi="宋体" w:eastAsia="楷体_GB2312"/>
      <w:sz w:val="24"/>
      <w:szCs w:val="20"/>
      <w:lang w:eastAsia="zh-CN"/>
    </w:rPr>
  </w:style>
  <w:style w:type="paragraph" w:customStyle="1" w:styleId="439">
    <w:name w:val="xl163"/>
    <w:basedOn w:val="1"/>
    <w:autoRedefine/>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40">
    <w:name w:val="7 正文"/>
    <w:basedOn w:val="17"/>
    <w:autoRedefine/>
    <w:qFormat/>
    <w:uiPriority w:val="0"/>
    <w:pPr>
      <w:spacing w:before="100" w:beforeAutospacing="1" w:after="100" w:afterAutospacing="1" w:line="300" w:lineRule="auto"/>
      <w:ind w:firstLine="200"/>
      <w:jc w:val="left"/>
    </w:pPr>
    <w:rPr>
      <w:rFonts w:ascii="Arial" w:hAnsi="Arial" w:eastAsia="等线"/>
      <w:sz w:val="24"/>
      <w:szCs w:val="20"/>
      <w:lang w:eastAsia="zh-CN"/>
    </w:rPr>
  </w:style>
  <w:style w:type="paragraph" w:customStyle="1" w:styleId="441">
    <w:name w:val="xl11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hint="eastAsia" w:ascii="宋体" w:hAnsi="宋体" w:cs="Arial Unicode MS"/>
      <w:sz w:val="24"/>
      <w:szCs w:val="24"/>
      <w:lang w:eastAsia="zh-CN"/>
    </w:rPr>
  </w:style>
  <w:style w:type="paragraph" w:customStyle="1" w:styleId="442">
    <w:name w:val="Document 1"/>
    <w:autoRedefine/>
    <w:qFormat/>
    <w:uiPriority w:val="0"/>
    <w:pPr>
      <w:keepNext/>
      <w:keepLines/>
      <w:tabs>
        <w:tab w:val="left" w:pos="-720"/>
      </w:tabs>
      <w:suppressAutoHyphens/>
    </w:pPr>
    <w:rPr>
      <w:rFonts w:ascii="Courier New" w:hAnsi="Courier New" w:eastAsia="宋体" w:cs="Times New Roman"/>
      <w:lang w:val="en-US" w:eastAsia="en-US" w:bidi="ar-SA"/>
    </w:rPr>
  </w:style>
  <w:style w:type="paragraph" w:customStyle="1" w:styleId="443">
    <w:name w:val="CM33"/>
    <w:basedOn w:val="84"/>
    <w:next w:val="84"/>
    <w:autoRedefine/>
    <w:qFormat/>
    <w:uiPriority w:val="0"/>
    <w:rPr>
      <w:rFonts w:ascii="Calibri" w:cs="Times New Roman"/>
      <w:color w:val="auto"/>
    </w:rPr>
  </w:style>
  <w:style w:type="paragraph" w:customStyle="1" w:styleId="444">
    <w:name w:val="List Paragraph1"/>
    <w:basedOn w:val="1"/>
    <w:autoRedefine/>
    <w:qFormat/>
    <w:uiPriority w:val="0"/>
    <w:pPr>
      <w:ind w:firstLine="420" w:firstLineChars="200"/>
      <w:jc w:val="both"/>
    </w:pPr>
    <w:rPr>
      <w:kern w:val="2"/>
      <w:sz w:val="21"/>
      <w:szCs w:val="24"/>
      <w:lang w:eastAsia="zh-CN"/>
    </w:rPr>
  </w:style>
  <w:style w:type="paragraph" w:customStyle="1" w:styleId="445">
    <w:name w:val="图形"/>
    <w:basedOn w:val="1"/>
    <w:autoRedefine/>
    <w:qFormat/>
    <w:uiPriority w:val="0"/>
    <w:pPr>
      <w:spacing w:line="240" w:lineRule="atLeast"/>
    </w:pPr>
    <w:rPr>
      <w:rFonts w:ascii="华文细黑" w:hAnsi="华文细黑" w:cs="Arial"/>
      <w:sz w:val="21"/>
      <w:szCs w:val="21"/>
      <w:lang w:eastAsia="zh-CN"/>
    </w:rPr>
  </w:style>
  <w:style w:type="paragraph" w:customStyle="1" w:styleId="446">
    <w:name w:val="xl75"/>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pPr>
    <w:rPr>
      <w:rFonts w:ascii="宋体" w:hAnsi="宋体"/>
      <w:lang w:eastAsia="zh-CN"/>
    </w:rPr>
  </w:style>
  <w:style w:type="paragraph" w:customStyle="1" w:styleId="447">
    <w:name w:val="xl102"/>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pPr>
    <w:rPr>
      <w:rFonts w:hint="eastAsia" w:ascii="宋体" w:hAnsi="宋体" w:cs="Arial Unicode MS"/>
      <w:sz w:val="24"/>
      <w:szCs w:val="24"/>
      <w:lang w:eastAsia="zh-CN"/>
    </w:rPr>
  </w:style>
  <w:style w:type="paragraph" w:customStyle="1" w:styleId="448">
    <w:name w:val="xl87"/>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b/>
      <w:bCs/>
      <w:lang w:eastAsia="zh-CN"/>
    </w:rPr>
  </w:style>
  <w:style w:type="paragraph" w:customStyle="1" w:styleId="449">
    <w:name w:val="CM65"/>
    <w:basedOn w:val="84"/>
    <w:next w:val="84"/>
    <w:autoRedefine/>
    <w:qFormat/>
    <w:uiPriority w:val="0"/>
    <w:rPr>
      <w:rFonts w:ascii="Calibri" w:cs="Times New Roman"/>
      <w:color w:val="auto"/>
    </w:rPr>
  </w:style>
  <w:style w:type="paragraph" w:customStyle="1" w:styleId="450">
    <w:name w:val="封面字体2"/>
    <w:basedOn w:val="305"/>
    <w:autoRedefine/>
    <w:qFormat/>
    <w:uiPriority w:val="0"/>
  </w:style>
  <w:style w:type="paragraph" w:customStyle="1" w:styleId="451">
    <w:name w:val="xl6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olor w:val="FF0000"/>
      <w:lang w:eastAsia="zh-CN"/>
    </w:rPr>
  </w:style>
  <w:style w:type="paragraph" w:customStyle="1" w:styleId="452">
    <w:name w:val="第四行"/>
    <w:basedOn w:val="1"/>
    <w:autoRedefine/>
    <w:qFormat/>
    <w:uiPriority w:val="0"/>
    <w:pPr>
      <w:tabs>
        <w:tab w:val="left" w:pos="1200"/>
      </w:tabs>
      <w:spacing w:line="360" w:lineRule="auto"/>
      <w:jc w:val="center"/>
    </w:pPr>
    <w:rPr>
      <w:rFonts w:ascii="宋体" w:hAnsi="Arial Narrow"/>
      <w:b/>
      <w:bCs/>
      <w:spacing w:val="40"/>
      <w:kern w:val="2"/>
      <w:sz w:val="28"/>
      <w:szCs w:val="28"/>
      <w:lang w:eastAsia="zh-CN"/>
    </w:rPr>
  </w:style>
  <w:style w:type="paragraph" w:customStyle="1" w:styleId="453">
    <w:name w:val="General"/>
    <w:basedOn w:val="29"/>
    <w:autoRedefine/>
    <w:qFormat/>
    <w:uiPriority w:val="0"/>
    <w:pPr>
      <w:widowControl w:val="0"/>
      <w:tabs>
        <w:tab w:val="left" w:pos="1418"/>
        <w:tab w:val="clear" w:pos="993"/>
      </w:tabs>
      <w:adjustRightInd w:val="0"/>
      <w:spacing w:line="320" w:lineRule="atLeast"/>
      <w:ind w:left="1416" w:leftChars="0" w:hanging="1416" w:hangingChars="590"/>
      <w:textAlignment w:val="baseline"/>
    </w:pPr>
    <w:rPr>
      <w:rFonts w:ascii="Calibri" w:hAnsi="Calibri" w:eastAsia="Mincho"/>
      <w:b w:val="0"/>
      <w:sz w:val="24"/>
      <w:szCs w:val="24"/>
      <w:lang w:eastAsia="ja-JP"/>
    </w:rPr>
  </w:style>
  <w:style w:type="paragraph" w:customStyle="1" w:styleId="454">
    <w:name w:val="xl62"/>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right"/>
    </w:pPr>
    <w:rPr>
      <w:rFonts w:ascii="宋体" w:hAnsi="宋体"/>
      <w:color w:val="FF0000"/>
      <w:lang w:eastAsia="zh-CN"/>
    </w:rPr>
  </w:style>
  <w:style w:type="paragraph" w:customStyle="1" w:styleId="455">
    <w:name w:val="0C - PS Ceda"/>
    <w:basedOn w:val="1"/>
    <w:autoRedefine/>
    <w:qFormat/>
    <w:uiPriority w:val="0"/>
    <w:pPr>
      <w:widowControl/>
      <w:tabs>
        <w:tab w:val="left" w:pos="1418"/>
        <w:tab w:val="left" w:pos="6521"/>
      </w:tabs>
      <w:jc w:val="both"/>
    </w:pPr>
    <w:rPr>
      <w:rFonts w:ascii="Arial" w:hAnsi="Arial"/>
      <w:szCs w:val="20"/>
      <w:lang w:val="en-GB" w:eastAsia="zh-CN"/>
    </w:rPr>
  </w:style>
  <w:style w:type="paragraph" w:customStyle="1" w:styleId="456">
    <w:name w:val="xl52"/>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457">
    <w:name w:val="xl60"/>
    <w:basedOn w:val="1"/>
    <w:autoRedefine/>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right"/>
    </w:pPr>
    <w:rPr>
      <w:rFonts w:ascii="宋体" w:hAnsi="宋体"/>
      <w:color w:val="FF0000"/>
      <w:lang w:eastAsia="zh-CN"/>
    </w:rPr>
  </w:style>
  <w:style w:type="paragraph" w:customStyle="1" w:styleId="458">
    <w:name w:val="标题A"/>
    <w:basedOn w:val="1"/>
    <w:autoRedefine/>
    <w:qFormat/>
    <w:uiPriority w:val="0"/>
    <w:pPr>
      <w:autoSpaceDE w:val="0"/>
      <w:autoSpaceDN w:val="0"/>
      <w:ind w:left="720" w:right="-866"/>
    </w:pPr>
    <w:rPr>
      <w:rFonts w:hAnsi="Arial" w:eastAsia="黑体"/>
      <w:i/>
      <w:iCs/>
      <w:kern w:val="2"/>
      <w:sz w:val="28"/>
      <w:szCs w:val="28"/>
      <w:lang w:eastAsia="zh-CN"/>
    </w:rPr>
  </w:style>
  <w:style w:type="paragraph" w:customStyle="1" w:styleId="459">
    <w:name w:val="_Style 429"/>
    <w:autoRedefine/>
    <w:qFormat/>
    <w:uiPriority w:val="0"/>
    <w:pPr>
      <w:widowControl w:val="0"/>
    </w:pPr>
    <w:rPr>
      <w:rFonts w:ascii="Calibri" w:hAnsi="Calibri" w:eastAsia="宋体" w:cs="Times New Roman"/>
      <w:sz w:val="22"/>
      <w:szCs w:val="22"/>
      <w:lang w:val="en-US" w:eastAsia="en-US" w:bidi="ar-SA"/>
    </w:rPr>
  </w:style>
  <w:style w:type="paragraph" w:customStyle="1" w:styleId="460">
    <w:name w:val="CM53"/>
    <w:basedOn w:val="84"/>
    <w:next w:val="84"/>
    <w:autoRedefine/>
    <w:qFormat/>
    <w:uiPriority w:val="0"/>
    <w:pPr>
      <w:spacing w:line="400" w:lineRule="atLeast"/>
    </w:pPr>
    <w:rPr>
      <w:rFonts w:ascii="Calibri" w:cs="Times New Roman"/>
      <w:color w:val="auto"/>
    </w:rPr>
  </w:style>
  <w:style w:type="paragraph" w:customStyle="1" w:styleId="461">
    <w:name w:val="字元 字元1"/>
    <w:basedOn w:val="1"/>
    <w:autoRedefine/>
    <w:qFormat/>
    <w:uiPriority w:val="0"/>
    <w:pPr>
      <w:jc w:val="both"/>
    </w:pPr>
    <w:rPr>
      <w:rFonts w:ascii="Times New Roman" w:hAnsi="Times New Roman"/>
      <w:kern w:val="2"/>
      <w:sz w:val="21"/>
      <w:szCs w:val="24"/>
      <w:lang w:eastAsia="zh-CN"/>
    </w:rPr>
  </w:style>
  <w:style w:type="paragraph" w:customStyle="1" w:styleId="462">
    <w:name w:val="BankNormal"/>
    <w:autoRedefine/>
    <w:qFormat/>
    <w:uiPriority w:val="0"/>
    <w:pPr>
      <w:tabs>
        <w:tab w:val="left" w:pos="-720"/>
      </w:tabs>
      <w:suppressAutoHyphens/>
    </w:pPr>
    <w:rPr>
      <w:rFonts w:ascii="CG Times" w:hAnsi="CG Times" w:eastAsia="宋体" w:cs="Times New Roman"/>
      <w:sz w:val="22"/>
      <w:lang w:val="en-US" w:eastAsia="zh-CN" w:bidi="ar-SA"/>
    </w:rPr>
  </w:style>
  <w:style w:type="paragraph" w:customStyle="1" w:styleId="463">
    <w:name w:val="xl195"/>
    <w:basedOn w:val="1"/>
    <w:autoRedefine/>
    <w:qFormat/>
    <w:uiPriority w:val="0"/>
    <w:pPr>
      <w:widowControl/>
      <w:pBdr>
        <w:bottom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64">
    <w:name w:val="Char3"/>
    <w:basedOn w:val="1"/>
    <w:autoRedefine/>
    <w:qFormat/>
    <w:uiPriority w:val="0"/>
    <w:pPr>
      <w:jc w:val="both"/>
    </w:pPr>
    <w:rPr>
      <w:rFonts w:ascii="Tahoma" w:hAnsi="Tahoma"/>
      <w:kern w:val="2"/>
      <w:sz w:val="24"/>
      <w:szCs w:val="20"/>
      <w:lang w:eastAsia="zh-CN"/>
    </w:rPr>
  </w:style>
  <w:style w:type="paragraph" w:customStyle="1" w:styleId="465">
    <w:name w:val="xl153"/>
    <w:basedOn w:val="1"/>
    <w:autoRedefine/>
    <w:qFormat/>
    <w:uiPriority w:val="0"/>
    <w:pPr>
      <w:widowControl/>
      <w:pBdr>
        <w:left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66">
    <w:name w:val="Char Char Char Char Char Char Char Char Char Char Char Char Char Char Char Char Char Char"/>
    <w:basedOn w:val="1"/>
    <w:autoRedefine/>
    <w:qFormat/>
    <w:uiPriority w:val="0"/>
    <w:pPr>
      <w:widowControl/>
      <w:spacing w:after="160" w:line="240" w:lineRule="exact"/>
    </w:pPr>
    <w:rPr>
      <w:rFonts w:ascii="Verdana" w:hAnsi="Verdana" w:eastAsia="仿宋_GB2312" w:cs="Verdana"/>
      <w:sz w:val="24"/>
      <w:szCs w:val="24"/>
    </w:rPr>
  </w:style>
  <w:style w:type="paragraph" w:customStyle="1" w:styleId="467">
    <w:name w:val="xl135"/>
    <w:basedOn w:val="1"/>
    <w:autoRedefine/>
    <w:qFormat/>
    <w:uiPriority w:val="0"/>
    <w:pPr>
      <w:widowControl/>
      <w:pBdr>
        <w:top w:val="single" w:color="auto" w:sz="4" w:space="0"/>
        <w:left w:val="single" w:color="auto" w:sz="8" w:space="0"/>
        <w:bottom w:val="single" w:color="auto" w:sz="4" w:space="0"/>
        <w:right w:val="single" w:color="auto" w:sz="8" w:space="0"/>
      </w:pBdr>
      <w:spacing w:before="100" w:beforeAutospacing="1" w:after="100" w:afterAutospacing="1"/>
    </w:pPr>
    <w:rPr>
      <w:rFonts w:ascii="Arial" w:hAnsi="Arial" w:eastAsia="Arial Unicode MS" w:cs="Arial"/>
      <w:sz w:val="24"/>
      <w:szCs w:val="24"/>
      <w:lang w:eastAsia="zh-CN"/>
    </w:rPr>
  </w:style>
  <w:style w:type="paragraph" w:customStyle="1" w:styleId="468">
    <w:name w:val="xl151"/>
    <w:basedOn w:val="1"/>
    <w:autoRedefine/>
    <w:qFormat/>
    <w:uiPriority w:val="0"/>
    <w:pPr>
      <w:widowControl/>
      <w:pBdr>
        <w:left w:val="single" w:color="auto" w:sz="4" w:space="0"/>
        <w:bottom w:val="single" w:color="auto" w:sz="8" w:space="0"/>
        <w:right w:val="single" w:color="auto" w:sz="8"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469">
    <w:name w:val="CM81"/>
    <w:basedOn w:val="84"/>
    <w:next w:val="84"/>
    <w:autoRedefine/>
    <w:qFormat/>
    <w:uiPriority w:val="0"/>
    <w:pPr>
      <w:spacing w:line="440" w:lineRule="atLeast"/>
    </w:pPr>
    <w:rPr>
      <w:rFonts w:ascii="Calibri" w:cs="Times New Roman"/>
      <w:color w:val="auto"/>
    </w:rPr>
  </w:style>
  <w:style w:type="paragraph" w:customStyle="1" w:styleId="470">
    <w:name w:val="xl168"/>
    <w:basedOn w:val="1"/>
    <w:autoRedefine/>
    <w:qFormat/>
    <w:uiPriority w:val="0"/>
    <w:pPr>
      <w:widowControl/>
      <w:pBdr>
        <w:left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71">
    <w:name w:val="CM6"/>
    <w:basedOn w:val="84"/>
    <w:next w:val="84"/>
    <w:autoRedefine/>
    <w:qFormat/>
    <w:uiPriority w:val="0"/>
    <w:pPr>
      <w:spacing w:line="318" w:lineRule="atLeast"/>
    </w:pPr>
    <w:rPr>
      <w:rFonts w:ascii="Calibri" w:cs="Times New Roman"/>
      <w:color w:val="auto"/>
    </w:rPr>
  </w:style>
  <w:style w:type="paragraph" w:customStyle="1" w:styleId="472">
    <w:name w:val="xl165"/>
    <w:basedOn w:val="1"/>
    <w:autoRedefine/>
    <w:qFormat/>
    <w:uiPriority w:val="0"/>
    <w:pPr>
      <w:widowControl/>
      <w:pBdr>
        <w:top w:val="single" w:color="auto" w:sz="8" w:space="0"/>
        <w:left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73">
    <w:name w:val="xl121"/>
    <w:basedOn w:val="1"/>
    <w:autoRedefine/>
    <w:qFormat/>
    <w:uiPriority w:val="0"/>
    <w:pPr>
      <w:widowControl/>
      <w:pBdr>
        <w:top w:val="single" w:color="auto" w:sz="4" w:space="0"/>
        <w:left w:val="single" w:color="auto" w:sz="8" w:space="0"/>
        <w:bottom w:val="single" w:color="auto" w:sz="4" w:space="0"/>
      </w:pBdr>
      <w:shd w:val="clear" w:color="auto" w:fill="FFFF99"/>
      <w:spacing w:before="100" w:beforeAutospacing="1" w:after="100" w:afterAutospacing="1"/>
      <w:jc w:val="right"/>
    </w:pPr>
    <w:rPr>
      <w:rFonts w:ascii="Arial" w:hAnsi="Arial" w:eastAsia="Arial Unicode MS" w:cs="Arial"/>
      <w:b/>
      <w:bCs/>
      <w:sz w:val="24"/>
      <w:szCs w:val="24"/>
      <w:lang w:eastAsia="zh-CN"/>
    </w:rPr>
  </w:style>
  <w:style w:type="paragraph" w:customStyle="1" w:styleId="474">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475">
    <w:name w:val="xl158"/>
    <w:basedOn w:val="1"/>
    <w:autoRedefine/>
    <w:qFormat/>
    <w:uiPriority w:val="0"/>
    <w:pPr>
      <w:widowControl/>
      <w:pBdr>
        <w:top w:val="single" w:color="auto" w:sz="4" w:space="0"/>
        <w:bottom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76">
    <w:name w:val="正文31"/>
    <w:autoRedefine/>
    <w:qFormat/>
    <w:uiPriority w:val="0"/>
    <w:pPr>
      <w:widowControl w:val="0"/>
      <w:adjustRightInd w:val="0"/>
      <w:spacing w:line="240" w:lineRule="atLeast"/>
      <w:jc w:val="both"/>
      <w:textAlignment w:val="baseline"/>
    </w:pPr>
    <w:rPr>
      <w:rFonts w:ascii="宋体" w:hAnsi="Times New Roman" w:eastAsia="宋体" w:cs="Times New Roman"/>
      <w:sz w:val="34"/>
      <w:lang w:val="en-US" w:eastAsia="zh-CN" w:bidi="ar-SA"/>
    </w:rPr>
  </w:style>
  <w:style w:type="paragraph" w:customStyle="1" w:styleId="477">
    <w:name w:val="xl24"/>
    <w:basedOn w:val="1"/>
    <w:autoRedefine/>
    <w:qFormat/>
    <w:uiPriority w:val="0"/>
    <w:pPr>
      <w:widowControl/>
      <w:pBdr>
        <w:top w:val="single" w:color="auto" w:sz="8" w:space="0"/>
        <w:left w:val="single" w:color="auto" w:sz="8"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478">
    <w:name w:val="xl190"/>
    <w:basedOn w:val="1"/>
    <w:autoRedefine/>
    <w:qFormat/>
    <w:uiPriority w:val="0"/>
    <w:pPr>
      <w:widowControl/>
      <w:pBdr>
        <w:left w:val="single" w:color="auto" w:sz="4" w:space="0"/>
        <w:bottom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79">
    <w:name w:val="xl25"/>
    <w:basedOn w:val="1"/>
    <w:autoRedefine/>
    <w:qFormat/>
    <w:uiPriority w:val="0"/>
    <w:pPr>
      <w:widowControl/>
      <w:pBdr>
        <w:top w:val="single" w:color="auto" w:sz="8"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480">
    <w:name w:val="Legal 3"/>
    <w:basedOn w:val="1"/>
    <w:autoRedefine/>
    <w:qFormat/>
    <w:uiPriority w:val="0"/>
    <w:pPr>
      <w:tabs>
        <w:tab w:val="left" w:pos="1620"/>
      </w:tabs>
      <w:spacing w:after="120"/>
      <w:jc w:val="both"/>
      <w:outlineLvl w:val="2"/>
    </w:pPr>
    <w:rPr>
      <w:rFonts w:ascii="Times New Roman" w:hAnsi="Times New Roman"/>
      <w:szCs w:val="20"/>
    </w:rPr>
  </w:style>
  <w:style w:type="paragraph" w:customStyle="1" w:styleId="481">
    <w:name w:val="封面样式3"/>
    <w:basedOn w:val="1"/>
    <w:autoRedefine/>
    <w:qFormat/>
    <w:uiPriority w:val="0"/>
    <w:pPr>
      <w:spacing w:line="440" w:lineRule="exact"/>
      <w:ind w:firstLine="630" w:firstLineChars="300"/>
    </w:pPr>
    <w:rPr>
      <w:rFonts w:ascii="华文细黑" w:hAnsi="华文细黑" w:cs="Arial"/>
      <w:sz w:val="21"/>
      <w:szCs w:val="21"/>
      <w:lang w:eastAsia="zh-CN"/>
    </w:rPr>
  </w:style>
  <w:style w:type="paragraph" w:customStyle="1" w:styleId="482">
    <w:name w:val="Char Char Char Char Char Char Char Char Char Char"/>
    <w:basedOn w:val="1"/>
    <w:autoRedefine/>
    <w:qFormat/>
    <w:uiPriority w:val="0"/>
    <w:pPr>
      <w:jc w:val="both"/>
    </w:pPr>
    <w:rPr>
      <w:rFonts w:ascii="Tahoma" w:hAnsi="Tahoma"/>
      <w:kern w:val="2"/>
      <w:sz w:val="24"/>
      <w:szCs w:val="20"/>
      <w:lang w:eastAsia="zh-CN"/>
    </w:rPr>
  </w:style>
  <w:style w:type="paragraph" w:customStyle="1" w:styleId="483">
    <w:name w:val="font11"/>
    <w:basedOn w:val="1"/>
    <w:autoRedefine/>
    <w:qFormat/>
    <w:uiPriority w:val="0"/>
    <w:pPr>
      <w:widowControl/>
      <w:spacing w:before="100" w:beforeAutospacing="1" w:after="100" w:afterAutospacing="1"/>
    </w:pPr>
    <w:rPr>
      <w:rFonts w:ascii="Times New Roman" w:hAnsi="Times New Roman"/>
      <w:b/>
      <w:bCs/>
      <w:sz w:val="24"/>
      <w:szCs w:val="24"/>
      <w:lang w:eastAsia="zh-CN"/>
    </w:rPr>
  </w:style>
  <w:style w:type="paragraph" w:customStyle="1" w:styleId="484">
    <w:name w:val="CM29"/>
    <w:basedOn w:val="84"/>
    <w:next w:val="84"/>
    <w:autoRedefine/>
    <w:qFormat/>
    <w:uiPriority w:val="0"/>
    <w:pPr>
      <w:spacing w:line="400" w:lineRule="atLeast"/>
    </w:pPr>
    <w:rPr>
      <w:rFonts w:ascii="Calibri" w:cs="Times New Roman"/>
      <w:color w:val="auto"/>
    </w:rPr>
  </w:style>
  <w:style w:type="paragraph" w:customStyle="1" w:styleId="485">
    <w:name w:val="xl127"/>
    <w:basedOn w:val="1"/>
    <w:autoRedefine/>
    <w:qFormat/>
    <w:uiPriority w:val="0"/>
    <w:pPr>
      <w:widowControl/>
      <w:pBdr>
        <w:top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486">
    <w:name w:val="CM5"/>
    <w:basedOn w:val="84"/>
    <w:next w:val="84"/>
    <w:autoRedefine/>
    <w:qFormat/>
    <w:uiPriority w:val="0"/>
    <w:pPr>
      <w:spacing w:line="180" w:lineRule="atLeast"/>
    </w:pPr>
    <w:rPr>
      <w:rFonts w:ascii="Times New Roman" w:hAnsi="Times New Roman" w:cs="Times New Roman"/>
      <w:color w:val="auto"/>
    </w:rPr>
  </w:style>
  <w:style w:type="paragraph" w:customStyle="1" w:styleId="487">
    <w:name w:val="日期11"/>
    <w:basedOn w:val="1"/>
    <w:next w:val="1"/>
    <w:autoRedefine/>
    <w:qFormat/>
    <w:uiPriority w:val="0"/>
    <w:pPr>
      <w:adjustRightInd w:val="0"/>
      <w:spacing w:line="360" w:lineRule="atLeast"/>
      <w:jc w:val="both"/>
      <w:textAlignment w:val="baseline"/>
    </w:pPr>
    <w:rPr>
      <w:rFonts w:ascii="宋体" w:hAnsi="Times New Roman"/>
      <w:sz w:val="28"/>
      <w:szCs w:val="20"/>
      <w:lang w:eastAsia="zh-CN"/>
    </w:rPr>
  </w:style>
  <w:style w:type="paragraph" w:customStyle="1" w:styleId="488">
    <w:name w:val="xl79"/>
    <w:basedOn w:val="1"/>
    <w:autoRedefine/>
    <w:qFormat/>
    <w:uiPriority w:val="0"/>
    <w:pPr>
      <w:widowControl/>
      <w:spacing w:before="100" w:beforeAutospacing="1" w:after="100" w:afterAutospacing="1"/>
    </w:pPr>
    <w:rPr>
      <w:rFonts w:ascii="宋体" w:hAnsi="宋体"/>
      <w:sz w:val="18"/>
      <w:szCs w:val="18"/>
      <w:lang w:eastAsia="zh-CN"/>
    </w:rPr>
  </w:style>
  <w:style w:type="paragraph" w:customStyle="1" w:styleId="489">
    <w:name w:val="Char Char Char Char Char Char Char1"/>
    <w:basedOn w:val="1"/>
    <w:autoRedefine/>
    <w:qFormat/>
    <w:uiPriority w:val="0"/>
    <w:pPr>
      <w:jc w:val="both"/>
    </w:pPr>
    <w:rPr>
      <w:rFonts w:ascii="Times New Roman" w:hAnsi="Times New Roman"/>
      <w:kern w:val="2"/>
      <w:sz w:val="21"/>
      <w:szCs w:val="30"/>
      <w:lang w:eastAsia="zh-CN"/>
    </w:rPr>
  </w:style>
  <w:style w:type="paragraph" w:customStyle="1" w:styleId="490">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b/>
      <w:bCs/>
      <w:color w:val="FF0000"/>
      <w:lang w:eastAsia="zh-CN"/>
    </w:rPr>
  </w:style>
  <w:style w:type="paragraph" w:customStyle="1" w:styleId="491">
    <w:name w:val="Identation 2"/>
    <w:autoRedefine/>
    <w:qFormat/>
    <w:uiPriority w:val="0"/>
    <w:pPr>
      <w:overflowPunct w:val="0"/>
      <w:autoSpaceDE w:val="0"/>
      <w:autoSpaceDN w:val="0"/>
      <w:adjustRightInd w:val="0"/>
      <w:spacing w:before="120" w:after="60" w:line="288" w:lineRule="auto"/>
      <w:ind w:left="432"/>
      <w:jc w:val="both"/>
      <w:textAlignment w:val="baseline"/>
    </w:pPr>
    <w:rPr>
      <w:rFonts w:ascii="Times New Roman" w:hAnsi="Times New Roman" w:eastAsia="楷体_GB2312" w:cs="Times New Roman"/>
      <w:color w:val="000000"/>
      <w:sz w:val="24"/>
      <w:lang w:val="en-US" w:eastAsia="zh-CN" w:bidi="ar-SA"/>
    </w:rPr>
  </w:style>
  <w:style w:type="paragraph" w:customStyle="1" w:styleId="492">
    <w:name w:val="xl6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Times New Roman" w:hAnsi="Times New Roman"/>
      <w:b/>
      <w:bCs/>
      <w:color w:val="FF0000"/>
      <w:lang w:eastAsia="zh-CN"/>
    </w:rPr>
  </w:style>
  <w:style w:type="paragraph" w:customStyle="1" w:styleId="493">
    <w:name w:val="CM57"/>
    <w:basedOn w:val="84"/>
    <w:next w:val="84"/>
    <w:autoRedefine/>
    <w:qFormat/>
    <w:uiPriority w:val="0"/>
    <w:pPr>
      <w:spacing w:line="400" w:lineRule="atLeast"/>
    </w:pPr>
    <w:rPr>
      <w:rFonts w:ascii="Calibri" w:cs="Times New Roman"/>
      <w:color w:val="auto"/>
    </w:rPr>
  </w:style>
  <w:style w:type="paragraph" w:customStyle="1" w:styleId="494">
    <w:name w:val="样式 首行缩进:  2 字符"/>
    <w:basedOn w:val="1"/>
    <w:autoRedefine/>
    <w:qFormat/>
    <w:uiPriority w:val="0"/>
    <w:pPr>
      <w:tabs>
        <w:tab w:val="left" w:pos="770"/>
        <w:tab w:val="left" w:pos="4660"/>
      </w:tabs>
      <w:adjustRightInd w:val="0"/>
      <w:snapToGrid w:val="0"/>
      <w:spacing w:line="360" w:lineRule="auto"/>
      <w:ind w:firstLine="560" w:firstLineChars="200"/>
    </w:pPr>
    <w:rPr>
      <w:rFonts w:ascii="宋体" w:hAnsi="宋体" w:cs="宋体"/>
      <w:kern w:val="2"/>
      <w:sz w:val="28"/>
      <w:szCs w:val="20"/>
      <w:lang w:eastAsia="zh-CN"/>
    </w:rPr>
  </w:style>
  <w:style w:type="paragraph" w:customStyle="1" w:styleId="495">
    <w:name w:val="Char Char Char Char Char Char1 Char Char"/>
    <w:basedOn w:val="1"/>
    <w:autoRedefine/>
    <w:qFormat/>
    <w:uiPriority w:val="0"/>
    <w:pPr>
      <w:jc w:val="both"/>
    </w:pPr>
    <w:rPr>
      <w:rFonts w:ascii="Times New Roman" w:hAnsi="Times New Roman"/>
      <w:kern w:val="2"/>
      <w:sz w:val="21"/>
      <w:szCs w:val="24"/>
      <w:lang w:eastAsia="zh-CN"/>
    </w:rPr>
  </w:style>
  <w:style w:type="paragraph" w:customStyle="1" w:styleId="496">
    <w:name w:val="xl78"/>
    <w:basedOn w:val="1"/>
    <w:autoRedefine/>
    <w:qFormat/>
    <w:uiPriority w:val="0"/>
    <w:pPr>
      <w:widowControl/>
      <w:spacing w:before="100" w:beforeAutospacing="1" w:after="100" w:afterAutospacing="1"/>
    </w:pPr>
    <w:rPr>
      <w:rFonts w:ascii="Times New Roman" w:hAnsi="Times New Roman"/>
      <w:b/>
      <w:bCs/>
      <w:lang w:eastAsia="zh-CN"/>
    </w:rPr>
  </w:style>
  <w:style w:type="paragraph" w:customStyle="1" w:styleId="497">
    <w:name w:val="xl93"/>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right"/>
    </w:pPr>
    <w:rPr>
      <w:rFonts w:ascii="宋体" w:hAnsi="宋体"/>
      <w:b/>
      <w:bCs/>
      <w:lang w:eastAsia="zh-CN"/>
    </w:rPr>
  </w:style>
  <w:style w:type="paragraph" w:customStyle="1" w:styleId="498">
    <w:name w:val="xl126"/>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499">
    <w:name w:val="CM80"/>
    <w:basedOn w:val="84"/>
    <w:next w:val="84"/>
    <w:autoRedefine/>
    <w:qFormat/>
    <w:uiPriority w:val="0"/>
    <w:pPr>
      <w:spacing w:line="440" w:lineRule="atLeast"/>
    </w:pPr>
    <w:rPr>
      <w:rFonts w:ascii="Calibri" w:cs="Times New Roman"/>
      <w:color w:val="auto"/>
    </w:rPr>
  </w:style>
  <w:style w:type="paragraph" w:customStyle="1" w:styleId="500">
    <w:name w:val="CM4"/>
    <w:basedOn w:val="84"/>
    <w:next w:val="84"/>
    <w:autoRedefine/>
    <w:qFormat/>
    <w:uiPriority w:val="0"/>
    <w:rPr>
      <w:rFonts w:ascii="Calibri" w:cs="Times New Roman"/>
      <w:color w:val="auto"/>
    </w:rPr>
  </w:style>
  <w:style w:type="paragraph" w:customStyle="1" w:styleId="501">
    <w:name w:val="CM24"/>
    <w:basedOn w:val="84"/>
    <w:next w:val="84"/>
    <w:autoRedefine/>
    <w:qFormat/>
    <w:uiPriority w:val="0"/>
    <w:pPr>
      <w:spacing w:line="440" w:lineRule="atLeast"/>
    </w:pPr>
    <w:rPr>
      <w:rFonts w:ascii="Calibri" w:cs="Times New Roman"/>
      <w:color w:val="auto"/>
    </w:rPr>
  </w:style>
  <w:style w:type="paragraph" w:customStyle="1" w:styleId="502">
    <w:name w:val="xl23"/>
    <w:basedOn w:val="1"/>
    <w:autoRedefine/>
    <w:qFormat/>
    <w:uiPriority w:val="0"/>
    <w:pPr>
      <w:widowControl/>
      <w:spacing w:before="100" w:beforeAutospacing="1" w:after="100" w:afterAutospacing="1"/>
      <w:jc w:val="center"/>
    </w:pPr>
    <w:rPr>
      <w:rFonts w:ascii="Arial Unicode MS" w:hAnsi="Arial Unicode MS" w:eastAsia="Arial Unicode MS" w:cs="Arial Unicode MS"/>
      <w:sz w:val="24"/>
      <w:szCs w:val="24"/>
      <w:lang w:eastAsia="zh-CN"/>
    </w:rPr>
  </w:style>
  <w:style w:type="paragraph" w:customStyle="1" w:styleId="503">
    <w:name w:val="字元 字元12"/>
    <w:basedOn w:val="1"/>
    <w:autoRedefine/>
    <w:qFormat/>
    <w:uiPriority w:val="0"/>
    <w:pPr>
      <w:jc w:val="both"/>
    </w:pPr>
    <w:rPr>
      <w:rFonts w:ascii="Times New Roman" w:hAnsi="Times New Roman"/>
      <w:kern w:val="2"/>
      <w:sz w:val="21"/>
      <w:szCs w:val="24"/>
      <w:lang w:eastAsia="zh-CN"/>
    </w:rPr>
  </w:style>
  <w:style w:type="paragraph" w:customStyle="1" w:styleId="504">
    <w:name w:val="font9"/>
    <w:basedOn w:val="1"/>
    <w:autoRedefine/>
    <w:qFormat/>
    <w:uiPriority w:val="0"/>
    <w:pPr>
      <w:widowControl/>
      <w:spacing w:before="100" w:beforeAutospacing="1" w:after="100" w:afterAutospacing="1"/>
    </w:pPr>
    <w:rPr>
      <w:rFonts w:ascii="Times New Roman" w:hAnsi="Times New Roman"/>
      <w:lang w:eastAsia="zh-CN"/>
    </w:rPr>
  </w:style>
  <w:style w:type="paragraph" w:customStyle="1" w:styleId="505">
    <w:name w:val="Char Char Char Char Char Char1 Char Char1"/>
    <w:basedOn w:val="1"/>
    <w:autoRedefine/>
    <w:qFormat/>
    <w:uiPriority w:val="0"/>
    <w:pPr>
      <w:jc w:val="both"/>
    </w:pPr>
    <w:rPr>
      <w:rFonts w:ascii="Times New Roman" w:hAnsi="Times New Roman"/>
      <w:kern w:val="2"/>
      <w:sz w:val="21"/>
      <w:szCs w:val="24"/>
      <w:lang w:eastAsia="zh-CN"/>
    </w:rPr>
  </w:style>
  <w:style w:type="paragraph" w:customStyle="1" w:styleId="506">
    <w:name w:val="xl98"/>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507">
    <w:name w:val="xl77"/>
    <w:basedOn w:val="1"/>
    <w:autoRedefine/>
    <w:qFormat/>
    <w:uiPriority w:val="0"/>
    <w:pPr>
      <w:widowControl/>
      <w:spacing w:before="100" w:beforeAutospacing="1" w:after="100" w:afterAutospacing="1"/>
    </w:pPr>
    <w:rPr>
      <w:rFonts w:ascii="Times New Roman" w:hAnsi="Times New Roman"/>
      <w:b/>
      <w:bCs/>
      <w:sz w:val="18"/>
      <w:szCs w:val="18"/>
      <w:lang w:eastAsia="zh-CN"/>
    </w:rPr>
  </w:style>
  <w:style w:type="paragraph" w:customStyle="1" w:styleId="508">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b/>
      <w:bCs/>
      <w:color w:val="FF0000"/>
      <w:lang w:eastAsia="zh-CN"/>
    </w:rPr>
  </w:style>
  <w:style w:type="paragraph" w:customStyle="1" w:styleId="509">
    <w:name w:val="xl170"/>
    <w:basedOn w:val="1"/>
    <w:autoRedefine/>
    <w:qFormat/>
    <w:uiPriority w:val="0"/>
    <w:pPr>
      <w:widowControl/>
      <w:pBdr>
        <w:top w:val="single" w:color="auto" w:sz="8" w:space="0"/>
        <w:lef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10">
    <w:name w:val="xl11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511">
    <w:name w:val="Char41"/>
    <w:basedOn w:val="1"/>
    <w:autoRedefine/>
    <w:qFormat/>
    <w:uiPriority w:val="0"/>
    <w:pPr>
      <w:jc w:val="both"/>
    </w:pPr>
    <w:rPr>
      <w:rFonts w:ascii="Tahoma" w:hAnsi="Tahoma"/>
      <w:kern w:val="2"/>
      <w:sz w:val="24"/>
      <w:szCs w:val="20"/>
      <w:lang w:eastAsia="zh-CN"/>
    </w:rPr>
  </w:style>
  <w:style w:type="paragraph" w:customStyle="1" w:styleId="512">
    <w:name w:val="修订1"/>
    <w:autoRedefine/>
    <w:qFormat/>
    <w:uiPriority w:val="0"/>
    <w:rPr>
      <w:rFonts w:ascii="Times New Roman" w:hAnsi="Times New Roman" w:eastAsia="宋体" w:cs="Times New Roman"/>
      <w:lang w:val="en-US" w:eastAsia="zh-CN" w:bidi="ar-SA"/>
    </w:rPr>
  </w:style>
  <w:style w:type="paragraph" w:customStyle="1" w:styleId="513">
    <w:name w:val="xl2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b/>
      <w:bCs/>
      <w:lang w:eastAsia="zh-CN"/>
    </w:rPr>
  </w:style>
  <w:style w:type="paragraph" w:customStyle="1" w:styleId="514">
    <w:name w:val="样式 正文缩进 + 首行缩进:  2 字符"/>
    <w:basedOn w:val="17"/>
    <w:autoRedefine/>
    <w:qFormat/>
    <w:uiPriority w:val="0"/>
    <w:pPr>
      <w:spacing w:line="360" w:lineRule="auto"/>
      <w:ind w:firstLine="200"/>
    </w:pPr>
    <w:rPr>
      <w:rFonts w:ascii="宋体" w:hAnsi="宋体" w:cs="宋体"/>
      <w:sz w:val="24"/>
      <w:szCs w:val="22"/>
      <w:lang w:eastAsia="zh-CN"/>
    </w:rPr>
  </w:style>
  <w:style w:type="paragraph" w:customStyle="1" w:styleId="515">
    <w:name w:val="Legal 5"/>
    <w:basedOn w:val="84"/>
    <w:next w:val="84"/>
    <w:autoRedefine/>
    <w:qFormat/>
    <w:uiPriority w:val="0"/>
    <w:pPr>
      <w:spacing w:after="120"/>
    </w:pPr>
    <w:rPr>
      <w:rFonts w:ascii="Calibri" w:cs="Times New Roman"/>
      <w:color w:val="auto"/>
    </w:rPr>
  </w:style>
  <w:style w:type="paragraph" w:customStyle="1" w:styleId="516">
    <w:name w:val="样式 标题 2"/>
    <w:basedOn w:val="1"/>
    <w:next w:val="4"/>
    <w:autoRedefine/>
    <w:qFormat/>
    <w:uiPriority w:val="0"/>
    <w:pPr>
      <w:snapToGrid w:val="0"/>
      <w:spacing w:line="360" w:lineRule="auto"/>
      <w:ind w:firstLine="200" w:firstLineChars="200"/>
      <w:jc w:val="both"/>
    </w:pPr>
    <w:rPr>
      <w:rFonts w:ascii="Times New Roman" w:hAnsi="Times New Roman" w:eastAsia="仿宋_GB2312"/>
      <w:kern w:val="2"/>
      <w:sz w:val="32"/>
      <w:szCs w:val="32"/>
      <w:lang w:eastAsia="zh-CN"/>
    </w:rPr>
  </w:style>
  <w:style w:type="paragraph" w:customStyle="1" w:styleId="517">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olor w:val="800000"/>
      <w:lang w:eastAsia="zh-CN"/>
    </w:rPr>
  </w:style>
  <w:style w:type="paragraph" w:customStyle="1" w:styleId="518">
    <w:name w:val="xl186"/>
    <w:basedOn w:val="1"/>
    <w:autoRedefine/>
    <w:qFormat/>
    <w:uiPriority w:val="0"/>
    <w:pPr>
      <w:widowControl/>
      <w:pBdr>
        <w:left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19">
    <w:name w:val="CM1"/>
    <w:basedOn w:val="84"/>
    <w:next w:val="84"/>
    <w:autoRedefine/>
    <w:qFormat/>
    <w:uiPriority w:val="0"/>
    <w:rPr>
      <w:rFonts w:ascii="Calibri" w:cs="Times New Roman"/>
      <w:color w:val="auto"/>
    </w:rPr>
  </w:style>
  <w:style w:type="paragraph" w:customStyle="1" w:styleId="520">
    <w:name w:val="TOC 标题2"/>
    <w:basedOn w:val="2"/>
    <w:next w:val="1"/>
    <w:autoRedefine/>
    <w:qFormat/>
    <w:uiPriority w:val="0"/>
    <w:pPr>
      <w:keepNext/>
      <w:keepLines/>
      <w:widowControl/>
      <w:spacing w:before="480" w:line="276" w:lineRule="auto"/>
      <w:ind w:left="171" w:hanging="171" w:hangingChars="171"/>
      <w:outlineLvl w:val="9"/>
    </w:pPr>
    <w:rPr>
      <w:rFonts w:ascii="Cambria" w:hAnsi="Cambria" w:eastAsia="宋体"/>
      <w:color w:val="365F91"/>
      <w:sz w:val="28"/>
      <w:szCs w:val="28"/>
      <w:lang w:eastAsia="zh-CN"/>
    </w:rPr>
  </w:style>
  <w:style w:type="paragraph" w:customStyle="1" w:styleId="521">
    <w:name w:val="Char Char Char Char Char Char Char11"/>
    <w:basedOn w:val="1"/>
    <w:autoRedefine/>
    <w:qFormat/>
    <w:uiPriority w:val="0"/>
    <w:pPr>
      <w:jc w:val="both"/>
    </w:pPr>
    <w:rPr>
      <w:rFonts w:ascii="Times New Roman" w:hAnsi="Times New Roman"/>
      <w:kern w:val="2"/>
      <w:sz w:val="21"/>
      <w:szCs w:val="24"/>
      <w:lang w:eastAsia="zh-CN"/>
    </w:rPr>
  </w:style>
  <w:style w:type="paragraph" w:customStyle="1" w:styleId="522">
    <w:name w:val="1"/>
    <w:basedOn w:val="1"/>
    <w:next w:val="36"/>
    <w:autoRedefine/>
    <w:qFormat/>
    <w:uiPriority w:val="0"/>
    <w:pPr>
      <w:jc w:val="both"/>
    </w:pPr>
    <w:rPr>
      <w:rFonts w:ascii="宋体" w:hAnsi="Courier New"/>
      <w:kern w:val="2"/>
      <w:sz w:val="21"/>
      <w:szCs w:val="20"/>
      <w:lang w:eastAsia="zh-CN"/>
    </w:rPr>
  </w:style>
  <w:style w:type="paragraph" w:customStyle="1" w:styleId="523">
    <w:name w:val="TOC 标题1"/>
    <w:basedOn w:val="2"/>
    <w:next w:val="1"/>
    <w:autoRedefine/>
    <w:qFormat/>
    <w:uiPriority w:val="0"/>
    <w:pPr>
      <w:keepNext/>
      <w:keepLines/>
      <w:widowControl/>
      <w:spacing w:before="480" w:line="276" w:lineRule="auto"/>
      <w:ind w:left="171" w:hanging="171" w:hangingChars="171"/>
      <w:outlineLvl w:val="9"/>
    </w:pPr>
    <w:rPr>
      <w:rFonts w:ascii="Cambria" w:hAnsi="Cambria" w:eastAsia="黑体"/>
      <w:bCs w:val="0"/>
      <w:color w:val="365F91"/>
      <w:kern w:val="2"/>
      <w:sz w:val="28"/>
      <w:szCs w:val="28"/>
      <w:lang w:eastAsia="zh-CN"/>
    </w:rPr>
  </w:style>
  <w:style w:type="paragraph" w:customStyle="1" w:styleId="524">
    <w:name w:val="Char"/>
    <w:basedOn w:val="1"/>
    <w:autoRedefine/>
    <w:qFormat/>
    <w:uiPriority w:val="0"/>
    <w:pPr>
      <w:widowControl/>
      <w:spacing w:after="160" w:line="240" w:lineRule="exact"/>
    </w:pPr>
    <w:rPr>
      <w:rFonts w:ascii="Verdana" w:hAnsi="Verdana" w:eastAsia="仿宋_GB2312"/>
      <w:sz w:val="24"/>
      <w:szCs w:val="20"/>
    </w:rPr>
  </w:style>
  <w:style w:type="paragraph" w:customStyle="1" w:styleId="525">
    <w:name w:val="xl176"/>
    <w:basedOn w:val="1"/>
    <w:autoRedefine/>
    <w:qFormat/>
    <w:uiPriority w:val="0"/>
    <w:pPr>
      <w:widowControl/>
      <w:pBdr>
        <w:top w:val="single" w:color="auto" w:sz="8" w:space="0"/>
        <w:left w:val="single" w:color="auto" w:sz="8" w:space="0"/>
        <w:bottom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26">
    <w:name w:val="xl3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527">
    <w:name w:val="xl191"/>
    <w:basedOn w:val="1"/>
    <w:autoRedefine/>
    <w:qFormat/>
    <w:uiPriority w:val="0"/>
    <w:pPr>
      <w:widowControl/>
      <w:pBdr>
        <w:lef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28">
    <w:name w:val="列出段落111"/>
    <w:basedOn w:val="1"/>
    <w:autoRedefine/>
    <w:qFormat/>
    <w:uiPriority w:val="34"/>
    <w:pPr>
      <w:widowControl/>
      <w:ind w:firstLine="420" w:firstLineChars="200"/>
    </w:pPr>
    <w:rPr>
      <w:rFonts w:cs="Calibri"/>
      <w:kern w:val="2"/>
      <w:sz w:val="21"/>
      <w:szCs w:val="24"/>
      <w:lang w:bidi="en-US"/>
    </w:rPr>
  </w:style>
  <w:style w:type="paragraph" w:customStyle="1" w:styleId="529">
    <w:name w:val="xl130"/>
    <w:basedOn w:val="1"/>
    <w:autoRedefine/>
    <w:qFormat/>
    <w:uiPriority w:val="0"/>
    <w:pPr>
      <w:widowControl/>
      <w:pBdr>
        <w:top w:val="single" w:color="auto" w:sz="4" w:space="0"/>
        <w:bottom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530">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lang w:eastAsia="zh-CN"/>
    </w:rPr>
  </w:style>
  <w:style w:type="paragraph" w:customStyle="1" w:styleId="531">
    <w:name w:val="font6"/>
    <w:basedOn w:val="1"/>
    <w:autoRedefine/>
    <w:qFormat/>
    <w:uiPriority w:val="0"/>
    <w:pPr>
      <w:widowControl/>
      <w:spacing w:before="100" w:beforeAutospacing="1" w:after="100" w:afterAutospacing="1"/>
    </w:pPr>
    <w:rPr>
      <w:rFonts w:ascii="Times New Roman" w:hAnsi="Times New Roman"/>
      <w:lang w:eastAsia="zh-CN"/>
    </w:rPr>
  </w:style>
  <w:style w:type="paragraph" w:customStyle="1" w:styleId="532">
    <w:name w:val="CM102"/>
    <w:basedOn w:val="84"/>
    <w:next w:val="84"/>
    <w:autoRedefine/>
    <w:qFormat/>
    <w:uiPriority w:val="0"/>
    <w:pPr>
      <w:spacing w:after="878"/>
    </w:pPr>
    <w:rPr>
      <w:rFonts w:ascii="Calibri" w:cs="Times New Roman"/>
      <w:color w:val="auto"/>
    </w:rPr>
  </w:style>
  <w:style w:type="paragraph" w:customStyle="1" w:styleId="533">
    <w:name w:val="xl91"/>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right"/>
    </w:pPr>
    <w:rPr>
      <w:rFonts w:ascii="宋体" w:hAnsi="宋体"/>
      <w:b/>
      <w:bCs/>
      <w:color w:val="FF0000"/>
      <w:lang w:eastAsia="zh-CN"/>
    </w:rPr>
  </w:style>
  <w:style w:type="paragraph" w:customStyle="1" w:styleId="534">
    <w:name w:val="xl33"/>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FFFFFF"/>
      <w:spacing w:before="100" w:beforeAutospacing="1" w:after="100" w:afterAutospacing="1"/>
    </w:pPr>
    <w:rPr>
      <w:rFonts w:ascii="宋体" w:hAnsi="宋体"/>
      <w:lang w:eastAsia="zh-CN"/>
    </w:rPr>
  </w:style>
  <w:style w:type="paragraph" w:customStyle="1" w:styleId="535">
    <w:name w:val="xl169"/>
    <w:basedOn w:val="1"/>
    <w:autoRedefine/>
    <w:qFormat/>
    <w:uiPriority w:val="0"/>
    <w:pPr>
      <w:widowControl/>
      <w:pBdr>
        <w:left w:val="single" w:color="auto" w:sz="4" w:space="0"/>
        <w:bottom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36">
    <w:name w:val="三级标题1"/>
    <w:basedOn w:val="1"/>
    <w:autoRedefine/>
    <w:qFormat/>
    <w:uiPriority w:val="0"/>
    <w:pPr>
      <w:spacing w:before="60"/>
      <w:ind w:left="2279" w:hanging="720" w:hangingChars="252"/>
      <w:outlineLvl w:val="2"/>
    </w:pPr>
    <w:rPr>
      <w:rFonts w:ascii="Microsoft JhengHei" w:hAnsi="Microsoft JhengHei"/>
      <w:b/>
      <w:bCs/>
      <w:sz w:val="30"/>
      <w:szCs w:val="32"/>
    </w:rPr>
  </w:style>
  <w:style w:type="paragraph" w:customStyle="1" w:styleId="537">
    <w:name w:val="xl36"/>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538">
    <w:name w:val="font14"/>
    <w:basedOn w:val="1"/>
    <w:autoRedefine/>
    <w:qFormat/>
    <w:uiPriority w:val="0"/>
    <w:pPr>
      <w:widowControl/>
      <w:spacing w:before="100" w:beforeAutospacing="1" w:after="100" w:afterAutospacing="1"/>
    </w:pPr>
    <w:rPr>
      <w:rFonts w:ascii="Times New Roman" w:hAnsi="Times New Roman" w:eastAsia="Arial Unicode MS"/>
      <w:b/>
      <w:bCs/>
      <w:lang w:eastAsia="zh-CN"/>
    </w:rPr>
  </w:style>
  <w:style w:type="paragraph" w:customStyle="1" w:styleId="539">
    <w:name w:val="xl180"/>
    <w:basedOn w:val="1"/>
    <w:autoRedefine/>
    <w:qFormat/>
    <w:uiPriority w:val="0"/>
    <w:pPr>
      <w:widowControl/>
      <w:pBdr>
        <w:top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540">
    <w:name w:val="CM104"/>
    <w:basedOn w:val="84"/>
    <w:next w:val="84"/>
    <w:autoRedefine/>
    <w:qFormat/>
    <w:uiPriority w:val="0"/>
    <w:pPr>
      <w:spacing w:after="1318"/>
    </w:pPr>
    <w:rPr>
      <w:rFonts w:ascii="Calibri" w:cs="Times New Roman"/>
      <w:color w:val="auto"/>
    </w:rPr>
  </w:style>
  <w:style w:type="paragraph" w:customStyle="1" w:styleId="541">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b/>
      <w:bCs/>
      <w:lang w:eastAsia="zh-CN"/>
    </w:rPr>
  </w:style>
  <w:style w:type="paragraph" w:customStyle="1" w:styleId="542">
    <w:name w:val="bg1"/>
    <w:basedOn w:val="543"/>
    <w:autoRedefine/>
    <w:qFormat/>
    <w:uiPriority w:val="0"/>
    <w:pPr>
      <w:numPr>
        <w:numId w:val="9"/>
      </w:numPr>
      <w:tabs>
        <w:tab w:val="left" w:pos="360"/>
        <w:tab w:val="left" w:pos="425"/>
        <w:tab w:val="left" w:pos="525"/>
      </w:tabs>
      <w:ind w:left="1080" w:hanging="1080"/>
      <w:jc w:val="both"/>
    </w:pPr>
    <w:rPr>
      <w:rFonts w:ascii="Arial Bold" w:hAnsi="Arial Bold" w:eastAsia="宋体"/>
      <w:lang w:eastAsia="zh-CN"/>
    </w:rPr>
  </w:style>
  <w:style w:type="paragraph" w:customStyle="1" w:styleId="543">
    <w:name w:val="Report Level 1"/>
    <w:basedOn w:val="1"/>
    <w:next w:val="544"/>
    <w:autoRedefine/>
    <w:qFormat/>
    <w:uiPriority w:val="0"/>
    <w:pPr>
      <w:keepNext/>
      <w:widowControl/>
      <w:numPr>
        <w:ilvl w:val="0"/>
        <w:numId w:val="10"/>
      </w:numPr>
      <w:tabs>
        <w:tab w:val="left" w:pos="360"/>
        <w:tab w:val="clear" w:pos="420"/>
      </w:tabs>
      <w:autoSpaceDE w:val="0"/>
      <w:autoSpaceDN w:val="0"/>
      <w:adjustRightInd w:val="0"/>
      <w:spacing w:before="240" w:after="120"/>
      <w:outlineLvl w:val="0"/>
    </w:pPr>
    <w:rPr>
      <w:rFonts w:ascii="Arial" w:hAnsi="Arial" w:eastAsia="PMingLiU"/>
      <w:b/>
      <w:caps/>
      <w:sz w:val="21"/>
      <w:szCs w:val="20"/>
      <w:lang w:val="en-GB"/>
    </w:rPr>
  </w:style>
  <w:style w:type="paragraph" w:customStyle="1" w:styleId="544">
    <w:name w:val="Report Text"/>
    <w:basedOn w:val="1"/>
    <w:autoRedefine/>
    <w:qFormat/>
    <w:uiPriority w:val="0"/>
    <w:pPr>
      <w:widowControl/>
      <w:autoSpaceDE w:val="0"/>
      <w:autoSpaceDN w:val="0"/>
      <w:adjustRightInd w:val="0"/>
      <w:spacing w:after="138"/>
      <w:ind w:left="1080"/>
    </w:pPr>
    <w:rPr>
      <w:rFonts w:ascii="Times New Roman" w:hAnsi="Times New Roman"/>
      <w:szCs w:val="20"/>
      <w:lang w:val="en-GB"/>
    </w:rPr>
  </w:style>
  <w:style w:type="paragraph" w:customStyle="1" w:styleId="545">
    <w:name w:val="7"/>
    <w:autoRedefine/>
    <w:qFormat/>
    <w:uiPriority w:val="0"/>
    <w:rPr>
      <w:rFonts w:ascii="Times New Roman" w:hAnsi="Times New Roman" w:eastAsia="宋体" w:cs="Times New Roman"/>
      <w:lang w:val="en-US" w:eastAsia="zh-CN" w:bidi="ar-SA"/>
    </w:rPr>
  </w:style>
  <w:style w:type="paragraph" w:customStyle="1" w:styleId="546">
    <w:name w:val="CM89"/>
    <w:basedOn w:val="84"/>
    <w:next w:val="84"/>
    <w:autoRedefine/>
    <w:qFormat/>
    <w:uiPriority w:val="0"/>
    <w:pPr>
      <w:spacing w:line="440" w:lineRule="atLeast"/>
    </w:pPr>
    <w:rPr>
      <w:rFonts w:ascii="Calibri" w:cs="Times New Roman"/>
      <w:color w:val="auto"/>
    </w:rPr>
  </w:style>
  <w:style w:type="paragraph" w:customStyle="1" w:styleId="547">
    <w:name w:val="编号"/>
    <w:basedOn w:val="1"/>
    <w:next w:val="1"/>
    <w:autoRedefine/>
    <w:qFormat/>
    <w:uiPriority w:val="0"/>
    <w:pPr>
      <w:tabs>
        <w:tab w:val="left" w:pos="480"/>
      </w:tabs>
      <w:spacing w:line="360" w:lineRule="auto"/>
      <w:ind w:left="200" w:hanging="200" w:hangingChars="200"/>
      <w:jc w:val="both"/>
    </w:pPr>
    <w:rPr>
      <w:rFonts w:ascii="宋体" w:hAnsi="Times New Roman"/>
      <w:kern w:val="2"/>
      <w:sz w:val="24"/>
      <w:szCs w:val="24"/>
      <w:lang w:eastAsia="zh-CN"/>
    </w:rPr>
  </w:style>
  <w:style w:type="paragraph" w:customStyle="1" w:styleId="548">
    <w:name w:val="修订4"/>
    <w:autoRedefine/>
    <w:semiHidden/>
    <w:qFormat/>
    <w:uiPriority w:val="99"/>
    <w:rPr>
      <w:rFonts w:ascii="Calibri" w:hAnsi="Calibri" w:eastAsia="宋体" w:cs="Times New Roman"/>
      <w:sz w:val="22"/>
      <w:szCs w:val="22"/>
      <w:lang w:val="en-US" w:eastAsia="en-US" w:bidi="ar-SA"/>
    </w:rPr>
  </w:style>
  <w:style w:type="paragraph" w:customStyle="1" w:styleId="549">
    <w:name w:val="xl133"/>
    <w:basedOn w:val="1"/>
    <w:autoRedefine/>
    <w:qFormat/>
    <w:uiPriority w:val="0"/>
    <w:pPr>
      <w:widowControl/>
      <w:spacing w:before="100" w:beforeAutospacing="1" w:after="100" w:afterAutospacing="1"/>
      <w:jc w:val="right"/>
    </w:pPr>
    <w:rPr>
      <w:rFonts w:hint="eastAsia" w:ascii="宋体" w:hAnsi="宋体" w:cs="Arial Unicode MS"/>
      <w:b/>
      <w:bCs/>
      <w:sz w:val="24"/>
      <w:szCs w:val="24"/>
      <w:lang w:eastAsia="zh-CN"/>
    </w:rPr>
  </w:style>
  <w:style w:type="paragraph" w:customStyle="1" w:styleId="550">
    <w:name w:val="样式6"/>
    <w:basedOn w:val="1"/>
    <w:autoRedefine/>
    <w:qFormat/>
    <w:uiPriority w:val="0"/>
    <w:pPr>
      <w:jc w:val="center"/>
    </w:pPr>
    <w:rPr>
      <w:rFonts w:ascii="宋体" w:hAnsi="宋体" w:cs="Arial"/>
      <w:sz w:val="21"/>
      <w:szCs w:val="21"/>
      <w:lang w:eastAsia="zh-CN"/>
    </w:rPr>
  </w:style>
  <w:style w:type="paragraph" w:customStyle="1" w:styleId="551">
    <w:name w:val="CM92"/>
    <w:basedOn w:val="84"/>
    <w:next w:val="84"/>
    <w:autoRedefine/>
    <w:qFormat/>
    <w:uiPriority w:val="0"/>
    <w:pPr>
      <w:spacing w:after="530"/>
    </w:pPr>
    <w:rPr>
      <w:rFonts w:ascii="Calibri" w:cs="Times New Roman"/>
      <w:color w:val="auto"/>
    </w:rPr>
  </w:style>
  <w:style w:type="paragraph" w:customStyle="1" w:styleId="552">
    <w:name w:val="设备规范样式2"/>
    <w:basedOn w:val="1"/>
    <w:autoRedefine/>
    <w:qFormat/>
    <w:uiPriority w:val="0"/>
    <w:pPr>
      <w:numPr>
        <w:ilvl w:val="1"/>
        <w:numId w:val="11"/>
      </w:numPr>
      <w:tabs>
        <w:tab w:val="left" w:pos="1260"/>
      </w:tabs>
      <w:spacing w:line="360" w:lineRule="auto"/>
      <w:jc w:val="both"/>
      <w:textAlignment w:val="bottom"/>
    </w:pPr>
    <w:rPr>
      <w:rFonts w:ascii="Times New Roman" w:hAnsi="Times New Roman" w:eastAsia="楷体_GB2312"/>
      <w:sz w:val="24"/>
      <w:szCs w:val="24"/>
      <w:lang w:eastAsia="zh-CN"/>
    </w:rPr>
  </w:style>
  <w:style w:type="paragraph" w:customStyle="1" w:styleId="553">
    <w:name w:val="标题10"/>
    <w:basedOn w:val="8"/>
    <w:autoRedefine/>
    <w:qFormat/>
    <w:uiPriority w:val="0"/>
    <w:pPr>
      <w:keepNext/>
      <w:keepLines/>
      <w:widowControl w:val="0"/>
      <w:numPr>
        <w:ilvl w:val="0"/>
        <w:numId w:val="12"/>
      </w:numPr>
      <w:tabs>
        <w:tab w:val="left" w:pos="720"/>
        <w:tab w:val="left" w:pos="840"/>
      </w:tabs>
      <w:overflowPunct/>
      <w:autoSpaceDE/>
      <w:autoSpaceDN/>
      <w:spacing w:before="240" w:after="64" w:line="320" w:lineRule="atLeast"/>
      <w:ind w:left="901" w:leftChars="300" w:hanging="181"/>
    </w:pPr>
    <w:rPr>
      <w:rFonts w:ascii="Calibri" w:hAnsi="Calibri" w:eastAsia="楷体_GB2312"/>
      <w:b/>
      <w:i w:val="0"/>
      <w:position w:val="0"/>
      <w:sz w:val="24"/>
      <w:szCs w:val="24"/>
      <w:lang w:val="en-US"/>
    </w:rPr>
  </w:style>
  <w:style w:type="paragraph" w:customStyle="1" w:styleId="554">
    <w:name w:val="xl86"/>
    <w:basedOn w:val="1"/>
    <w:autoRedefine/>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pPr>
    <w:rPr>
      <w:rFonts w:ascii="宋体" w:hAnsi="宋体"/>
      <w:lang w:eastAsia="zh-CN"/>
    </w:rPr>
  </w:style>
  <w:style w:type="paragraph" w:customStyle="1" w:styleId="555">
    <w:name w:val="xl9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lang w:eastAsia="zh-CN"/>
    </w:rPr>
  </w:style>
  <w:style w:type="paragraph" w:customStyle="1" w:styleId="556">
    <w:name w:val="CM50"/>
    <w:basedOn w:val="84"/>
    <w:next w:val="84"/>
    <w:autoRedefine/>
    <w:qFormat/>
    <w:uiPriority w:val="0"/>
    <w:pPr>
      <w:spacing w:line="1020" w:lineRule="atLeast"/>
    </w:pPr>
    <w:rPr>
      <w:rFonts w:ascii="Calibri" w:cs="Times New Roman"/>
      <w:color w:val="auto"/>
    </w:rPr>
  </w:style>
  <w:style w:type="paragraph" w:customStyle="1" w:styleId="557">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lang w:eastAsia="zh-CN"/>
    </w:rPr>
  </w:style>
  <w:style w:type="paragraph" w:customStyle="1" w:styleId="558">
    <w:name w:val="xl157"/>
    <w:basedOn w:val="1"/>
    <w:autoRedefine/>
    <w:qFormat/>
    <w:uiPriority w:val="0"/>
    <w:pPr>
      <w:widowControl/>
      <w:pBdr>
        <w:top w:val="single" w:color="auto" w:sz="4" w:space="0"/>
        <w:bottom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59">
    <w:name w:val="Indent 12"/>
    <w:basedOn w:val="1"/>
    <w:autoRedefine/>
    <w:qFormat/>
    <w:uiPriority w:val="0"/>
    <w:pPr>
      <w:widowControl/>
      <w:ind w:left="1304"/>
    </w:pPr>
    <w:rPr>
      <w:rFonts w:ascii="Arial" w:hAnsi="Arial"/>
      <w:sz w:val="24"/>
      <w:szCs w:val="20"/>
    </w:rPr>
  </w:style>
  <w:style w:type="paragraph" w:customStyle="1" w:styleId="560">
    <w:name w:val="注1"/>
    <w:basedOn w:val="1"/>
    <w:autoRedefine/>
    <w:qFormat/>
    <w:uiPriority w:val="0"/>
    <w:pPr>
      <w:spacing w:line="360" w:lineRule="auto"/>
      <w:ind w:left="400" w:leftChars="200" w:hanging="200" w:hangingChars="200"/>
      <w:jc w:val="both"/>
    </w:pPr>
    <w:rPr>
      <w:rFonts w:ascii="宋体" w:hAnsi="Times New Roman"/>
      <w:b/>
      <w:kern w:val="2"/>
      <w:sz w:val="21"/>
      <w:szCs w:val="24"/>
      <w:lang w:eastAsia="zh-CN"/>
    </w:rPr>
  </w:style>
  <w:style w:type="paragraph" w:customStyle="1" w:styleId="561">
    <w:name w:val="xl5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562">
    <w:name w:val="Char Char Char Char Char Char1 Char Char2"/>
    <w:basedOn w:val="1"/>
    <w:autoRedefine/>
    <w:qFormat/>
    <w:uiPriority w:val="0"/>
    <w:pPr>
      <w:jc w:val="both"/>
    </w:pPr>
    <w:rPr>
      <w:rFonts w:ascii="Times New Roman" w:hAnsi="Times New Roman"/>
      <w:kern w:val="2"/>
      <w:sz w:val="21"/>
      <w:szCs w:val="24"/>
      <w:lang w:eastAsia="zh-CN"/>
    </w:rPr>
  </w:style>
  <w:style w:type="paragraph" w:customStyle="1" w:styleId="563">
    <w:name w:val="xl53"/>
    <w:basedOn w:val="1"/>
    <w:autoRedefine/>
    <w:qFormat/>
    <w:uiPriority w:val="0"/>
    <w:pPr>
      <w:widowControl/>
      <w:pBdr>
        <w:top w:val="single" w:color="auto" w:sz="4" w:space="0"/>
        <w:left w:val="single" w:color="auto" w:sz="4" w:space="0"/>
        <w:right w:val="single" w:color="auto" w:sz="8" w:space="0"/>
      </w:pBdr>
      <w:shd w:val="clear" w:color="auto" w:fill="FFFFFF"/>
      <w:spacing w:before="100" w:beforeAutospacing="1" w:after="100" w:afterAutospacing="1"/>
    </w:pPr>
    <w:rPr>
      <w:rFonts w:ascii="宋体" w:hAnsi="宋体"/>
      <w:lang w:eastAsia="zh-CN"/>
    </w:rPr>
  </w:style>
  <w:style w:type="paragraph" w:customStyle="1" w:styleId="564">
    <w:name w:val="xl73"/>
    <w:basedOn w:val="1"/>
    <w:autoRedefine/>
    <w:qFormat/>
    <w:uiPriority w:val="0"/>
    <w:pPr>
      <w:widowControl/>
      <w:pBdr>
        <w:top w:val="single" w:color="auto" w:sz="8" w:space="0"/>
        <w:left w:val="single" w:color="auto" w:sz="4" w:space="0"/>
        <w:bottom w:val="single" w:color="auto" w:sz="4" w:space="0"/>
        <w:right w:val="single" w:color="auto" w:sz="8" w:space="0"/>
      </w:pBdr>
      <w:shd w:val="clear" w:color="auto" w:fill="FFFFFF"/>
      <w:spacing w:before="100" w:beforeAutospacing="1" w:after="100" w:afterAutospacing="1"/>
      <w:jc w:val="center"/>
    </w:pPr>
    <w:rPr>
      <w:rFonts w:ascii="宋体" w:hAnsi="宋体"/>
      <w:b/>
      <w:bCs/>
      <w:lang w:eastAsia="zh-CN"/>
    </w:rPr>
  </w:style>
  <w:style w:type="paragraph" w:customStyle="1" w:styleId="565">
    <w:name w:val="Char Char Char Char1"/>
    <w:basedOn w:val="1"/>
    <w:autoRedefine/>
    <w:qFormat/>
    <w:uiPriority w:val="0"/>
    <w:pPr>
      <w:jc w:val="both"/>
    </w:pPr>
    <w:rPr>
      <w:rFonts w:ascii="Tahoma" w:hAnsi="Tahoma"/>
      <w:kern w:val="2"/>
      <w:sz w:val="24"/>
      <w:szCs w:val="20"/>
      <w:lang w:eastAsia="zh-CN"/>
    </w:rPr>
  </w:style>
  <w:style w:type="paragraph" w:customStyle="1" w:styleId="566">
    <w:name w:val="封面字体3"/>
    <w:basedOn w:val="450"/>
    <w:autoRedefine/>
    <w:qFormat/>
    <w:uiPriority w:val="0"/>
    <w:rPr>
      <w:rFonts w:eastAsia="黑体"/>
    </w:rPr>
  </w:style>
  <w:style w:type="paragraph" w:customStyle="1" w:styleId="567">
    <w:name w:val="xl116"/>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568">
    <w:name w:val="CM90"/>
    <w:basedOn w:val="84"/>
    <w:next w:val="84"/>
    <w:autoRedefine/>
    <w:qFormat/>
    <w:uiPriority w:val="0"/>
    <w:rPr>
      <w:rFonts w:ascii="Calibri" w:cs="Times New Roman"/>
      <w:color w:val="auto"/>
    </w:rPr>
  </w:style>
  <w:style w:type="paragraph" w:customStyle="1" w:styleId="569">
    <w:name w:val="列出段落1"/>
    <w:basedOn w:val="1"/>
    <w:autoRedefine/>
    <w:qFormat/>
    <w:uiPriority w:val="34"/>
    <w:pPr>
      <w:ind w:firstLine="420" w:firstLineChars="200"/>
      <w:jc w:val="both"/>
    </w:pPr>
    <w:rPr>
      <w:kern w:val="2"/>
      <w:sz w:val="21"/>
      <w:szCs w:val="24"/>
      <w:lang w:eastAsia="zh-CN"/>
    </w:rPr>
  </w:style>
  <w:style w:type="paragraph" w:customStyle="1" w:styleId="570">
    <w:name w:val="xl80"/>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pPr>
    <w:rPr>
      <w:rFonts w:ascii="Times New Roman" w:hAnsi="Times New Roman"/>
      <w:lang w:eastAsia="zh-CN"/>
    </w:rPr>
  </w:style>
  <w:style w:type="paragraph" w:customStyle="1" w:styleId="571">
    <w:name w:val="_标题2"/>
    <w:basedOn w:val="1"/>
    <w:next w:val="1"/>
    <w:autoRedefine/>
    <w:qFormat/>
    <w:uiPriority w:val="0"/>
    <w:pPr>
      <w:keepNext/>
      <w:numPr>
        <w:ilvl w:val="1"/>
        <w:numId w:val="13"/>
      </w:numPr>
      <w:spacing w:before="50" w:beforeLines="50" w:after="50" w:afterLines="50" w:line="360" w:lineRule="auto"/>
      <w:outlineLvl w:val="1"/>
    </w:pPr>
    <w:rPr>
      <w:rFonts w:ascii="等线" w:hAnsi="等线" w:eastAsia="微软雅黑"/>
      <w:b/>
      <w:kern w:val="2"/>
      <w:sz w:val="32"/>
      <w:szCs w:val="21"/>
      <w:lang w:eastAsia="zh-CN"/>
    </w:rPr>
  </w:style>
  <w:style w:type="paragraph" w:customStyle="1" w:styleId="57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b/>
      <w:bCs/>
      <w:lang w:eastAsia="zh-CN"/>
    </w:rPr>
  </w:style>
  <w:style w:type="paragraph" w:customStyle="1" w:styleId="573">
    <w:name w:val="xl179"/>
    <w:basedOn w:val="1"/>
    <w:autoRedefine/>
    <w:qFormat/>
    <w:uiPriority w:val="0"/>
    <w:pPr>
      <w:widowControl/>
      <w:pBdr>
        <w:top w:val="single" w:color="auto" w:sz="8" w:space="0"/>
        <w:left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574">
    <w:name w:val="xl161"/>
    <w:basedOn w:val="1"/>
    <w:autoRedefine/>
    <w:qFormat/>
    <w:uiPriority w:val="0"/>
    <w:pPr>
      <w:widowControl/>
      <w:pBdr>
        <w:top w:val="single" w:color="auto" w:sz="4" w:space="0"/>
        <w:lef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75">
    <w:name w:val="xl150"/>
    <w:basedOn w:val="1"/>
    <w:autoRedefine/>
    <w:qFormat/>
    <w:uiPriority w:val="0"/>
    <w:pPr>
      <w:widowControl/>
      <w:pBdr>
        <w:left w:val="single" w:color="auto" w:sz="4" w:space="0"/>
        <w:right w:val="single" w:color="auto" w:sz="8"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576">
    <w:name w:val="xl81"/>
    <w:basedOn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pPr>
    <w:rPr>
      <w:rFonts w:ascii="宋体" w:hAnsi="宋体"/>
      <w:lang w:eastAsia="zh-CN"/>
    </w:rPr>
  </w:style>
  <w:style w:type="paragraph" w:customStyle="1" w:styleId="577">
    <w:name w:val="CM97"/>
    <w:basedOn w:val="84"/>
    <w:next w:val="84"/>
    <w:autoRedefine/>
    <w:qFormat/>
    <w:uiPriority w:val="0"/>
    <w:pPr>
      <w:spacing w:after="373"/>
    </w:pPr>
    <w:rPr>
      <w:rFonts w:ascii="Calibri" w:cs="Times New Roman"/>
      <w:color w:val="auto"/>
    </w:rPr>
  </w:style>
  <w:style w:type="paragraph" w:customStyle="1" w:styleId="578">
    <w:name w:val="xl97"/>
    <w:basedOn w:val="1"/>
    <w:autoRedefine/>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579">
    <w:name w:val="xl4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b/>
      <w:bCs/>
      <w:lang w:eastAsia="zh-CN"/>
    </w:rPr>
  </w:style>
  <w:style w:type="paragraph" w:customStyle="1" w:styleId="580">
    <w:name w:val="xl143"/>
    <w:basedOn w:val="1"/>
    <w:autoRedefine/>
    <w:qFormat/>
    <w:uiPriority w:val="0"/>
    <w:pPr>
      <w:widowControl/>
      <w:pBdr>
        <w:top w:val="single" w:color="auto" w:sz="4" w:space="0"/>
        <w:left w:val="single" w:color="auto" w:sz="8"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581">
    <w:name w:val="xl11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582">
    <w:name w:val="Jazzy"/>
    <w:autoRedefine/>
    <w:qFormat/>
    <w:uiPriority w:val="0"/>
    <w:pPr>
      <w:overflowPunct w:val="0"/>
      <w:autoSpaceDE w:val="0"/>
      <w:autoSpaceDN w:val="0"/>
      <w:adjustRightInd w:val="0"/>
      <w:jc w:val="center"/>
      <w:textAlignment w:val="baseline"/>
    </w:pPr>
    <w:rPr>
      <w:rFonts w:ascii="Times New Roman" w:hAnsi="Times New Roman" w:eastAsia="宋体" w:cs="Times New Roman"/>
      <w:b/>
      <w:sz w:val="24"/>
      <w:lang w:val="en-US" w:eastAsia="zh-CN" w:bidi="ar-SA"/>
    </w:rPr>
  </w:style>
  <w:style w:type="paragraph" w:customStyle="1" w:styleId="583">
    <w:name w:val="xl152"/>
    <w:basedOn w:val="1"/>
    <w:autoRedefine/>
    <w:qFormat/>
    <w:uiPriority w:val="0"/>
    <w:pPr>
      <w:widowControl/>
      <w:pBdr>
        <w:top w:val="single" w:color="auto" w:sz="4" w:space="0"/>
        <w:left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84">
    <w:name w:val="xl82"/>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lang w:eastAsia="zh-CN"/>
    </w:rPr>
  </w:style>
  <w:style w:type="paragraph" w:customStyle="1" w:styleId="585">
    <w:name w:val="xl3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lang w:eastAsia="zh-CN"/>
    </w:rPr>
  </w:style>
  <w:style w:type="paragraph" w:customStyle="1" w:styleId="586">
    <w:name w:val="ÑùÊ½2"/>
    <w:basedOn w:val="1"/>
    <w:autoRedefine/>
    <w:qFormat/>
    <w:uiPriority w:val="0"/>
    <w:pPr>
      <w:overflowPunct w:val="0"/>
      <w:autoSpaceDE w:val="0"/>
      <w:autoSpaceDN w:val="0"/>
      <w:adjustRightInd w:val="0"/>
      <w:spacing w:line="410" w:lineRule="atLeast"/>
      <w:ind w:left="480" w:leftChars="200"/>
      <w:jc w:val="both"/>
    </w:pPr>
    <w:rPr>
      <w:rFonts w:ascii="宋体" w:hAnsi="宋体" w:eastAsia="楷体_GB2312"/>
      <w:sz w:val="24"/>
      <w:szCs w:val="20"/>
      <w:lang w:eastAsia="zh-CN"/>
    </w:rPr>
  </w:style>
  <w:style w:type="paragraph" w:customStyle="1" w:styleId="587">
    <w:name w:val="xl104"/>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588">
    <w:name w:val="横表格"/>
    <w:basedOn w:val="1"/>
    <w:autoRedefine/>
    <w:qFormat/>
    <w:uiPriority w:val="0"/>
    <w:pPr>
      <w:tabs>
        <w:tab w:val="left" w:pos="1200"/>
      </w:tabs>
      <w:spacing w:line="360" w:lineRule="exact"/>
      <w:ind w:right="-41" w:rightChars="-41"/>
      <w:jc w:val="center"/>
    </w:pPr>
    <w:rPr>
      <w:rFonts w:ascii="宋体" w:hAnsi="Times New Roman"/>
      <w:kern w:val="2"/>
      <w:sz w:val="24"/>
      <w:szCs w:val="20"/>
      <w:lang w:eastAsia="zh-CN"/>
    </w:rPr>
  </w:style>
  <w:style w:type="paragraph" w:customStyle="1" w:styleId="589">
    <w:name w:val="Char Char Char Char Char Char Char Char"/>
    <w:basedOn w:val="1"/>
    <w:autoRedefine/>
    <w:qFormat/>
    <w:uiPriority w:val="0"/>
    <w:pPr>
      <w:widowControl/>
      <w:spacing w:after="160" w:line="240" w:lineRule="exact"/>
    </w:pPr>
    <w:rPr>
      <w:rFonts w:ascii="Verdana" w:hAnsi="Verdana"/>
      <w:sz w:val="20"/>
      <w:szCs w:val="20"/>
    </w:rPr>
  </w:style>
  <w:style w:type="paragraph" w:customStyle="1" w:styleId="590">
    <w:name w:val="项目1"/>
    <w:basedOn w:val="17"/>
    <w:next w:val="17"/>
    <w:autoRedefine/>
    <w:qFormat/>
    <w:uiPriority w:val="0"/>
    <w:pPr>
      <w:widowControl/>
      <w:numPr>
        <w:ilvl w:val="0"/>
        <w:numId w:val="14"/>
      </w:numPr>
      <w:snapToGrid w:val="0"/>
      <w:spacing w:line="360" w:lineRule="auto"/>
      <w:ind w:right="-210" w:rightChars="-100" w:firstLine="0" w:firstLineChars="0"/>
      <w:jc w:val="left"/>
    </w:pPr>
    <w:rPr>
      <w:rFonts w:ascii="宋体" w:hAnsi="宋体"/>
      <w:bCs/>
      <w:sz w:val="24"/>
      <w:szCs w:val="21"/>
      <w:lang w:eastAsia="zh-CN"/>
    </w:rPr>
  </w:style>
  <w:style w:type="paragraph" w:customStyle="1" w:styleId="591">
    <w:name w:val="_Style 37"/>
    <w:basedOn w:val="1"/>
    <w:next w:val="208"/>
    <w:autoRedefine/>
    <w:qFormat/>
    <w:uiPriority w:val="0"/>
    <w:pPr>
      <w:ind w:firstLine="420" w:firstLineChars="200"/>
      <w:jc w:val="both"/>
    </w:pPr>
    <w:rPr>
      <w:sz w:val="20"/>
      <w:szCs w:val="20"/>
      <w:lang w:eastAsia="zh-CN"/>
    </w:rPr>
  </w:style>
  <w:style w:type="paragraph" w:customStyle="1" w:styleId="592">
    <w:name w:val="Subtitle 2"/>
    <w:basedOn w:val="44"/>
    <w:autoRedefine/>
    <w:qFormat/>
    <w:uiPriority w:val="0"/>
    <w:pPr>
      <w:widowControl/>
      <w:tabs>
        <w:tab w:val="center" w:pos="4752"/>
        <w:tab w:val="right" w:pos="9864"/>
        <w:tab w:val="clear" w:pos="4153"/>
        <w:tab w:val="clear" w:pos="8306"/>
      </w:tabs>
      <w:snapToGrid/>
      <w:spacing w:before="240" w:after="240"/>
      <w:ind w:firstLine="200" w:firstLineChars="200"/>
      <w:jc w:val="center"/>
      <w:outlineLvl w:val="1"/>
    </w:pPr>
    <w:rPr>
      <w:rFonts w:ascii="Arial" w:hAnsi="Arial"/>
      <w:b/>
      <w:sz w:val="32"/>
      <w:szCs w:val="20"/>
    </w:rPr>
  </w:style>
  <w:style w:type="paragraph" w:customStyle="1" w:styleId="593">
    <w:name w:val="xl49"/>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pPr>
    <w:rPr>
      <w:rFonts w:ascii="宋体" w:hAnsi="宋体"/>
      <w:lang w:eastAsia="zh-CN"/>
    </w:rPr>
  </w:style>
  <w:style w:type="paragraph" w:customStyle="1" w:styleId="594">
    <w:name w:val="plane"/>
    <w:basedOn w:val="1"/>
    <w:autoRedefine/>
    <w:qFormat/>
    <w:uiPriority w:val="0"/>
    <w:pPr>
      <w:widowControl/>
      <w:suppressAutoHyphens/>
      <w:jc w:val="both"/>
    </w:pPr>
    <w:rPr>
      <w:rFonts w:ascii="Tms Rmn" w:hAnsi="Tms Rmn"/>
      <w:sz w:val="24"/>
      <w:szCs w:val="20"/>
      <w:lang w:eastAsia="zh-CN"/>
    </w:rPr>
  </w:style>
  <w:style w:type="paragraph" w:customStyle="1" w:styleId="595">
    <w:name w:val="Legal 4"/>
    <w:basedOn w:val="84"/>
    <w:next w:val="84"/>
    <w:autoRedefine/>
    <w:qFormat/>
    <w:uiPriority w:val="0"/>
    <w:pPr>
      <w:spacing w:after="120"/>
    </w:pPr>
    <w:rPr>
      <w:rFonts w:ascii="Calibri" w:cs="Times New Roman"/>
      <w:color w:val="auto"/>
    </w:rPr>
  </w:style>
  <w:style w:type="paragraph" w:customStyle="1" w:styleId="596">
    <w:name w:val="封面字体4"/>
    <w:basedOn w:val="450"/>
    <w:autoRedefine/>
    <w:qFormat/>
    <w:uiPriority w:val="0"/>
  </w:style>
  <w:style w:type="paragraph" w:customStyle="1" w:styleId="597">
    <w:name w:val="智业正文"/>
    <w:basedOn w:val="65"/>
    <w:autoRedefine/>
    <w:qFormat/>
    <w:uiPriority w:val="0"/>
    <w:pPr>
      <w:spacing w:after="0" w:line="360" w:lineRule="auto"/>
      <w:ind w:firstLine="200" w:firstLineChars="200"/>
    </w:pPr>
    <w:rPr>
      <w:rFonts w:ascii="宋体" w:hAnsi="宋体"/>
    </w:rPr>
  </w:style>
  <w:style w:type="paragraph" w:customStyle="1" w:styleId="598">
    <w:name w:val="Char Char Char Char Char Char1"/>
    <w:basedOn w:val="1"/>
    <w:autoRedefine/>
    <w:qFormat/>
    <w:uiPriority w:val="0"/>
    <w:pPr>
      <w:jc w:val="both"/>
    </w:pPr>
    <w:rPr>
      <w:rFonts w:ascii="Times New Roman" w:hAnsi="Times New Roman"/>
      <w:kern w:val="2"/>
      <w:sz w:val="21"/>
      <w:szCs w:val="24"/>
      <w:lang w:eastAsia="zh-CN"/>
    </w:rPr>
  </w:style>
  <w:style w:type="paragraph" w:customStyle="1" w:styleId="599">
    <w:name w:val="xl187"/>
    <w:basedOn w:val="1"/>
    <w:autoRedefine/>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00">
    <w:name w:val="CB&amp;I 1.1.1"/>
    <w:basedOn w:val="1"/>
    <w:autoRedefine/>
    <w:qFormat/>
    <w:uiPriority w:val="0"/>
    <w:pPr>
      <w:numPr>
        <w:ilvl w:val="2"/>
        <w:numId w:val="7"/>
      </w:numPr>
      <w:adjustRightInd w:val="0"/>
      <w:spacing w:after="180" w:line="320" w:lineRule="exact"/>
      <w:jc w:val="both"/>
      <w:textAlignment w:val="baseline"/>
    </w:pPr>
    <w:rPr>
      <w:rFonts w:ascii="Arial" w:hAnsi="Arial"/>
      <w:sz w:val="24"/>
      <w:szCs w:val="20"/>
      <w:lang w:eastAsia="zh-CN"/>
    </w:rPr>
  </w:style>
  <w:style w:type="paragraph" w:customStyle="1" w:styleId="601">
    <w:name w:val="xl110"/>
    <w:basedOn w:val="1"/>
    <w:autoRedefine/>
    <w:qFormat/>
    <w:uiPriority w:val="0"/>
    <w:pPr>
      <w:widowControl/>
      <w:pBdr>
        <w:bottom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02">
    <w:name w:val="Char Char1 Char1"/>
    <w:basedOn w:val="21"/>
    <w:autoRedefine/>
    <w:qFormat/>
    <w:uiPriority w:val="0"/>
    <w:pPr>
      <w:widowControl w:val="0"/>
      <w:tabs>
        <w:tab w:val="clear" w:pos="851"/>
      </w:tabs>
      <w:autoSpaceDE/>
      <w:autoSpaceDN/>
      <w:snapToGrid/>
      <w:spacing w:after="0"/>
      <w:textAlignment w:val="auto"/>
    </w:pPr>
    <w:rPr>
      <w:rFonts w:ascii="Tahoma" w:hAnsi="Tahoma"/>
      <w:bCs w:val="0"/>
      <w:spacing w:val="0"/>
      <w:kern w:val="2"/>
      <w:szCs w:val="24"/>
    </w:rPr>
  </w:style>
  <w:style w:type="paragraph" w:customStyle="1" w:styleId="603">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lang w:eastAsia="zh-CN"/>
    </w:rPr>
  </w:style>
  <w:style w:type="paragraph" w:customStyle="1" w:styleId="604">
    <w:name w:val="xl5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b/>
      <w:bCs/>
      <w:color w:val="FF0000"/>
      <w:lang w:eastAsia="zh-CN"/>
    </w:rPr>
  </w:style>
  <w:style w:type="paragraph" w:customStyle="1" w:styleId="605">
    <w:name w:val="Legal 2"/>
    <w:basedOn w:val="1"/>
    <w:autoRedefine/>
    <w:qFormat/>
    <w:uiPriority w:val="0"/>
    <w:pPr>
      <w:keepNext/>
      <w:tabs>
        <w:tab w:val="left" w:pos="810"/>
      </w:tabs>
      <w:spacing w:after="120"/>
      <w:ind w:left="810" w:hanging="810"/>
      <w:jc w:val="both"/>
      <w:outlineLvl w:val="1"/>
    </w:pPr>
    <w:rPr>
      <w:rFonts w:ascii="Times New Roman" w:hAnsi="Times New Roman"/>
      <w:sz w:val="24"/>
      <w:szCs w:val="20"/>
    </w:rPr>
  </w:style>
  <w:style w:type="paragraph" w:customStyle="1" w:styleId="606">
    <w:name w:val="xl74"/>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lang w:eastAsia="zh-CN"/>
    </w:rPr>
  </w:style>
  <w:style w:type="paragraph" w:customStyle="1" w:styleId="607">
    <w:name w:val="xl76"/>
    <w:basedOn w:val="1"/>
    <w:autoRedefine/>
    <w:qFormat/>
    <w:uiPriority w:val="0"/>
    <w:pPr>
      <w:widowControl/>
      <w:spacing w:before="100" w:beforeAutospacing="1" w:after="100" w:afterAutospacing="1"/>
    </w:pPr>
    <w:rPr>
      <w:rFonts w:ascii="Times New Roman" w:hAnsi="Times New Roman"/>
      <w:sz w:val="18"/>
      <w:szCs w:val="18"/>
      <w:lang w:eastAsia="zh-CN"/>
    </w:rPr>
  </w:style>
  <w:style w:type="paragraph" w:customStyle="1" w:styleId="608">
    <w:name w:val="Char Char Char Char"/>
    <w:basedOn w:val="1"/>
    <w:autoRedefine/>
    <w:qFormat/>
    <w:uiPriority w:val="0"/>
    <w:pPr>
      <w:jc w:val="both"/>
    </w:pPr>
    <w:rPr>
      <w:rFonts w:ascii="Tahoma" w:hAnsi="Tahoma"/>
      <w:kern w:val="2"/>
      <w:sz w:val="24"/>
      <w:szCs w:val="20"/>
      <w:lang w:eastAsia="zh-CN"/>
    </w:rPr>
  </w:style>
  <w:style w:type="paragraph" w:customStyle="1" w:styleId="609">
    <w:name w:val="Char Char Char Char2"/>
    <w:basedOn w:val="1"/>
    <w:autoRedefine/>
    <w:qFormat/>
    <w:uiPriority w:val="0"/>
    <w:pPr>
      <w:jc w:val="both"/>
    </w:pPr>
    <w:rPr>
      <w:rFonts w:ascii="Tahoma" w:hAnsi="Tahoma"/>
      <w:kern w:val="2"/>
      <w:sz w:val="24"/>
      <w:szCs w:val="20"/>
      <w:lang w:eastAsia="zh-CN"/>
    </w:rPr>
  </w:style>
  <w:style w:type="paragraph" w:customStyle="1" w:styleId="610">
    <w:name w:val="explanatory_notes"/>
    <w:basedOn w:val="1"/>
    <w:autoRedefine/>
    <w:qFormat/>
    <w:uiPriority w:val="0"/>
    <w:pPr>
      <w:widowControl/>
      <w:suppressAutoHyphens/>
      <w:spacing w:after="240" w:line="360" w:lineRule="exact"/>
      <w:jc w:val="both"/>
    </w:pPr>
    <w:rPr>
      <w:rFonts w:ascii="Arial" w:hAnsi="Arial"/>
      <w:sz w:val="24"/>
      <w:szCs w:val="20"/>
      <w:lang w:eastAsia="zh-CN"/>
    </w:rPr>
  </w:style>
  <w:style w:type="paragraph" w:customStyle="1" w:styleId="611">
    <w:name w:val="CM105"/>
    <w:basedOn w:val="84"/>
    <w:next w:val="84"/>
    <w:autoRedefine/>
    <w:qFormat/>
    <w:uiPriority w:val="0"/>
    <w:pPr>
      <w:spacing w:after="1040"/>
    </w:pPr>
    <w:rPr>
      <w:rFonts w:ascii="Calibri" w:cs="Times New Roman"/>
      <w:color w:val="auto"/>
    </w:rPr>
  </w:style>
  <w:style w:type="paragraph" w:customStyle="1" w:styleId="612">
    <w:name w:val="CM3"/>
    <w:basedOn w:val="84"/>
    <w:next w:val="84"/>
    <w:autoRedefine/>
    <w:qFormat/>
    <w:uiPriority w:val="0"/>
    <w:pPr>
      <w:spacing w:line="500" w:lineRule="atLeast"/>
    </w:pPr>
    <w:rPr>
      <w:rFonts w:ascii="Calibri" w:cs="Times New Roman"/>
      <w:color w:val="auto"/>
    </w:rPr>
  </w:style>
  <w:style w:type="paragraph" w:customStyle="1" w:styleId="613">
    <w:name w:val="xl107"/>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14">
    <w:name w:val="xl139"/>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15">
    <w:name w:val="AutoCorrect"/>
    <w:autoRedefine/>
    <w:qFormat/>
    <w:uiPriority w:val="0"/>
    <w:pPr>
      <w:widowControl w:val="0"/>
    </w:pPr>
    <w:rPr>
      <w:rFonts w:ascii="Times New Roman" w:hAnsi="Times New Roman" w:eastAsia="PMingLiU" w:cs="Times New Roman"/>
      <w:kern w:val="2"/>
      <w:sz w:val="24"/>
      <w:lang w:val="en-US" w:eastAsia="zh-TW" w:bidi="ar-SA"/>
    </w:rPr>
  </w:style>
  <w:style w:type="paragraph" w:customStyle="1" w:styleId="616">
    <w:name w:val="注：（正文）"/>
    <w:basedOn w:val="1"/>
    <w:next w:val="1"/>
    <w:autoRedefine/>
    <w:qFormat/>
    <w:uiPriority w:val="0"/>
    <w:pPr>
      <w:tabs>
        <w:tab w:val="left" w:pos="510"/>
      </w:tabs>
      <w:autoSpaceDE w:val="0"/>
      <w:autoSpaceDN w:val="0"/>
      <w:ind w:left="510" w:hanging="510"/>
      <w:jc w:val="both"/>
    </w:pPr>
    <w:rPr>
      <w:rFonts w:ascii="宋体" w:hAnsi="Times New Roman"/>
      <w:sz w:val="18"/>
      <w:szCs w:val="18"/>
      <w:lang w:eastAsia="zh-CN"/>
    </w:rPr>
  </w:style>
  <w:style w:type="paragraph" w:customStyle="1" w:styleId="617">
    <w:name w:val="CM48"/>
    <w:basedOn w:val="84"/>
    <w:next w:val="84"/>
    <w:autoRedefine/>
    <w:qFormat/>
    <w:uiPriority w:val="0"/>
    <w:pPr>
      <w:spacing w:line="540" w:lineRule="atLeast"/>
    </w:pPr>
    <w:rPr>
      <w:rFonts w:ascii="Calibri" w:cs="Times New Roman"/>
      <w:color w:val="auto"/>
    </w:rPr>
  </w:style>
  <w:style w:type="paragraph" w:customStyle="1" w:styleId="618">
    <w:name w:val="列表延续"/>
    <w:basedOn w:val="1"/>
    <w:autoRedefine/>
    <w:qFormat/>
    <w:uiPriority w:val="0"/>
    <w:pPr>
      <w:tabs>
        <w:tab w:val="left" w:pos="420"/>
        <w:tab w:val="left" w:pos="4140"/>
      </w:tabs>
      <w:adjustRightInd w:val="0"/>
      <w:spacing w:line="360" w:lineRule="auto"/>
      <w:ind w:left="420" w:hanging="420"/>
      <w:jc w:val="both"/>
      <w:textAlignment w:val="baseline"/>
    </w:pPr>
    <w:rPr>
      <w:rFonts w:ascii="Times New Roman" w:hAnsi="Tms Rmn" w:eastAsia="楷体_GB2312"/>
      <w:kern w:val="28"/>
      <w:sz w:val="28"/>
      <w:szCs w:val="20"/>
      <w:lang w:eastAsia="zh-CN"/>
    </w:rPr>
  </w:style>
  <w:style w:type="paragraph" w:customStyle="1" w:styleId="619">
    <w:name w:val="CM63"/>
    <w:basedOn w:val="1"/>
    <w:next w:val="1"/>
    <w:autoRedefine/>
    <w:qFormat/>
    <w:uiPriority w:val="0"/>
    <w:pPr>
      <w:autoSpaceDE w:val="0"/>
      <w:autoSpaceDN w:val="0"/>
      <w:adjustRightInd w:val="0"/>
      <w:spacing w:after="143"/>
    </w:pPr>
    <w:rPr>
      <w:rFonts w:ascii="宋体"/>
      <w:sz w:val="24"/>
      <w:szCs w:val="24"/>
      <w:lang w:eastAsia="zh-CN"/>
    </w:rPr>
  </w:style>
  <w:style w:type="paragraph" w:customStyle="1" w:styleId="620">
    <w:name w:val="CM91"/>
    <w:basedOn w:val="84"/>
    <w:next w:val="84"/>
    <w:autoRedefine/>
    <w:qFormat/>
    <w:uiPriority w:val="0"/>
    <w:pPr>
      <w:spacing w:after="160"/>
    </w:pPr>
    <w:rPr>
      <w:rFonts w:ascii="Calibri" w:cs="Times New Roman"/>
      <w:color w:val="auto"/>
    </w:rPr>
  </w:style>
  <w:style w:type="paragraph" w:customStyle="1" w:styleId="621">
    <w:name w:val="2"/>
    <w:autoRedefine/>
    <w:qFormat/>
    <w:uiPriority w:val="0"/>
    <w:pPr>
      <w:widowControl w:val="0"/>
    </w:pPr>
    <w:rPr>
      <w:rFonts w:ascii="Calibri" w:hAnsi="Calibri" w:eastAsia="宋体" w:cs="Times New Roman"/>
      <w:sz w:val="22"/>
      <w:szCs w:val="22"/>
      <w:lang w:val="en-US" w:eastAsia="en-US" w:bidi="ar-SA"/>
    </w:rPr>
  </w:style>
  <w:style w:type="paragraph" w:customStyle="1" w:styleId="622">
    <w:name w:val="Style2"/>
    <w:basedOn w:val="84"/>
    <w:next w:val="84"/>
    <w:autoRedefine/>
    <w:qFormat/>
    <w:uiPriority w:val="0"/>
    <w:rPr>
      <w:rFonts w:ascii="Calibri" w:cs="Calibri"/>
      <w:color w:val="auto"/>
    </w:rPr>
  </w:style>
  <w:style w:type="paragraph" w:customStyle="1" w:styleId="623">
    <w:name w:val="Char1 Char Char Char1"/>
    <w:basedOn w:val="1"/>
    <w:autoRedefine/>
    <w:qFormat/>
    <w:uiPriority w:val="0"/>
    <w:pPr>
      <w:jc w:val="both"/>
    </w:pPr>
    <w:rPr>
      <w:rFonts w:ascii="Times New Roman" w:hAnsi="Times New Roman"/>
      <w:kern w:val="2"/>
      <w:sz w:val="21"/>
      <w:szCs w:val="24"/>
      <w:lang w:eastAsia="zh-CN"/>
    </w:rPr>
  </w:style>
  <w:style w:type="paragraph" w:customStyle="1" w:styleId="624">
    <w:name w:val="xl137"/>
    <w:basedOn w:val="1"/>
    <w:autoRedefine/>
    <w:qFormat/>
    <w:uiPriority w:val="0"/>
    <w:pPr>
      <w:widowControl/>
      <w:pBdr>
        <w:top w:val="single" w:color="auto" w:sz="4" w:space="0"/>
        <w:left w:val="single" w:color="auto" w:sz="8" w:space="0"/>
        <w:bottom w:val="single" w:color="auto" w:sz="4" w:space="0"/>
        <w:right w:val="single" w:color="auto" w:sz="8" w:space="0"/>
      </w:pBdr>
      <w:spacing w:before="100" w:beforeAutospacing="1" w:after="100" w:afterAutospacing="1"/>
    </w:pPr>
    <w:rPr>
      <w:rFonts w:hint="eastAsia" w:ascii="宋体" w:hAnsi="宋体" w:cs="Arial Unicode MS"/>
      <w:sz w:val="24"/>
      <w:szCs w:val="24"/>
      <w:lang w:eastAsia="zh-CN"/>
    </w:rPr>
  </w:style>
  <w:style w:type="paragraph" w:customStyle="1" w:styleId="625">
    <w:name w:val="Char Char Char Char Char Char"/>
    <w:basedOn w:val="1"/>
    <w:autoRedefine/>
    <w:qFormat/>
    <w:uiPriority w:val="0"/>
    <w:pPr>
      <w:jc w:val="both"/>
    </w:pPr>
    <w:rPr>
      <w:rFonts w:ascii="Times New Roman" w:hAnsi="Times New Roman"/>
      <w:kern w:val="2"/>
      <w:sz w:val="21"/>
      <w:szCs w:val="24"/>
      <w:lang w:eastAsia="zh-CN"/>
    </w:rPr>
  </w:style>
  <w:style w:type="paragraph" w:customStyle="1" w:styleId="626">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b/>
      <w:bCs/>
      <w:lang w:eastAsia="zh-CN"/>
    </w:rPr>
  </w:style>
  <w:style w:type="paragraph" w:customStyle="1" w:styleId="627">
    <w:name w:val="xl83"/>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color w:val="FF0000"/>
      <w:lang w:eastAsia="zh-CN"/>
    </w:rPr>
  </w:style>
  <w:style w:type="paragraph" w:customStyle="1" w:styleId="628">
    <w:name w:val="CM94"/>
    <w:basedOn w:val="84"/>
    <w:next w:val="84"/>
    <w:autoRedefine/>
    <w:qFormat/>
    <w:uiPriority w:val="0"/>
    <w:pPr>
      <w:spacing w:after="63"/>
    </w:pPr>
    <w:rPr>
      <w:rFonts w:ascii="Calibri" w:cs="Times New Roman"/>
      <w:color w:val="auto"/>
    </w:rPr>
  </w:style>
  <w:style w:type="paragraph" w:customStyle="1" w:styleId="629">
    <w:name w:val="xl119"/>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630">
    <w:name w:val="xl85"/>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color w:val="800000"/>
      <w:lang w:eastAsia="zh-CN"/>
    </w:rPr>
  </w:style>
  <w:style w:type="paragraph" w:customStyle="1" w:styleId="631">
    <w:name w:val="Char1 Char Char Char Char Char Char Char Char Char Char Char Char"/>
    <w:basedOn w:val="1"/>
    <w:autoRedefine/>
    <w:qFormat/>
    <w:uiPriority w:val="0"/>
    <w:pPr>
      <w:widowControl/>
      <w:spacing w:after="160" w:line="240" w:lineRule="exact"/>
    </w:pPr>
    <w:rPr>
      <w:rFonts w:ascii="Verdana" w:hAnsi="Verdana" w:eastAsia="仿宋_GB2312"/>
      <w:sz w:val="24"/>
      <w:szCs w:val="20"/>
    </w:rPr>
  </w:style>
  <w:style w:type="paragraph" w:customStyle="1" w:styleId="632">
    <w:name w:val="CM77"/>
    <w:basedOn w:val="84"/>
    <w:next w:val="84"/>
    <w:autoRedefine/>
    <w:qFormat/>
    <w:uiPriority w:val="0"/>
    <w:pPr>
      <w:spacing w:line="400" w:lineRule="atLeast"/>
    </w:pPr>
    <w:rPr>
      <w:rFonts w:ascii="Calibri" w:cs="Times New Roman"/>
      <w:color w:val="auto"/>
    </w:rPr>
  </w:style>
  <w:style w:type="paragraph" w:customStyle="1" w:styleId="633">
    <w:name w:val="样式 TimesNewRoman 小四 左"/>
    <w:basedOn w:val="1"/>
    <w:autoRedefine/>
    <w:qFormat/>
    <w:uiPriority w:val="0"/>
    <w:pPr>
      <w:spacing w:after="120"/>
    </w:pPr>
    <w:rPr>
      <w:rFonts w:ascii="TimesNewRoman" w:hAnsi="TimesNewRoman"/>
      <w:sz w:val="24"/>
      <w:szCs w:val="20"/>
      <w:lang w:eastAsia="zh-CN"/>
    </w:rPr>
  </w:style>
  <w:style w:type="paragraph" w:customStyle="1" w:styleId="634">
    <w:name w:val="xl96"/>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sz w:val="24"/>
      <w:szCs w:val="24"/>
      <w:lang w:eastAsia="zh-CN"/>
    </w:rPr>
  </w:style>
  <w:style w:type="paragraph" w:customStyle="1" w:styleId="635">
    <w:name w:val="xl84"/>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b/>
      <w:bCs/>
      <w:color w:val="FF0000"/>
      <w:lang w:eastAsia="zh-CN"/>
    </w:rPr>
  </w:style>
  <w:style w:type="paragraph" w:customStyle="1" w:styleId="636">
    <w:name w:val="合同落款"/>
    <w:basedOn w:val="1"/>
    <w:autoRedefine/>
    <w:qFormat/>
    <w:uiPriority w:val="0"/>
    <w:pPr>
      <w:spacing w:line="240" w:lineRule="atLeast"/>
      <w:jc w:val="both"/>
    </w:pPr>
    <w:rPr>
      <w:rFonts w:ascii="华文细黑" w:hAnsi="华文细黑" w:eastAsia="楷体_GB2312" w:cs="Arial"/>
      <w:spacing w:val="-18"/>
      <w:sz w:val="32"/>
      <w:szCs w:val="32"/>
      <w:lang w:eastAsia="zh-CN"/>
    </w:rPr>
  </w:style>
  <w:style w:type="paragraph" w:customStyle="1" w:styleId="637">
    <w:name w:val="SP箇条書き"/>
    <w:basedOn w:val="1"/>
    <w:autoRedefine/>
    <w:qFormat/>
    <w:uiPriority w:val="0"/>
    <w:pPr>
      <w:tabs>
        <w:tab w:val="left" w:pos="284"/>
        <w:tab w:val="left" w:pos="567"/>
        <w:tab w:val="left" w:pos="851"/>
        <w:tab w:val="left" w:pos="1134"/>
        <w:tab w:val="left" w:pos="1701"/>
        <w:tab w:val="left" w:pos="2835"/>
        <w:tab w:val="left" w:pos="3969"/>
      </w:tabs>
      <w:autoSpaceDE w:val="0"/>
      <w:autoSpaceDN w:val="0"/>
      <w:adjustRightInd w:val="0"/>
      <w:spacing w:line="300" w:lineRule="exact"/>
    </w:pPr>
    <w:rPr>
      <w:rFonts w:ascii="MS PGothic" w:hAnsi="Arial" w:eastAsia="MS PGothic"/>
      <w:color w:val="000000"/>
      <w:sz w:val="21"/>
      <w:szCs w:val="20"/>
      <w:lang w:eastAsia="ja-JP"/>
    </w:rPr>
  </w:style>
  <w:style w:type="paragraph" w:customStyle="1" w:styleId="638">
    <w:name w:val="正文首行缩进3"/>
    <w:basedOn w:val="1"/>
    <w:autoRedefine/>
    <w:qFormat/>
    <w:uiPriority w:val="0"/>
    <w:pPr>
      <w:numPr>
        <w:ilvl w:val="0"/>
        <w:numId w:val="15"/>
      </w:numPr>
      <w:tabs>
        <w:tab w:val="left" w:pos="0"/>
        <w:tab w:val="clear" w:pos="425"/>
      </w:tabs>
      <w:spacing w:line="360" w:lineRule="auto"/>
      <w:jc w:val="both"/>
      <w:textAlignment w:val="bottom"/>
    </w:pPr>
    <w:rPr>
      <w:rFonts w:ascii="宋体" w:hAnsi="宋体"/>
      <w:color w:val="000000"/>
      <w:sz w:val="24"/>
      <w:szCs w:val="24"/>
      <w:lang w:eastAsia="zh-CN"/>
    </w:rPr>
  </w:style>
  <w:style w:type="paragraph" w:customStyle="1" w:styleId="639">
    <w:name w:val="项标题"/>
    <w:basedOn w:val="2"/>
    <w:autoRedefine/>
    <w:qFormat/>
    <w:uiPriority w:val="0"/>
    <w:pPr>
      <w:keepNext/>
      <w:tabs>
        <w:tab w:val="left" w:pos="432"/>
      </w:tabs>
      <w:adjustRightInd w:val="0"/>
      <w:snapToGrid w:val="0"/>
      <w:spacing w:before="240" w:after="240" w:line="360" w:lineRule="auto"/>
      <w:ind w:left="432" w:hanging="432"/>
      <w:jc w:val="center"/>
    </w:pPr>
    <w:rPr>
      <w:rFonts w:ascii="Times New Roman" w:hAnsi="Times New Roman" w:eastAsia="宋体"/>
      <w:color w:val="000000"/>
      <w:szCs w:val="36"/>
      <w:lang w:eastAsia="zh-CN"/>
    </w:rPr>
  </w:style>
  <w:style w:type="paragraph" w:customStyle="1" w:styleId="640">
    <w:name w:val="xl7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b/>
      <w:bCs/>
      <w:lang w:eastAsia="zh-CN"/>
    </w:rPr>
  </w:style>
  <w:style w:type="paragraph" w:customStyle="1" w:styleId="641">
    <w:name w:val="xl12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hint="eastAsia" w:ascii="宋体" w:hAnsi="宋体" w:cs="Arial Unicode MS"/>
      <w:b/>
      <w:bCs/>
      <w:sz w:val="24"/>
      <w:szCs w:val="24"/>
      <w:lang w:eastAsia="zh-CN"/>
    </w:rPr>
  </w:style>
  <w:style w:type="paragraph" w:customStyle="1" w:styleId="642">
    <w:name w:val="正文2"/>
    <w:autoRedefine/>
    <w:qFormat/>
    <w:uiPriority w:val="0"/>
    <w:pPr>
      <w:widowControl w:val="0"/>
      <w:adjustRightInd w:val="0"/>
      <w:spacing w:line="240" w:lineRule="atLeast"/>
      <w:jc w:val="both"/>
      <w:textAlignment w:val="baseline"/>
    </w:pPr>
    <w:rPr>
      <w:rFonts w:ascii="宋体" w:hAnsi="Times New Roman" w:eastAsia="宋体" w:cs="Times New Roman"/>
      <w:sz w:val="34"/>
      <w:lang w:val="en-US" w:eastAsia="zh-CN" w:bidi="ar-SA"/>
    </w:rPr>
  </w:style>
  <w:style w:type="paragraph" w:customStyle="1" w:styleId="643">
    <w:name w:val="Char11"/>
    <w:basedOn w:val="1"/>
    <w:autoRedefine/>
    <w:qFormat/>
    <w:uiPriority w:val="0"/>
    <w:pPr>
      <w:jc w:val="both"/>
    </w:pPr>
    <w:rPr>
      <w:rFonts w:ascii="Times New Roman" w:hAnsi="Times New Roman"/>
      <w:kern w:val="2"/>
      <w:sz w:val="21"/>
      <w:szCs w:val="24"/>
      <w:lang w:eastAsia="zh-CN"/>
    </w:rPr>
  </w:style>
  <w:style w:type="paragraph" w:customStyle="1" w:styleId="644">
    <w:name w:val="CM37"/>
    <w:basedOn w:val="84"/>
    <w:next w:val="84"/>
    <w:autoRedefine/>
    <w:qFormat/>
    <w:uiPriority w:val="0"/>
    <w:rPr>
      <w:rFonts w:ascii="Times New Roman" w:hAnsi="Times New Roman" w:cs="Times New Roman"/>
      <w:color w:val="auto"/>
    </w:rPr>
  </w:style>
  <w:style w:type="paragraph" w:customStyle="1" w:styleId="645">
    <w:name w:val="CM49"/>
    <w:basedOn w:val="84"/>
    <w:next w:val="84"/>
    <w:autoRedefine/>
    <w:qFormat/>
    <w:uiPriority w:val="0"/>
    <w:pPr>
      <w:spacing w:line="440" w:lineRule="atLeast"/>
    </w:pPr>
    <w:rPr>
      <w:rFonts w:ascii="Calibri" w:cs="Times New Roman"/>
      <w:color w:val="auto"/>
    </w:rPr>
  </w:style>
  <w:style w:type="paragraph" w:customStyle="1" w:styleId="646">
    <w:name w:val="xl154"/>
    <w:basedOn w:val="1"/>
    <w:autoRedefine/>
    <w:qFormat/>
    <w:uiPriority w:val="0"/>
    <w:pPr>
      <w:widowControl/>
      <w:pBdr>
        <w:left w:val="single" w:color="auto" w:sz="8" w:space="0"/>
        <w:bottom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47">
    <w:name w:val="CM2"/>
    <w:basedOn w:val="84"/>
    <w:next w:val="84"/>
    <w:autoRedefine/>
    <w:qFormat/>
    <w:uiPriority w:val="0"/>
    <w:pPr>
      <w:spacing w:line="500" w:lineRule="atLeast"/>
    </w:pPr>
    <w:rPr>
      <w:rFonts w:ascii="Calibri" w:cs="Times New Roman"/>
      <w:color w:val="auto"/>
    </w:rPr>
  </w:style>
  <w:style w:type="paragraph" w:customStyle="1" w:styleId="648">
    <w:name w:val="CM83"/>
    <w:basedOn w:val="84"/>
    <w:next w:val="84"/>
    <w:autoRedefine/>
    <w:qFormat/>
    <w:uiPriority w:val="0"/>
    <w:pPr>
      <w:spacing w:line="440" w:lineRule="atLeast"/>
    </w:pPr>
    <w:rPr>
      <w:rFonts w:ascii="Calibri" w:cs="Times New Roman"/>
      <w:color w:val="auto"/>
    </w:rPr>
  </w:style>
  <w:style w:type="paragraph" w:customStyle="1" w:styleId="649">
    <w:name w:val="xl144"/>
    <w:basedOn w:val="1"/>
    <w:autoRedefine/>
    <w:qFormat/>
    <w:uiPriority w:val="0"/>
    <w:pPr>
      <w:widowControl/>
      <w:pBdr>
        <w:left w:val="single" w:color="auto" w:sz="8"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650">
    <w:name w:val="xl94"/>
    <w:basedOn w:val="1"/>
    <w:autoRedefine/>
    <w:qFormat/>
    <w:uiPriority w:val="0"/>
    <w:pPr>
      <w:widowControl/>
      <w:pBdr>
        <w:bottom w:val="single" w:color="auto" w:sz="8" w:space="0"/>
      </w:pBdr>
      <w:spacing w:before="100" w:beforeAutospacing="1" w:after="100" w:afterAutospacing="1"/>
    </w:pPr>
    <w:rPr>
      <w:rFonts w:ascii="宋体" w:hAnsi="宋体"/>
      <w:sz w:val="18"/>
      <w:szCs w:val="18"/>
      <w:lang w:eastAsia="zh-CN"/>
    </w:rPr>
  </w:style>
  <w:style w:type="paragraph" w:customStyle="1" w:styleId="651">
    <w:name w:val="xl6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olor w:val="FF0000"/>
      <w:lang w:eastAsia="zh-CN"/>
    </w:rPr>
  </w:style>
  <w:style w:type="paragraph" w:customStyle="1" w:styleId="652">
    <w:name w:val="CM18"/>
    <w:basedOn w:val="84"/>
    <w:next w:val="84"/>
    <w:autoRedefine/>
    <w:qFormat/>
    <w:uiPriority w:val="0"/>
    <w:pPr>
      <w:spacing w:line="313" w:lineRule="atLeast"/>
    </w:pPr>
    <w:rPr>
      <w:rFonts w:ascii="Calibri" w:cs="Times New Roman"/>
      <w:color w:val="auto"/>
    </w:rPr>
  </w:style>
  <w:style w:type="paragraph" w:customStyle="1" w:styleId="653">
    <w:name w:val="Char Char Char Char Char Char Char"/>
    <w:basedOn w:val="1"/>
    <w:autoRedefine/>
    <w:qFormat/>
    <w:uiPriority w:val="0"/>
    <w:pPr>
      <w:jc w:val="both"/>
    </w:pPr>
    <w:rPr>
      <w:rFonts w:ascii="Times New Roman" w:hAnsi="Times New Roman"/>
      <w:kern w:val="2"/>
      <w:sz w:val="21"/>
      <w:szCs w:val="30"/>
      <w:lang w:eastAsia="zh-CN"/>
    </w:rPr>
  </w:style>
  <w:style w:type="paragraph" w:customStyle="1" w:styleId="654">
    <w:name w:val="p0"/>
    <w:basedOn w:val="1"/>
    <w:autoRedefine/>
    <w:qFormat/>
    <w:uiPriority w:val="0"/>
    <w:pPr>
      <w:widowControl/>
      <w:jc w:val="both"/>
    </w:pPr>
    <w:rPr>
      <w:rFonts w:ascii="Times New Roman" w:hAnsi="Times New Roman"/>
      <w:sz w:val="21"/>
      <w:szCs w:val="21"/>
      <w:lang w:eastAsia="zh-CN"/>
    </w:rPr>
  </w:style>
  <w:style w:type="paragraph" w:customStyle="1" w:styleId="655">
    <w:name w:val="CM28"/>
    <w:basedOn w:val="84"/>
    <w:next w:val="84"/>
    <w:autoRedefine/>
    <w:qFormat/>
    <w:uiPriority w:val="0"/>
    <w:rPr>
      <w:rFonts w:ascii="Calibri" w:cs="Times New Roman"/>
      <w:color w:val="auto"/>
    </w:rPr>
  </w:style>
  <w:style w:type="paragraph" w:customStyle="1" w:styleId="656">
    <w:name w:val="CM93"/>
    <w:basedOn w:val="84"/>
    <w:next w:val="84"/>
    <w:autoRedefine/>
    <w:qFormat/>
    <w:uiPriority w:val="0"/>
    <w:pPr>
      <w:spacing w:after="628"/>
    </w:pPr>
    <w:rPr>
      <w:rFonts w:ascii="Calibri" w:cs="Times New Roman"/>
      <w:color w:val="auto"/>
    </w:rPr>
  </w:style>
  <w:style w:type="paragraph" w:customStyle="1" w:styleId="657">
    <w:name w:val="xl178"/>
    <w:basedOn w:val="1"/>
    <w:autoRedefine/>
    <w:qFormat/>
    <w:uiPriority w:val="0"/>
    <w:pPr>
      <w:widowControl/>
      <w:pBdr>
        <w:top w:val="single" w:color="auto" w:sz="8" w:space="0"/>
        <w:bottom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58">
    <w:name w:val="xl182"/>
    <w:basedOn w:val="1"/>
    <w:autoRedefine/>
    <w:qFormat/>
    <w:uiPriority w:val="0"/>
    <w:pPr>
      <w:widowControl/>
      <w:spacing w:before="100" w:beforeAutospacing="1" w:after="100" w:afterAutospacing="1"/>
      <w:jc w:val="center"/>
    </w:pPr>
    <w:rPr>
      <w:rFonts w:hint="eastAsia" w:ascii="宋体" w:hAnsi="宋体" w:cs="Arial Unicode MS"/>
      <w:b/>
      <w:bCs/>
      <w:sz w:val="32"/>
      <w:szCs w:val="32"/>
      <w:lang w:eastAsia="zh-CN"/>
    </w:rPr>
  </w:style>
  <w:style w:type="paragraph" w:customStyle="1" w:styleId="659">
    <w:name w:val="xl159"/>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60">
    <w:name w:val="xl12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661">
    <w:name w:val="xl39"/>
    <w:basedOn w:val="1"/>
    <w:autoRedefine/>
    <w:qFormat/>
    <w:uiPriority w:val="0"/>
    <w:pPr>
      <w:widowControl/>
      <w:pBdr>
        <w:top w:val="single" w:color="auto" w:sz="4" w:space="0"/>
        <w:left w:val="single" w:color="auto" w:sz="8"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662">
    <w:name w:val="Char4"/>
    <w:basedOn w:val="1"/>
    <w:autoRedefine/>
    <w:qFormat/>
    <w:uiPriority w:val="0"/>
    <w:pPr>
      <w:jc w:val="both"/>
    </w:pPr>
    <w:rPr>
      <w:rFonts w:ascii="Tahoma" w:hAnsi="Tahoma"/>
      <w:kern w:val="2"/>
      <w:sz w:val="24"/>
      <w:szCs w:val="20"/>
      <w:lang w:eastAsia="zh-CN"/>
    </w:rPr>
  </w:style>
  <w:style w:type="paragraph" w:customStyle="1" w:styleId="663">
    <w:name w:val="Outline"/>
    <w:basedOn w:val="1"/>
    <w:autoRedefine/>
    <w:qFormat/>
    <w:uiPriority w:val="0"/>
    <w:pPr>
      <w:widowControl/>
      <w:spacing w:before="240" w:line="360" w:lineRule="auto"/>
      <w:ind w:firstLine="200" w:firstLineChars="200"/>
    </w:pPr>
    <w:rPr>
      <w:rFonts w:ascii="Arial" w:hAnsi="Arial"/>
      <w:kern w:val="28"/>
      <w:sz w:val="20"/>
      <w:szCs w:val="20"/>
      <w:lang w:eastAsia="zh-CN"/>
    </w:rPr>
  </w:style>
  <w:style w:type="paragraph" w:customStyle="1" w:styleId="664">
    <w:name w:val="(1)"/>
    <w:basedOn w:val="1"/>
    <w:autoRedefine/>
    <w:qFormat/>
    <w:uiPriority w:val="0"/>
    <w:pPr>
      <w:tabs>
        <w:tab w:val="left" w:pos="573"/>
      </w:tabs>
      <w:adjustRightInd w:val="0"/>
      <w:snapToGrid w:val="0"/>
      <w:spacing w:before="80" w:after="100" w:line="240" w:lineRule="atLeast"/>
      <w:jc w:val="both"/>
      <w:textAlignment w:val="baseline"/>
    </w:pPr>
    <w:rPr>
      <w:rFonts w:ascii="Arial" w:hAnsi="Arial"/>
      <w:kern w:val="44"/>
      <w:sz w:val="24"/>
      <w:szCs w:val="24"/>
      <w:lang w:eastAsia="zh-CN"/>
    </w:rPr>
  </w:style>
  <w:style w:type="paragraph" w:customStyle="1" w:styleId="665">
    <w:name w:val="(i)"/>
    <w:basedOn w:val="1"/>
    <w:autoRedefine/>
    <w:qFormat/>
    <w:uiPriority w:val="0"/>
    <w:pPr>
      <w:widowControl/>
      <w:suppressAutoHyphens/>
      <w:spacing w:line="360" w:lineRule="auto"/>
      <w:ind w:firstLine="200" w:firstLineChars="200"/>
      <w:jc w:val="both"/>
    </w:pPr>
    <w:rPr>
      <w:rFonts w:ascii="Tms Rmn" w:hAnsi="Tms Rmn"/>
      <w:sz w:val="20"/>
      <w:szCs w:val="20"/>
    </w:rPr>
  </w:style>
  <w:style w:type="paragraph" w:customStyle="1" w:styleId="666">
    <w:name w:val="font13"/>
    <w:basedOn w:val="1"/>
    <w:autoRedefine/>
    <w:qFormat/>
    <w:uiPriority w:val="0"/>
    <w:pPr>
      <w:widowControl/>
      <w:spacing w:before="100" w:beforeAutospacing="1" w:after="100" w:afterAutospacing="1"/>
    </w:pPr>
    <w:rPr>
      <w:rFonts w:ascii="Times New Roman" w:hAnsi="Times New Roman" w:eastAsia="Arial Unicode MS"/>
      <w:b/>
      <w:bCs/>
      <w:sz w:val="20"/>
      <w:szCs w:val="20"/>
      <w:lang w:eastAsia="zh-CN"/>
    </w:rPr>
  </w:style>
  <w:style w:type="paragraph" w:customStyle="1" w:styleId="667">
    <w:name w:val="xl112"/>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68">
    <w:name w:val="xl181"/>
    <w:basedOn w:val="1"/>
    <w:autoRedefine/>
    <w:qFormat/>
    <w:uiPriority w:val="0"/>
    <w:pPr>
      <w:widowControl/>
      <w:pBdr>
        <w:left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669">
    <w:name w:val="xl10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70">
    <w:name w:val="正文4"/>
    <w:basedOn w:val="1"/>
    <w:autoRedefine/>
    <w:qFormat/>
    <w:uiPriority w:val="0"/>
    <w:pPr>
      <w:spacing w:line="360" w:lineRule="auto"/>
      <w:ind w:left="400" w:leftChars="400"/>
      <w:jc w:val="both"/>
    </w:pPr>
    <w:rPr>
      <w:rFonts w:ascii="宋体" w:hAnsi="Times New Roman"/>
      <w:kern w:val="2"/>
      <w:sz w:val="24"/>
      <w:szCs w:val="24"/>
      <w:lang w:eastAsia="zh-CN"/>
    </w:rPr>
  </w:style>
  <w:style w:type="paragraph" w:customStyle="1" w:styleId="671">
    <w:name w:val="正文3"/>
    <w:autoRedefine/>
    <w:qFormat/>
    <w:uiPriority w:val="0"/>
    <w:pPr>
      <w:widowControl w:val="0"/>
      <w:adjustRightInd w:val="0"/>
      <w:spacing w:line="240" w:lineRule="atLeast"/>
      <w:jc w:val="both"/>
      <w:textAlignment w:val="baseline"/>
    </w:pPr>
    <w:rPr>
      <w:rFonts w:ascii="宋体" w:hAnsi="Times New Roman" w:eastAsia="宋体" w:cs="Times New Roman"/>
      <w:sz w:val="34"/>
      <w:lang w:val="en-US" w:eastAsia="zh-CN" w:bidi="ar-SA"/>
    </w:rPr>
  </w:style>
  <w:style w:type="paragraph" w:customStyle="1" w:styleId="672">
    <w:name w:val="Style"/>
    <w:basedOn w:val="1"/>
    <w:next w:val="53"/>
    <w:autoRedefine/>
    <w:qFormat/>
    <w:uiPriority w:val="0"/>
    <w:pPr>
      <w:tabs>
        <w:tab w:val="left" w:pos="1050"/>
      </w:tabs>
      <w:spacing w:line="400" w:lineRule="exact"/>
      <w:ind w:left="1050"/>
      <w:jc w:val="both"/>
    </w:pPr>
    <w:rPr>
      <w:rFonts w:ascii="宋体" w:hAnsi="Times New Roman"/>
      <w:kern w:val="2"/>
      <w:sz w:val="28"/>
      <w:szCs w:val="28"/>
      <w:lang w:eastAsia="zh-CN"/>
    </w:rPr>
  </w:style>
  <w:style w:type="paragraph" w:customStyle="1" w:styleId="673">
    <w:name w:val="招标号"/>
    <w:autoRedefine/>
    <w:qFormat/>
    <w:uiPriority w:val="0"/>
    <w:pPr>
      <w:jc w:val="center"/>
    </w:pPr>
    <w:rPr>
      <w:rFonts w:ascii="Times New Roman" w:hAnsi="Times New Roman" w:eastAsia="隶书" w:cs="Times New Roman"/>
      <w:b/>
      <w:bCs/>
      <w:sz w:val="28"/>
      <w:lang w:val="en-US" w:eastAsia="zh-CN" w:bidi="ar-SA"/>
    </w:rPr>
  </w:style>
  <w:style w:type="paragraph" w:customStyle="1" w:styleId="674">
    <w:name w:val="Char Char Char Char Char Char Char Char Char Char Char Char Char Char Char Char2"/>
    <w:basedOn w:val="1"/>
    <w:autoRedefine/>
    <w:qFormat/>
    <w:uiPriority w:val="0"/>
    <w:pPr>
      <w:widowControl/>
      <w:spacing w:after="160" w:line="240" w:lineRule="exact"/>
    </w:pPr>
    <w:rPr>
      <w:rFonts w:ascii="Verdana" w:hAnsi="Verdana" w:eastAsia="仿宋_GB2312"/>
      <w:sz w:val="24"/>
      <w:szCs w:val="20"/>
    </w:rPr>
  </w:style>
  <w:style w:type="paragraph" w:customStyle="1" w:styleId="675">
    <w:name w:val="CM54"/>
    <w:basedOn w:val="84"/>
    <w:next w:val="84"/>
    <w:autoRedefine/>
    <w:qFormat/>
    <w:uiPriority w:val="0"/>
    <w:pPr>
      <w:spacing w:line="398" w:lineRule="atLeast"/>
    </w:pPr>
    <w:rPr>
      <w:rFonts w:ascii="Calibri" w:cs="Times New Roman"/>
      <w:color w:val="auto"/>
    </w:rPr>
  </w:style>
  <w:style w:type="paragraph" w:customStyle="1" w:styleId="676">
    <w:name w:val="xl120"/>
    <w:basedOn w:val="1"/>
    <w:autoRedefine/>
    <w:qFormat/>
    <w:uiPriority w:val="0"/>
    <w:pPr>
      <w:widowControl/>
      <w:pBdr>
        <w:top w:val="single" w:color="auto" w:sz="4" w:space="0"/>
        <w:bottom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77">
    <w:name w:val="font5"/>
    <w:basedOn w:val="1"/>
    <w:autoRedefine/>
    <w:qFormat/>
    <w:uiPriority w:val="0"/>
    <w:pPr>
      <w:widowControl/>
      <w:spacing w:before="100" w:beforeAutospacing="1" w:after="100" w:afterAutospacing="1"/>
    </w:pPr>
    <w:rPr>
      <w:rFonts w:hint="eastAsia" w:ascii="宋体" w:hAnsi="宋体"/>
      <w:sz w:val="18"/>
      <w:szCs w:val="18"/>
      <w:lang w:eastAsia="zh-CN"/>
    </w:rPr>
  </w:style>
  <w:style w:type="paragraph" w:customStyle="1" w:styleId="678">
    <w:name w:val="xl142"/>
    <w:basedOn w:val="1"/>
    <w:autoRedefine/>
    <w:qFormat/>
    <w:uiPriority w:val="0"/>
    <w:pPr>
      <w:widowControl/>
      <w:pBdr>
        <w:left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table" w:customStyle="1" w:styleId="679">
    <w:name w:val="Table Normal_0"/>
    <w:autoRedefine/>
    <w:qFormat/>
    <w:uiPriority w:val="0"/>
    <w:pPr>
      <w:widowControl w:val="0"/>
    </w:pPr>
    <w:rPr>
      <w:sz w:val="22"/>
      <w:szCs w:val="22"/>
      <w:lang w:eastAsia="en-US"/>
    </w:rPr>
    <w:tblPr>
      <w:tblCellMar>
        <w:top w:w="0" w:type="dxa"/>
        <w:left w:w="0" w:type="dxa"/>
        <w:bottom w:w="0" w:type="dxa"/>
        <w:right w:w="0" w:type="dxa"/>
      </w:tblCellMar>
    </w:tblPr>
  </w:style>
  <w:style w:type="table" w:customStyle="1" w:styleId="680">
    <w:name w:val="表格样式1"/>
    <w:basedOn w:val="68"/>
    <w:autoRedefine/>
    <w:qFormat/>
    <w:uiPriority w:val="0"/>
    <w:rPr>
      <w:rFonts w:ascii="Calibri" w:hAnsi="Calibri"/>
    </w:rPr>
  </w:style>
  <w:style w:type="paragraph" w:customStyle="1" w:styleId="681">
    <w:name w:val="Revision"/>
    <w:autoRedefine/>
    <w:unhideWhenUsed/>
    <w:qFormat/>
    <w:uiPriority w:val="99"/>
    <w:rPr>
      <w:rFonts w:ascii="Calibri" w:hAnsi="Calibri" w:eastAsia="宋体" w:cs="Times New Roman"/>
      <w:sz w:val="22"/>
      <w:szCs w:val="22"/>
      <w:lang w:val="en-US" w:eastAsia="en-US" w:bidi="ar-SA"/>
    </w:rPr>
  </w:style>
  <w:style w:type="character" w:customStyle="1" w:styleId="682">
    <w:name w:val="Unresolved Mention"/>
    <w:autoRedefine/>
    <w:unhideWhenUsed/>
    <w:qFormat/>
    <w:uiPriority w:val="99"/>
    <w:rPr>
      <w:color w:val="605E5C"/>
      <w:shd w:val="clear" w:color="auto" w:fill="E1DFDD"/>
    </w:rPr>
  </w:style>
  <w:style w:type="paragraph" w:customStyle="1" w:styleId="683">
    <w:name w:val="Normal_1"/>
    <w:autoRedefine/>
    <w:qFormat/>
    <w:uiPriority w:val="0"/>
    <w:pPr>
      <w:widowControl w:val="0"/>
      <w:spacing w:after="200" w:line="276" w:lineRule="auto"/>
      <w:jc w:val="both"/>
    </w:pPr>
    <w:rPr>
      <w:rFonts w:ascii="Calibri" w:hAnsi="Calibri" w:eastAsia="Calibri" w:cs="Times New Roman"/>
      <w:kern w:val="2"/>
      <w:sz w:val="21"/>
      <w:lang w:val="en-US" w:eastAsia="zh-CN" w:bidi="ar-SA"/>
    </w:rPr>
  </w:style>
  <w:style w:type="paragraph" w:customStyle="1" w:styleId="684">
    <w:name w:val="标准中文版式_正文"/>
    <w:basedOn w:val="1"/>
    <w:autoRedefine/>
    <w:qFormat/>
    <w:uiPriority w:val="0"/>
    <w:pPr>
      <w:spacing w:before="30" w:beforeLines="0" w:line="360" w:lineRule="auto"/>
      <w:ind w:firstLineChars="200"/>
    </w:pPr>
    <w:rPr>
      <w:rFonts w:ascii="Arial" w:hAnsi="Arial"/>
      <w:sz w:val="24"/>
    </w:rPr>
  </w:style>
  <w:style w:type="character" w:customStyle="1" w:styleId="685">
    <w:name w:val="标题 2 Char1"/>
    <w:link w:val="3"/>
    <w:autoRedefine/>
    <w:qFormat/>
    <w:uiPriority w:val="0"/>
    <w:rPr>
      <w:rFonts w:ascii="Arial" w:hAnsi="Arial" w:eastAsia="宋体"/>
      <w:b/>
      <w:bCs/>
      <w:kern w:val="2"/>
      <w:sz w:val="24"/>
      <w:szCs w:val="32"/>
      <w:lang w:val="en-US" w:eastAsia="zh-CN" w:bidi="ar-SA"/>
    </w:rPr>
  </w:style>
  <w:style w:type="table" w:customStyle="1" w:styleId="686">
    <w:name w:val="Table Normal_1"/>
    <w:autoRedefine/>
    <w:unhideWhenUsed/>
    <w:qFormat/>
    <w:uiPriority w:val="0"/>
    <w:tblPr>
      <w:tblCellMar>
        <w:top w:w="0" w:type="dxa"/>
        <w:left w:w="0" w:type="dxa"/>
        <w:bottom w:w="0" w:type="dxa"/>
        <w:right w:w="0" w:type="dxa"/>
      </w:tblCellMar>
    </w:tblPr>
  </w:style>
  <w:style w:type="character" w:customStyle="1" w:styleId="687">
    <w:name w:val="old"/>
    <w:basedOn w:val="71"/>
    <w:autoRedefine/>
    <w:qFormat/>
    <w:uiPriority w:val="0"/>
    <w:rPr>
      <w:color w:val="999999"/>
    </w:rPr>
  </w:style>
  <w:style w:type="character" w:customStyle="1" w:styleId="688">
    <w:name w:val="hour_am"/>
    <w:basedOn w:val="71"/>
    <w:autoRedefine/>
    <w:qFormat/>
    <w:uiPriority w:val="0"/>
  </w:style>
  <w:style w:type="character" w:customStyle="1" w:styleId="689">
    <w:name w:val="indent"/>
    <w:basedOn w:val="71"/>
    <w:autoRedefine/>
    <w:qFormat/>
    <w:uiPriority w:val="0"/>
  </w:style>
  <w:style w:type="character" w:customStyle="1" w:styleId="690">
    <w:name w:val="hover1"/>
    <w:basedOn w:val="71"/>
    <w:autoRedefine/>
    <w:qFormat/>
    <w:uiPriority w:val="0"/>
    <w:rPr>
      <w:shd w:val="clear" w:fill="EEEEEE"/>
    </w:rPr>
  </w:style>
  <w:style w:type="character" w:customStyle="1" w:styleId="691">
    <w:name w:val="glyphicon6"/>
    <w:basedOn w:val="71"/>
    <w:autoRedefine/>
    <w:qFormat/>
    <w:uiPriority w:val="0"/>
  </w:style>
  <w:style w:type="character" w:customStyle="1" w:styleId="692">
    <w:name w:val="hour_pm"/>
    <w:basedOn w:val="71"/>
    <w:autoRedefine/>
    <w:qFormat/>
    <w:uiPriority w:val="0"/>
  </w:style>
  <w:style w:type="character" w:customStyle="1" w:styleId="693">
    <w:name w:val="icon"/>
    <w:basedOn w:val="71"/>
    <w:autoRedefine/>
    <w:qFormat/>
    <w:uiPriority w:val="0"/>
  </w:style>
  <w:style w:type="table" w:customStyle="1" w:styleId="694">
    <w:name w:val="Table Normal"/>
    <w:autoRedefine/>
    <w:unhideWhenUsed/>
    <w:qFormat/>
    <w:uiPriority w:val="0"/>
    <w:tblPr>
      <w:tblCellMar>
        <w:top w:w="0" w:type="dxa"/>
        <w:left w:w="0" w:type="dxa"/>
        <w:bottom w:w="0" w:type="dxa"/>
        <w:right w:w="0" w:type="dxa"/>
      </w:tblCellMar>
    </w:tblPr>
  </w:style>
  <w:style w:type="paragraph" w:customStyle="1" w:styleId="695">
    <w:name w:val="null3"/>
    <w:autoRedefine/>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wmf"/><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116</Pages>
  <Words>1547</Words>
  <Characters>1853</Characters>
  <Lines>380</Lines>
  <Paragraphs>107</Paragraphs>
  <TotalTime>84</TotalTime>
  <ScaleCrop>false</ScaleCrop>
  <LinksUpToDate>false</LinksUpToDate>
  <CharactersWithSpaces>1911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2023-09-11T06:45:00Z</dcterms:created>
  <dc:creator>dave Z.J</dc:creator>
  <cp:lastModifiedBy>Administrator</cp:lastModifiedBy>
  <cp:lastPrinted>2024-11-29T02:38:00Z</cp:lastPrinted>
  <dcterms:modified xsi:type="dcterms:W3CDTF">2025-10-10T03:16:05Z</dcterms:modified>
  <dc:title>招标文件</dc:title>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2017-09-04T16:00:00Z</vt:filetime>
  </property>
  <property fmtid="{D5CDD505-2E9C-101B-9397-08002B2CF9AE}" pid="3" name="Creator">
    <vt:lpwstr>Microsoft® Word 2013</vt:lpwstr>
  </property>
  <property fmtid="{D5CDD505-2E9C-101B-9397-08002B2CF9AE}" pid="4" name="ICV">
    <vt:lpwstr>42A77271F813466099DFC66107C35EAD_13</vt:lpwstr>
  </property>
  <property fmtid="{D5CDD505-2E9C-101B-9397-08002B2CF9AE}" pid="5" name="KSOProductBuildVer">
    <vt:lpwstr>2052-12.1.0.22529</vt:lpwstr>
  </property>
  <property fmtid="{D5CDD505-2E9C-101B-9397-08002B2CF9AE}" pid="6" name="LastSaved">
    <vt:filetime>2017-09-17T16:00:00Z</vt:filetime>
  </property>
  <property fmtid="{D5CDD505-2E9C-101B-9397-08002B2CF9AE}" pid="7" name="KSOTemplateDocerSaveRecord">
    <vt:lpwstr>eyJoZGlkIjoiY2Q3NWNlMGZhZGMwN2NkMzZhNWQxMDM4ZjUwNTIzNTIiLCJ1c2VySWQiOiI1MzU0MzM0NjIifQ==</vt:lpwstr>
  </property>
</Properties>
</file>