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9EF63D0">
      <w:pPr>
        <w:pStyle w:val="4"/>
        <w:jc w:val="center"/>
        <w:outlineLvl w:val="1"/>
      </w:pPr>
      <w:r>
        <w:rPr>
          <w:rFonts w:ascii="仿宋_GB2312" w:hAnsi="仿宋_GB2312" w:eastAsia="仿宋_GB2312" w:cs="仿宋_GB2312"/>
          <w:b/>
          <w:sz w:val="36"/>
        </w:rPr>
        <w:t>技术、服务及其他要求</w:t>
      </w:r>
    </w:p>
    <w:p w14:paraId="214E20EF">
      <w:pPr>
        <w:pStyle w:val="4"/>
        <w:ind w:firstLine="480"/>
        <w:jc w:val="left"/>
      </w:pPr>
      <w:r>
        <w:rPr>
          <w:rFonts w:ascii="仿宋_GB2312" w:hAnsi="仿宋_GB2312" w:eastAsia="仿宋_GB2312" w:cs="仿宋_GB2312"/>
        </w:rPr>
        <w:t>（注：本章的技术、服务及其他要求中，带“★”的要求为实质性要求。采购人、代理机构应当根据项目实际要求合理设定，并在第五章符合性审查中明确响应要求。）</w:t>
      </w:r>
    </w:p>
    <w:p w14:paraId="2842D1A7">
      <w:pPr>
        <w:pStyle w:val="4"/>
        <w:jc w:val="left"/>
        <w:outlineLvl w:val="2"/>
      </w:pPr>
      <w:r>
        <w:rPr>
          <w:rFonts w:ascii="仿宋_GB2312" w:hAnsi="仿宋_GB2312" w:eastAsia="仿宋_GB2312" w:cs="仿宋_GB2312"/>
          <w:b/>
          <w:sz w:val="28"/>
        </w:rPr>
        <w:t>3.1.采购内容</w:t>
      </w:r>
    </w:p>
    <w:p w14:paraId="505CB186">
      <w:pPr>
        <w:pStyle w:val="4"/>
        <w:jc w:val="left"/>
      </w:pPr>
      <w:r>
        <w:rPr>
          <w:rFonts w:ascii="仿宋_GB2312" w:hAnsi="仿宋_GB2312" w:eastAsia="仿宋_GB2312" w:cs="仿宋_GB2312"/>
        </w:rPr>
        <w:t>采购包1：</w:t>
      </w:r>
    </w:p>
    <w:p w14:paraId="5729E5FD">
      <w:pPr>
        <w:pStyle w:val="4"/>
        <w:jc w:val="left"/>
      </w:pPr>
      <w:r>
        <w:rPr>
          <w:rFonts w:ascii="仿宋_GB2312" w:hAnsi="仿宋_GB2312" w:eastAsia="仿宋_GB2312" w:cs="仿宋_GB2312"/>
        </w:rPr>
        <w:t>采购包预算金额（元）: 1,208,350.00</w:t>
      </w:r>
    </w:p>
    <w:p w14:paraId="2E6644C4">
      <w:pPr>
        <w:pStyle w:val="4"/>
        <w:jc w:val="left"/>
      </w:pPr>
      <w:r>
        <w:rPr>
          <w:rFonts w:ascii="仿宋_GB2312" w:hAnsi="仿宋_GB2312" w:eastAsia="仿宋_GB2312" w:cs="仿宋_GB2312"/>
        </w:rPr>
        <w:t>采购包最高限价（元）: 1,105,250.00</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44"/>
        <w:gridCol w:w="1116"/>
        <w:gridCol w:w="736"/>
        <w:gridCol w:w="820"/>
        <w:gridCol w:w="1416"/>
        <w:gridCol w:w="709"/>
        <w:gridCol w:w="709"/>
        <w:gridCol w:w="709"/>
        <w:gridCol w:w="709"/>
        <w:gridCol w:w="577"/>
        <w:gridCol w:w="577"/>
      </w:tblGrid>
      <w:tr w14:paraId="767FA52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5D223FCD">
            <w:pPr>
              <w:pStyle w:val="4"/>
              <w:jc w:val="center"/>
            </w:pPr>
            <w:r>
              <w:rPr>
                <w:rFonts w:ascii="仿宋_GB2312" w:hAnsi="仿宋_GB2312" w:eastAsia="仿宋_GB2312" w:cs="仿宋_GB2312"/>
              </w:rPr>
              <w:t>序号</w:t>
            </w:r>
          </w:p>
        </w:tc>
        <w:tc>
          <w:tcPr>
            <w:tcW w:w="821" w:type="dxa"/>
          </w:tcPr>
          <w:p w14:paraId="4793F348">
            <w:pPr>
              <w:pStyle w:val="4"/>
              <w:jc w:val="center"/>
            </w:pPr>
            <w:r>
              <w:rPr>
                <w:rFonts w:ascii="仿宋_GB2312" w:hAnsi="仿宋_GB2312" w:eastAsia="仿宋_GB2312" w:cs="仿宋_GB2312"/>
              </w:rPr>
              <w:t>采购品目名称</w:t>
            </w:r>
          </w:p>
        </w:tc>
        <w:tc>
          <w:tcPr>
            <w:tcW w:w="821" w:type="dxa"/>
          </w:tcPr>
          <w:p w14:paraId="74B38FFE">
            <w:pPr>
              <w:pStyle w:val="4"/>
              <w:jc w:val="center"/>
            </w:pPr>
            <w:r>
              <w:rPr>
                <w:rFonts w:ascii="仿宋_GB2312" w:hAnsi="仿宋_GB2312" w:eastAsia="仿宋_GB2312" w:cs="仿宋_GB2312"/>
              </w:rPr>
              <w:t>标的名称</w:t>
            </w:r>
          </w:p>
        </w:tc>
        <w:tc>
          <w:tcPr>
            <w:tcW w:w="821" w:type="dxa"/>
          </w:tcPr>
          <w:p w14:paraId="3591003E">
            <w:pPr>
              <w:pStyle w:val="4"/>
              <w:jc w:val="center"/>
            </w:pPr>
            <w:r>
              <w:rPr>
                <w:rFonts w:ascii="仿宋_GB2312" w:hAnsi="仿宋_GB2312" w:eastAsia="仿宋_GB2312" w:cs="仿宋_GB2312"/>
              </w:rPr>
              <w:t>数量</w:t>
            </w:r>
            <w:r>
              <w:br w:type="textWrapping"/>
            </w:r>
            <w:r>
              <w:rPr>
                <w:rFonts w:ascii="仿宋_GB2312" w:hAnsi="仿宋_GB2312" w:eastAsia="仿宋_GB2312" w:cs="仿宋_GB2312"/>
              </w:rPr>
              <w:t>(计量单位)</w:t>
            </w:r>
          </w:p>
        </w:tc>
        <w:tc>
          <w:tcPr>
            <w:tcW w:w="821" w:type="dxa"/>
          </w:tcPr>
          <w:p w14:paraId="3B45A674">
            <w:pPr>
              <w:pStyle w:val="4"/>
              <w:jc w:val="center"/>
            </w:pPr>
            <w:r>
              <w:rPr>
                <w:rFonts w:ascii="仿宋_GB2312" w:hAnsi="仿宋_GB2312" w:eastAsia="仿宋_GB2312" w:cs="仿宋_GB2312"/>
              </w:rPr>
              <w:t>标的金额 （元）</w:t>
            </w:r>
          </w:p>
        </w:tc>
        <w:tc>
          <w:tcPr>
            <w:tcW w:w="821" w:type="dxa"/>
          </w:tcPr>
          <w:p w14:paraId="671CEB70">
            <w:pPr>
              <w:pStyle w:val="4"/>
              <w:jc w:val="center"/>
            </w:pPr>
            <w:r>
              <w:rPr>
                <w:rFonts w:ascii="仿宋_GB2312" w:hAnsi="仿宋_GB2312" w:eastAsia="仿宋_GB2312" w:cs="仿宋_GB2312"/>
              </w:rPr>
              <w:t>所属行业</w:t>
            </w:r>
          </w:p>
        </w:tc>
        <w:tc>
          <w:tcPr>
            <w:tcW w:w="821" w:type="dxa"/>
          </w:tcPr>
          <w:p w14:paraId="7E5CB604">
            <w:pPr>
              <w:pStyle w:val="4"/>
              <w:jc w:val="center"/>
            </w:pPr>
            <w:r>
              <w:rPr>
                <w:rFonts w:ascii="仿宋_GB2312" w:hAnsi="仿宋_GB2312" w:eastAsia="仿宋_GB2312" w:cs="仿宋_GB2312"/>
              </w:rPr>
              <w:t>是否涉及核心产品</w:t>
            </w:r>
          </w:p>
        </w:tc>
        <w:tc>
          <w:tcPr>
            <w:tcW w:w="821" w:type="dxa"/>
          </w:tcPr>
          <w:p w14:paraId="20832DCD">
            <w:pPr>
              <w:pStyle w:val="4"/>
              <w:jc w:val="center"/>
            </w:pPr>
            <w:r>
              <w:rPr>
                <w:rFonts w:ascii="仿宋_GB2312" w:hAnsi="仿宋_GB2312" w:eastAsia="仿宋_GB2312" w:cs="仿宋_GB2312"/>
              </w:rPr>
              <w:t>是否涉及采购进口产品</w:t>
            </w:r>
          </w:p>
        </w:tc>
        <w:tc>
          <w:tcPr>
            <w:tcW w:w="821" w:type="dxa"/>
          </w:tcPr>
          <w:p w14:paraId="6C40F972">
            <w:pPr>
              <w:pStyle w:val="4"/>
              <w:jc w:val="center"/>
            </w:pPr>
            <w:r>
              <w:rPr>
                <w:rFonts w:ascii="仿宋_GB2312" w:hAnsi="仿宋_GB2312" w:eastAsia="仿宋_GB2312" w:cs="仿宋_GB2312"/>
              </w:rPr>
              <w:t>是否涉及强制采购节能产品</w:t>
            </w:r>
          </w:p>
        </w:tc>
        <w:tc>
          <w:tcPr>
            <w:tcW w:w="639" w:type="dxa"/>
          </w:tcPr>
          <w:p w14:paraId="0555211F">
            <w:pPr>
              <w:pStyle w:val="4"/>
              <w:jc w:val="center"/>
            </w:pPr>
            <w:r>
              <w:rPr>
                <w:rFonts w:ascii="仿宋_GB2312" w:hAnsi="仿宋_GB2312" w:eastAsia="仿宋_GB2312" w:cs="仿宋_GB2312"/>
              </w:rPr>
              <w:t>是否涉及优先采购节能产品</w:t>
            </w:r>
          </w:p>
        </w:tc>
        <w:tc>
          <w:tcPr>
            <w:tcW w:w="639" w:type="dxa"/>
          </w:tcPr>
          <w:p w14:paraId="481E98B0">
            <w:pPr>
              <w:pStyle w:val="4"/>
              <w:jc w:val="center"/>
            </w:pPr>
            <w:r>
              <w:rPr>
                <w:rFonts w:ascii="仿宋_GB2312" w:hAnsi="仿宋_GB2312" w:eastAsia="仿宋_GB2312" w:cs="仿宋_GB2312"/>
              </w:rPr>
              <w:t>是否涉及优先采购环境标志产品</w:t>
            </w:r>
          </w:p>
        </w:tc>
      </w:tr>
      <w:tr w14:paraId="7E6F435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6BFFE2E3">
            <w:pPr>
              <w:pStyle w:val="4"/>
              <w:jc w:val="left"/>
            </w:pPr>
            <w:r>
              <w:rPr>
                <w:rFonts w:ascii="仿宋_GB2312" w:hAnsi="仿宋_GB2312" w:eastAsia="仿宋_GB2312" w:cs="仿宋_GB2312"/>
              </w:rPr>
              <w:t>1</w:t>
            </w:r>
          </w:p>
        </w:tc>
        <w:tc>
          <w:tcPr>
            <w:tcW w:w="821" w:type="dxa"/>
          </w:tcPr>
          <w:p w14:paraId="720B9E90">
            <w:pPr>
              <w:pStyle w:val="4"/>
              <w:jc w:val="left"/>
            </w:pPr>
            <w:r>
              <w:rPr>
                <w:rFonts w:ascii="仿宋_GB2312" w:hAnsi="仿宋_GB2312" w:eastAsia="仿宋_GB2312" w:cs="仿宋_GB2312"/>
              </w:rPr>
              <w:t>A02370100 消防设备</w:t>
            </w:r>
          </w:p>
        </w:tc>
        <w:tc>
          <w:tcPr>
            <w:tcW w:w="821" w:type="dxa"/>
          </w:tcPr>
          <w:p w14:paraId="1E5CBDDA">
            <w:pPr>
              <w:pStyle w:val="4"/>
              <w:jc w:val="left"/>
            </w:pPr>
            <w:r>
              <w:rPr>
                <w:rFonts w:ascii="仿宋_GB2312" w:hAnsi="仿宋_GB2312" w:eastAsia="仿宋_GB2312" w:cs="仿宋_GB2312"/>
              </w:rPr>
              <w:t>广元市利州区乡镇(街道)应急管理能力建设项目</w:t>
            </w:r>
          </w:p>
        </w:tc>
        <w:tc>
          <w:tcPr>
            <w:tcW w:w="821" w:type="dxa"/>
          </w:tcPr>
          <w:p w14:paraId="6F07B7A8">
            <w:pPr>
              <w:pStyle w:val="4"/>
              <w:jc w:val="right"/>
            </w:pPr>
            <w:r>
              <w:rPr>
                <w:rFonts w:ascii="仿宋_GB2312" w:hAnsi="仿宋_GB2312" w:eastAsia="仿宋_GB2312" w:cs="仿宋_GB2312"/>
              </w:rPr>
              <w:t>1.00（项）</w:t>
            </w:r>
          </w:p>
        </w:tc>
        <w:tc>
          <w:tcPr>
            <w:tcW w:w="821" w:type="dxa"/>
          </w:tcPr>
          <w:p w14:paraId="20E0498E">
            <w:pPr>
              <w:pStyle w:val="4"/>
              <w:jc w:val="right"/>
            </w:pPr>
            <w:r>
              <w:rPr>
                <w:rFonts w:ascii="仿宋_GB2312" w:hAnsi="仿宋_GB2312" w:eastAsia="仿宋_GB2312" w:cs="仿宋_GB2312"/>
              </w:rPr>
              <w:t>1,105,250.00</w:t>
            </w:r>
          </w:p>
        </w:tc>
        <w:tc>
          <w:tcPr>
            <w:tcW w:w="821" w:type="dxa"/>
          </w:tcPr>
          <w:p w14:paraId="3722A129">
            <w:pPr>
              <w:pStyle w:val="4"/>
              <w:jc w:val="left"/>
            </w:pPr>
            <w:r>
              <w:rPr>
                <w:rFonts w:ascii="仿宋_GB2312" w:hAnsi="仿宋_GB2312" w:eastAsia="仿宋_GB2312" w:cs="仿宋_GB2312"/>
              </w:rPr>
              <w:t>工业</w:t>
            </w:r>
          </w:p>
        </w:tc>
        <w:tc>
          <w:tcPr>
            <w:tcW w:w="821" w:type="dxa"/>
          </w:tcPr>
          <w:p w14:paraId="3982BCF3">
            <w:pPr>
              <w:pStyle w:val="4"/>
              <w:jc w:val="left"/>
            </w:pPr>
            <w:r>
              <w:rPr>
                <w:rFonts w:ascii="仿宋_GB2312" w:hAnsi="仿宋_GB2312" w:eastAsia="仿宋_GB2312" w:cs="仿宋_GB2312"/>
              </w:rPr>
              <w:t>是</w:t>
            </w:r>
          </w:p>
        </w:tc>
        <w:tc>
          <w:tcPr>
            <w:tcW w:w="821" w:type="dxa"/>
          </w:tcPr>
          <w:p w14:paraId="27A0C8F3">
            <w:pPr>
              <w:pStyle w:val="4"/>
              <w:jc w:val="left"/>
            </w:pPr>
            <w:r>
              <w:rPr>
                <w:rFonts w:ascii="仿宋_GB2312" w:hAnsi="仿宋_GB2312" w:eastAsia="仿宋_GB2312" w:cs="仿宋_GB2312"/>
              </w:rPr>
              <w:t>否</w:t>
            </w:r>
          </w:p>
        </w:tc>
        <w:tc>
          <w:tcPr>
            <w:tcW w:w="821" w:type="dxa"/>
          </w:tcPr>
          <w:p w14:paraId="7DDD4FA4">
            <w:pPr>
              <w:pStyle w:val="4"/>
              <w:jc w:val="left"/>
            </w:pPr>
            <w:r>
              <w:rPr>
                <w:rFonts w:ascii="仿宋_GB2312" w:hAnsi="仿宋_GB2312" w:eastAsia="仿宋_GB2312" w:cs="仿宋_GB2312"/>
              </w:rPr>
              <w:t>否</w:t>
            </w:r>
          </w:p>
        </w:tc>
        <w:tc>
          <w:tcPr>
            <w:tcW w:w="639" w:type="dxa"/>
          </w:tcPr>
          <w:p w14:paraId="569DD1FB">
            <w:pPr>
              <w:pStyle w:val="4"/>
              <w:jc w:val="left"/>
            </w:pPr>
            <w:r>
              <w:rPr>
                <w:rFonts w:ascii="仿宋_GB2312" w:hAnsi="仿宋_GB2312" w:eastAsia="仿宋_GB2312" w:cs="仿宋_GB2312"/>
              </w:rPr>
              <w:t>否</w:t>
            </w:r>
          </w:p>
        </w:tc>
        <w:tc>
          <w:tcPr>
            <w:tcW w:w="639" w:type="dxa"/>
          </w:tcPr>
          <w:p w14:paraId="36832677">
            <w:pPr>
              <w:pStyle w:val="4"/>
              <w:jc w:val="left"/>
            </w:pPr>
            <w:r>
              <w:rPr>
                <w:rFonts w:ascii="仿宋_GB2312" w:hAnsi="仿宋_GB2312" w:eastAsia="仿宋_GB2312" w:cs="仿宋_GB2312"/>
              </w:rPr>
              <w:t>否</w:t>
            </w:r>
          </w:p>
        </w:tc>
      </w:tr>
    </w:tbl>
    <w:p w14:paraId="33ABE74F">
      <w:pPr>
        <w:pStyle w:val="4"/>
        <w:jc w:val="left"/>
      </w:pPr>
      <w:r>
        <w:rPr>
          <w:rFonts w:ascii="仿宋_GB2312" w:hAnsi="仿宋_GB2312" w:eastAsia="仿宋_GB2312" w:cs="仿宋_GB2312"/>
        </w:rPr>
        <w:t>采购包2：</w:t>
      </w:r>
    </w:p>
    <w:p w14:paraId="555AE89D">
      <w:pPr>
        <w:pStyle w:val="4"/>
        <w:jc w:val="left"/>
      </w:pPr>
      <w:r>
        <w:rPr>
          <w:rFonts w:ascii="仿宋_GB2312" w:hAnsi="仿宋_GB2312" w:eastAsia="仿宋_GB2312" w:cs="仿宋_GB2312"/>
        </w:rPr>
        <w:t>采购包预算金额（元）: 911,750.00</w:t>
      </w:r>
    </w:p>
    <w:p w14:paraId="7F78C04A">
      <w:pPr>
        <w:pStyle w:val="4"/>
        <w:jc w:val="left"/>
      </w:pPr>
      <w:r>
        <w:rPr>
          <w:rFonts w:ascii="仿宋_GB2312" w:hAnsi="仿宋_GB2312" w:eastAsia="仿宋_GB2312" w:cs="仿宋_GB2312"/>
        </w:rPr>
        <w:t>采购包最高限价（元）: 911,750.00</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48"/>
        <w:gridCol w:w="1116"/>
        <w:gridCol w:w="762"/>
        <w:gridCol w:w="820"/>
        <w:gridCol w:w="1216"/>
        <w:gridCol w:w="742"/>
        <w:gridCol w:w="742"/>
        <w:gridCol w:w="742"/>
        <w:gridCol w:w="742"/>
        <w:gridCol w:w="596"/>
        <w:gridCol w:w="596"/>
      </w:tblGrid>
      <w:tr w14:paraId="5AA163C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PrEx>
        <w:tc>
          <w:tcPr>
            <w:tcW w:w="456" w:type="dxa"/>
          </w:tcPr>
          <w:p w14:paraId="4896C7EC">
            <w:pPr>
              <w:pStyle w:val="4"/>
              <w:jc w:val="center"/>
            </w:pPr>
            <w:r>
              <w:rPr>
                <w:rFonts w:ascii="仿宋_GB2312" w:hAnsi="仿宋_GB2312" w:eastAsia="仿宋_GB2312" w:cs="仿宋_GB2312"/>
              </w:rPr>
              <w:t>序号</w:t>
            </w:r>
          </w:p>
        </w:tc>
        <w:tc>
          <w:tcPr>
            <w:tcW w:w="821" w:type="dxa"/>
          </w:tcPr>
          <w:p w14:paraId="5FAB52B5">
            <w:pPr>
              <w:pStyle w:val="4"/>
              <w:jc w:val="center"/>
            </w:pPr>
            <w:r>
              <w:rPr>
                <w:rFonts w:ascii="仿宋_GB2312" w:hAnsi="仿宋_GB2312" w:eastAsia="仿宋_GB2312" w:cs="仿宋_GB2312"/>
              </w:rPr>
              <w:t>采购品目名称</w:t>
            </w:r>
          </w:p>
        </w:tc>
        <w:tc>
          <w:tcPr>
            <w:tcW w:w="821" w:type="dxa"/>
          </w:tcPr>
          <w:p w14:paraId="5E0DC092">
            <w:pPr>
              <w:pStyle w:val="4"/>
              <w:jc w:val="center"/>
            </w:pPr>
            <w:r>
              <w:rPr>
                <w:rFonts w:ascii="仿宋_GB2312" w:hAnsi="仿宋_GB2312" w:eastAsia="仿宋_GB2312" w:cs="仿宋_GB2312"/>
              </w:rPr>
              <w:t>标的名称</w:t>
            </w:r>
          </w:p>
        </w:tc>
        <w:tc>
          <w:tcPr>
            <w:tcW w:w="821" w:type="dxa"/>
          </w:tcPr>
          <w:p w14:paraId="69C5F78D">
            <w:pPr>
              <w:pStyle w:val="4"/>
              <w:jc w:val="center"/>
            </w:pPr>
            <w:r>
              <w:rPr>
                <w:rFonts w:ascii="仿宋_GB2312" w:hAnsi="仿宋_GB2312" w:eastAsia="仿宋_GB2312" w:cs="仿宋_GB2312"/>
              </w:rPr>
              <w:t>数量</w:t>
            </w:r>
            <w:r>
              <w:br w:type="textWrapping"/>
            </w:r>
            <w:r>
              <w:rPr>
                <w:rFonts w:ascii="仿宋_GB2312" w:hAnsi="仿宋_GB2312" w:eastAsia="仿宋_GB2312" w:cs="仿宋_GB2312"/>
              </w:rPr>
              <w:t>(计量单位)</w:t>
            </w:r>
          </w:p>
        </w:tc>
        <w:tc>
          <w:tcPr>
            <w:tcW w:w="821" w:type="dxa"/>
          </w:tcPr>
          <w:p w14:paraId="76E4E809">
            <w:pPr>
              <w:pStyle w:val="4"/>
              <w:jc w:val="center"/>
            </w:pPr>
            <w:r>
              <w:rPr>
                <w:rFonts w:ascii="仿宋_GB2312" w:hAnsi="仿宋_GB2312" w:eastAsia="仿宋_GB2312" w:cs="仿宋_GB2312"/>
              </w:rPr>
              <w:t>标的金额 （元）</w:t>
            </w:r>
          </w:p>
        </w:tc>
        <w:tc>
          <w:tcPr>
            <w:tcW w:w="821" w:type="dxa"/>
          </w:tcPr>
          <w:p w14:paraId="3726D646">
            <w:pPr>
              <w:pStyle w:val="4"/>
              <w:jc w:val="center"/>
            </w:pPr>
            <w:r>
              <w:rPr>
                <w:rFonts w:ascii="仿宋_GB2312" w:hAnsi="仿宋_GB2312" w:eastAsia="仿宋_GB2312" w:cs="仿宋_GB2312"/>
              </w:rPr>
              <w:t>所属行业</w:t>
            </w:r>
          </w:p>
        </w:tc>
        <w:tc>
          <w:tcPr>
            <w:tcW w:w="821" w:type="dxa"/>
          </w:tcPr>
          <w:p w14:paraId="7AA89539">
            <w:pPr>
              <w:pStyle w:val="4"/>
              <w:jc w:val="center"/>
            </w:pPr>
            <w:r>
              <w:rPr>
                <w:rFonts w:ascii="仿宋_GB2312" w:hAnsi="仿宋_GB2312" w:eastAsia="仿宋_GB2312" w:cs="仿宋_GB2312"/>
              </w:rPr>
              <w:t>是否涉及核心产品</w:t>
            </w:r>
          </w:p>
        </w:tc>
        <w:tc>
          <w:tcPr>
            <w:tcW w:w="821" w:type="dxa"/>
          </w:tcPr>
          <w:p w14:paraId="7A4EBF96">
            <w:pPr>
              <w:pStyle w:val="4"/>
              <w:jc w:val="center"/>
            </w:pPr>
            <w:r>
              <w:rPr>
                <w:rFonts w:ascii="仿宋_GB2312" w:hAnsi="仿宋_GB2312" w:eastAsia="仿宋_GB2312" w:cs="仿宋_GB2312"/>
              </w:rPr>
              <w:t>是否涉及采购进口产品</w:t>
            </w:r>
          </w:p>
        </w:tc>
        <w:tc>
          <w:tcPr>
            <w:tcW w:w="821" w:type="dxa"/>
          </w:tcPr>
          <w:p w14:paraId="65764365">
            <w:pPr>
              <w:pStyle w:val="4"/>
              <w:jc w:val="center"/>
            </w:pPr>
            <w:r>
              <w:rPr>
                <w:rFonts w:ascii="仿宋_GB2312" w:hAnsi="仿宋_GB2312" w:eastAsia="仿宋_GB2312" w:cs="仿宋_GB2312"/>
              </w:rPr>
              <w:t>是否涉及强制采购节能产品</w:t>
            </w:r>
          </w:p>
        </w:tc>
        <w:tc>
          <w:tcPr>
            <w:tcW w:w="639" w:type="dxa"/>
          </w:tcPr>
          <w:p w14:paraId="71940DD1">
            <w:pPr>
              <w:pStyle w:val="4"/>
              <w:jc w:val="center"/>
            </w:pPr>
            <w:r>
              <w:rPr>
                <w:rFonts w:ascii="仿宋_GB2312" w:hAnsi="仿宋_GB2312" w:eastAsia="仿宋_GB2312" w:cs="仿宋_GB2312"/>
              </w:rPr>
              <w:t>是否涉及优先采购节能产品</w:t>
            </w:r>
          </w:p>
        </w:tc>
        <w:tc>
          <w:tcPr>
            <w:tcW w:w="639" w:type="dxa"/>
          </w:tcPr>
          <w:p w14:paraId="0CF7AD6E">
            <w:pPr>
              <w:pStyle w:val="4"/>
              <w:jc w:val="center"/>
            </w:pPr>
            <w:r>
              <w:rPr>
                <w:rFonts w:ascii="仿宋_GB2312" w:hAnsi="仿宋_GB2312" w:eastAsia="仿宋_GB2312" w:cs="仿宋_GB2312"/>
              </w:rPr>
              <w:t>是否涉及优先采购环境标志产品</w:t>
            </w:r>
          </w:p>
        </w:tc>
      </w:tr>
      <w:tr w14:paraId="3756943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0E0C96CC">
            <w:pPr>
              <w:pStyle w:val="4"/>
              <w:jc w:val="left"/>
            </w:pPr>
            <w:r>
              <w:rPr>
                <w:rFonts w:ascii="仿宋_GB2312" w:hAnsi="仿宋_GB2312" w:eastAsia="仿宋_GB2312" w:cs="仿宋_GB2312"/>
              </w:rPr>
              <w:t>1</w:t>
            </w:r>
          </w:p>
        </w:tc>
        <w:tc>
          <w:tcPr>
            <w:tcW w:w="821" w:type="dxa"/>
          </w:tcPr>
          <w:p w14:paraId="036325E9">
            <w:pPr>
              <w:pStyle w:val="4"/>
              <w:jc w:val="left"/>
            </w:pPr>
            <w:r>
              <w:rPr>
                <w:rFonts w:ascii="仿宋_GB2312" w:hAnsi="仿宋_GB2312" w:eastAsia="仿宋_GB2312" w:cs="仿宋_GB2312"/>
              </w:rPr>
              <w:t>A02370100 消防设备</w:t>
            </w:r>
          </w:p>
        </w:tc>
        <w:tc>
          <w:tcPr>
            <w:tcW w:w="821" w:type="dxa"/>
          </w:tcPr>
          <w:p w14:paraId="12665513">
            <w:pPr>
              <w:pStyle w:val="4"/>
              <w:jc w:val="left"/>
            </w:pPr>
            <w:r>
              <w:rPr>
                <w:rFonts w:ascii="仿宋_GB2312" w:hAnsi="仿宋_GB2312" w:eastAsia="仿宋_GB2312" w:cs="仿宋_GB2312"/>
              </w:rPr>
              <w:t>广元市利州区乡镇(街道)应急管理能力建设项目</w:t>
            </w:r>
          </w:p>
        </w:tc>
        <w:tc>
          <w:tcPr>
            <w:tcW w:w="821" w:type="dxa"/>
          </w:tcPr>
          <w:p w14:paraId="05B1D8C1">
            <w:pPr>
              <w:pStyle w:val="4"/>
              <w:jc w:val="right"/>
            </w:pPr>
            <w:r>
              <w:rPr>
                <w:rFonts w:ascii="仿宋_GB2312" w:hAnsi="仿宋_GB2312" w:eastAsia="仿宋_GB2312" w:cs="仿宋_GB2312"/>
              </w:rPr>
              <w:t>1.00（项）</w:t>
            </w:r>
          </w:p>
        </w:tc>
        <w:tc>
          <w:tcPr>
            <w:tcW w:w="821" w:type="dxa"/>
          </w:tcPr>
          <w:p w14:paraId="291A908D">
            <w:pPr>
              <w:pStyle w:val="4"/>
              <w:jc w:val="right"/>
            </w:pPr>
            <w:r>
              <w:rPr>
                <w:rFonts w:ascii="仿宋_GB2312" w:hAnsi="仿宋_GB2312" w:eastAsia="仿宋_GB2312" w:cs="仿宋_GB2312"/>
              </w:rPr>
              <w:t>911,750.00</w:t>
            </w:r>
          </w:p>
        </w:tc>
        <w:tc>
          <w:tcPr>
            <w:tcW w:w="821" w:type="dxa"/>
          </w:tcPr>
          <w:p w14:paraId="00B0D408">
            <w:pPr>
              <w:pStyle w:val="4"/>
              <w:jc w:val="left"/>
            </w:pPr>
            <w:r>
              <w:rPr>
                <w:rFonts w:ascii="仿宋_GB2312" w:hAnsi="仿宋_GB2312" w:eastAsia="仿宋_GB2312" w:cs="仿宋_GB2312"/>
              </w:rPr>
              <w:t>工业</w:t>
            </w:r>
          </w:p>
        </w:tc>
        <w:tc>
          <w:tcPr>
            <w:tcW w:w="821" w:type="dxa"/>
          </w:tcPr>
          <w:p w14:paraId="108703C9">
            <w:pPr>
              <w:pStyle w:val="4"/>
              <w:jc w:val="left"/>
            </w:pPr>
            <w:r>
              <w:rPr>
                <w:rFonts w:ascii="仿宋_GB2312" w:hAnsi="仿宋_GB2312" w:eastAsia="仿宋_GB2312" w:cs="仿宋_GB2312"/>
              </w:rPr>
              <w:t>是</w:t>
            </w:r>
          </w:p>
        </w:tc>
        <w:tc>
          <w:tcPr>
            <w:tcW w:w="821" w:type="dxa"/>
          </w:tcPr>
          <w:p w14:paraId="416D8023">
            <w:pPr>
              <w:pStyle w:val="4"/>
              <w:jc w:val="left"/>
            </w:pPr>
            <w:r>
              <w:rPr>
                <w:rFonts w:ascii="仿宋_GB2312" w:hAnsi="仿宋_GB2312" w:eastAsia="仿宋_GB2312" w:cs="仿宋_GB2312"/>
              </w:rPr>
              <w:t>否</w:t>
            </w:r>
          </w:p>
        </w:tc>
        <w:tc>
          <w:tcPr>
            <w:tcW w:w="821" w:type="dxa"/>
          </w:tcPr>
          <w:p w14:paraId="674F7978">
            <w:pPr>
              <w:pStyle w:val="4"/>
              <w:jc w:val="left"/>
            </w:pPr>
            <w:r>
              <w:rPr>
                <w:rFonts w:ascii="仿宋_GB2312" w:hAnsi="仿宋_GB2312" w:eastAsia="仿宋_GB2312" w:cs="仿宋_GB2312"/>
              </w:rPr>
              <w:t>否</w:t>
            </w:r>
          </w:p>
        </w:tc>
        <w:tc>
          <w:tcPr>
            <w:tcW w:w="639" w:type="dxa"/>
          </w:tcPr>
          <w:p w14:paraId="006A56D8">
            <w:pPr>
              <w:pStyle w:val="4"/>
              <w:jc w:val="left"/>
            </w:pPr>
            <w:r>
              <w:rPr>
                <w:rFonts w:ascii="仿宋_GB2312" w:hAnsi="仿宋_GB2312" w:eastAsia="仿宋_GB2312" w:cs="仿宋_GB2312"/>
              </w:rPr>
              <w:t>否</w:t>
            </w:r>
          </w:p>
        </w:tc>
        <w:tc>
          <w:tcPr>
            <w:tcW w:w="639" w:type="dxa"/>
          </w:tcPr>
          <w:p w14:paraId="1E652D73">
            <w:pPr>
              <w:pStyle w:val="4"/>
              <w:jc w:val="left"/>
            </w:pPr>
            <w:r>
              <w:rPr>
                <w:rFonts w:ascii="仿宋_GB2312" w:hAnsi="仿宋_GB2312" w:eastAsia="仿宋_GB2312" w:cs="仿宋_GB2312"/>
              </w:rPr>
              <w:t>否</w:t>
            </w:r>
          </w:p>
        </w:tc>
      </w:tr>
    </w:tbl>
    <w:p w14:paraId="6B04B0E4">
      <w:pPr>
        <w:pStyle w:val="4"/>
        <w:jc w:val="left"/>
      </w:pPr>
      <w:r>
        <w:rPr>
          <w:rFonts w:ascii="仿宋_GB2312" w:hAnsi="仿宋_GB2312" w:eastAsia="仿宋_GB2312" w:cs="仿宋_GB2312"/>
        </w:rPr>
        <w:t>是否适用本国产品标准：</w:t>
      </w:r>
    </w:p>
    <w:p w14:paraId="2808AB96">
      <w:pPr>
        <w:pStyle w:val="4"/>
        <w:jc w:val="left"/>
      </w:pPr>
      <w:r>
        <w:rPr>
          <w:rFonts w:ascii="仿宋_GB2312" w:hAnsi="仿宋_GB2312" w:eastAsia="仿宋_GB2312" w:cs="仿宋_GB2312"/>
        </w:rPr>
        <w:t>采购包1：是</w:t>
      </w:r>
    </w:p>
    <w:p w14:paraId="2CF812B8">
      <w:pPr>
        <w:pStyle w:val="4"/>
        <w:jc w:val="left"/>
      </w:pPr>
      <w:r>
        <w:rPr>
          <w:rFonts w:ascii="仿宋_GB2312" w:hAnsi="仿宋_GB2312" w:eastAsia="仿宋_GB2312" w:cs="仿宋_GB2312"/>
        </w:rPr>
        <w:t>采购包2：是</w:t>
      </w:r>
    </w:p>
    <w:p w14:paraId="21F6F873">
      <w:pPr>
        <w:pStyle w:val="4"/>
        <w:jc w:val="left"/>
        <w:outlineLvl w:val="3"/>
      </w:pPr>
      <w:r>
        <w:rPr>
          <w:rFonts w:ascii="仿宋_GB2312" w:hAnsi="仿宋_GB2312" w:eastAsia="仿宋_GB2312" w:cs="仿宋_GB2312"/>
          <w:b/>
          <w:sz w:val="24"/>
        </w:rPr>
        <w:t>报价要求</w:t>
      </w:r>
    </w:p>
    <w:p w14:paraId="052084F1">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024"/>
        <w:gridCol w:w="1707"/>
        <w:gridCol w:w="1138"/>
        <w:gridCol w:w="1416"/>
        <w:gridCol w:w="1138"/>
        <w:gridCol w:w="1934"/>
      </w:tblGrid>
      <w:tr w14:paraId="6AEDB59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4FF214C8">
            <w:pPr>
              <w:pStyle w:val="4"/>
              <w:jc w:val="center"/>
            </w:pPr>
            <w:r>
              <w:rPr>
                <w:rFonts w:ascii="仿宋_GB2312" w:hAnsi="仿宋_GB2312" w:eastAsia="仿宋_GB2312" w:cs="仿宋_GB2312"/>
              </w:rPr>
              <w:t>序号</w:t>
            </w:r>
          </w:p>
        </w:tc>
        <w:tc>
          <w:tcPr>
            <w:tcW w:w="1707" w:type="dxa"/>
          </w:tcPr>
          <w:p w14:paraId="2C755FE2">
            <w:pPr>
              <w:pStyle w:val="4"/>
              <w:jc w:val="center"/>
            </w:pPr>
            <w:r>
              <w:rPr>
                <w:rFonts w:ascii="仿宋_GB2312" w:hAnsi="仿宋_GB2312" w:eastAsia="仿宋_GB2312" w:cs="仿宋_GB2312"/>
              </w:rPr>
              <w:t>报价内容</w:t>
            </w:r>
          </w:p>
        </w:tc>
        <w:tc>
          <w:tcPr>
            <w:tcW w:w="1138" w:type="dxa"/>
          </w:tcPr>
          <w:p w14:paraId="1594DE5A">
            <w:pPr>
              <w:pStyle w:val="4"/>
              <w:jc w:val="center"/>
            </w:pPr>
            <w:r>
              <w:rPr>
                <w:rFonts w:ascii="仿宋_GB2312" w:hAnsi="仿宋_GB2312" w:eastAsia="仿宋_GB2312" w:cs="仿宋_GB2312"/>
              </w:rPr>
              <w:t>数量（计量单位）</w:t>
            </w:r>
          </w:p>
        </w:tc>
        <w:tc>
          <w:tcPr>
            <w:tcW w:w="1365" w:type="dxa"/>
          </w:tcPr>
          <w:p w14:paraId="67EF7430">
            <w:pPr>
              <w:pStyle w:val="4"/>
              <w:jc w:val="center"/>
            </w:pPr>
            <w:r>
              <w:rPr>
                <w:rFonts w:ascii="仿宋_GB2312" w:hAnsi="仿宋_GB2312" w:eastAsia="仿宋_GB2312" w:cs="仿宋_GB2312"/>
              </w:rPr>
              <w:t>最高限价</w:t>
            </w:r>
          </w:p>
        </w:tc>
        <w:tc>
          <w:tcPr>
            <w:tcW w:w="1138" w:type="dxa"/>
          </w:tcPr>
          <w:p w14:paraId="3D385B6E">
            <w:pPr>
              <w:pStyle w:val="4"/>
              <w:jc w:val="center"/>
            </w:pPr>
            <w:r>
              <w:rPr>
                <w:rFonts w:ascii="仿宋_GB2312" w:hAnsi="仿宋_GB2312" w:eastAsia="仿宋_GB2312" w:cs="仿宋_GB2312"/>
              </w:rPr>
              <w:t>价款形式</w:t>
            </w:r>
          </w:p>
        </w:tc>
        <w:tc>
          <w:tcPr>
            <w:tcW w:w="1934" w:type="dxa"/>
          </w:tcPr>
          <w:p w14:paraId="6F6B020F">
            <w:pPr>
              <w:pStyle w:val="4"/>
              <w:jc w:val="center"/>
            </w:pPr>
            <w:r>
              <w:rPr>
                <w:rFonts w:ascii="仿宋_GB2312" w:hAnsi="仿宋_GB2312" w:eastAsia="仿宋_GB2312" w:cs="仿宋_GB2312"/>
              </w:rPr>
              <w:t>报价说明</w:t>
            </w:r>
          </w:p>
        </w:tc>
      </w:tr>
      <w:tr w14:paraId="141679D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028B51E0">
            <w:pPr>
              <w:pStyle w:val="4"/>
              <w:jc w:val="center"/>
            </w:pPr>
            <w:r>
              <w:rPr>
                <w:rFonts w:ascii="仿宋_GB2312" w:hAnsi="仿宋_GB2312" w:eastAsia="仿宋_GB2312" w:cs="仿宋_GB2312"/>
              </w:rPr>
              <w:t>1</w:t>
            </w:r>
          </w:p>
        </w:tc>
        <w:tc>
          <w:tcPr>
            <w:tcW w:w="1707" w:type="dxa"/>
          </w:tcPr>
          <w:p w14:paraId="0896B147">
            <w:pPr>
              <w:pStyle w:val="4"/>
              <w:jc w:val="center"/>
            </w:pPr>
            <w:r>
              <w:rPr>
                <w:rFonts w:ascii="仿宋_GB2312" w:hAnsi="仿宋_GB2312" w:eastAsia="仿宋_GB2312" w:cs="仿宋_GB2312"/>
              </w:rPr>
              <w:t>广元市利州区乡镇(街道)应急管理能力建设项目</w:t>
            </w:r>
          </w:p>
        </w:tc>
        <w:tc>
          <w:tcPr>
            <w:tcW w:w="1138" w:type="dxa"/>
          </w:tcPr>
          <w:p w14:paraId="5C92D57E">
            <w:pPr>
              <w:pStyle w:val="4"/>
              <w:jc w:val="center"/>
            </w:pPr>
            <w:r>
              <w:rPr>
                <w:rFonts w:ascii="仿宋_GB2312" w:hAnsi="仿宋_GB2312" w:eastAsia="仿宋_GB2312" w:cs="仿宋_GB2312"/>
              </w:rPr>
              <w:t>1.00（项）</w:t>
            </w:r>
          </w:p>
        </w:tc>
        <w:tc>
          <w:tcPr>
            <w:tcW w:w="1365" w:type="dxa"/>
          </w:tcPr>
          <w:p w14:paraId="3A2FB650">
            <w:pPr>
              <w:pStyle w:val="4"/>
              <w:jc w:val="center"/>
            </w:pPr>
            <w:r>
              <w:rPr>
                <w:rFonts w:ascii="仿宋_GB2312" w:hAnsi="仿宋_GB2312" w:eastAsia="仿宋_GB2312" w:cs="仿宋_GB2312"/>
              </w:rPr>
              <w:t>1,105,250.00</w:t>
            </w:r>
          </w:p>
        </w:tc>
        <w:tc>
          <w:tcPr>
            <w:tcW w:w="1138" w:type="dxa"/>
          </w:tcPr>
          <w:p w14:paraId="7D6A8508">
            <w:pPr>
              <w:pStyle w:val="4"/>
              <w:jc w:val="center"/>
            </w:pPr>
            <w:r>
              <w:rPr>
                <w:rFonts w:ascii="仿宋_GB2312" w:hAnsi="仿宋_GB2312" w:eastAsia="仿宋_GB2312" w:cs="仿宋_GB2312"/>
              </w:rPr>
              <w:t>总价</w:t>
            </w:r>
          </w:p>
        </w:tc>
        <w:tc>
          <w:tcPr>
            <w:tcW w:w="1934" w:type="dxa"/>
          </w:tcPr>
          <w:p w14:paraId="59DBB771">
            <w:pPr>
              <w:pStyle w:val="4"/>
              <w:jc w:val="left"/>
            </w:pPr>
            <w:r>
              <w:rPr>
                <w:rFonts w:ascii="仿宋_GB2312" w:hAnsi="仿宋_GB2312" w:eastAsia="仿宋_GB2312" w:cs="仿宋_GB2312"/>
              </w:rPr>
              <w:t>无</w:t>
            </w:r>
          </w:p>
        </w:tc>
      </w:tr>
    </w:tbl>
    <w:p w14:paraId="2BAB8E98">
      <w:pPr>
        <w:pStyle w:val="4"/>
        <w:jc w:val="left"/>
      </w:pPr>
      <w:r>
        <w:rPr>
          <w:rFonts w:ascii="仿宋_GB2312" w:hAnsi="仿宋_GB2312" w:eastAsia="仿宋_GB2312" w:cs="仿宋_GB2312"/>
        </w:rPr>
        <w:t>采购包2：</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024"/>
        <w:gridCol w:w="1707"/>
        <w:gridCol w:w="1138"/>
        <w:gridCol w:w="1365"/>
        <w:gridCol w:w="1138"/>
        <w:gridCol w:w="1934"/>
      </w:tblGrid>
      <w:tr w14:paraId="510DECD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3A650762">
            <w:pPr>
              <w:pStyle w:val="4"/>
              <w:jc w:val="center"/>
            </w:pPr>
            <w:r>
              <w:rPr>
                <w:rFonts w:ascii="仿宋_GB2312" w:hAnsi="仿宋_GB2312" w:eastAsia="仿宋_GB2312" w:cs="仿宋_GB2312"/>
              </w:rPr>
              <w:t>序号</w:t>
            </w:r>
          </w:p>
        </w:tc>
        <w:tc>
          <w:tcPr>
            <w:tcW w:w="1707" w:type="dxa"/>
          </w:tcPr>
          <w:p w14:paraId="0DF23286">
            <w:pPr>
              <w:pStyle w:val="4"/>
              <w:jc w:val="center"/>
            </w:pPr>
            <w:r>
              <w:rPr>
                <w:rFonts w:ascii="仿宋_GB2312" w:hAnsi="仿宋_GB2312" w:eastAsia="仿宋_GB2312" w:cs="仿宋_GB2312"/>
              </w:rPr>
              <w:t>报价内容</w:t>
            </w:r>
          </w:p>
        </w:tc>
        <w:tc>
          <w:tcPr>
            <w:tcW w:w="1138" w:type="dxa"/>
          </w:tcPr>
          <w:p w14:paraId="5E01E91F">
            <w:pPr>
              <w:pStyle w:val="4"/>
              <w:jc w:val="center"/>
            </w:pPr>
            <w:r>
              <w:rPr>
                <w:rFonts w:ascii="仿宋_GB2312" w:hAnsi="仿宋_GB2312" w:eastAsia="仿宋_GB2312" w:cs="仿宋_GB2312"/>
              </w:rPr>
              <w:t>数量（计量单位）</w:t>
            </w:r>
          </w:p>
        </w:tc>
        <w:tc>
          <w:tcPr>
            <w:tcW w:w="1365" w:type="dxa"/>
          </w:tcPr>
          <w:p w14:paraId="604D6C49">
            <w:pPr>
              <w:pStyle w:val="4"/>
              <w:jc w:val="center"/>
            </w:pPr>
            <w:r>
              <w:rPr>
                <w:rFonts w:ascii="仿宋_GB2312" w:hAnsi="仿宋_GB2312" w:eastAsia="仿宋_GB2312" w:cs="仿宋_GB2312"/>
              </w:rPr>
              <w:t>最高限价</w:t>
            </w:r>
          </w:p>
        </w:tc>
        <w:tc>
          <w:tcPr>
            <w:tcW w:w="1138" w:type="dxa"/>
          </w:tcPr>
          <w:p w14:paraId="3B58809A">
            <w:pPr>
              <w:pStyle w:val="4"/>
              <w:jc w:val="center"/>
            </w:pPr>
            <w:r>
              <w:rPr>
                <w:rFonts w:ascii="仿宋_GB2312" w:hAnsi="仿宋_GB2312" w:eastAsia="仿宋_GB2312" w:cs="仿宋_GB2312"/>
              </w:rPr>
              <w:t>价款形式</w:t>
            </w:r>
          </w:p>
        </w:tc>
        <w:tc>
          <w:tcPr>
            <w:tcW w:w="1934" w:type="dxa"/>
          </w:tcPr>
          <w:p w14:paraId="63FBE37F">
            <w:pPr>
              <w:pStyle w:val="4"/>
              <w:jc w:val="center"/>
            </w:pPr>
            <w:r>
              <w:rPr>
                <w:rFonts w:ascii="仿宋_GB2312" w:hAnsi="仿宋_GB2312" w:eastAsia="仿宋_GB2312" w:cs="仿宋_GB2312"/>
              </w:rPr>
              <w:t>报价说明</w:t>
            </w:r>
          </w:p>
        </w:tc>
      </w:tr>
      <w:tr w14:paraId="0ECA4D2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7D90597A">
            <w:pPr>
              <w:pStyle w:val="4"/>
              <w:jc w:val="center"/>
            </w:pPr>
            <w:r>
              <w:rPr>
                <w:rFonts w:ascii="仿宋_GB2312" w:hAnsi="仿宋_GB2312" w:eastAsia="仿宋_GB2312" w:cs="仿宋_GB2312"/>
              </w:rPr>
              <w:t>1</w:t>
            </w:r>
          </w:p>
        </w:tc>
        <w:tc>
          <w:tcPr>
            <w:tcW w:w="1707" w:type="dxa"/>
          </w:tcPr>
          <w:p w14:paraId="0AB4C96B">
            <w:pPr>
              <w:pStyle w:val="4"/>
              <w:jc w:val="center"/>
            </w:pPr>
            <w:r>
              <w:rPr>
                <w:rFonts w:ascii="仿宋_GB2312" w:hAnsi="仿宋_GB2312" w:eastAsia="仿宋_GB2312" w:cs="仿宋_GB2312"/>
              </w:rPr>
              <w:t>广元市利州区乡镇(街道)应急管理能力建设项目</w:t>
            </w:r>
          </w:p>
        </w:tc>
        <w:tc>
          <w:tcPr>
            <w:tcW w:w="1138" w:type="dxa"/>
          </w:tcPr>
          <w:p w14:paraId="49DCE93A">
            <w:pPr>
              <w:pStyle w:val="4"/>
              <w:jc w:val="center"/>
            </w:pPr>
            <w:r>
              <w:rPr>
                <w:rFonts w:ascii="仿宋_GB2312" w:hAnsi="仿宋_GB2312" w:eastAsia="仿宋_GB2312" w:cs="仿宋_GB2312"/>
              </w:rPr>
              <w:t>1.00（项）</w:t>
            </w:r>
          </w:p>
        </w:tc>
        <w:tc>
          <w:tcPr>
            <w:tcW w:w="1365" w:type="dxa"/>
          </w:tcPr>
          <w:p w14:paraId="38119ACB">
            <w:pPr>
              <w:pStyle w:val="4"/>
              <w:jc w:val="center"/>
            </w:pPr>
            <w:r>
              <w:rPr>
                <w:rFonts w:ascii="仿宋_GB2312" w:hAnsi="仿宋_GB2312" w:eastAsia="仿宋_GB2312" w:cs="仿宋_GB2312"/>
              </w:rPr>
              <w:t>911,750.00</w:t>
            </w:r>
          </w:p>
        </w:tc>
        <w:tc>
          <w:tcPr>
            <w:tcW w:w="1138" w:type="dxa"/>
          </w:tcPr>
          <w:p w14:paraId="517E0F73">
            <w:pPr>
              <w:pStyle w:val="4"/>
              <w:jc w:val="center"/>
            </w:pPr>
            <w:r>
              <w:rPr>
                <w:rFonts w:ascii="仿宋_GB2312" w:hAnsi="仿宋_GB2312" w:eastAsia="仿宋_GB2312" w:cs="仿宋_GB2312"/>
              </w:rPr>
              <w:t>总价</w:t>
            </w:r>
          </w:p>
        </w:tc>
        <w:tc>
          <w:tcPr>
            <w:tcW w:w="1934" w:type="dxa"/>
          </w:tcPr>
          <w:p w14:paraId="7241C66C">
            <w:pPr>
              <w:pStyle w:val="4"/>
              <w:jc w:val="left"/>
            </w:pPr>
            <w:r>
              <w:rPr>
                <w:rFonts w:ascii="仿宋_GB2312" w:hAnsi="仿宋_GB2312" w:eastAsia="仿宋_GB2312" w:cs="仿宋_GB2312"/>
              </w:rPr>
              <w:t>无</w:t>
            </w:r>
          </w:p>
        </w:tc>
      </w:tr>
    </w:tbl>
    <w:p w14:paraId="34AF2B61">
      <w:pPr>
        <w:pStyle w:val="4"/>
        <w:ind w:firstLine="480"/>
        <w:jc w:val="left"/>
      </w:pPr>
      <w:r>
        <w:rPr>
          <w:rFonts w:ascii="仿宋_GB2312" w:hAnsi="仿宋_GB2312" w:eastAsia="仿宋_GB2312" w:cs="仿宋_GB2312"/>
        </w:rPr>
        <w:t>★注：投标人响应产品应当明确品牌和规格型号并指向唯一产品，不能指向唯一产品的，应通过报价表唯一产品说明栏补充说明。</w:t>
      </w:r>
    </w:p>
    <w:p w14:paraId="11D20A53">
      <w:pPr>
        <w:pStyle w:val="4"/>
        <w:jc w:val="left"/>
        <w:outlineLvl w:val="3"/>
      </w:pPr>
      <w:r>
        <w:rPr>
          <w:rFonts w:ascii="仿宋_GB2312" w:hAnsi="仿宋_GB2312" w:eastAsia="仿宋_GB2312" w:cs="仿宋_GB2312"/>
          <w:b/>
          <w:sz w:val="24"/>
        </w:rPr>
        <w:t>本项目涉及核心产品：</w:t>
      </w:r>
    </w:p>
    <w:p w14:paraId="49162F1B">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4620C24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11C20C8B">
            <w:pPr>
              <w:pStyle w:val="4"/>
              <w:jc w:val="center"/>
            </w:pPr>
            <w:r>
              <w:rPr>
                <w:rFonts w:ascii="仿宋_GB2312" w:hAnsi="仿宋_GB2312" w:eastAsia="仿宋_GB2312" w:cs="仿宋_GB2312"/>
              </w:rPr>
              <w:t>序号</w:t>
            </w:r>
          </w:p>
        </w:tc>
        <w:tc>
          <w:tcPr>
            <w:tcW w:w="2492" w:type="dxa"/>
          </w:tcPr>
          <w:p w14:paraId="66A017A6">
            <w:pPr>
              <w:pStyle w:val="4"/>
              <w:jc w:val="center"/>
            </w:pPr>
            <w:r>
              <w:rPr>
                <w:rFonts w:ascii="仿宋_GB2312" w:hAnsi="仿宋_GB2312" w:eastAsia="仿宋_GB2312" w:cs="仿宋_GB2312"/>
              </w:rPr>
              <w:t>采购品目名称</w:t>
            </w:r>
          </w:p>
        </w:tc>
        <w:tc>
          <w:tcPr>
            <w:tcW w:w="2492" w:type="dxa"/>
          </w:tcPr>
          <w:p w14:paraId="20150D36">
            <w:pPr>
              <w:pStyle w:val="4"/>
              <w:jc w:val="center"/>
            </w:pPr>
            <w:r>
              <w:rPr>
                <w:rFonts w:ascii="仿宋_GB2312" w:hAnsi="仿宋_GB2312" w:eastAsia="仿宋_GB2312" w:cs="仿宋_GB2312"/>
              </w:rPr>
              <w:t>标的名称</w:t>
            </w:r>
          </w:p>
        </w:tc>
        <w:tc>
          <w:tcPr>
            <w:tcW w:w="2492" w:type="dxa"/>
          </w:tcPr>
          <w:p w14:paraId="639D8242">
            <w:pPr>
              <w:pStyle w:val="4"/>
              <w:jc w:val="center"/>
            </w:pPr>
            <w:r>
              <w:rPr>
                <w:rFonts w:ascii="仿宋_GB2312" w:hAnsi="仿宋_GB2312" w:eastAsia="仿宋_GB2312" w:cs="仿宋_GB2312"/>
              </w:rPr>
              <w:t>产品名称</w:t>
            </w:r>
          </w:p>
        </w:tc>
      </w:tr>
      <w:tr w14:paraId="4D6B75B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75A34CCE">
            <w:pPr>
              <w:pStyle w:val="4"/>
              <w:jc w:val="left"/>
            </w:pPr>
            <w:r>
              <w:rPr>
                <w:rFonts w:ascii="仿宋_GB2312" w:hAnsi="仿宋_GB2312" w:eastAsia="仿宋_GB2312" w:cs="仿宋_GB2312"/>
              </w:rPr>
              <w:t>1</w:t>
            </w:r>
          </w:p>
        </w:tc>
        <w:tc>
          <w:tcPr>
            <w:tcW w:w="2492" w:type="dxa"/>
          </w:tcPr>
          <w:p w14:paraId="7C6442CB">
            <w:pPr>
              <w:pStyle w:val="4"/>
              <w:jc w:val="left"/>
            </w:pPr>
            <w:r>
              <w:rPr>
                <w:rFonts w:ascii="仿宋_GB2312" w:hAnsi="仿宋_GB2312" w:eastAsia="仿宋_GB2312" w:cs="仿宋_GB2312"/>
              </w:rPr>
              <w:t>A02370100 消防设备</w:t>
            </w:r>
          </w:p>
        </w:tc>
        <w:tc>
          <w:tcPr>
            <w:tcW w:w="2492" w:type="dxa"/>
          </w:tcPr>
          <w:p w14:paraId="633789DC">
            <w:pPr>
              <w:pStyle w:val="4"/>
              <w:jc w:val="left"/>
            </w:pPr>
            <w:r>
              <w:rPr>
                <w:rFonts w:ascii="仿宋_GB2312" w:hAnsi="仿宋_GB2312" w:eastAsia="仿宋_GB2312" w:cs="仿宋_GB2312"/>
              </w:rPr>
              <w:t>广元市利州区乡镇(街道)应急管理能力建设项目</w:t>
            </w:r>
          </w:p>
        </w:tc>
        <w:tc>
          <w:tcPr>
            <w:tcW w:w="2492" w:type="dxa"/>
          </w:tcPr>
          <w:p w14:paraId="60D2937F">
            <w:pPr>
              <w:pStyle w:val="4"/>
              <w:jc w:val="left"/>
            </w:pPr>
            <w:r>
              <w:rPr>
                <w:rFonts w:ascii="仿宋_GB2312" w:hAnsi="仿宋_GB2312" w:eastAsia="仿宋_GB2312" w:cs="仿宋_GB2312"/>
              </w:rPr>
              <w:t>个体防护套装</w:t>
            </w:r>
          </w:p>
        </w:tc>
      </w:tr>
    </w:tbl>
    <w:p w14:paraId="31BA2C04">
      <w:pPr>
        <w:pStyle w:val="4"/>
        <w:jc w:val="left"/>
      </w:pPr>
      <w:r>
        <w:rPr>
          <w:rFonts w:ascii="仿宋_GB2312" w:hAnsi="仿宋_GB2312" w:eastAsia="仿宋_GB2312" w:cs="仿宋_GB2312"/>
        </w:rPr>
        <w:t>采购包2：</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5F70BD8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2DE60FF7">
            <w:pPr>
              <w:pStyle w:val="4"/>
              <w:jc w:val="center"/>
            </w:pPr>
            <w:r>
              <w:rPr>
                <w:rFonts w:ascii="仿宋_GB2312" w:hAnsi="仿宋_GB2312" w:eastAsia="仿宋_GB2312" w:cs="仿宋_GB2312"/>
              </w:rPr>
              <w:t>序号</w:t>
            </w:r>
          </w:p>
        </w:tc>
        <w:tc>
          <w:tcPr>
            <w:tcW w:w="2492" w:type="dxa"/>
          </w:tcPr>
          <w:p w14:paraId="3E6B827E">
            <w:pPr>
              <w:pStyle w:val="4"/>
              <w:jc w:val="center"/>
            </w:pPr>
            <w:r>
              <w:rPr>
                <w:rFonts w:ascii="仿宋_GB2312" w:hAnsi="仿宋_GB2312" w:eastAsia="仿宋_GB2312" w:cs="仿宋_GB2312"/>
              </w:rPr>
              <w:t>采购品目名称</w:t>
            </w:r>
          </w:p>
        </w:tc>
        <w:tc>
          <w:tcPr>
            <w:tcW w:w="2492" w:type="dxa"/>
          </w:tcPr>
          <w:p w14:paraId="0B2C7869">
            <w:pPr>
              <w:pStyle w:val="4"/>
              <w:jc w:val="center"/>
            </w:pPr>
            <w:r>
              <w:rPr>
                <w:rFonts w:ascii="仿宋_GB2312" w:hAnsi="仿宋_GB2312" w:eastAsia="仿宋_GB2312" w:cs="仿宋_GB2312"/>
              </w:rPr>
              <w:t>标的名称</w:t>
            </w:r>
          </w:p>
        </w:tc>
        <w:tc>
          <w:tcPr>
            <w:tcW w:w="2492" w:type="dxa"/>
          </w:tcPr>
          <w:p w14:paraId="75A7D730">
            <w:pPr>
              <w:pStyle w:val="4"/>
              <w:jc w:val="center"/>
            </w:pPr>
            <w:r>
              <w:rPr>
                <w:rFonts w:ascii="仿宋_GB2312" w:hAnsi="仿宋_GB2312" w:eastAsia="仿宋_GB2312" w:cs="仿宋_GB2312"/>
              </w:rPr>
              <w:t>产品名称</w:t>
            </w:r>
          </w:p>
        </w:tc>
      </w:tr>
      <w:tr w14:paraId="348E526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0E7C0BCB">
            <w:pPr>
              <w:pStyle w:val="4"/>
              <w:jc w:val="left"/>
            </w:pPr>
            <w:r>
              <w:rPr>
                <w:rFonts w:ascii="仿宋_GB2312" w:hAnsi="仿宋_GB2312" w:eastAsia="仿宋_GB2312" w:cs="仿宋_GB2312"/>
              </w:rPr>
              <w:t>1</w:t>
            </w:r>
          </w:p>
        </w:tc>
        <w:tc>
          <w:tcPr>
            <w:tcW w:w="2492" w:type="dxa"/>
          </w:tcPr>
          <w:p w14:paraId="25F6E91E">
            <w:pPr>
              <w:pStyle w:val="4"/>
              <w:jc w:val="left"/>
            </w:pPr>
            <w:r>
              <w:rPr>
                <w:rFonts w:ascii="仿宋_GB2312" w:hAnsi="仿宋_GB2312" w:eastAsia="仿宋_GB2312" w:cs="仿宋_GB2312"/>
              </w:rPr>
              <w:t>A02370100 消防设备</w:t>
            </w:r>
          </w:p>
        </w:tc>
        <w:tc>
          <w:tcPr>
            <w:tcW w:w="2492" w:type="dxa"/>
          </w:tcPr>
          <w:p w14:paraId="6F788F85">
            <w:pPr>
              <w:pStyle w:val="4"/>
              <w:jc w:val="left"/>
            </w:pPr>
            <w:r>
              <w:rPr>
                <w:rFonts w:ascii="仿宋_GB2312" w:hAnsi="仿宋_GB2312" w:eastAsia="仿宋_GB2312" w:cs="仿宋_GB2312"/>
              </w:rPr>
              <w:t>广元市利州区乡镇(街道)应急管理能力建设项目</w:t>
            </w:r>
          </w:p>
        </w:tc>
        <w:tc>
          <w:tcPr>
            <w:tcW w:w="2492" w:type="dxa"/>
          </w:tcPr>
          <w:p w14:paraId="584B5A75">
            <w:pPr>
              <w:pStyle w:val="4"/>
              <w:jc w:val="left"/>
            </w:pPr>
            <w:r>
              <w:rPr>
                <w:rFonts w:ascii="仿宋_GB2312" w:hAnsi="仿宋_GB2312" w:eastAsia="仿宋_GB2312" w:cs="仿宋_GB2312"/>
              </w:rPr>
              <w:t>侦查无人机+培训</w:t>
            </w:r>
          </w:p>
        </w:tc>
      </w:tr>
    </w:tbl>
    <w:p w14:paraId="78AD930E">
      <w:pPr>
        <w:pStyle w:val="4"/>
        <w:ind w:firstLine="480"/>
        <w:jc w:val="left"/>
      </w:pPr>
      <w:r>
        <w:rPr>
          <w:rFonts w:ascii="仿宋_GB2312" w:hAnsi="仿宋_GB2312" w:eastAsia="仿宋_GB2312" w:cs="仿宋_GB2312"/>
        </w:rPr>
        <w:t>注：涉及核心产品的，具体评审规定见第五章。</w:t>
      </w:r>
    </w:p>
    <w:p w14:paraId="66F33927">
      <w:pPr>
        <w:pStyle w:val="4"/>
        <w:jc w:val="left"/>
        <w:outlineLvl w:val="3"/>
      </w:pPr>
      <w:r>
        <w:rPr>
          <w:rFonts w:ascii="仿宋_GB2312" w:hAnsi="仿宋_GB2312" w:eastAsia="仿宋_GB2312" w:cs="仿宋_GB2312"/>
          <w:b/>
          <w:sz w:val="24"/>
        </w:rPr>
        <w:t>本项目涉及采购进口产品：</w:t>
      </w:r>
    </w:p>
    <w:p w14:paraId="4145A163">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6BE52F8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3758B33A">
            <w:pPr>
              <w:pStyle w:val="4"/>
              <w:jc w:val="center"/>
            </w:pPr>
            <w:r>
              <w:rPr>
                <w:rFonts w:ascii="仿宋_GB2312" w:hAnsi="仿宋_GB2312" w:eastAsia="仿宋_GB2312" w:cs="仿宋_GB2312"/>
              </w:rPr>
              <w:t>序号</w:t>
            </w:r>
          </w:p>
        </w:tc>
        <w:tc>
          <w:tcPr>
            <w:tcW w:w="2492" w:type="dxa"/>
          </w:tcPr>
          <w:p w14:paraId="078D221C">
            <w:pPr>
              <w:pStyle w:val="4"/>
              <w:jc w:val="center"/>
            </w:pPr>
            <w:r>
              <w:rPr>
                <w:rFonts w:ascii="仿宋_GB2312" w:hAnsi="仿宋_GB2312" w:eastAsia="仿宋_GB2312" w:cs="仿宋_GB2312"/>
              </w:rPr>
              <w:t>采购品目名称</w:t>
            </w:r>
          </w:p>
        </w:tc>
        <w:tc>
          <w:tcPr>
            <w:tcW w:w="2492" w:type="dxa"/>
          </w:tcPr>
          <w:p w14:paraId="3BEBA72F">
            <w:pPr>
              <w:pStyle w:val="4"/>
              <w:jc w:val="center"/>
            </w:pPr>
            <w:r>
              <w:rPr>
                <w:rFonts w:ascii="仿宋_GB2312" w:hAnsi="仿宋_GB2312" w:eastAsia="仿宋_GB2312" w:cs="仿宋_GB2312"/>
              </w:rPr>
              <w:t>标的名称</w:t>
            </w:r>
          </w:p>
        </w:tc>
        <w:tc>
          <w:tcPr>
            <w:tcW w:w="2492" w:type="dxa"/>
          </w:tcPr>
          <w:p w14:paraId="37CF8E81">
            <w:pPr>
              <w:pStyle w:val="4"/>
              <w:jc w:val="center"/>
            </w:pPr>
            <w:r>
              <w:rPr>
                <w:rFonts w:ascii="仿宋_GB2312" w:hAnsi="仿宋_GB2312" w:eastAsia="仿宋_GB2312" w:cs="仿宋_GB2312"/>
              </w:rPr>
              <w:t>产品名称</w:t>
            </w:r>
          </w:p>
        </w:tc>
      </w:tr>
      <w:tr w14:paraId="226D99C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447BC760">
            <w:pPr>
              <w:pStyle w:val="4"/>
              <w:jc w:val="center"/>
            </w:pPr>
            <w:r>
              <w:rPr>
                <w:rFonts w:ascii="仿宋_GB2312" w:hAnsi="仿宋_GB2312" w:eastAsia="仿宋_GB2312" w:cs="仿宋_GB2312"/>
              </w:rPr>
              <w:t>不涉及</w:t>
            </w:r>
          </w:p>
        </w:tc>
      </w:tr>
    </w:tbl>
    <w:p w14:paraId="0BC2EB55">
      <w:pPr>
        <w:pStyle w:val="4"/>
        <w:jc w:val="left"/>
      </w:pPr>
      <w:r>
        <w:rPr>
          <w:rFonts w:ascii="仿宋_GB2312" w:hAnsi="仿宋_GB2312" w:eastAsia="仿宋_GB2312" w:cs="仿宋_GB2312"/>
        </w:rPr>
        <w:t>采购包2：</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4C2F22B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4E68C4DC">
            <w:pPr>
              <w:pStyle w:val="4"/>
              <w:jc w:val="center"/>
            </w:pPr>
            <w:r>
              <w:rPr>
                <w:rFonts w:ascii="仿宋_GB2312" w:hAnsi="仿宋_GB2312" w:eastAsia="仿宋_GB2312" w:cs="仿宋_GB2312"/>
              </w:rPr>
              <w:t>序号</w:t>
            </w:r>
          </w:p>
        </w:tc>
        <w:tc>
          <w:tcPr>
            <w:tcW w:w="2492" w:type="dxa"/>
          </w:tcPr>
          <w:p w14:paraId="22C51B20">
            <w:pPr>
              <w:pStyle w:val="4"/>
              <w:jc w:val="center"/>
            </w:pPr>
            <w:r>
              <w:rPr>
                <w:rFonts w:ascii="仿宋_GB2312" w:hAnsi="仿宋_GB2312" w:eastAsia="仿宋_GB2312" w:cs="仿宋_GB2312"/>
              </w:rPr>
              <w:t>采购品目名称</w:t>
            </w:r>
          </w:p>
        </w:tc>
        <w:tc>
          <w:tcPr>
            <w:tcW w:w="2492" w:type="dxa"/>
          </w:tcPr>
          <w:p w14:paraId="76EB2520">
            <w:pPr>
              <w:pStyle w:val="4"/>
              <w:jc w:val="center"/>
            </w:pPr>
            <w:r>
              <w:rPr>
                <w:rFonts w:ascii="仿宋_GB2312" w:hAnsi="仿宋_GB2312" w:eastAsia="仿宋_GB2312" w:cs="仿宋_GB2312"/>
              </w:rPr>
              <w:t>标的名称</w:t>
            </w:r>
          </w:p>
        </w:tc>
        <w:tc>
          <w:tcPr>
            <w:tcW w:w="2492" w:type="dxa"/>
          </w:tcPr>
          <w:p w14:paraId="4E4B9B01">
            <w:pPr>
              <w:pStyle w:val="4"/>
              <w:jc w:val="center"/>
            </w:pPr>
            <w:r>
              <w:rPr>
                <w:rFonts w:ascii="仿宋_GB2312" w:hAnsi="仿宋_GB2312" w:eastAsia="仿宋_GB2312" w:cs="仿宋_GB2312"/>
              </w:rPr>
              <w:t>产品名称</w:t>
            </w:r>
          </w:p>
        </w:tc>
      </w:tr>
      <w:tr w14:paraId="782EBF3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5F677F86">
            <w:pPr>
              <w:pStyle w:val="4"/>
              <w:jc w:val="center"/>
            </w:pPr>
            <w:r>
              <w:rPr>
                <w:rFonts w:ascii="仿宋_GB2312" w:hAnsi="仿宋_GB2312" w:eastAsia="仿宋_GB2312" w:cs="仿宋_GB2312"/>
              </w:rPr>
              <w:t>不涉及</w:t>
            </w:r>
          </w:p>
        </w:tc>
      </w:tr>
    </w:tbl>
    <w:p w14:paraId="60DCA3C3">
      <w:pPr>
        <w:pStyle w:val="4"/>
        <w:ind w:firstLine="480"/>
        <w:jc w:val="left"/>
      </w:pPr>
      <w:r>
        <w:rPr>
          <w:rFonts w:ascii="仿宋_GB2312" w:hAnsi="仿宋_GB2312" w:eastAsia="仿宋_GB2312" w:cs="仿宋_GB2312"/>
        </w:rPr>
        <w:t>★注：不涉及采购进口产品时，投标人不得提供进口产品进行响应；涉及采购进口产品时，如国产产品满足采购需求，也可提供国产产品进行响应。</w:t>
      </w:r>
    </w:p>
    <w:p w14:paraId="6073E2BF">
      <w:pPr>
        <w:pStyle w:val="4"/>
        <w:jc w:val="left"/>
        <w:outlineLvl w:val="3"/>
      </w:pPr>
      <w:r>
        <w:rPr>
          <w:rFonts w:ascii="仿宋_GB2312" w:hAnsi="仿宋_GB2312" w:eastAsia="仿宋_GB2312" w:cs="仿宋_GB2312"/>
          <w:b/>
          <w:sz w:val="24"/>
        </w:rPr>
        <w:t>本项目涉及强制采购节能产品：</w:t>
      </w:r>
    </w:p>
    <w:p w14:paraId="0E202F32">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787B8CD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3773822F">
            <w:pPr>
              <w:pStyle w:val="4"/>
              <w:jc w:val="center"/>
            </w:pPr>
            <w:r>
              <w:rPr>
                <w:rFonts w:ascii="仿宋_GB2312" w:hAnsi="仿宋_GB2312" w:eastAsia="仿宋_GB2312" w:cs="仿宋_GB2312"/>
              </w:rPr>
              <w:t>序号</w:t>
            </w:r>
          </w:p>
        </w:tc>
        <w:tc>
          <w:tcPr>
            <w:tcW w:w="2492" w:type="dxa"/>
          </w:tcPr>
          <w:p w14:paraId="59ACAC81">
            <w:pPr>
              <w:pStyle w:val="4"/>
              <w:jc w:val="center"/>
            </w:pPr>
            <w:r>
              <w:rPr>
                <w:rFonts w:ascii="仿宋_GB2312" w:hAnsi="仿宋_GB2312" w:eastAsia="仿宋_GB2312" w:cs="仿宋_GB2312"/>
              </w:rPr>
              <w:t>采购品目名称</w:t>
            </w:r>
          </w:p>
        </w:tc>
        <w:tc>
          <w:tcPr>
            <w:tcW w:w="2492" w:type="dxa"/>
          </w:tcPr>
          <w:p w14:paraId="3D77F334">
            <w:pPr>
              <w:pStyle w:val="4"/>
              <w:jc w:val="center"/>
            </w:pPr>
            <w:r>
              <w:rPr>
                <w:rFonts w:ascii="仿宋_GB2312" w:hAnsi="仿宋_GB2312" w:eastAsia="仿宋_GB2312" w:cs="仿宋_GB2312"/>
              </w:rPr>
              <w:t>标的名称</w:t>
            </w:r>
          </w:p>
        </w:tc>
        <w:tc>
          <w:tcPr>
            <w:tcW w:w="2492" w:type="dxa"/>
          </w:tcPr>
          <w:p w14:paraId="471F5758">
            <w:pPr>
              <w:pStyle w:val="4"/>
              <w:jc w:val="center"/>
            </w:pPr>
            <w:r>
              <w:rPr>
                <w:rFonts w:ascii="仿宋_GB2312" w:hAnsi="仿宋_GB2312" w:eastAsia="仿宋_GB2312" w:cs="仿宋_GB2312"/>
              </w:rPr>
              <w:t>产品名称</w:t>
            </w:r>
          </w:p>
        </w:tc>
      </w:tr>
      <w:tr w14:paraId="59D8582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2490D42F">
            <w:pPr>
              <w:pStyle w:val="4"/>
              <w:jc w:val="center"/>
            </w:pPr>
            <w:r>
              <w:rPr>
                <w:rFonts w:ascii="仿宋_GB2312" w:hAnsi="仿宋_GB2312" w:eastAsia="仿宋_GB2312" w:cs="仿宋_GB2312"/>
              </w:rPr>
              <w:t>不涉及</w:t>
            </w:r>
          </w:p>
        </w:tc>
      </w:tr>
    </w:tbl>
    <w:p w14:paraId="632C26DB">
      <w:pPr>
        <w:pStyle w:val="4"/>
        <w:jc w:val="left"/>
      </w:pPr>
      <w:r>
        <w:rPr>
          <w:rFonts w:ascii="仿宋_GB2312" w:hAnsi="仿宋_GB2312" w:eastAsia="仿宋_GB2312" w:cs="仿宋_GB2312"/>
        </w:rPr>
        <w:t>采购包2：</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41151DE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434161F5">
            <w:pPr>
              <w:pStyle w:val="4"/>
              <w:jc w:val="center"/>
            </w:pPr>
            <w:r>
              <w:rPr>
                <w:rFonts w:ascii="仿宋_GB2312" w:hAnsi="仿宋_GB2312" w:eastAsia="仿宋_GB2312" w:cs="仿宋_GB2312"/>
              </w:rPr>
              <w:t>序号</w:t>
            </w:r>
          </w:p>
        </w:tc>
        <w:tc>
          <w:tcPr>
            <w:tcW w:w="2492" w:type="dxa"/>
          </w:tcPr>
          <w:p w14:paraId="5191ABEC">
            <w:pPr>
              <w:pStyle w:val="4"/>
              <w:jc w:val="center"/>
            </w:pPr>
            <w:r>
              <w:rPr>
                <w:rFonts w:ascii="仿宋_GB2312" w:hAnsi="仿宋_GB2312" w:eastAsia="仿宋_GB2312" w:cs="仿宋_GB2312"/>
              </w:rPr>
              <w:t>采购品目名称</w:t>
            </w:r>
          </w:p>
        </w:tc>
        <w:tc>
          <w:tcPr>
            <w:tcW w:w="2492" w:type="dxa"/>
          </w:tcPr>
          <w:p w14:paraId="1084F1C9">
            <w:pPr>
              <w:pStyle w:val="4"/>
              <w:jc w:val="center"/>
            </w:pPr>
            <w:r>
              <w:rPr>
                <w:rFonts w:ascii="仿宋_GB2312" w:hAnsi="仿宋_GB2312" w:eastAsia="仿宋_GB2312" w:cs="仿宋_GB2312"/>
              </w:rPr>
              <w:t>标的名称</w:t>
            </w:r>
          </w:p>
        </w:tc>
        <w:tc>
          <w:tcPr>
            <w:tcW w:w="2492" w:type="dxa"/>
          </w:tcPr>
          <w:p w14:paraId="14BEB64E">
            <w:pPr>
              <w:pStyle w:val="4"/>
              <w:jc w:val="center"/>
            </w:pPr>
            <w:r>
              <w:rPr>
                <w:rFonts w:ascii="仿宋_GB2312" w:hAnsi="仿宋_GB2312" w:eastAsia="仿宋_GB2312" w:cs="仿宋_GB2312"/>
              </w:rPr>
              <w:t>产品名称</w:t>
            </w:r>
          </w:p>
        </w:tc>
      </w:tr>
      <w:tr w14:paraId="5204BAC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48D4C394">
            <w:pPr>
              <w:pStyle w:val="4"/>
              <w:jc w:val="center"/>
            </w:pPr>
            <w:r>
              <w:rPr>
                <w:rFonts w:ascii="仿宋_GB2312" w:hAnsi="仿宋_GB2312" w:eastAsia="仿宋_GB2312" w:cs="仿宋_GB2312"/>
              </w:rPr>
              <w:t>不涉及</w:t>
            </w:r>
          </w:p>
        </w:tc>
      </w:tr>
    </w:tbl>
    <w:p w14:paraId="7A507688">
      <w:pPr>
        <w:pStyle w:val="4"/>
        <w:ind w:firstLine="480"/>
        <w:jc w:val="left"/>
      </w:pPr>
      <w:r>
        <w:rPr>
          <w:rFonts w:ascii="仿宋_GB2312" w:hAnsi="仿宋_GB2312" w:eastAsia="仿宋_GB2312" w:cs="仿宋_GB2312"/>
        </w:rPr>
        <w:t>★注：响应产品属于《节能产品政府采购品目清单》中政府强制采购的产品，投标人应当提供由国家确定的认证机构出具的、处于有效期之内的节能产品认证证书的原件扫描件或“全国认证认可信息公共服务平台”（http://cx.cnca.cn）的认证信息截图，否则作无效投标处理。具体要求详见第五章符合性审查表。</w:t>
      </w:r>
    </w:p>
    <w:p w14:paraId="15C77F9C">
      <w:pPr>
        <w:pStyle w:val="4"/>
        <w:jc w:val="left"/>
      </w:pPr>
      <w:r>
        <w:rPr>
          <w:rFonts w:ascii="仿宋_GB2312" w:hAnsi="仿宋_GB2312" w:eastAsia="仿宋_GB2312" w:cs="仿宋_GB2312"/>
          <w:b/>
        </w:rPr>
        <w:t>本项目涉及优先采购节能产品：</w:t>
      </w:r>
    </w:p>
    <w:p w14:paraId="7C84B598">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66D0515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708FDC49">
            <w:pPr>
              <w:pStyle w:val="4"/>
              <w:jc w:val="center"/>
            </w:pPr>
            <w:r>
              <w:rPr>
                <w:rFonts w:ascii="仿宋_GB2312" w:hAnsi="仿宋_GB2312" w:eastAsia="仿宋_GB2312" w:cs="仿宋_GB2312"/>
              </w:rPr>
              <w:t>序号</w:t>
            </w:r>
          </w:p>
        </w:tc>
        <w:tc>
          <w:tcPr>
            <w:tcW w:w="2492" w:type="dxa"/>
          </w:tcPr>
          <w:p w14:paraId="04C755F2">
            <w:pPr>
              <w:pStyle w:val="4"/>
              <w:jc w:val="center"/>
            </w:pPr>
            <w:r>
              <w:rPr>
                <w:rFonts w:ascii="仿宋_GB2312" w:hAnsi="仿宋_GB2312" w:eastAsia="仿宋_GB2312" w:cs="仿宋_GB2312"/>
              </w:rPr>
              <w:t>采购品目名称</w:t>
            </w:r>
          </w:p>
        </w:tc>
        <w:tc>
          <w:tcPr>
            <w:tcW w:w="2492" w:type="dxa"/>
          </w:tcPr>
          <w:p w14:paraId="19434843">
            <w:pPr>
              <w:pStyle w:val="4"/>
              <w:jc w:val="center"/>
            </w:pPr>
            <w:r>
              <w:rPr>
                <w:rFonts w:ascii="仿宋_GB2312" w:hAnsi="仿宋_GB2312" w:eastAsia="仿宋_GB2312" w:cs="仿宋_GB2312"/>
              </w:rPr>
              <w:t>标的名称</w:t>
            </w:r>
          </w:p>
        </w:tc>
        <w:tc>
          <w:tcPr>
            <w:tcW w:w="2492" w:type="dxa"/>
          </w:tcPr>
          <w:p w14:paraId="450D2B26">
            <w:pPr>
              <w:pStyle w:val="4"/>
              <w:jc w:val="center"/>
            </w:pPr>
            <w:r>
              <w:rPr>
                <w:rFonts w:ascii="仿宋_GB2312" w:hAnsi="仿宋_GB2312" w:eastAsia="仿宋_GB2312" w:cs="仿宋_GB2312"/>
              </w:rPr>
              <w:t>产品名称</w:t>
            </w:r>
          </w:p>
        </w:tc>
      </w:tr>
      <w:tr w14:paraId="653C815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32934866">
            <w:pPr>
              <w:pStyle w:val="4"/>
              <w:jc w:val="center"/>
            </w:pPr>
            <w:r>
              <w:rPr>
                <w:rFonts w:ascii="仿宋_GB2312" w:hAnsi="仿宋_GB2312" w:eastAsia="仿宋_GB2312" w:cs="仿宋_GB2312"/>
              </w:rPr>
              <w:t>不涉及</w:t>
            </w:r>
          </w:p>
        </w:tc>
      </w:tr>
    </w:tbl>
    <w:p w14:paraId="5D262A18">
      <w:pPr>
        <w:pStyle w:val="4"/>
        <w:jc w:val="left"/>
      </w:pPr>
      <w:r>
        <w:rPr>
          <w:rFonts w:ascii="仿宋_GB2312" w:hAnsi="仿宋_GB2312" w:eastAsia="仿宋_GB2312" w:cs="仿宋_GB2312"/>
        </w:rPr>
        <w:t>采购包2：</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2600970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13CAC0E0">
            <w:pPr>
              <w:pStyle w:val="4"/>
              <w:jc w:val="center"/>
            </w:pPr>
            <w:r>
              <w:rPr>
                <w:rFonts w:ascii="仿宋_GB2312" w:hAnsi="仿宋_GB2312" w:eastAsia="仿宋_GB2312" w:cs="仿宋_GB2312"/>
              </w:rPr>
              <w:t>序号</w:t>
            </w:r>
          </w:p>
        </w:tc>
        <w:tc>
          <w:tcPr>
            <w:tcW w:w="2492" w:type="dxa"/>
          </w:tcPr>
          <w:p w14:paraId="6E4B28E7">
            <w:pPr>
              <w:pStyle w:val="4"/>
              <w:jc w:val="center"/>
            </w:pPr>
            <w:r>
              <w:rPr>
                <w:rFonts w:ascii="仿宋_GB2312" w:hAnsi="仿宋_GB2312" w:eastAsia="仿宋_GB2312" w:cs="仿宋_GB2312"/>
              </w:rPr>
              <w:t>采购品目名称</w:t>
            </w:r>
          </w:p>
        </w:tc>
        <w:tc>
          <w:tcPr>
            <w:tcW w:w="2492" w:type="dxa"/>
          </w:tcPr>
          <w:p w14:paraId="46CAB07D">
            <w:pPr>
              <w:pStyle w:val="4"/>
              <w:jc w:val="center"/>
            </w:pPr>
            <w:r>
              <w:rPr>
                <w:rFonts w:ascii="仿宋_GB2312" w:hAnsi="仿宋_GB2312" w:eastAsia="仿宋_GB2312" w:cs="仿宋_GB2312"/>
              </w:rPr>
              <w:t>标的名称</w:t>
            </w:r>
          </w:p>
        </w:tc>
        <w:tc>
          <w:tcPr>
            <w:tcW w:w="2492" w:type="dxa"/>
          </w:tcPr>
          <w:p w14:paraId="7B335149">
            <w:pPr>
              <w:pStyle w:val="4"/>
              <w:jc w:val="center"/>
            </w:pPr>
            <w:r>
              <w:rPr>
                <w:rFonts w:ascii="仿宋_GB2312" w:hAnsi="仿宋_GB2312" w:eastAsia="仿宋_GB2312" w:cs="仿宋_GB2312"/>
              </w:rPr>
              <w:t>产品名称</w:t>
            </w:r>
          </w:p>
        </w:tc>
      </w:tr>
      <w:tr w14:paraId="10EFA29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32132B51">
            <w:pPr>
              <w:pStyle w:val="4"/>
              <w:jc w:val="center"/>
            </w:pPr>
            <w:r>
              <w:rPr>
                <w:rFonts w:ascii="仿宋_GB2312" w:hAnsi="仿宋_GB2312" w:eastAsia="仿宋_GB2312" w:cs="仿宋_GB2312"/>
              </w:rPr>
              <w:t>不涉及</w:t>
            </w:r>
          </w:p>
        </w:tc>
      </w:tr>
    </w:tbl>
    <w:p w14:paraId="137836A5">
      <w:pPr>
        <w:pStyle w:val="4"/>
        <w:ind w:firstLine="480"/>
        <w:jc w:val="left"/>
      </w:pPr>
      <w:r>
        <w:rPr>
          <w:rFonts w:ascii="仿宋_GB2312" w:hAnsi="仿宋_GB2312" w:eastAsia="仿宋_GB2312" w:cs="仿宋_GB2312"/>
        </w:rPr>
        <w:t>注：响应产品属于《节能产品政府采购品目清单》中优先采购的产品，投标人提供由国家确定的认证机构出具的、处于有效期之内的节能产品认证证书的原件扫描件或“全国认证认可信息公共服务平台”（http://cx.cnca.cn）的认证信息截图，可以享受优先采购政策。具体要求详见第五章规定。</w:t>
      </w:r>
    </w:p>
    <w:p w14:paraId="448CC8C8">
      <w:pPr>
        <w:pStyle w:val="4"/>
        <w:jc w:val="left"/>
        <w:outlineLvl w:val="3"/>
      </w:pPr>
      <w:r>
        <w:rPr>
          <w:rFonts w:ascii="仿宋_GB2312" w:hAnsi="仿宋_GB2312" w:eastAsia="仿宋_GB2312" w:cs="仿宋_GB2312"/>
          <w:b/>
          <w:sz w:val="24"/>
        </w:rPr>
        <w:t>本项目涉及优先采购环境标志产品：</w:t>
      </w:r>
    </w:p>
    <w:p w14:paraId="10C59BFD">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12A3669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PrEx>
        <w:tc>
          <w:tcPr>
            <w:tcW w:w="831" w:type="dxa"/>
          </w:tcPr>
          <w:p w14:paraId="420DE847">
            <w:pPr>
              <w:pStyle w:val="4"/>
              <w:jc w:val="center"/>
            </w:pPr>
            <w:r>
              <w:rPr>
                <w:rFonts w:ascii="仿宋_GB2312" w:hAnsi="仿宋_GB2312" w:eastAsia="仿宋_GB2312" w:cs="仿宋_GB2312"/>
              </w:rPr>
              <w:t>序号</w:t>
            </w:r>
          </w:p>
        </w:tc>
        <w:tc>
          <w:tcPr>
            <w:tcW w:w="2492" w:type="dxa"/>
          </w:tcPr>
          <w:p w14:paraId="4936E798">
            <w:pPr>
              <w:pStyle w:val="4"/>
              <w:jc w:val="center"/>
            </w:pPr>
            <w:r>
              <w:rPr>
                <w:rFonts w:ascii="仿宋_GB2312" w:hAnsi="仿宋_GB2312" w:eastAsia="仿宋_GB2312" w:cs="仿宋_GB2312"/>
              </w:rPr>
              <w:t>采购品目名称</w:t>
            </w:r>
          </w:p>
        </w:tc>
        <w:tc>
          <w:tcPr>
            <w:tcW w:w="2492" w:type="dxa"/>
          </w:tcPr>
          <w:p w14:paraId="4BBAF66E">
            <w:pPr>
              <w:pStyle w:val="4"/>
              <w:jc w:val="center"/>
            </w:pPr>
            <w:r>
              <w:rPr>
                <w:rFonts w:ascii="仿宋_GB2312" w:hAnsi="仿宋_GB2312" w:eastAsia="仿宋_GB2312" w:cs="仿宋_GB2312"/>
              </w:rPr>
              <w:t>标的名称</w:t>
            </w:r>
          </w:p>
        </w:tc>
        <w:tc>
          <w:tcPr>
            <w:tcW w:w="2492" w:type="dxa"/>
          </w:tcPr>
          <w:p w14:paraId="264E1033">
            <w:pPr>
              <w:pStyle w:val="4"/>
              <w:jc w:val="center"/>
            </w:pPr>
            <w:r>
              <w:rPr>
                <w:rFonts w:ascii="仿宋_GB2312" w:hAnsi="仿宋_GB2312" w:eastAsia="仿宋_GB2312" w:cs="仿宋_GB2312"/>
              </w:rPr>
              <w:t>产品名称</w:t>
            </w:r>
          </w:p>
        </w:tc>
      </w:tr>
      <w:tr w14:paraId="214DCBC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1329DFD9">
            <w:pPr>
              <w:pStyle w:val="4"/>
              <w:jc w:val="center"/>
            </w:pPr>
            <w:r>
              <w:rPr>
                <w:rFonts w:ascii="仿宋_GB2312" w:hAnsi="仿宋_GB2312" w:eastAsia="仿宋_GB2312" w:cs="仿宋_GB2312"/>
              </w:rPr>
              <w:t>不涉及</w:t>
            </w:r>
          </w:p>
        </w:tc>
      </w:tr>
    </w:tbl>
    <w:p w14:paraId="47287ACE">
      <w:pPr>
        <w:pStyle w:val="4"/>
        <w:jc w:val="left"/>
      </w:pPr>
      <w:r>
        <w:rPr>
          <w:rFonts w:ascii="仿宋_GB2312" w:hAnsi="仿宋_GB2312" w:eastAsia="仿宋_GB2312" w:cs="仿宋_GB2312"/>
        </w:rPr>
        <w:t>采购包2：</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2192B1B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32EF1753">
            <w:pPr>
              <w:pStyle w:val="4"/>
              <w:jc w:val="center"/>
            </w:pPr>
            <w:r>
              <w:rPr>
                <w:rFonts w:ascii="仿宋_GB2312" w:hAnsi="仿宋_GB2312" w:eastAsia="仿宋_GB2312" w:cs="仿宋_GB2312"/>
              </w:rPr>
              <w:t>序号</w:t>
            </w:r>
          </w:p>
        </w:tc>
        <w:tc>
          <w:tcPr>
            <w:tcW w:w="2492" w:type="dxa"/>
          </w:tcPr>
          <w:p w14:paraId="4139A05D">
            <w:pPr>
              <w:pStyle w:val="4"/>
              <w:jc w:val="center"/>
            </w:pPr>
            <w:r>
              <w:rPr>
                <w:rFonts w:ascii="仿宋_GB2312" w:hAnsi="仿宋_GB2312" w:eastAsia="仿宋_GB2312" w:cs="仿宋_GB2312"/>
              </w:rPr>
              <w:t>采购品目名称</w:t>
            </w:r>
          </w:p>
        </w:tc>
        <w:tc>
          <w:tcPr>
            <w:tcW w:w="2492" w:type="dxa"/>
          </w:tcPr>
          <w:p w14:paraId="3685C676">
            <w:pPr>
              <w:pStyle w:val="4"/>
              <w:jc w:val="center"/>
            </w:pPr>
            <w:r>
              <w:rPr>
                <w:rFonts w:ascii="仿宋_GB2312" w:hAnsi="仿宋_GB2312" w:eastAsia="仿宋_GB2312" w:cs="仿宋_GB2312"/>
              </w:rPr>
              <w:t>标的名称</w:t>
            </w:r>
          </w:p>
        </w:tc>
        <w:tc>
          <w:tcPr>
            <w:tcW w:w="2492" w:type="dxa"/>
          </w:tcPr>
          <w:p w14:paraId="2A8AB7B8">
            <w:pPr>
              <w:pStyle w:val="4"/>
              <w:jc w:val="center"/>
            </w:pPr>
            <w:r>
              <w:rPr>
                <w:rFonts w:ascii="仿宋_GB2312" w:hAnsi="仿宋_GB2312" w:eastAsia="仿宋_GB2312" w:cs="仿宋_GB2312"/>
              </w:rPr>
              <w:t>产品名称</w:t>
            </w:r>
          </w:p>
        </w:tc>
      </w:tr>
      <w:tr w14:paraId="51E78D3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39999E1A">
            <w:pPr>
              <w:pStyle w:val="4"/>
              <w:jc w:val="center"/>
            </w:pPr>
            <w:r>
              <w:rPr>
                <w:rFonts w:ascii="仿宋_GB2312" w:hAnsi="仿宋_GB2312" w:eastAsia="仿宋_GB2312" w:cs="仿宋_GB2312"/>
              </w:rPr>
              <w:t>不涉及</w:t>
            </w:r>
          </w:p>
        </w:tc>
      </w:tr>
    </w:tbl>
    <w:p w14:paraId="17B2DF78">
      <w:pPr>
        <w:pStyle w:val="4"/>
        <w:ind w:firstLine="480"/>
        <w:jc w:val="left"/>
      </w:pPr>
      <w:r>
        <w:rPr>
          <w:rFonts w:ascii="仿宋_GB2312" w:hAnsi="仿宋_GB2312" w:eastAsia="仿宋_GB2312" w:cs="仿宋_GB2312"/>
        </w:rPr>
        <w:t>注：响应产品属于《环境标志产品政府采购品目清单》中的产品，投标人提供由国家确定的认证机构出具的、处于有效期之内的环境标志产品认证证书的原件扫描件或“全国认证认可信息公共服务平台”（http://cx.cnca.cn）的认证信息截图，可以享受优先采购政策。具体要求详见第五章规定。</w:t>
      </w:r>
    </w:p>
    <w:p w14:paraId="5F2D606E">
      <w:pPr>
        <w:pStyle w:val="4"/>
        <w:jc w:val="left"/>
        <w:outlineLvl w:val="2"/>
      </w:pPr>
      <w:r>
        <w:rPr>
          <w:rFonts w:ascii="仿宋_GB2312" w:hAnsi="仿宋_GB2312" w:eastAsia="仿宋_GB2312" w:cs="仿宋_GB2312"/>
          <w:b/>
          <w:sz w:val="28"/>
        </w:rPr>
        <w:t>3.2.技术要求</w:t>
      </w:r>
    </w:p>
    <w:p w14:paraId="361AEBCB">
      <w:pPr>
        <w:pStyle w:val="4"/>
        <w:jc w:val="left"/>
      </w:pPr>
      <w:r>
        <w:rPr>
          <w:rFonts w:ascii="仿宋_GB2312" w:hAnsi="仿宋_GB2312" w:eastAsia="仿宋_GB2312" w:cs="仿宋_GB2312"/>
        </w:rPr>
        <w:t>采购包1：</w:t>
      </w:r>
    </w:p>
    <w:p w14:paraId="5A56429F">
      <w:pPr>
        <w:pStyle w:val="4"/>
        <w:jc w:val="left"/>
      </w:pPr>
      <w:r>
        <w:rPr>
          <w:rFonts w:ascii="仿宋_GB2312" w:hAnsi="仿宋_GB2312" w:eastAsia="仿宋_GB2312" w:cs="仿宋_GB2312"/>
        </w:rPr>
        <w:t>标的名称：广元市利州区乡镇(街道)应急管理能力建设项目</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2"/>
        <w:gridCol w:w="413"/>
        <w:gridCol w:w="413"/>
        <w:gridCol w:w="7284"/>
      </w:tblGrid>
      <w:tr w14:paraId="46403A5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091CEAD1">
            <w:pPr>
              <w:pStyle w:val="4"/>
              <w:jc w:val="center"/>
            </w:pPr>
            <w:r>
              <w:rPr>
                <w:rFonts w:ascii="仿宋_GB2312" w:hAnsi="仿宋_GB2312" w:eastAsia="仿宋_GB2312" w:cs="仿宋_GB2312"/>
              </w:rPr>
              <w:t>序号</w:t>
            </w:r>
          </w:p>
        </w:tc>
        <w:tc>
          <w:tcPr>
            <w:tcW w:w="581" w:type="dxa"/>
          </w:tcPr>
          <w:p w14:paraId="6B9317F2">
            <w:pPr>
              <w:pStyle w:val="4"/>
              <w:jc w:val="center"/>
            </w:pPr>
            <w:r>
              <w:rPr>
                <w:rFonts w:ascii="仿宋_GB2312" w:hAnsi="仿宋_GB2312" w:eastAsia="仿宋_GB2312" w:cs="仿宋_GB2312"/>
              </w:rPr>
              <w:t>符号标识</w:t>
            </w:r>
          </w:p>
        </w:tc>
        <w:tc>
          <w:tcPr>
            <w:tcW w:w="1495" w:type="dxa"/>
          </w:tcPr>
          <w:p w14:paraId="39CE14E9">
            <w:pPr>
              <w:pStyle w:val="4"/>
              <w:jc w:val="center"/>
            </w:pPr>
            <w:r>
              <w:rPr>
                <w:rFonts w:ascii="仿宋_GB2312" w:hAnsi="仿宋_GB2312" w:eastAsia="仿宋_GB2312" w:cs="仿宋_GB2312"/>
              </w:rPr>
              <w:t>技术要求名称</w:t>
            </w:r>
          </w:p>
        </w:tc>
        <w:tc>
          <w:tcPr>
            <w:tcW w:w="5814" w:type="dxa"/>
          </w:tcPr>
          <w:p w14:paraId="4EC7C039">
            <w:pPr>
              <w:pStyle w:val="4"/>
              <w:jc w:val="center"/>
            </w:pPr>
            <w:r>
              <w:rPr>
                <w:rFonts w:ascii="仿宋_GB2312" w:hAnsi="仿宋_GB2312" w:eastAsia="仿宋_GB2312" w:cs="仿宋_GB2312"/>
              </w:rPr>
              <w:t>技术参数与性能指标</w:t>
            </w:r>
          </w:p>
        </w:tc>
      </w:tr>
      <w:tr w14:paraId="7122C3D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025BB00E">
            <w:pPr>
              <w:pStyle w:val="4"/>
              <w:jc w:val="center"/>
            </w:pPr>
            <w:r>
              <w:rPr>
                <w:rFonts w:ascii="仿宋_GB2312" w:hAnsi="仿宋_GB2312" w:eastAsia="仿宋_GB2312" w:cs="仿宋_GB2312"/>
              </w:rPr>
              <w:t>1</w:t>
            </w:r>
          </w:p>
        </w:tc>
        <w:tc>
          <w:tcPr>
            <w:tcW w:w="581" w:type="dxa"/>
          </w:tcPr>
          <w:p w14:paraId="4E19AA5A"/>
        </w:tc>
        <w:tc>
          <w:tcPr>
            <w:tcW w:w="1495" w:type="dxa"/>
          </w:tcPr>
          <w:p w14:paraId="7C055648">
            <w:pPr>
              <w:pStyle w:val="4"/>
              <w:jc w:val="left"/>
            </w:pPr>
            <w:r>
              <w:rPr>
                <w:rFonts w:ascii="仿宋_GB2312" w:hAnsi="仿宋_GB2312" w:eastAsia="仿宋_GB2312" w:cs="仿宋_GB2312"/>
              </w:rPr>
              <w:t>技术指标和配置</w:t>
            </w:r>
          </w:p>
        </w:tc>
        <w:tc>
          <w:tcPr>
            <w:tcW w:w="5814" w:type="dxa"/>
          </w:tcPr>
          <w:tbl>
            <w:tblPr>
              <w:tblStyle w:val="2"/>
              <w:tblW w:w="0" w:type="auto"/>
              <w:tblInd w:w="0"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475"/>
              <w:gridCol w:w="709"/>
              <w:gridCol w:w="4229"/>
              <w:gridCol w:w="476"/>
              <w:gridCol w:w="476"/>
              <w:gridCol w:w="476"/>
              <w:gridCol w:w="222"/>
            </w:tblGrid>
            <w:tr w14:paraId="660E1F6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75" w:type="dxa"/>
                  <w:tcBorders>
                    <w:top w:val="single" w:color="333333" w:sz="4" w:space="0"/>
                    <w:left w:val="single" w:color="333333" w:sz="4" w:space="0"/>
                    <w:bottom w:val="single" w:color="333333" w:sz="4" w:space="0"/>
                    <w:right w:val="single" w:color="333333" w:sz="4" w:space="0"/>
                  </w:tcBorders>
                  <w:tcMar>
                    <w:top w:w="75" w:type="dxa"/>
                    <w:left w:w="120" w:type="dxa"/>
                    <w:bottom w:w="75" w:type="dxa"/>
                    <w:right w:w="120" w:type="dxa"/>
                  </w:tcMar>
                  <w:vAlign w:val="top"/>
                </w:tcPr>
                <w:p w14:paraId="723E625A">
                  <w:pPr>
                    <w:pStyle w:val="4"/>
                    <w:jc w:val="center"/>
                  </w:pPr>
                  <w:r>
                    <w:rPr>
                      <w:rFonts w:ascii="仿宋_GB2312" w:hAnsi="仿宋_GB2312" w:eastAsia="仿宋_GB2312" w:cs="仿宋_GB2312"/>
                      <w:b/>
                      <w:sz w:val="24"/>
                    </w:rPr>
                    <w:t>序号</w:t>
                  </w:r>
                </w:p>
              </w:tc>
              <w:tc>
                <w:tcPr>
                  <w:tcW w:w="523" w:type="dxa"/>
                  <w:tcBorders>
                    <w:top w:val="single" w:color="333333" w:sz="4" w:space="0"/>
                    <w:left w:val="nil"/>
                    <w:bottom w:val="single" w:color="333333" w:sz="4" w:space="0"/>
                    <w:right w:val="single" w:color="333333" w:sz="4" w:space="0"/>
                  </w:tcBorders>
                  <w:tcMar>
                    <w:top w:w="75" w:type="dxa"/>
                    <w:left w:w="120" w:type="dxa"/>
                    <w:bottom w:w="75" w:type="dxa"/>
                    <w:right w:w="120" w:type="dxa"/>
                  </w:tcMar>
                  <w:vAlign w:val="top"/>
                </w:tcPr>
                <w:p w14:paraId="12AF0E20">
                  <w:pPr>
                    <w:pStyle w:val="4"/>
                    <w:jc w:val="center"/>
                  </w:pPr>
                  <w:r>
                    <w:rPr>
                      <w:rFonts w:ascii="仿宋_GB2312" w:hAnsi="仿宋_GB2312" w:eastAsia="仿宋_GB2312" w:cs="仿宋_GB2312"/>
                      <w:b/>
                      <w:sz w:val="24"/>
                    </w:rPr>
                    <w:t>技术要求名称</w:t>
                  </w:r>
                </w:p>
              </w:tc>
              <w:tc>
                <w:tcPr>
                  <w:tcW w:w="3446" w:type="dxa"/>
                  <w:tcBorders>
                    <w:top w:val="single" w:color="333333" w:sz="4" w:space="0"/>
                    <w:left w:val="nil"/>
                    <w:bottom w:val="single" w:color="333333" w:sz="4" w:space="0"/>
                    <w:right w:val="single" w:color="333333" w:sz="4" w:space="0"/>
                  </w:tcBorders>
                  <w:tcMar>
                    <w:top w:w="75" w:type="dxa"/>
                    <w:left w:w="120" w:type="dxa"/>
                    <w:bottom w:w="75" w:type="dxa"/>
                    <w:right w:w="120" w:type="dxa"/>
                  </w:tcMar>
                  <w:vAlign w:val="top"/>
                </w:tcPr>
                <w:p w14:paraId="2ECA1A36">
                  <w:pPr>
                    <w:pStyle w:val="4"/>
                    <w:jc w:val="center"/>
                  </w:pPr>
                  <w:r>
                    <w:rPr>
                      <w:rFonts w:ascii="仿宋_GB2312" w:hAnsi="仿宋_GB2312" w:eastAsia="仿宋_GB2312" w:cs="仿宋_GB2312"/>
                      <w:b/>
                      <w:sz w:val="24"/>
                    </w:rPr>
                    <w:t>技术要求内容（性能指标）</w:t>
                  </w:r>
                </w:p>
              </w:tc>
              <w:tc>
                <w:tcPr>
                  <w:tcW w:w="425" w:type="dxa"/>
                  <w:tcBorders>
                    <w:top w:val="single" w:color="333333" w:sz="4" w:space="0"/>
                    <w:left w:val="nil"/>
                    <w:bottom w:val="single" w:color="333333" w:sz="4" w:space="0"/>
                    <w:right w:val="single" w:color="333333" w:sz="4" w:space="0"/>
                  </w:tcBorders>
                  <w:tcMar>
                    <w:top w:w="75" w:type="dxa"/>
                    <w:left w:w="120" w:type="dxa"/>
                    <w:bottom w:w="75" w:type="dxa"/>
                    <w:right w:w="120" w:type="dxa"/>
                  </w:tcMar>
                  <w:vAlign w:val="top"/>
                </w:tcPr>
                <w:p w14:paraId="5A987026">
                  <w:pPr>
                    <w:pStyle w:val="4"/>
                    <w:jc w:val="center"/>
                  </w:pPr>
                  <w:r>
                    <w:rPr>
                      <w:rFonts w:ascii="仿宋_GB2312" w:hAnsi="仿宋_GB2312" w:eastAsia="仿宋_GB2312" w:cs="仿宋_GB2312"/>
                      <w:b/>
                      <w:sz w:val="24"/>
                    </w:rPr>
                    <w:t>单位</w:t>
                  </w:r>
                </w:p>
              </w:tc>
              <w:tc>
                <w:tcPr>
                  <w:tcW w:w="405" w:type="dxa"/>
                  <w:tcBorders>
                    <w:top w:val="single" w:color="333333" w:sz="4" w:space="0"/>
                    <w:left w:val="nil"/>
                    <w:bottom w:val="single" w:color="333333" w:sz="4" w:space="0"/>
                    <w:right w:val="single" w:color="333333" w:sz="4" w:space="0"/>
                  </w:tcBorders>
                  <w:tcMar>
                    <w:top w:w="75" w:type="dxa"/>
                    <w:left w:w="120" w:type="dxa"/>
                    <w:bottom w:w="75" w:type="dxa"/>
                    <w:right w:w="120" w:type="dxa"/>
                  </w:tcMar>
                  <w:vAlign w:val="top"/>
                </w:tcPr>
                <w:p w14:paraId="3CD1A85B">
                  <w:pPr>
                    <w:pStyle w:val="4"/>
                    <w:jc w:val="center"/>
                  </w:pPr>
                  <w:r>
                    <w:rPr>
                      <w:rFonts w:ascii="仿宋_GB2312" w:hAnsi="仿宋_GB2312" w:eastAsia="仿宋_GB2312" w:cs="仿宋_GB2312"/>
                      <w:b/>
                      <w:sz w:val="24"/>
                    </w:rPr>
                    <w:t>数量</w:t>
                  </w:r>
                </w:p>
              </w:tc>
              <w:tc>
                <w:tcPr>
                  <w:tcW w:w="405" w:type="dxa"/>
                  <w:tcBorders>
                    <w:top w:val="single" w:color="333333" w:sz="4" w:space="0"/>
                    <w:left w:val="nil"/>
                    <w:bottom w:val="single" w:color="333333" w:sz="4" w:space="0"/>
                    <w:right w:val="single" w:color="333333" w:sz="4" w:space="0"/>
                  </w:tcBorders>
                  <w:tcMar>
                    <w:top w:w="75" w:type="dxa"/>
                    <w:left w:w="120" w:type="dxa"/>
                    <w:bottom w:w="75" w:type="dxa"/>
                    <w:right w:w="120" w:type="dxa"/>
                  </w:tcMar>
                  <w:vAlign w:val="top"/>
                </w:tcPr>
                <w:p w14:paraId="289E2875">
                  <w:pPr>
                    <w:pStyle w:val="4"/>
                    <w:jc w:val="center"/>
                  </w:pPr>
                  <w:r>
                    <w:rPr>
                      <w:rFonts w:ascii="仿宋_GB2312" w:hAnsi="仿宋_GB2312" w:eastAsia="仿宋_GB2312" w:cs="仿宋_GB2312"/>
                      <w:b/>
                      <w:sz w:val="24"/>
                    </w:rPr>
                    <w:t>备注</w:t>
                  </w:r>
                </w:p>
              </w:tc>
              <w:tc>
                <w:tcPr>
                  <w:tcW w:w="20" w:type="dxa"/>
                  <w:tcBorders>
                    <w:top w:val="nil"/>
                    <w:left w:val="nil"/>
                    <w:bottom w:val="nil"/>
                    <w:right w:val="nil"/>
                  </w:tcBorders>
                </w:tcPr>
                <w:p w14:paraId="32475E2F">
                  <w:pPr>
                    <w:pStyle w:val="4"/>
                    <w:jc w:val="left"/>
                  </w:pPr>
                  <w:r>
                    <w:rPr>
                      <w:rFonts w:ascii="仿宋_GB2312" w:hAnsi="仿宋_GB2312" w:eastAsia="仿宋_GB2312" w:cs="仿宋_GB2312"/>
                      <w:sz w:val="19"/>
                    </w:rPr>
                    <w:t xml:space="preserve"> </w:t>
                  </w:r>
                </w:p>
              </w:tc>
            </w:tr>
            <w:tr w14:paraId="1B35011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75" w:type="dxa"/>
                  <w:tcBorders>
                    <w:top w:val="nil"/>
                    <w:left w:val="single" w:color="333333" w:sz="4" w:space="0"/>
                    <w:bottom w:val="single" w:color="333333" w:sz="4" w:space="0"/>
                    <w:right w:val="single" w:color="333333" w:sz="4" w:space="0"/>
                  </w:tcBorders>
                  <w:tcMar>
                    <w:top w:w="75" w:type="dxa"/>
                    <w:left w:w="120" w:type="dxa"/>
                    <w:bottom w:w="75" w:type="dxa"/>
                    <w:right w:w="120" w:type="dxa"/>
                  </w:tcMar>
                  <w:vAlign w:val="top"/>
                </w:tcPr>
                <w:p w14:paraId="4782CA87">
                  <w:pPr>
                    <w:pStyle w:val="4"/>
                    <w:jc w:val="left"/>
                  </w:pPr>
                  <w:r>
                    <w:rPr>
                      <w:rFonts w:ascii="仿宋_GB2312" w:hAnsi="仿宋_GB2312" w:eastAsia="仿宋_GB2312" w:cs="仿宋_GB2312"/>
                      <w:sz w:val="24"/>
                    </w:rPr>
                    <w:t>1</w:t>
                  </w:r>
                </w:p>
              </w:tc>
              <w:tc>
                <w:tcPr>
                  <w:tcW w:w="523" w:type="dxa"/>
                  <w:tcBorders>
                    <w:top w:val="nil"/>
                    <w:left w:val="nil"/>
                    <w:bottom w:val="single" w:color="333333" w:sz="4" w:space="0"/>
                    <w:right w:val="single" w:color="333333" w:sz="4" w:space="0"/>
                  </w:tcBorders>
                  <w:tcMar>
                    <w:top w:w="75" w:type="dxa"/>
                    <w:left w:w="120" w:type="dxa"/>
                    <w:bottom w:w="75" w:type="dxa"/>
                    <w:right w:w="120" w:type="dxa"/>
                  </w:tcMar>
                  <w:vAlign w:val="top"/>
                </w:tcPr>
                <w:p w14:paraId="4500FD79">
                  <w:pPr>
                    <w:pStyle w:val="4"/>
                    <w:jc w:val="left"/>
                  </w:pPr>
                  <w:r>
                    <w:rPr>
                      <w:rFonts w:ascii="仿宋_GB2312" w:hAnsi="仿宋_GB2312" w:eastAsia="仿宋_GB2312" w:cs="仿宋_GB2312"/>
                      <w:color w:val="000000"/>
                      <w:sz w:val="24"/>
                    </w:rPr>
                    <w:t>棉被</w:t>
                  </w:r>
                </w:p>
              </w:tc>
              <w:tc>
                <w:tcPr>
                  <w:tcW w:w="3446" w:type="dxa"/>
                  <w:tcBorders>
                    <w:top w:val="nil"/>
                    <w:left w:val="nil"/>
                    <w:bottom w:val="single" w:color="333333" w:sz="4" w:space="0"/>
                    <w:right w:val="single" w:color="333333" w:sz="4" w:space="0"/>
                  </w:tcBorders>
                  <w:tcMar>
                    <w:top w:w="75" w:type="dxa"/>
                    <w:left w:w="120" w:type="dxa"/>
                    <w:bottom w:w="75" w:type="dxa"/>
                    <w:right w:w="120" w:type="dxa"/>
                  </w:tcMar>
                  <w:vAlign w:val="top"/>
                </w:tcPr>
                <w:p w14:paraId="39A7CB19">
                  <w:pPr>
                    <w:pStyle w:val="4"/>
                    <w:jc w:val="left"/>
                  </w:pPr>
                  <w:r>
                    <w:rPr>
                      <w:rFonts w:ascii="仿宋_GB2312" w:hAnsi="仿宋_GB2312" w:eastAsia="仿宋_GB2312" w:cs="仿宋_GB2312"/>
                      <w:sz w:val="24"/>
                    </w:rPr>
                    <w:t>1、规格210cm*150cm（±2cm），重量≥2500g；</w:t>
                  </w:r>
                </w:p>
                <w:p w14:paraId="40A5A46F">
                  <w:pPr>
                    <w:pStyle w:val="4"/>
                    <w:jc w:val="left"/>
                  </w:pPr>
                  <w:r>
                    <w:rPr>
                      <w:rFonts w:ascii="仿宋_GB2312" w:hAnsi="仿宋_GB2312" w:eastAsia="仿宋_GB2312" w:cs="仿宋_GB2312"/>
                      <w:sz w:val="24"/>
                    </w:rPr>
                    <w:t>2、纤维成份及含量：棉100%（网纱除外）。梳棉胎等级≥二级；梳棉颜色级：≥白棉三级或淡点污棉一级；</w:t>
                  </w:r>
                </w:p>
                <w:p w14:paraId="6A2F3C4D">
                  <w:pPr>
                    <w:pStyle w:val="4"/>
                    <w:jc w:val="left"/>
                  </w:pPr>
                  <w:r>
                    <w:rPr>
                      <w:rFonts w:ascii="仿宋_GB2312" w:hAnsi="仿宋_GB2312" w:eastAsia="仿宋_GB2312" w:cs="仿宋_GB2312"/>
                      <w:sz w:val="24"/>
                    </w:rPr>
                    <w:t>★3、原料：细绒棉（检测方法GB1103.1-2023）；</w:t>
                  </w:r>
                </w:p>
                <w:p w14:paraId="55B2920A">
                  <w:pPr>
                    <w:pStyle w:val="4"/>
                    <w:jc w:val="left"/>
                  </w:pPr>
                  <w:r>
                    <w:rPr>
                      <w:rFonts w:ascii="仿宋_GB2312" w:hAnsi="仿宋_GB2312" w:eastAsia="仿宋_GB2312" w:cs="仿宋_GB2312"/>
                      <w:sz w:val="24"/>
                    </w:rPr>
                    <w:t>★4、研磨率≥85%、含杂率≤0.8%、短纤维含量≤25%；</w:t>
                  </w:r>
                </w:p>
                <w:p w14:paraId="6DEBF15B">
                  <w:pPr>
                    <w:pStyle w:val="4"/>
                    <w:jc w:val="left"/>
                  </w:pPr>
                  <w:r>
                    <w:rPr>
                      <w:rFonts w:ascii="仿宋_GB2312" w:hAnsi="仿宋_GB2312" w:eastAsia="仿宋_GB2312" w:cs="仿宋_GB2312"/>
                      <w:sz w:val="24"/>
                    </w:rPr>
                    <w:t>5、面纱：每面各三层：分竖纱一层，左右斜纱各一层，每10cm范围内竖纱、左右斜纱各不少于13根；</w:t>
                  </w:r>
                </w:p>
                <w:p w14:paraId="783E2F62">
                  <w:pPr>
                    <w:pStyle w:val="4"/>
                    <w:jc w:val="left"/>
                  </w:pPr>
                  <w:r>
                    <w:rPr>
                      <w:rFonts w:ascii="仿宋_GB2312" w:hAnsi="仿宋_GB2312" w:eastAsia="仿宋_GB2312" w:cs="仿宋_GB2312"/>
                      <w:sz w:val="24"/>
                    </w:rPr>
                    <w:t>6、筋纱：每面幅宽每米竖筋等距离分配不少于10道，左斜筋、右斜筋各不少于15道，成菱形，竖筋、左斜筋、右斜筋每道用纱不少于2根；</w:t>
                  </w:r>
                </w:p>
                <w:p w14:paraId="20BF32D3">
                  <w:pPr>
                    <w:pStyle w:val="4"/>
                    <w:jc w:val="left"/>
                  </w:pPr>
                  <w:r>
                    <w:rPr>
                      <w:rFonts w:ascii="仿宋_GB2312" w:hAnsi="仿宋_GB2312" w:eastAsia="仿宋_GB2312" w:cs="仿宋_GB2312"/>
                      <w:sz w:val="24"/>
                    </w:rPr>
                    <w:t>★7、“符合GB18401-2010《国家纺织产品基本安全技术规范》卫生要求，经具有CMA/CNAS资质的第三方机构检测，不得检出蚤、臭虫等可能传播疾病与危害健康的节足动物和蟑螂卵夹；不得检出绿脓杆菌、金黄色葡萄球菌和溶血性链球菌等致病菌；无异味。</w:t>
                  </w:r>
                </w:p>
              </w:tc>
              <w:tc>
                <w:tcPr>
                  <w:tcW w:w="425" w:type="dxa"/>
                  <w:tcBorders>
                    <w:top w:val="nil"/>
                    <w:left w:val="nil"/>
                    <w:bottom w:val="single" w:color="333333" w:sz="4" w:space="0"/>
                    <w:right w:val="single" w:color="333333" w:sz="4" w:space="0"/>
                  </w:tcBorders>
                  <w:tcMar>
                    <w:top w:w="75" w:type="dxa"/>
                    <w:left w:w="120" w:type="dxa"/>
                    <w:bottom w:w="75" w:type="dxa"/>
                    <w:right w:w="120" w:type="dxa"/>
                  </w:tcMar>
                  <w:vAlign w:val="top"/>
                </w:tcPr>
                <w:p w14:paraId="4AD82058">
                  <w:pPr>
                    <w:pStyle w:val="4"/>
                    <w:jc w:val="left"/>
                  </w:pPr>
                </w:p>
              </w:tc>
              <w:tc>
                <w:tcPr>
                  <w:tcW w:w="405" w:type="dxa"/>
                  <w:tcBorders>
                    <w:top w:val="nil"/>
                    <w:left w:val="nil"/>
                    <w:bottom w:val="single" w:color="333333" w:sz="4" w:space="0"/>
                    <w:right w:val="single" w:color="333333" w:sz="4" w:space="0"/>
                  </w:tcBorders>
                  <w:tcMar>
                    <w:top w:w="75" w:type="dxa"/>
                    <w:left w:w="120" w:type="dxa"/>
                    <w:bottom w:w="75" w:type="dxa"/>
                    <w:right w:w="120" w:type="dxa"/>
                  </w:tcMar>
                  <w:vAlign w:val="top"/>
                </w:tcPr>
                <w:p w14:paraId="1E4926CB"/>
              </w:tc>
              <w:tc>
                <w:tcPr>
                  <w:tcW w:w="405" w:type="dxa"/>
                  <w:tcBorders>
                    <w:top w:val="nil"/>
                    <w:left w:val="nil"/>
                    <w:bottom w:val="single" w:color="333333" w:sz="4" w:space="0"/>
                    <w:right w:val="single" w:color="333333" w:sz="4" w:space="0"/>
                  </w:tcBorders>
                  <w:tcMar>
                    <w:top w:w="75" w:type="dxa"/>
                    <w:left w:w="120" w:type="dxa"/>
                    <w:bottom w:w="75" w:type="dxa"/>
                    <w:right w:w="120" w:type="dxa"/>
                  </w:tcMar>
                  <w:vAlign w:val="top"/>
                </w:tcPr>
                <w:p w14:paraId="4203492A"/>
              </w:tc>
              <w:tc>
                <w:tcPr>
                  <w:tcW w:w="20" w:type="dxa"/>
                  <w:tcBorders>
                    <w:top w:val="nil"/>
                    <w:left w:val="nil"/>
                    <w:bottom w:val="nil"/>
                    <w:right w:val="nil"/>
                  </w:tcBorders>
                </w:tcPr>
                <w:p w14:paraId="367D56A4">
                  <w:pPr>
                    <w:pStyle w:val="4"/>
                    <w:jc w:val="left"/>
                  </w:pPr>
                  <w:r>
                    <w:rPr>
                      <w:rFonts w:ascii="仿宋_GB2312" w:hAnsi="仿宋_GB2312" w:eastAsia="仿宋_GB2312" w:cs="仿宋_GB2312"/>
                      <w:sz w:val="19"/>
                    </w:rPr>
                    <w:t xml:space="preserve"> </w:t>
                  </w:r>
                </w:p>
              </w:tc>
            </w:tr>
            <w:tr w14:paraId="7888CBB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75" w:type="dxa"/>
                  <w:tcBorders>
                    <w:top w:val="nil"/>
                    <w:left w:val="single" w:color="333333" w:sz="4" w:space="0"/>
                    <w:bottom w:val="single" w:color="333333" w:sz="4" w:space="0"/>
                    <w:right w:val="single" w:color="333333" w:sz="4" w:space="0"/>
                  </w:tcBorders>
                  <w:tcMar>
                    <w:top w:w="75" w:type="dxa"/>
                    <w:left w:w="120" w:type="dxa"/>
                    <w:bottom w:w="75" w:type="dxa"/>
                    <w:right w:w="120" w:type="dxa"/>
                  </w:tcMar>
                  <w:vAlign w:val="top"/>
                </w:tcPr>
                <w:p w14:paraId="341DCBB9">
                  <w:pPr>
                    <w:pStyle w:val="4"/>
                    <w:jc w:val="left"/>
                  </w:pPr>
                  <w:r>
                    <w:rPr>
                      <w:rFonts w:ascii="仿宋_GB2312" w:hAnsi="仿宋_GB2312" w:eastAsia="仿宋_GB2312" w:cs="仿宋_GB2312"/>
                      <w:sz w:val="24"/>
                    </w:rPr>
                    <w:t>2</w:t>
                  </w:r>
                </w:p>
              </w:tc>
              <w:tc>
                <w:tcPr>
                  <w:tcW w:w="523" w:type="dxa"/>
                  <w:tcBorders>
                    <w:top w:val="nil"/>
                    <w:left w:val="nil"/>
                    <w:bottom w:val="single" w:color="333333" w:sz="4" w:space="0"/>
                    <w:right w:val="single" w:color="333333" w:sz="4" w:space="0"/>
                  </w:tcBorders>
                  <w:tcMar>
                    <w:top w:w="75" w:type="dxa"/>
                    <w:left w:w="120" w:type="dxa"/>
                    <w:bottom w:w="75" w:type="dxa"/>
                    <w:right w:w="120" w:type="dxa"/>
                  </w:tcMar>
                  <w:vAlign w:val="top"/>
                </w:tcPr>
                <w:p w14:paraId="0D4068DC">
                  <w:pPr>
                    <w:pStyle w:val="4"/>
                    <w:jc w:val="left"/>
                  </w:pPr>
                  <w:r>
                    <w:rPr>
                      <w:rFonts w:ascii="仿宋_GB2312" w:hAnsi="仿宋_GB2312" w:eastAsia="仿宋_GB2312" w:cs="仿宋_GB2312"/>
                      <w:sz w:val="24"/>
                    </w:rPr>
                    <w:t>棉褥</w:t>
                  </w:r>
                </w:p>
              </w:tc>
              <w:tc>
                <w:tcPr>
                  <w:tcW w:w="3446" w:type="dxa"/>
                  <w:tcBorders>
                    <w:top w:val="nil"/>
                    <w:left w:val="nil"/>
                    <w:bottom w:val="single" w:color="333333" w:sz="4" w:space="0"/>
                    <w:right w:val="single" w:color="333333" w:sz="4" w:space="0"/>
                  </w:tcBorders>
                  <w:tcMar>
                    <w:top w:w="75" w:type="dxa"/>
                    <w:left w:w="120" w:type="dxa"/>
                    <w:bottom w:w="75" w:type="dxa"/>
                    <w:right w:w="120" w:type="dxa"/>
                  </w:tcMar>
                  <w:vAlign w:val="top"/>
                </w:tcPr>
                <w:p w14:paraId="7394397B">
                  <w:pPr>
                    <w:pStyle w:val="4"/>
                    <w:jc w:val="left"/>
                  </w:pPr>
                  <w:r>
                    <w:rPr>
                      <w:rFonts w:ascii="仿宋_GB2312" w:hAnsi="仿宋_GB2312" w:eastAsia="仿宋_GB2312" w:cs="仿宋_GB2312"/>
                      <w:sz w:val="24"/>
                    </w:rPr>
                    <w:t>★1、执行标准：GB/T22796-2021《床上用品》、GB18401-2010《国家纺织产品基本安全技术规范》；</w:t>
                  </w:r>
                </w:p>
                <w:p w14:paraId="2AA9D0C6">
                  <w:pPr>
                    <w:pStyle w:val="4"/>
                    <w:jc w:val="left"/>
                  </w:pPr>
                  <w:r>
                    <w:rPr>
                      <w:rFonts w:ascii="仿宋_GB2312" w:hAnsi="仿宋_GB2312" w:eastAsia="仿宋_GB2312" w:cs="仿宋_GB2312"/>
                      <w:sz w:val="24"/>
                    </w:rPr>
                    <w:t>2、规格尺寸：垫套203cm*93cm±1.5cm；填充物（热熔涤纶絮片）200cm*90cm±1.5cm；</w:t>
                  </w:r>
                </w:p>
                <w:p w14:paraId="1D323DE2">
                  <w:pPr>
                    <w:pStyle w:val="4"/>
                    <w:jc w:val="left"/>
                  </w:pPr>
                  <w:r>
                    <w:rPr>
                      <w:rFonts w:ascii="仿宋_GB2312" w:hAnsi="仿宋_GB2312" w:eastAsia="仿宋_GB2312" w:cs="仿宋_GB2312"/>
                      <w:sz w:val="24"/>
                    </w:rPr>
                    <w:t>3、垫套面料</w:t>
                  </w:r>
                </w:p>
                <w:p w14:paraId="39C5F4F3">
                  <w:pPr>
                    <w:pStyle w:val="4"/>
                    <w:jc w:val="left"/>
                  </w:pPr>
                  <w:r>
                    <w:rPr>
                      <w:rFonts w:ascii="仿宋_GB2312" w:hAnsi="仿宋_GB2312" w:eastAsia="仿宋_GB2312" w:cs="仿宋_GB2312"/>
                      <w:sz w:val="24"/>
                    </w:rPr>
                    <w:t>（1）织物组织结构：纤维含量：棉100%；密度：经向≥250根/10cm、纬向≥240根/10cm；断裂强力≥220N；耐皂洗色牢度：原样变色、羊毛沾色、棉沾色≥3级；</w:t>
                  </w:r>
                </w:p>
                <w:p w14:paraId="3E3B3C6C">
                  <w:pPr>
                    <w:pStyle w:val="4"/>
                    <w:jc w:val="left"/>
                  </w:pPr>
                  <w:r>
                    <w:rPr>
                      <w:rFonts w:ascii="仿宋_GB2312" w:hAnsi="仿宋_GB2312" w:eastAsia="仿宋_GB2312" w:cs="仿宋_GB2312"/>
                      <w:sz w:val="24"/>
                    </w:rPr>
                    <w:t>★（2）pH值4.0-7.5；甲醛含量≤20mg/kg；无异味；耐干摩擦色牢度≥3级、耐湿摩擦色牢度≥2-3级；</w:t>
                  </w:r>
                </w:p>
                <w:p w14:paraId="4020EBB8">
                  <w:pPr>
                    <w:pStyle w:val="4"/>
                    <w:jc w:val="left"/>
                  </w:pPr>
                  <w:r>
                    <w:rPr>
                      <w:rFonts w:ascii="仿宋_GB2312" w:hAnsi="仿宋_GB2312" w:eastAsia="仿宋_GB2312" w:cs="仿宋_GB2312"/>
                      <w:sz w:val="24"/>
                    </w:rPr>
                    <w:t>4、填充物（热熔涤纶絮片）</w:t>
                  </w:r>
                </w:p>
                <w:p w14:paraId="0DC19CEC">
                  <w:pPr>
                    <w:pStyle w:val="4"/>
                    <w:jc w:val="left"/>
                  </w:pPr>
                  <w:r>
                    <w:rPr>
                      <w:rFonts w:ascii="仿宋_GB2312" w:hAnsi="仿宋_GB2312" w:eastAsia="仿宋_GB2312" w:cs="仿宋_GB2312"/>
                      <w:sz w:val="24"/>
                    </w:rPr>
                    <w:t>（1）单位面积质量：“788-888g/m²”，总重量≥1400g；</w:t>
                  </w:r>
                </w:p>
                <w:p w14:paraId="23126FB7">
                  <w:pPr>
                    <w:pStyle w:val="4"/>
                    <w:jc w:val="left"/>
                  </w:pPr>
                  <w:r>
                    <w:rPr>
                      <w:rFonts w:ascii="仿宋_GB2312" w:hAnsi="仿宋_GB2312" w:eastAsia="仿宋_GB2312" w:cs="仿宋_GB2312"/>
                      <w:sz w:val="24"/>
                    </w:rPr>
                    <w:t>（2）洗后外观：水洗 3 次,不露底,无明显破损、不分层；洗后外观（毡化、起球、破损、分层）变化轻微，不影响使用；</w:t>
                  </w:r>
                </w:p>
                <w:p w14:paraId="7E6EF47B">
                  <w:pPr>
                    <w:pStyle w:val="4"/>
                    <w:jc w:val="left"/>
                  </w:pPr>
                  <w:r>
                    <w:rPr>
                      <w:rFonts w:ascii="仿宋_GB2312" w:hAnsi="仿宋_GB2312" w:eastAsia="仿宋_GB2312" w:cs="仿宋_GB2312"/>
                      <w:sz w:val="24"/>
                    </w:rPr>
                    <w:t>（3）絮用纤维制品卫生要求：肉眼观察不得检出蚤、臭虫等可能传播疾病与危害健康的节足动物和蟑螂卵夹；</w:t>
                  </w:r>
                </w:p>
                <w:p w14:paraId="0E900DBF">
                  <w:pPr>
                    <w:pStyle w:val="4"/>
                    <w:jc w:val="left"/>
                  </w:pPr>
                  <w:r>
                    <w:rPr>
                      <w:rFonts w:ascii="仿宋_GB2312" w:hAnsi="仿宋_GB2312" w:eastAsia="仿宋_GB2312" w:cs="仿宋_GB2312"/>
                      <w:sz w:val="24"/>
                    </w:rPr>
                    <w:t>（4）短纤维含量（13mm 及以下短纤维）≤25%、含杂率≤0.8%；</w:t>
                  </w:r>
                </w:p>
                <w:p w14:paraId="1A10C277">
                  <w:pPr>
                    <w:pStyle w:val="4"/>
                    <w:jc w:val="left"/>
                  </w:pPr>
                  <w:r>
                    <w:rPr>
                      <w:rFonts w:ascii="仿宋_GB2312" w:hAnsi="仿宋_GB2312" w:eastAsia="仿宋_GB2312" w:cs="仿宋_GB2312"/>
                      <w:sz w:val="24"/>
                    </w:rPr>
                    <w:t>（5）含油率≤1.0%；外观质量：不允许破洞、油污、斑渍；纤维分层、漏胶不明显；厚薄均匀性：无明显不均匀；</w:t>
                  </w:r>
                </w:p>
                <w:p w14:paraId="2089FBD6">
                  <w:pPr>
                    <w:pStyle w:val="4"/>
                    <w:jc w:val="left"/>
                  </w:pPr>
                  <w:r>
                    <w:rPr>
                      <w:rFonts w:ascii="仿宋_GB2312" w:hAnsi="仿宋_GB2312" w:eastAsia="仿宋_GB2312" w:cs="仿宋_GB2312"/>
                      <w:sz w:val="24"/>
                    </w:rPr>
                    <w:t>（6）荧光增白剂（包括但不限于荧光増白剤C.I.220、荧光増白剤C.I.85等）≤0.2mg/kg；</w:t>
                  </w:r>
                </w:p>
                <w:p w14:paraId="76B29300">
                  <w:pPr>
                    <w:pStyle w:val="4"/>
                    <w:jc w:val="left"/>
                  </w:pPr>
                  <w:r>
                    <w:rPr>
                      <w:rFonts w:ascii="仿宋_GB2312" w:hAnsi="仿宋_GB2312" w:eastAsia="仿宋_GB2312" w:cs="仿宋_GB2312"/>
                      <w:sz w:val="24"/>
                    </w:rPr>
                    <w:t>▲5、垫套尾开口缝制拉链，拉链长度85cm±2cm，拉链平拉强力≥400N；</w:t>
                  </w:r>
                </w:p>
                <w:p w14:paraId="47797FB9">
                  <w:pPr>
                    <w:pStyle w:val="4"/>
                    <w:jc w:val="left"/>
                  </w:pPr>
                  <w:r>
                    <w:rPr>
                      <w:rFonts w:ascii="仿宋_GB2312" w:hAnsi="仿宋_GB2312" w:eastAsia="仿宋_GB2312" w:cs="仿宋_GB2312"/>
                      <w:sz w:val="24"/>
                    </w:rPr>
                    <w:t>6、卫生要求：“絮用纤维制品卫生要求符合GB18401-2010规定，经第三方检测，肉眼观察不得检出蚤、臭虫等可能传播疾病与危害健康的节足动物和蟑螂卵夹</w:t>
                  </w:r>
                </w:p>
              </w:tc>
              <w:tc>
                <w:tcPr>
                  <w:tcW w:w="425" w:type="dxa"/>
                  <w:tcBorders>
                    <w:top w:val="nil"/>
                    <w:left w:val="nil"/>
                    <w:bottom w:val="single" w:color="333333" w:sz="4" w:space="0"/>
                    <w:right w:val="single" w:color="333333" w:sz="4" w:space="0"/>
                  </w:tcBorders>
                  <w:tcMar>
                    <w:top w:w="75" w:type="dxa"/>
                    <w:left w:w="120" w:type="dxa"/>
                    <w:bottom w:w="75" w:type="dxa"/>
                    <w:right w:w="120" w:type="dxa"/>
                  </w:tcMar>
                  <w:vAlign w:val="top"/>
                </w:tcPr>
                <w:p w14:paraId="1ED707FF">
                  <w:pPr>
                    <w:pStyle w:val="4"/>
                    <w:jc w:val="left"/>
                  </w:pPr>
                </w:p>
              </w:tc>
              <w:tc>
                <w:tcPr>
                  <w:tcW w:w="405" w:type="dxa"/>
                  <w:tcBorders>
                    <w:top w:val="nil"/>
                    <w:left w:val="nil"/>
                    <w:bottom w:val="single" w:color="333333" w:sz="4" w:space="0"/>
                    <w:right w:val="single" w:color="333333" w:sz="4" w:space="0"/>
                  </w:tcBorders>
                  <w:tcMar>
                    <w:top w:w="75" w:type="dxa"/>
                    <w:left w:w="120" w:type="dxa"/>
                    <w:bottom w:w="75" w:type="dxa"/>
                    <w:right w:w="120" w:type="dxa"/>
                  </w:tcMar>
                  <w:vAlign w:val="top"/>
                </w:tcPr>
                <w:p w14:paraId="069430D7"/>
              </w:tc>
              <w:tc>
                <w:tcPr>
                  <w:tcW w:w="405" w:type="dxa"/>
                  <w:tcBorders>
                    <w:top w:val="nil"/>
                    <w:left w:val="nil"/>
                    <w:bottom w:val="single" w:color="333333" w:sz="4" w:space="0"/>
                    <w:right w:val="single" w:color="333333" w:sz="4" w:space="0"/>
                  </w:tcBorders>
                  <w:tcMar>
                    <w:top w:w="75" w:type="dxa"/>
                    <w:left w:w="120" w:type="dxa"/>
                    <w:bottom w:w="75" w:type="dxa"/>
                    <w:right w:w="120" w:type="dxa"/>
                  </w:tcMar>
                  <w:vAlign w:val="top"/>
                </w:tcPr>
                <w:p w14:paraId="3BAD7C8A"/>
              </w:tc>
              <w:tc>
                <w:tcPr>
                  <w:tcW w:w="20" w:type="dxa"/>
                  <w:tcBorders>
                    <w:top w:val="nil"/>
                    <w:left w:val="nil"/>
                    <w:bottom w:val="nil"/>
                    <w:right w:val="nil"/>
                  </w:tcBorders>
                </w:tcPr>
                <w:p w14:paraId="6DBC3D54">
                  <w:pPr>
                    <w:pStyle w:val="4"/>
                    <w:jc w:val="left"/>
                  </w:pPr>
                  <w:r>
                    <w:rPr>
                      <w:rFonts w:ascii="仿宋_GB2312" w:hAnsi="仿宋_GB2312" w:eastAsia="仿宋_GB2312" w:cs="仿宋_GB2312"/>
                      <w:sz w:val="19"/>
                    </w:rPr>
                    <w:t xml:space="preserve"> </w:t>
                  </w:r>
                </w:p>
              </w:tc>
            </w:tr>
            <w:tr w14:paraId="61B3919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75" w:type="dxa"/>
                  <w:tcBorders>
                    <w:top w:val="nil"/>
                    <w:left w:val="single" w:color="333333" w:sz="4" w:space="0"/>
                    <w:bottom w:val="single" w:color="333333" w:sz="4" w:space="0"/>
                    <w:right w:val="single" w:color="333333" w:sz="4" w:space="0"/>
                  </w:tcBorders>
                  <w:tcMar>
                    <w:top w:w="75" w:type="dxa"/>
                    <w:left w:w="120" w:type="dxa"/>
                    <w:bottom w:w="75" w:type="dxa"/>
                    <w:right w:w="120" w:type="dxa"/>
                  </w:tcMar>
                  <w:vAlign w:val="top"/>
                </w:tcPr>
                <w:p w14:paraId="25B1185E">
                  <w:pPr>
                    <w:pStyle w:val="4"/>
                    <w:jc w:val="left"/>
                  </w:pPr>
                  <w:r>
                    <w:rPr>
                      <w:rFonts w:ascii="仿宋_GB2312" w:hAnsi="仿宋_GB2312" w:eastAsia="仿宋_GB2312" w:cs="仿宋_GB2312"/>
                      <w:sz w:val="24"/>
                    </w:rPr>
                    <w:t>3</w:t>
                  </w:r>
                </w:p>
              </w:tc>
              <w:tc>
                <w:tcPr>
                  <w:tcW w:w="523" w:type="dxa"/>
                  <w:tcBorders>
                    <w:top w:val="nil"/>
                    <w:left w:val="nil"/>
                    <w:bottom w:val="single" w:color="333333" w:sz="4" w:space="0"/>
                    <w:right w:val="single" w:color="333333" w:sz="4" w:space="0"/>
                  </w:tcBorders>
                  <w:tcMar>
                    <w:top w:w="75" w:type="dxa"/>
                    <w:left w:w="120" w:type="dxa"/>
                    <w:bottom w:w="75" w:type="dxa"/>
                    <w:right w:w="120" w:type="dxa"/>
                  </w:tcMar>
                  <w:vAlign w:val="top"/>
                </w:tcPr>
                <w:p w14:paraId="47699062">
                  <w:pPr>
                    <w:pStyle w:val="4"/>
                    <w:jc w:val="left"/>
                  </w:pPr>
                  <w:r>
                    <w:rPr>
                      <w:rFonts w:ascii="仿宋_GB2312" w:hAnsi="仿宋_GB2312" w:eastAsia="仿宋_GB2312" w:cs="仿宋_GB2312"/>
                      <w:sz w:val="24"/>
                    </w:rPr>
                    <w:t>棉大衣</w:t>
                  </w:r>
                </w:p>
              </w:tc>
              <w:tc>
                <w:tcPr>
                  <w:tcW w:w="3446" w:type="dxa"/>
                  <w:tcBorders>
                    <w:top w:val="nil"/>
                    <w:left w:val="nil"/>
                    <w:bottom w:val="single" w:color="333333" w:sz="4" w:space="0"/>
                    <w:right w:val="single" w:color="333333" w:sz="4" w:space="0"/>
                  </w:tcBorders>
                  <w:tcMar>
                    <w:top w:w="75" w:type="dxa"/>
                    <w:left w:w="120" w:type="dxa"/>
                    <w:bottom w:w="75" w:type="dxa"/>
                    <w:right w:w="120" w:type="dxa"/>
                  </w:tcMar>
                  <w:vAlign w:val="top"/>
                </w:tcPr>
                <w:p w14:paraId="4730A555">
                  <w:pPr>
                    <w:pStyle w:val="4"/>
                    <w:jc w:val="left"/>
                  </w:pPr>
                  <w:r>
                    <w:rPr>
                      <w:rFonts w:ascii="仿宋_GB2312" w:hAnsi="仿宋_GB2312" w:eastAsia="仿宋_GB2312" w:cs="仿宋_GB2312"/>
                      <w:sz w:val="24"/>
                    </w:rPr>
                    <w:t>★1、棉大衣符合标准GB/T2662-2017、GB18401-2010、YJ/T10.2-2010要求；</w:t>
                  </w:r>
                </w:p>
                <w:p w14:paraId="7BE4E289">
                  <w:pPr>
                    <w:pStyle w:val="4"/>
                    <w:jc w:val="left"/>
                  </w:pPr>
                  <w:r>
                    <w:rPr>
                      <w:rFonts w:ascii="仿宋_GB2312" w:hAnsi="仿宋_GB2312" w:eastAsia="仿宋_GB2312" w:cs="仿宋_GB2312"/>
                      <w:sz w:val="24"/>
                    </w:rPr>
                    <w:t>2、成品总重量≥2.0kg。</w:t>
                  </w:r>
                </w:p>
                <w:p w14:paraId="7668F5E6">
                  <w:pPr>
                    <w:pStyle w:val="4"/>
                    <w:jc w:val="left"/>
                  </w:pPr>
                  <w:r>
                    <w:rPr>
                      <w:rFonts w:ascii="仿宋_GB2312" w:hAnsi="仿宋_GB2312" w:eastAsia="仿宋_GB2312" w:cs="仿宋_GB2312"/>
                      <w:sz w:val="24"/>
                    </w:rPr>
                    <w:t>3、纤维成份及含量：面料：涤纶80%±5%、棉20%±5%；填充物：棉100%；里料：棉100%；</w:t>
                  </w:r>
                </w:p>
                <w:p w14:paraId="383DC0A8">
                  <w:pPr>
                    <w:pStyle w:val="4"/>
                    <w:jc w:val="left"/>
                  </w:pPr>
                  <w:r>
                    <w:rPr>
                      <w:rFonts w:ascii="仿宋_GB2312" w:hAnsi="仿宋_GB2312" w:eastAsia="仿宋_GB2312" w:cs="仿宋_GB2312"/>
                      <w:sz w:val="24"/>
                    </w:rPr>
                    <w:t>4、面料技术要求：经向、纬向线密度：28Tex±15%；经向密度420根/10cm、≥-5.0%；纬向密度220根/10cm、≥-5.0% ；经向断裂强力≥400N、 纬向断裂强力≥300N ；起球性能≥3级；耐光色牢度≥3级；耐刷洗色牢度≥3级 ；</w:t>
                  </w:r>
                </w:p>
                <w:p w14:paraId="606FC06D">
                  <w:pPr>
                    <w:pStyle w:val="4"/>
                    <w:jc w:val="left"/>
                  </w:pPr>
                  <w:r>
                    <w:rPr>
                      <w:rFonts w:ascii="仿宋_GB2312" w:hAnsi="仿宋_GB2312" w:eastAsia="仿宋_GB2312" w:cs="仿宋_GB2312"/>
                      <w:sz w:val="24"/>
                    </w:rPr>
                    <w:t>★5、面料耐干摩擦色牢度≥3级； 耐湿摩擦色牢度≥2-3级；耐碱汗渍色牢度≥3级；耐酸汗渍色牢度≥3级；耐皂洗色牢度≥3级；耐水色牢度≥3级；耐唾液色牢度≥3级；pH值4.0-9.0；甲醛含量≤300mg/kg；禁用可分解致癌芳香胺染料；无异味；</w:t>
                  </w:r>
                </w:p>
                <w:p w14:paraId="3373DDC6">
                  <w:pPr>
                    <w:pStyle w:val="4"/>
                    <w:jc w:val="left"/>
                  </w:pPr>
                  <w:r>
                    <w:rPr>
                      <w:rFonts w:ascii="仿宋_GB2312" w:hAnsi="仿宋_GB2312" w:eastAsia="仿宋_GB2312" w:cs="仿宋_GB2312"/>
                      <w:sz w:val="24"/>
                    </w:rPr>
                    <w:t>★6、填充物絮用纤维卫生要求： 肉眼观察不得有蚤、蜱、臭虫等可能传播疾病与危害健康的节足动物和蟑螂卵夹、不得检出明显的粉尘；</w:t>
                  </w:r>
                </w:p>
                <w:p w14:paraId="542854D4">
                  <w:pPr>
                    <w:pStyle w:val="4"/>
                    <w:jc w:val="left"/>
                  </w:pPr>
                  <w:r>
                    <w:rPr>
                      <w:rFonts w:ascii="仿宋_GB2312" w:hAnsi="仿宋_GB2312" w:eastAsia="仿宋_GB2312" w:cs="仿宋_GB2312"/>
                      <w:sz w:val="24"/>
                    </w:rPr>
                    <w:t>7、里料技术要求：“经向、纬向密度268根/10cm，允许偏差≥-5.0%”；经向、纬向断裂强力≥220N；起球性能≥3级；</w:t>
                  </w:r>
                </w:p>
                <w:p w14:paraId="20B6838D">
                  <w:pPr>
                    <w:pStyle w:val="4"/>
                    <w:jc w:val="left"/>
                  </w:pPr>
                  <w:r>
                    <w:rPr>
                      <w:rFonts w:ascii="仿宋_GB2312" w:hAnsi="仿宋_GB2312" w:eastAsia="仿宋_GB2312" w:cs="仿宋_GB2312"/>
                      <w:sz w:val="24"/>
                    </w:rPr>
                    <w:t>★8、里料耐干摩擦色牢度≥3级； 耐湿摩擦色牢度≥2-3级；耐碱汗渍色牢度≥3级；耐酸汗渍色牢度≥3级；耐皂洗色牢度≥3级；耐水色牢度≥3级；pH值4.0-9.0；甲醛含量≤300mg/kg；禁用可分解致癌芳香胺染料；无异味；</w:t>
                  </w:r>
                </w:p>
                <w:p w14:paraId="120EBDB1">
                  <w:pPr>
                    <w:pStyle w:val="4"/>
                    <w:jc w:val="left"/>
                  </w:pPr>
                  <w:r>
                    <w:rPr>
                      <w:rFonts w:ascii="仿宋_GB2312" w:hAnsi="仿宋_GB2312" w:eastAsia="仿宋_GB2312" w:cs="仿宋_GB2312"/>
                      <w:sz w:val="24"/>
                    </w:rPr>
                    <w:t>▲9、压缩回弹性能：压缩率≥30%、回复率≥70%；</w:t>
                  </w:r>
                </w:p>
                <w:p w14:paraId="4A61C8CF">
                  <w:pPr>
                    <w:pStyle w:val="4"/>
                    <w:jc w:val="left"/>
                  </w:pPr>
                  <w:r>
                    <w:rPr>
                      <w:rFonts w:ascii="仿宋_GB2312" w:hAnsi="仿宋_GB2312" w:eastAsia="仿宋_GB2312" w:cs="仿宋_GB2312"/>
                      <w:sz w:val="24"/>
                    </w:rPr>
                    <w:t xml:space="preserve">10、成品尺寸规格 ：如：“成品尺寸：XX码-XX码（含常用尺码，可根据采购需求调整），衣长≥110cm，袖长≥60cm（具体尺寸可按标准尺码表执行）” </w:t>
                  </w:r>
                </w:p>
              </w:tc>
              <w:tc>
                <w:tcPr>
                  <w:tcW w:w="425" w:type="dxa"/>
                  <w:tcBorders>
                    <w:top w:val="nil"/>
                    <w:left w:val="nil"/>
                    <w:bottom w:val="single" w:color="333333" w:sz="4" w:space="0"/>
                    <w:right w:val="single" w:color="333333" w:sz="4" w:space="0"/>
                  </w:tcBorders>
                  <w:tcMar>
                    <w:top w:w="75" w:type="dxa"/>
                    <w:left w:w="120" w:type="dxa"/>
                    <w:bottom w:w="75" w:type="dxa"/>
                    <w:right w:w="120" w:type="dxa"/>
                  </w:tcMar>
                  <w:vAlign w:val="top"/>
                </w:tcPr>
                <w:p w14:paraId="37256D38">
                  <w:pPr>
                    <w:pStyle w:val="4"/>
                    <w:jc w:val="left"/>
                  </w:pPr>
                </w:p>
              </w:tc>
              <w:tc>
                <w:tcPr>
                  <w:tcW w:w="405" w:type="dxa"/>
                  <w:tcBorders>
                    <w:top w:val="nil"/>
                    <w:left w:val="nil"/>
                    <w:bottom w:val="single" w:color="333333" w:sz="4" w:space="0"/>
                    <w:right w:val="single" w:color="333333" w:sz="4" w:space="0"/>
                  </w:tcBorders>
                  <w:tcMar>
                    <w:top w:w="75" w:type="dxa"/>
                    <w:left w:w="120" w:type="dxa"/>
                    <w:bottom w:w="75" w:type="dxa"/>
                    <w:right w:w="120" w:type="dxa"/>
                  </w:tcMar>
                  <w:vAlign w:val="top"/>
                </w:tcPr>
                <w:p w14:paraId="0BDDA68F"/>
              </w:tc>
              <w:tc>
                <w:tcPr>
                  <w:tcW w:w="405" w:type="dxa"/>
                  <w:tcBorders>
                    <w:top w:val="nil"/>
                    <w:left w:val="nil"/>
                    <w:bottom w:val="single" w:color="333333" w:sz="4" w:space="0"/>
                    <w:right w:val="single" w:color="333333" w:sz="4" w:space="0"/>
                  </w:tcBorders>
                  <w:tcMar>
                    <w:top w:w="75" w:type="dxa"/>
                    <w:left w:w="120" w:type="dxa"/>
                    <w:bottom w:w="75" w:type="dxa"/>
                    <w:right w:w="120" w:type="dxa"/>
                  </w:tcMar>
                  <w:vAlign w:val="top"/>
                </w:tcPr>
                <w:p w14:paraId="5E0D2FFC"/>
              </w:tc>
              <w:tc>
                <w:tcPr>
                  <w:tcW w:w="20" w:type="dxa"/>
                  <w:tcBorders>
                    <w:top w:val="nil"/>
                    <w:left w:val="nil"/>
                    <w:bottom w:val="nil"/>
                    <w:right w:val="nil"/>
                  </w:tcBorders>
                </w:tcPr>
                <w:p w14:paraId="4191DD1C">
                  <w:pPr>
                    <w:pStyle w:val="4"/>
                    <w:jc w:val="left"/>
                  </w:pPr>
                  <w:r>
                    <w:rPr>
                      <w:rFonts w:ascii="仿宋_GB2312" w:hAnsi="仿宋_GB2312" w:eastAsia="仿宋_GB2312" w:cs="仿宋_GB2312"/>
                      <w:sz w:val="19"/>
                    </w:rPr>
                    <w:t xml:space="preserve"> </w:t>
                  </w:r>
                </w:p>
              </w:tc>
            </w:tr>
            <w:tr w14:paraId="002D819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75" w:type="dxa"/>
                  <w:tcBorders>
                    <w:top w:val="nil"/>
                    <w:left w:val="single" w:color="333333" w:sz="4" w:space="0"/>
                    <w:bottom w:val="single" w:color="333333" w:sz="4" w:space="0"/>
                    <w:right w:val="single" w:color="333333" w:sz="4" w:space="0"/>
                  </w:tcBorders>
                  <w:tcMar>
                    <w:top w:w="75" w:type="dxa"/>
                    <w:left w:w="120" w:type="dxa"/>
                    <w:bottom w:w="75" w:type="dxa"/>
                    <w:right w:w="120" w:type="dxa"/>
                  </w:tcMar>
                  <w:vAlign w:val="top"/>
                </w:tcPr>
                <w:p w14:paraId="4E998AD6">
                  <w:pPr>
                    <w:pStyle w:val="4"/>
                    <w:jc w:val="left"/>
                  </w:pPr>
                  <w:r>
                    <w:rPr>
                      <w:rFonts w:ascii="仿宋_GB2312" w:hAnsi="仿宋_GB2312" w:eastAsia="仿宋_GB2312" w:cs="仿宋_GB2312"/>
                      <w:sz w:val="24"/>
                    </w:rPr>
                    <w:t>4</w:t>
                  </w:r>
                </w:p>
              </w:tc>
              <w:tc>
                <w:tcPr>
                  <w:tcW w:w="523" w:type="dxa"/>
                  <w:tcBorders>
                    <w:top w:val="nil"/>
                    <w:left w:val="nil"/>
                    <w:bottom w:val="single" w:color="333333" w:sz="4" w:space="0"/>
                    <w:right w:val="single" w:color="333333" w:sz="4" w:space="0"/>
                  </w:tcBorders>
                  <w:tcMar>
                    <w:top w:w="75" w:type="dxa"/>
                    <w:left w:w="120" w:type="dxa"/>
                    <w:bottom w:w="75" w:type="dxa"/>
                    <w:right w:w="120" w:type="dxa"/>
                  </w:tcMar>
                  <w:vAlign w:val="top"/>
                </w:tcPr>
                <w:p w14:paraId="187564F0">
                  <w:pPr>
                    <w:pStyle w:val="4"/>
                    <w:jc w:val="left"/>
                  </w:pPr>
                  <w:r>
                    <w:rPr>
                      <w:rFonts w:ascii="仿宋_GB2312" w:hAnsi="仿宋_GB2312" w:eastAsia="仿宋_GB2312" w:cs="仿宋_GB2312"/>
                      <w:sz w:val="24"/>
                    </w:rPr>
                    <w:t>救灾折叠床</w:t>
                  </w:r>
                </w:p>
              </w:tc>
              <w:tc>
                <w:tcPr>
                  <w:tcW w:w="3446" w:type="dxa"/>
                  <w:tcBorders>
                    <w:top w:val="nil"/>
                    <w:left w:val="nil"/>
                    <w:bottom w:val="single" w:color="333333" w:sz="4" w:space="0"/>
                    <w:right w:val="single" w:color="333333" w:sz="4" w:space="0"/>
                  </w:tcBorders>
                  <w:tcMar>
                    <w:top w:w="75" w:type="dxa"/>
                    <w:left w:w="120" w:type="dxa"/>
                    <w:bottom w:w="75" w:type="dxa"/>
                    <w:right w:w="120" w:type="dxa"/>
                  </w:tcMar>
                  <w:vAlign w:val="top"/>
                </w:tcPr>
                <w:p w14:paraId="349A0B23">
                  <w:pPr>
                    <w:pStyle w:val="4"/>
                    <w:jc w:val="left"/>
                  </w:pPr>
                  <w:r>
                    <w:rPr>
                      <w:rFonts w:ascii="仿宋_GB2312" w:hAnsi="仿宋_GB2312" w:eastAsia="仿宋_GB2312" w:cs="仿宋_GB2312"/>
                      <w:sz w:val="24"/>
                    </w:rPr>
                    <w:t>1、固定床面天蓝线带：断裂强力≥1600N；束紧带天蓝线带：带长1700mm±10%、带宽50mm±10%、断裂强力≥2500N；滚边天蓝涤纶线带：断裂强力≥400N；</w:t>
                  </w:r>
                </w:p>
                <w:p w14:paraId="7E21F39B">
                  <w:pPr>
                    <w:pStyle w:val="4"/>
                    <w:jc w:val="left"/>
                  </w:pPr>
                  <w:r>
                    <w:rPr>
                      <w:rFonts w:ascii="仿宋_GB2312" w:hAnsi="仿宋_GB2312" w:eastAsia="仿宋_GB2312" w:cs="仿宋_GB2312"/>
                      <w:sz w:val="24"/>
                    </w:rPr>
                    <w:t>2、束紧带插扣：穿带孔内径≥50mm、抗拉强力≥700N、调节束紧带的三道梁：抗拉强力≥900N；</w:t>
                  </w:r>
                </w:p>
                <w:p w14:paraId="787F25F1">
                  <w:pPr>
                    <w:pStyle w:val="4"/>
                    <w:jc w:val="left"/>
                  </w:pPr>
                  <w:r>
                    <w:rPr>
                      <w:rFonts w:ascii="仿宋_GB2312" w:hAnsi="仿宋_GB2312" w:eastAsia="仿宋_GB2312" w:cs="仿宋_GB2312"/>
                      <w:sz w:val="24"/>
                    </w:rPr>
                    <w:t>3、活动三节环：规格24mm*17mm±0.5mm；镀层不得烧焦、起泡、裂纹、脱落等缺陷；镀锌层厚度≥15um、48H主要表面无锈斑；</w:t>
                  </w:r>
                </w:p>
                <w:p w14:paraId="0531A4BE">
                  <w:pPr>
                    <w:pStyle w:val="4"/>
                    <w:jc w:val="left"/>
                  </w:pPr>
                  <w:r>
                    <w:rPr>
                      <w:rFonts w:ascii="仿宋_GB2312" w:hAnsi="仿宋_GB2312" w:eastAsia="仿宋_GB2312" w:cs="仿宋_GB2312"/>
                      <w:sz w:val="24"/>
                    </w:rPr>
                    <w:t>4、天蓝锦丝搭扣带：宽度25mm±10%、扣合强度≥7.0N/cm；</w:t>
                  </w:r>
                </w:p>
                <w:p w14:paraId="63075643">
                  <w:pPr>
                    <w:pStyle w:val="4"/>
                    <w:jc w:val="left"/>
                  </w:pPr>
                  <w:r>
                    <w:rPr>
                      <w:rFonts w:ascii="仿宋_GB2312" w:hAnsi="仿宋_GB2312" w:eastAsia="仿宋_GB2312" w:cs="仿宋_GB2312"/>
                      <w:sz w:val="24"/>
                    </w:rPr>
                    <w:t>5、天蓝锦丝搭扣撕揭强度≥1.3N/cm；</w:t>
                  </w:r>
                </w:p>
                <w:p w14:paraId="4D435143">
                  <w:pPr>
                    <w:pStyle w:val="4"/>
                    <w:jc w:val="left"/>
                  </w:pPr>
                  <w:r>
                    <w:rPr>
                      <w:rFonts w:ascii="仿宋_GB2312" w:hAnsi="仿宋_GB2312" w:eastAsia="仿宋_GB2312" w:cs="仿宋_GB2312"/>
                      <w:sz w:val="24"/>
                    </w:rPr>
                    <w:t>6、M4mm螺钉：表面耐腐蚀：48H主要表面无锈斑；M4mm螺母：表面耐腐蚀：48H主要表面无锈斑；M4mm垫圈：表面耐腐蚀：48H主要表面无锈斑；M5铆钉表面耐腐蚀：48H主要表面无锈斑；</w:t>
                  </w:r>
                </w:p>
                <w:p w14:paraId="61FD19B3">
                  <w:pPr>
                    <w:pStyle w:val="4"/>
                    <w:jc w:val="left"/>
                  </w:pPr>
                  <w:r>
                    <w:rPr>
                      <w:rFonts w:ascii="仿宋_GB2312" w:hAnsi="仿宋_GB2312" w:eastAsia="仿宋_GB2312" w:cs="仿宋_GB2312"/>
                      <w:sz w:val="24"/>
                    </w:rPr>
                    <w:t>▲7、总承重≥160kg；</w:t>
                  </w:r>
                </w:p>
                <w:p w14:paraId="67E00ADD">
                  <w:pPr>
                    <w:pStyle w:val="4"/>
                    <w:jc w:val="left"/>
                  </w:pPr>
                  <w:r>
                    <w:rPr>
                      <w:rFonts w:ascii="仿宋_GB2312" w:hAnsi="仿宋_GB2312" w:eastAsia="仿宋_GB2312" w:cs="仿宋_GB2312"/>
                      <w:sz w:val="24"/>
                    </w:rPr>
                    <w:t>8、涂层布技术要求</w:t>
                  </w:r>
                </w:p>
                <w:p w14:paraId="4665B48F">
                  <w:pPr>
                    <w:pStyle w:val="4"/>
                    <w:jc w:val="left"/>
                  </w:pPr>
                  <w:r>
                    <w:rPr>
                      <w:rFonts w:ascii="仿宋_GB2312" w:hAnsi="仿宋_GB2312" w:eastAsia="仿宋_GB2312" w:cs="仿宋_GB2312"/>
                      <w:sz w:val="24"/>
                    </w:rPr>
                    <w:t>（1）色花色差≥3-4级。耐干摩擦色牢度3-4级；耐光色牢度≥4级；</w:t>
                  </w:r>
                </w:p>
                <w:p w14:paraId="72442024">
                  <w:pPr>
                    <w:pStyle w:val="4"/>
                    <w:jc w:val="left"/>
                  </w:pPr>
                  <w:r>
                    <w:rPr>
                      <w:rFonts w:ascii="仿宋_GB2312" w:hAnsi="仿宋_GB2312" w:eastAsia="仿宋_GB2312" w:cs="仿宋_GB2312"/>
                      <w:sz w:val="24"/>
                    </w:rPr>
                    <w:t>（2）耐低温性能（-25℃±1℃）：不分层、不开裂；</w:t>
                  </w:r>
                </w:p>
                <w:p w14:paraId="6D5B0BED">
                  <w:pPr>
                    <w:pStyle w:val="4"/>
                    <w:jc w:val="left"/>
                  </w:pPr>
                  <w:r>
                    <w:rPr>
                      <w:rFonts w:ascii="仿宋_GB2312" w:hAnsi="仿宋_GB2312" w:eastAsia="仿宋_GB2312" w:cs="仿宋_GB2312"/>
                      <w:sz w:val="24"/>
                    </w:rPr>
                    <w:t>（3）耐老化性能(70℃土1℃,96h):外观不发脆、不发粘、不分层、无裂痕。</w:t>
                  </w:r>
                </w:p>
                <w:p w14:paraId="722B087D">
                  <w:pPr>
                    <w:pStyle w:val="4"/>
                    <w:jc w:val="left"/>
                  </w:pPr>
                  <w:r>
                    <w:rPr>
                      <w:rFonts w:ascii="仿宋_GB2312" w:hAnsi="仿宋_GB2312" w:eastAsia="仿宋_GB2312" w:cs="仿宋_GB2312"/>
                      <w:sz w:val="24"/>
                    </w:rPr>
                    <w:t>（4）断裂强力：经向≥1600N/5cm、纬向≥1350N/5cm；撕破强力：经向≥45N、纬向≥40N。静水压≥50kPa。抗粘连性：允许轻度粘连；</w:t>
                  </w:r>
                </w:p>
                <w:p w14:paraId="6A28EC82">
                  <w:pPr>
                    <w:pStyle w:val="4"/>
                    <w:jc w:val="left"/>
                  </w:pPr>
                  <w:r>
                    <w:rPr>
                      <w:rFonts w:ascii="仿宋_GB2312" w:hAnsi="仿宋_GB2312" w:eastAsia="仿宋_GB2312" w:cs="仿宋_GB2312"/>
                      <w:sz w:val="24"/>
                    </w:rPr>
                    <w:t>（5）阻燃性能</w:t>
                  </w:r>
                </w:p>
                <w:p w14:paraId="62A7B530">
                  <w:pPr>
                    <w:pStyle w:val="4"/>
                    <w:jc w:val="left"/>
                  </w:pPr>
                  <w:r>
                    <w:rPr>
                      <w:rFonts w:ascii="仿宋_GB2312" w:hAnsi="仿宋_GB2312" w:eastAsia="仿宋_GB2312" w:cs="仿宋_GB2312"/>
                      <w:sz w:val="24"/>
                    </w:rPr>
                    <w:t>损毁长度：经向≤150mm、纬向≤150mm；续燃时间：经向≤15s、纬向≤15s；</w:t>
                  </w:r>
                </w:p>
                <w:p w14:paraId="182EF0CB">
                  <w:pPr>
                    <w:pStyle w:val="4"/>
                    <w:jc w:val="left"/>
                  </w:pPr>
                  <w:r>
                    <w:rPr>
                      <w:rFonts w:ascii="仿宋_GB2312" w:hAnsi="仿宋_GB2312" w:eastAsia="仿宋_GB2312" w:cs="仿宋_GB2312"/>
                      <w:sz w:val="24"/>
                    </w:rPr>
                    <w:t>阴燃时间：经向≤15s，纬向≤15s；熔融滴落物：不得引起脱脂棉燃烧或阴燃；</w:t>
                  </w:r>
                </w:p>
                <w:p w14:paraId="29501CCD">
                  <w:pPr>
                    <w:pStyle w:val="4"/>
                    <w:jc w:val="left"/>
                  </w:pPr>
                  <w:r>
                    <w:rPr>
                      <w:rFonts w:ascii="仿宋_GB2312" w:hAnsi="仿宋_GB2312" w:eastAsia="仿宋_GB2312" w:cs="仿宋_GB2312"/>
                      <w:sz w:val="24"/>
                    </w:rPr>
                    <w:t>9、焊接钢管：Q195Φ25mm×1.1mm；外径25mm±0.50mm、壁厚1.1mm±10%；喷塑漆膜厚度≥35um，喷塑漆膜耐腐蚀：96h膜层不起泡，不脱落，无锈斑；</w:t>
                  </w:r>
                </w:p>
                <w:p w14:paraId="7013EA10">
                  <w:pPr>
                    <w:pStyle w:val="4"/>
                    <w:jc w:val="left"/>
                  </w:pPr>
                  <w:r>
                    <w:rPr>
                      <w:rFonts w:ascii="仿宋_GB2312" w:hAnsi="仿宋_GB2312" w:eastAsia="仿宋_GB2312" w:cs="仿宋_GB2312"/>
                      <w:sz w:val="24"/>
                    </w:rPr>
                    <w:t>10、钢板厚度≥2.0mm；</w:t>
                  </w:r>
                </w:p>
                <w:p w14:paraId="27CDF5A2">
                  <w:pPr>
                    <w:pStyle w:val="4"/>
                    <w:jc w:val="left"/>
                  </w:pPr>
                  <w:r>
                    <w:rPr>
                      <w:rFonts w:ascii="仿宋_GB2312" w:hAnsi="仿宋_GB2312" w:eastAsia="仿宋_GB2312" w:cs="仿宋_GB2312"/>
                      <w:sz w:val="24"/>
                    </w:rPr>
                    <w:t>11、折叠床的核心使用场景参数：“展开尺寸≥190cm×80cm，折叠后尺寸≤80cm×40cm×15cm，便于应急搬运和存储”</w:t>
                  </w:r>
                </w:p>
              </w:tc>
              <w:tc>
                <w:tcPr>
                  <w:tcW w:w="425" w:type="dxa"/>
                  <w:tcBorders>
                    <w:top w:val="nil"/>
                    <w:left w:val="nil"/>
                    <w:bottom w:val="single" w:color="333333" w:sz="4" w:space="0"/>
                    <w:right w:val="single" w:color="333333" w:sz="4" w:space="0"/>
                  </w:tcBorders>
                  <w:tcMar>
                    <w:top w:w="75" w:type="dxa"/>
                    <w:left w:w="120" w:type="dxa"/>
                    <w:bottom w:w="75" w:type="dxa"/>
                    <w:right w:w="120" w:type="dxa"/>
                  </w:tcMar>
                  <w:vAlign w:val="top"/>
                </w:tcPr>
                <w:p w14:paraId="6BFFEB36">
                  <w:pPr>
                    <w:pStyle w:val="4"/>
                    <w:jc w:val="left"/>
                  </w:pPr>
                </w:p>
              </w:tc>
              <w:tc>
                <w:tcPr>
                  <w:tcW w:w="405" w:type="dxa"/>
                  <w:tcBorders>
                    <w:top w:val="nil"/>
                    <w:left w:val="nil"/>
                    <w:bottom w:val="single" w:color="333333" w:sz="4" w:space="0"/>
                    <w:right w:val="single" w:color="333333" w:sz="4" w:space="0"/>
                  </w:tcBorders>
                  <w:tcMar>
                    <w:top w:w="75" w:type="dxa"/>
                    <w:left w:w="120" w:type="dxa"/>
                    <w:bottom w:w="75" w:type="dxa"/>
                    <w:right w:w="120" w:type="dxa"/>
                  </w:tcMar>
                  <w:vAlign w:val="top"/>
                </w:tcPr>
                <w:p w14:paraId="68E34D6E"/>
              </w:tc>
              <w:tc>
                <w:tcPr>
                  <w:tcW w:w="405" w:type="dxa"/>
                  <w:tcBorders>
                    <w:top w:val="nil"/>
                    <w:left w:val="nil"/>
                    <w:bottom w:val="single" w:color="333333" w:sz="4" w:space="0"/>
                    <w:right w:val="single" w:color="333333" w:sz="4" w:space="0"/>
                  </w:tcBorders>
                  <w:tcMar>
                    <w:top w:w="75" w:type="dxa"/>
                    <w:left w:w="120" w:type="dxa"/>
                    <w:bottom w:w="75" w:type="dxa"/>
                    <w:right w:w="120" w:type="dxa"/>
                  </w:tcMar>
                  <w:vAlign w:val="top"/>
                </w:tcPr>
                <w:p w14:paraId="4D7F2DE3"/>
              </w:tc>
              <w:tc>
                <w:tcPr>
                  <w:tcW w:w="20" w:type="dxa"/>
                  <w:tcBorders>
                    <w:top w:val="nil"/>
                    <w:left w:val="nil"/>
                    <w:bottom w:val="nil"/>
                    <w:right w:val="nil"/>
                  </w:tcBorders>
                </w:tcPr>
                <w:p w14:paraId="72297A64">
                  <w:pPr>
                    <w:pStyle w:val="4"/>
                    <w:jc w:val="left"/>
                  </w:pPr>
                  <w:r>
                    <w:rPr>
                      <w:rFonts w:ascii="仿宋_GB2312" w:hAnsi="仿宋_GB2312" w:eastAsia="仿宋_GB2312" w:cs="仿宋_GB2312"/>
                      <w:sz w:val="19"/>
                    </w:rPr>
                    <w:t xml:space="preserve"> </w:t>
                  </w:r>
                </w:p>
              </w:tc>
            </w:tr>
            <w:tr w14:paraId="4DA38D8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75" w:type="dxa"/>
                  <w:tcBorders>
                    <w:top w:val="nil"/>
                    <w:left w:val="single" w:color="333333" w:sz="4" w:space="0"/>
                    <w:bottom w:val="single" w:color="333333" w:sz="4" w:space="0"/>
                    <w:right w:val="single" w:color="333333" w:sz="4" w:space="0"/>
                  </w:tcBorders>
                  <w:tcMar>
                    <w:top w:w="75" w:type="dxa"/>
                    <w:left w:w="120" w:type="dxa"/>
                    <w:bottom w:w="75" w:type="dxa"/>
                    <w:right w:w="120" w:type="dxa"/>
                  </w:tcMar>
                  <w:vAlign w:val="top"/>
                </w:tcPr>
                <w:p w14:paraId="0C23DB15">
                  <w:pPr>
                    <w:pStyle w:val="4"/>
                    <w:jc w:val="left"/>
                  </w:pPr>
                  <w:r>
                    <w:rPr>
                      <w:rFonts w:ascii="仿宋_GB2312" w:hAnsi="仿宋_GB2312" w:eastAsia="仿宋_GB2312" w:cs="仿宋_GB2312"/>
                      <w:sz w:val="24"/>
                    </w:rPr>
                    <w:t>5</w:t>
                  </w:r>
                </w:p>
              </w:tc>
              <w:tc>
                <w:tcPr>
                  <w:tcW w:w="523" w:type="dxa"/>
                  <w:tcBorders>
                    <w:top w:val="nil"/>
                    <w:left w:val="nil"/>
                    <w:bottom w:val="single" w:color="333333" w:sz="4" w:space="0"/>
                    <w:right w:val="single" w:color="333333" w:sz="4" w:space="0"/>
                  </w:tcBorders>
                  <w:tcMar>
                    <w:top w:w="75" w:type="dxa"/>
                    <w:left w:w="120" w:type="dxa"/>
                    <w:bottom w:w="75" w:type="dxa"/>
                    <w:right w:w="120" w:type="dxa"/>
                  </w:tcMar>
                  <w:vAlign w:val="top"/>
                </w:tcPr>
                <w:p w14:paraId="1B264C94">
                  <w:pPr>
                    <w:pStyle w:val="4"/>
                    <w:jc w:val="left"/>
                  </w:pPr>
                  <w:r>
                    <w:rPr>
                      <w:rFonts w:ascii="仿宋_GB2312" w:hAnsi="仿宋_GB2312" w:eastAsia="仿宋_GB2312" w:cs="仿宋_GB2312"/>
                      <w:sz w:val="24"/>
                    </w:rPr>
                    <w:t>救生圈</w:t>
                  </w:r>
                </w:p>
              </w:tc>
              <w:tc>
                <w:tcPr>
                  <w:tcW w:w="3446" w:type="dxa"/>
                  <w:tcBorders>
                    <w:top w:val="nil"/>
                    <w:left w:val="nil"/>
                    <w:bottom w:val="single" w:color="333333" w:sz="4" w:space="0"/>
                    <w:right w:val="single" w:color="333333" w:sz="4" w:space="0"/>
                  </w:tcBorders>
                  <w:tcMar>
                    <w:top w:w="75" w:type="dxa"/>
                    <w:left w:w="120" w:type="dxa"/>
                    <w:bottom w:w="75" w:type="dxa"/>
                    <w:right w:w="120" w:type="dxa"/>
                  </w:tcMar>
                  <w:vAlign w:val="top"/>
                </w:tcPr>
                <w:p w14:paraId="6F4BB61B">
                  <w:pPr>
                    <w:pStyle w:val="4"/>
                    <w:jc w:val="left"/>
                  </w:pPr>
                  <w:r>
                    <w:rPr>
                      <w:rFonts w:ascii="仿宋_GB2312" w:hAnsi="仿宋_GB2312" w:eastAsia="仿宋_GB2312" w:cs="仿宋_GB2312"/>
                      <w:sz w:val="24"/>
                    </w:rPr>
                    <w:t>1、外观：救生圈外表颜色应为橙红色，且无色差;救生圈表面应无凹凸、无开裂:</w:t>
                  </w:r>
                </w:p>
                <w:p w14:paraId="744997E1">
                  <w:pPr>
                    <w:pStyle w:val="4"/>
                    <w:jc w:val="left"/>
                  </w:pPr>
                  <w:r>
                    <w:rPr>
                      <w:rFonts w:ascii="仿宋_GB2312" w:hAnsi="仿宋_GB2312" w:eastAsia="仿宋_GB2312" w:cs="仿宋_GB2312"/>
                      <w:sz w:val="24"/>
                    </w:rPr>
                    <w:t>沿救生圈周长四个相等间距位置，应环绕</w:t>
                  </w:r>
                </w:p>
                <w:p w14:paraId="5339C9F7">
                  <w:pPr>
                    <w:pStyle w:val="4"/>
                    <w:jc w:val="left"/>
                  </w:pPr>
                  <w:r>
                    <w:rPr>
                      <w:rFonts w:ascii="仿宋_GB2312" w:hAnsi="仿宋_GB2312" w:eastAsia="仿宋_GB2312" w:cs="仿宋_GB2312"/>
                      <w:sz w:val="24"/>
                    </w:rPr>
                    <w:t>贴有50mm宽度的逆向反光带。</w:t>
                  </w:r>
                </w:p>
                <w:p w14:paraId="5B13E0D7">
                  <w:pPr>
                    <w:pStyle w:val="4"/>
                    <w:jc w:val="left"/>
                  </w:pPr>
                  <w:r>
                    <w:rPr>
                      <w:rFonts w:ascii="仿宋_GB2312" w:hAnsi="仿宋_GB2312" w:eastAsia="仿宋_GB2312" w:cs="仿宋_GB2312"/>
                      <w:sz w:val="24"/>
                    </w:rPr>
                    <w:t>2、尺寸： 救生圈外径应不大于800mm,内径应不小于400mm:救生圈外围应装有直径不小于9.5mm、长度不小于救生圈外径4倍的可浮把手索，此索应紧固在圈体周边4个等距位置上，并形成4个等长的索环。</w:t>
                  </w:r>
                </w:p>
                <w:p w14:paraId="2C1E19F6">
                  <w:pPr>
                    <w:pStyle w:val="4"/>
                    <w:jc w:val="left"/>
                  </w:pPr>
                  <w:r>
                    <w:rPr>
                      <w:rFonts w:ascii="仿宋_GB2312" w:hAnsi="仿宋_GB2312" w:eastAsia="仿宋_GB2312" w:cs="仿宋_GB2312"/>
                      <w:sz w:val="24"/>
                    </w:rPr>
                    <w:t>3、重量：救生圈重量≥2.5kg。</w:t>
                  </w:r>
                </w:p>
                <w:p w14:paraId="57CD9A11">
                  <w:pPr>
                    <w:pStyle w:val="4"/>
                    <w:jc w:val="left"/>
                  </w:pPr>
                  <w:r>
                    <w:rPr>
                      <w:rFonts w:ascii="仿宋_GB2312" w:hAnsi="仿宋_GB2312" w:eastAsia="仿宋_GB2312" w:cs="仿宋_GB2312"/>
                      <w:sz w:val="24"/>
                    </w:rPr>
                    <w:t>4、安全绳直径；绳索环直径≥9.5mm</w:t>
                  </w:r>
                </w:p>
                <w:p w14:paraId="6D27DF3D">
                  <w:pPr>
                    <w:pStyle w:val="4"/>
                    <w:jc w:val="left"/>
                  </w:pPr>
                  <w:r>
                    <w:rPr>
                      <w:rFonts w:ascii="仿宋_GB2312" w:hAnsi="仿宋_GB2312" w:eastAsia="仿宋_GB2312" w:cs="仿宋_GB2312"/>
                      <w:sz w:val="24"/>
                    </w:rPr>
                    <w:t>5、浮力性能；救生圈负重14.5kg在水中持续漂浮时间≥24h</w:t>
                  </w:r>
                </w:p>
                <w:p w14:paraId="0599C8ED">
                  <w:pPr>
                    <w:pStyle w:val="4"/>
                    <w:jc w:val="left"/>
                  </w:pPr>
                  <w:r>
                    <w:rPr>
                      <w:rFonts w:ascii="仿宋_GB2312" w:hAnsi="仿宋_GB2312" w:eastAsia="仿宋_GB2312" w:cs="仿宋_GB2312"/>
                      <w:sz w:val="24"/>
                    </w:rPr>
                    <w:t>6、抗拉变形： 救生圈自由悬挂承重90kg持续时间≥30min，且应无破裂和永久变形</w:t>
                  </w:r>
                </w:p>
                <w:p w14:paraId="0F045DB1">
                  <w:pPr>
                    <w:pStyle w:val="4"/>
                    <w:jc w:val="left"/>
                  </w:pPr>
                  <w:r>
                    <w:rPr>
                      <w:rFonts w:ascii="仿宋_GB2312" w:hAnsi="仿宋_GB2312" w:eastAsia="仿宋_GB2312" w:cs="仿宋_GB2312"/>
                      <w:sz w:val="24"/>
                    </w:rPr>
                    <w:t>7、最大承重：救生圈承重220kg应无破裂和永久变形</w:t>
                  </w:r>
                </w:p>
                <w:p w14:paraId="38DB1A4E">
                  <w:pPr>
                    <w:pStyle w:val="4"/>
                    <w:jc w:val="left"/>
                  </w:pPr>
                  <w:r>
                    <w:rPr>
                      <w:rFonts w:ascii="仿宋_GB2312" w:hAnsi="仿宋_GB2312" w:eastAsia="仿宋_GB2312" w:cs="仿宋_GB2312"/>
                      <w:color w:val="000000"/>
                      <w:sz w:val="24"/>
                    </w:rPr>
                    <w:t>★</w:t>
                  </w:r>
                  <w:r>
                    <w:rPr>
                      <w:rFonts w:ascii="仿宋_GB2312" w:hAnsi="仿宋_GB2312" w:eastAsia="仿宋_GB2312" w:cs="仿宋_GB2312"/>
                      <w:sz w:val="24"/>
                    </w:rPr>
                    <w:t>8、符合标准：符合GB4303-2008《救生圈》国家标准”</w:t>
                  </w:r>
                </w:p>
              </w:tc>
              <w:tc>
                <w:tcPr>
                  <w:tcW w:w="425" w:type="dxa"/>
                  <w:tcBorders>
                    <w:top w:val="nil"/>
                    <w:left w:val="nil"/>
                    <w:bottom w:val="single" w:color="333333" w:sz="4" w:space="0"/>
                    <w:right w:val="single" w:color="333333" w:sz="4" w:space="0"/>
                  </w:tcBorders>
                  <w:tcMar>
                    <w:top w:w="75" w:type="dxa"/>
                    <w:left w:w="120" w:type="dxa"/>
                    <w:bottom w:w="75" w:type="dxa"/>
                    <w:right w:w="120" w:type="dxa"/>
                  </w:tcMar>
                  <w:vAlign w:val="top"/>
                </w:tcPr>
                <w:p w14:paraId="25038559">
                  <w:pPr>
                    <w:pStyle w:val="4"/>
                    <w:jc w:val="left"/>
                  </w:pPr>
                </w:p>
              </w:tc>
              <w:tc>
                <w:tcPr>
                  <w:tcW w:w="405" w:type="dxa"/>
                  <w:tcBorders>
                    <w:top w:val="nil"/>
                    <w:left w:val="nil"/>
                    <w:bottom w:val="single" w:color="333333" w:sz="4" w:space="0"/>
                    <w:right w:val="single" w:color="333333" w:sz="4" w:space="0"/>
                  </w:tcBorders>
                  <w:tcMar>
                    <w:top w:w="75" w:type="dxa"/>
                    <w:left w:w="120" w:type="dxa"/>
                    <w:bottom w:w="75" w:type="dxa"/>
                    <w:right w:w="120" w:type="dxa"/>
                  </w:tcMar>
                  <w:vAlign w:val="top"/>
                </w:tcPr>
                <w:p w14:paraId="3B517E49"/>
              </w:tc>
              <w:tc>
                <w:tcPr>
                  <w:tcW w:w="405" w:type="dxa"/>
                  <w:tcBorders>
                    <w:top w:val="nil"/>
                    <w:left w:val="nil"/>
                    <w:bottom w:val="single" w:color="333333" w:sz="4" w:space="0"/>
                    <w:right w:val="single" w:color="333333" w:sz="4" w:space="0"/>
                  </w:tcBorders>
                  <w:tcMar>
                    <w:top w:w="75" w:type="dxa"/>
                    <w:left w:w="120" w:type="dxa"/>
                    <w:bottom w:w="75" w:type="dxa"/>
                    <w:right w:w="120" w:type="dxa"/>
                  </w:tcMar>
                  <w:vAlign w:val="top"/>
                </w:tcPr>
                <w:p w14:paraId="6EA8765F"/>
              </w:tc>
              <w:tc>
                <w:tcPr>
                  <w:tcW w:w="20" w:type="dxa"/>
                  <w:tcBorders>
                    <w:top w:val="nil"/>
                    <w:left w:val="nil"/>
                    <w:bottom w:val="nil"/>
                    <w:right w:val="nil"/>
                  </w:tcBorders>
                </w:tcPr>
                <w:p w14:paraId="132B960F">
                  <w:pPr>
                    <w:pStyle w:val="4"/>
                    <w:jc w:val="left"/>
                  </w:pPr>
                  <w:r>
                    <w:rPr>
                      <w:rFonts w:ascii="仿宋_GB2312" w:hAnsi="仿宋_GB2312" w:eastAsia="仿宋_GB2312" w:cs="仿宋_GB2312"/>
                      <w:sz w:val="19"/>
                    </w:rPr>
                    <w:t xml:space="preserve"> </w:t>
                  </w:r>
                </w:p>
              </w:tc>
            </w:tr>
            <w:tr w14:paraId="2AB3DC6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75" w:type="dxa"/>
                  <w:tcBorders>
                    <w:top w:val="nil"/>
                    <w:left w:val="single" w:color="333333" w:sz="4" w:space="0"/>
                    <w:bottom w:val="single" w:color="333333" w:sz="4" w:space="0"/>
                    <w:right w:val="single" w:color="333333" w:sz="4" w:space="0"/>
                  </w:tcBorders>
                  <w:tcMar>
                    <w:top w:w="75" w:type="dxa"/>
                    <w:left w:w="120" w:type="dxa"/>
                    <w:bottom w:w="75" w:type="dxa"/>
                    <w:right w:w="120" w:type="dxa"/>
                  </w:tcMar>
                  <w:vAlign w:val="top"/>
                </w:tcPr>
                <w:p w14:paraId="0C2E3382">
                  <w:pPr>
                    <w:pStyle w:val="4"/>
                    <w:jc w:val="left"/>
                  </w:pPr>
                  <w:r>
                    <w:rPr>
                      <w:rFonts w:ascii="仿宋_GB2312" w:hAnsi="仿宋_GB2312" w:eastAsia="仿宋_GB2312" w:cs="仿宋_GB2312"/>
                      <w:sz w:val="24"/>
                    </w:rPr>
                    <w:t>6</w:t>
                  </w:r>
                </w:p>
              </w:tc>
              <w:tc>
                <w:tcPr>
                  <w:tcW w:w="523" w:type="dxa"/>
                  <w:tcBorders>
                    <w:top w:val="nil"/>
                    <w:left w:val="nil"/>
                    <w:bottom w:val="single" w:color="333333" w:sz="4" w:space="0"/>
                    <w:right w:val="single" w:color="333333" w:sz="4" w:space="0"/>
                  </w:tcBorders>
                  <w:tcMar>
                    <w:top w:w="75" w:type="dxa"/>
                    <w:left w:w="120" w:type="dxa"/>
                    <w:bottom w:w="75" w:type="dxa"/>
                    <w:right w:w="120" w:type="dxa"/>
                  </w:tcMar>
                  <w:vAlign w:val="top"/>
                </w:tcPr>
                <w:p w14:paraId="3AF862E1">
                  <w:pPr>
                    <w:pStyle w:val="4"/>
                    <w:jc w:val="left"/>
                  </w:pPr>
                  <w:r>
                    <w:rPr>
                      <w:rFonts w:ascii="仿宋_GB2312" w:hAnsi="仿宋_GB2312" w:eastAsia="仿宋_GB2312" w:cs="仿宋_GB2312"/>
                      <w:sz w:val="24"/>
                    </w:rPr>
                    <w:t>水枪</w:t>
                  </w:r>
                </w:p>
              </w:tc>
              <w:tc>
                <w:tcPr>
                  <w:tcW w:w="3446" w:type="dxa"/>
                  <w:tcBorders>
                    <w:top w:val="nil"/>
                    <w:left w:val="nil"/>
                    <w:bottom w:val="single" w:color="333333" w:sz="4" w:space="0"/>
                    <w:right w:val="single" w:color="333333" w:sz="4" w:space="0"/>
                  </w:tcBorders>
                  <w:tcMar>
                    <w:top w:w="75" w:type="dxa"/>
                    <w:left w:w="120" w:type="dxa"/>
                    <w:bottom w:w="75" w:type="dxa"/>
                    <w:right w:w="120" w:type="dxa"/>
                  </w:tcMar>
                  <w:vAlign w:val="top"/>
                </w:tcPr>
                <w:p w14:paraId="118F3F7B">
                  <w:pPr>
                    <w:pStyle w:val="4"/>
                    <w:jc w:val="left"/>
                  </w:pPr>
                  <w:r>
                    <w:rPr>
                      <w:rFonts w:ascii="仿宋_GB2312" w:hAnsi="仿宋_GB2312" w:eastAsia="仿宋_GB2312" w:cs="仿宋_GB2312"/>
                      <w:color w:val="000000"/>
                      <w:sz w:val="24"/>
                    </w:rPr>
                    <w:t>★</w:t>
                  </w:r>
                  <w:r>
                    <w:rPr>
                      <w:rFonts w:ascii="仿宋_GB2312" w:hAnsi="仿宋_GB2312" w:eastAsia="仿宋_GB2312" w:cs="仿宋_GB2312"/>
                      <w:sz w:val="24"/>
                    </w:rPr>
                    <w:t>1、符合GB 8181-2025《消防水枪》标准要求。</w:t>
                  </w:r>
                </w:p>
                <w:p w14:paraId="6B00AB46">
                  <w:pPr>
                    <w:pStyle w:val="4"/>
                    <w:jc w:val="left"/>
                  </w:pPr>
                  <w:r>
                    <w:rPr>
                      <w:rFonts w:ascii="仿宋_GB2312" w:hAnsi="仿宋_GB2312" w:eastAsia="仿宋_GB2312" w:cs="仿宋_GB2312"/>
                      <w:sz w:val="24"/>
                    </w:rPr>
                    <w:t>2、接口型式：KY65。</w:t>
                  </w:r>
                </w:p>
                <w:p w14:paraId="66E4FB5E">
                  <w:pPr>
                    <w:pStyle w:val="4"/>
                    <w:jc w:val="left"/>
                  </w:pPr>
                  <w:r>
                    <w:rPr>
                      <w:rFonts w:ascii="仿宋_GB2312" w:hAnsi="仿宋_GB2312" w:eastAsia="仿宋_GB2312" w:cs="仿宋_GB2312"/>
                      <w:sz w:val="24"/>
                    </w:rPr>
                    <w:t>3、流量：7.5*（1±8%）L/s。</w:t>
                  </w:r>
                </w:p>
                <w:p w14:paraId="1BB943FD">
                  <w:pPr>
                    <w:pStyle w:val="4"/>
                    <w:jc w:val="left"/>
                  </w:pPr>
                  <w:r>
                    <w:rPr>
                      <w:rFonts w:ascii="仿宋_GB2312" w:hAnsi="仿宋_GB2312" w:eastAsia="仿宋_GB2312" w:cs="仿宋_GB2312"/>
                      <w:color w:val="000000"/>
                      <w:sz w:val="24"/>
                    </w:rPr>
                    <w:t>★</w:t>
                  </w:r>
                  <w:r>
                    <w:rPr>
                      <w:rFonts w:ascii="仿宋_GB2312" w:hAnsi="仿宋_GB2312" w:eastAsia="仿宋_GB2312" w:cs="仿宋_GB2312"/>
                      <w:sz w:val="24"/>
                    </w:rPr>
                    <w:t>4、射程：≥28m</w:t>
                  </w:r>
                </w:p>
              </w:tc>
              <w:tc>
                <w:tcPr>
                  <w:tcW w:w="425" w:type="dxa"/>
                  <w:tcBorders>
                    <w:top w:val="nil"/>
                    <w:left w:val="nil"/>
                    <w:bottom w:val="single" w:color="333333" w:sz="4" w:space="0"/>
                    <w:right w:val="single" w:color="333333" w:sz="4" w:space="0"/>
                  </w:tcBorders>
                  <w:tcMar>
                    <w:top w:w="75" w:type="dxa"/>
                    <w:left w:w="120" w:type="dxa"/>
                    <w:bottom w:w="75" w:type="dxa"/>
                    <w:right w:w="120" w:type="dxa"/>
                  </w:tcMar>
                  <w:vAlign w:val="top"/>
                </w:tcPr>
                <w:p w14:paraId="0FA2864E">
                  <w:pPr>
                    <w:pStyle w:val="4"/>
                    <w:jc w:val="left"/>
                  </w:pPr>
                </w:p>
              </w:tc>
              <w:tc>
                <w:tcPr>
                  <w:tcW w:w="405" w:type="dxa"/>
                  <w:tcBorders>
                    <w:top w:val="nil"/>
                    <w:left w:val="nil"/>
                    <w:bottom w:val="single" w:color="333333" w:sz="4" w:space="0"/>
                    <w:right w:val="single" w:color="333333" w:sz="4" w:space="0"/>
                  </w:tcBorders>
                  <w:tcMar>
                    <w:top w:w="75" w:type="dxa"/>
                    <w:left w:w="120" w:type="dxa"/>
                    <w:bottom w:w="75" w:type="dxa"/>
                    <w:right w:w="120" w:type="dxa"/>
                  </w:tcMar>
                  <w:vAlign w:val="top"/>
                </w:tcPr>
                <w:p w14:paraId="24CAA674"/>
              </w:tc>
              <w:tc>
                <w:tcPr>
                  <w:tcW w:w="405" w:type="dxa"/>
                  <w:tcBorders>
                    <w:top w:val="nil"/>
                    <w:left w:val="nil"/>
                    <w:bottom w:val="single" w:color="333333" w:sz="4" w:space="0"/>
                    <w:right w:val="single" w:color="333333" w:sz="4" w:space="0"/>
                  </w:tcBorders>
                  <w:tcMar>
                    <w:top w:w="75" w:type="dxa"/>
                    <w:left w:w="120" w:type="dxa"/>
                    <w:bottom w:w="75" w:type="dxa"/>
                    <w:right w:w="120" w:type="dxa"/>
                  </w:tcMar>
                  <w:vAlign w:val="top"/>
                </w:tcPr>
                <w:p w14:paraId="2912C404"/>
              </w:tc>
              <w:tc>
                <w:tcPr>
                  <w:tcW w:w="20" w:type="dxa"/>
                  <w:tcBorders>
                    <w:top w:val="nil"/>
                    <w:left w:val="nil"/>
                    <w:bottom w:val="nil"/>
                    <w:right w:val="nil"/>
                  </w:tcBorders>
                </w:tcPr>
                <w:p w14:paraId="6CAEC1F1">
                  <w:pPr>
                    <w:pStyle w:val="4"/>
                    <w:jc w:val="left"/>
                  </w:pPr>
                  <w:r>
                    <w:rPr>
                      <w:rFonts w:ascii="仿宋_GB2312" w:hAnsi="仿宋_GB2312" w:eastAsia="仿宋_GB2312" w:cs="仿宋_GB2312"/>
                      <w:sz w:val="19"/>
                    </w:rPr>
                    <w:t xml:space="preserve"> </w:t>
                  </w:r>
                </w:p>
              </w:tc>
            </w:tr>
            <w:tr w14:paraId="008F02D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75" w:type="dxa"/>
                  <w:tcBorders>
                    <w:top w:val="nil"/>
                    <w:left w:val="single" w:color="333333" w:sz="4" w:space="0"/>
                    <w:bottom w:val="single" w:color="333333" w:sz="4" w:space="0"/>
                    <w:right w:val="single" w:color="333333" w:sz="4" w:space="0"/>
                  </w:tcBorders>
                  <w:tcMar>
                    <w:top w:w="75" w:type="dxa"/>
                    <w:left w:w="120" w:type="dxa"/>
                    <w:bottom w:w="75" w:type="dxa"/>
                    <w:right w:w="120" w:type="dxa"/>
                  </w:tcMar>
                  <w:vAlign w:val="top"/>
                </w:tcPr>
                <w:p w14:paraId="5A9993E4">
                  <w:pPr>
                    <w:pStyle w:val="4"/>
                    <w:jc w:val="left"/>
                  </w:pPr>
                  <w:r>
                    <w:rPr>
                      <w:rFonts w:ascii="仿宋_GB2312" w:hAnsi="仿宋_GB2312" w:eastAsia="仿宋_GB2312" w:cs="仿宋_GB2312"/>
                      <w:sz w:val="24"/>
                    </w:rPr>
                    <w:t>7</w:t>
                  </w:r>
                </w:p>
              </w:tc>
              <w:tc>
                <w:tcPr>
                  <w:tcW w:w="523" w:type="dxa"/>
                  <w:tcBorders>
                    <w:top w:val="nil"/>
                    <w:left w:val="nil"/>
                    <w:bottom w:val="single" w:color="333333" w:sz="4" w:space="0"/>
                    <w:right w:val="single" w:color="333333" w:sz="4" w:space="0"/>
                  </w:tcBorders>
                  <w:tcMar>
                    <w:top w:w="75" w:type="dxa"/>
                    <w:left w:w="120" w:type="dxa"/>
                    <w:bottom w:w="75" w:type="dxa"/>
                    <w:right w:w="120" w:type="dxa"/>
                  </w:tcMar>
                  <w:vAlign w:val="top"/>
                </w:tcPr>
                <w:p w14:paraId="7EDF87E1">
                  <w:pPr>
                    <w:pStyle w:val="4"/>
                    <w:jc w:val="left"/>
                  </w:pPr>
                  <w:r>
                    <w:rPr>
                      <w:rFonts w:ascii="仿宋_GB2312" w:hAnsi="仿宋_GB2312" w:eastAsia="仿宋_GB2312" w:cs="仿宋_GB2312"/>
                      <w:sz w:val="24"/>
                    </w:rPr>
                    <w:t>车用灭火毯</w:t>
                  </w:r>
                </w:p>
              </w:tc>
              <w:tc>
                <w:tcPr>
                  <w:tcW w:w="3446" w:type="dxa"/>
                  <w:tcBorders>
                    <w:top w:val="nil"/>
                    <w:left w:val="nil"/>
                    <w:bottom w:val="single" w:color="333333" w:sz="4" w:space="0"/>
                    <w:right w:val="single" w:color="333333" w:sz="4" w:space="0"/>
                  </w:tcBorders>
                  <w:tcMar>
                    <w:top w:w="75" w:type="dxa"/>
                    <w:left w:w="120" w:type="dxa"/>
                    <w:bottom w:w="75" w:type="dxa"/>
                    <w:right w:w="120" w:type="dxa"/>
                  </w:tcMar>
                  <w:vAlign w:val="top"/>
                </w:tcPr>
                <w:p w14:paraId="7FB1CCE0">
                  <w:pPr>
                    <w:pStyle w:val="4"/>
                    <w:jc w:val="left"/>
                  </w:pPr>
                  <w:r>
                    <w:rPr>
                      <w:rFonts w:ascii="仿宋_GB2312" w:hAnsi="仿宋_GB2312" w:eastAsia="仿宋_GB2312" w:cs="仿宋_GB2312"/>
                      <w:sz w:val="24"/>
                    </w:rPr>
                    <w:t>1、具有防水，防化学，防油，耐候等性能；</w:t>
                  </w:r>
                </w:p>
                <w:p w14:paraId="06B12CA3">
                  <w:pPr>
                    <w:pStyle w:val="4"/>
                    <w:jc w:val="left"/>
                  </w:pPr>
                  <w:r>
                    <w:rPr>
                      <w:rFonts w:ascii="仿宋_GB2312" w:hAnsi="仿宋_GB2312" w:eastAsia="仿宋_GB2312" w:cs="仿宋_GB2312"/>
                      <w:sz w:val="24"/>
                    </w:rPr>
                    <w:t>2、材质：阻燃玻璃纤维；</w:t>
                  </w:r>
                </w:p>
                <w:p w14:paraId="589C3FE9">
                  <w:pPr>
                    <w:pStyle w:val="4"/>
                    <w:jc w:val="left"/>
                  </w:pPr>
                  <w:r>
                    <w:rPr>
                      <w:rFonts w:ascii="仿宋_GB2312" w:hAnsi="仿宋_GB2312" w:eastAsia="仿宋_GB2312" w:cs="仿宋_GB2312"/>
                      <w:sz w:val="24"/>
                    </w:rPr>
                    <w:t>3、耐高温性能:耐火温度≥500℃；</w:t>
                  </w:r>
                </w:p>
                <w:p w14:paraId="0D6F4506">
                  <w:pPr>
                    <w:pStyle w:val="4"/>
                    <w:jc w:val="left"/>
                  </w:pPr>
                  <w:r>
                    <w:rPr>
                      <w:rFonts w:ascii="仿宋_GB2312" w:hAnsi="仿宋_GB2312" w:eastAsia="仿宋_GB2312" w:cs="仿宋_GB2312"/>
                      <w:sz w:val="24"/>
                    </w:rPr>
                    <w:t>4、尺寸:≥6m×8m”；</w:t>
                  </w:r>
                </w:p>
                <w:p w14:paraId="799B7343">
                  <w:pPr>
                    <w:pStyle w:val="4"/>
                    <w:jc w:val="left"/>
                  </w:pPr>
                  <w:r>
                    <w:rPr>
                      <w:rFonts w:ascii="仿宋_GB2312" w:hAnsi="仿宋_GB2312" w:eastAsia="仿宋_GB2312" w:cs="仿宋_GB2312"/>
                      <w:sz w:val="24"/>
                    </w:rPr>
                    <w:t>5、单层厚度≥0.6mm，不允许多层粘贴合成,；</w:t>
                  </w:r>
                </w:p>
                <w:p w14:paraId="7174B61C">
                  <w:pPr>
                    <w:pStyle w:val="4"/>
                    <w:jc w:val="left"/>
                  </w:pPr>
                  <w:r>
                    <w:rPr>
                      <w:rFonts w:ascii="仿宋_GB2312" w:hAnsi="仿宋_GB2312" w:eastAsia="仿宋_GB2312" w:cs="仿宋_GB2312"/>
                      <w:sz w:val="24"/>
                    </w:rPr>
                    <w:t>6、重量≤37kg。</w:t>
                  </w:r>
                </w:p>
              </w:tc>
              <w:tc>
                <w:tcPr>
                  <w:tcW w:w="425" w:type="dxa"/>
                  <w:tcBorders>
                    <w:top w:val="nil"/>
                    <w:left w:val="nil"/>
                    <w:bottom w:val="single" w:color="333333" w:sz="4" w:space="0"/>
                    <w:right w:val="single" w:color="333333" w:sz="4" w:space="0"/>
                  </w:tcBorders>
                  <w:tcMar>
                    <w:top w:w="75" w:type="dxa"/>
                    <w:left w:w="120" w:type="dxa"/>
                    <w:bottom w:w="75" w:type="dxa"/>
                    <w:right w:w="120" w:type="dxa"/>
                  </w:tcMar>
                  <w:vAlign w:val="top"/>
                </w:tcPr>
                <w:p w14:paraId="4E71C2CF">
                  <w:pPr>
                    <w:pStyle w:val="4"/>
                    <w:jc w:val="left"/>
                  </w:pPr>
                </w:p>
              </w:tc>
              <w:tc>
                <w:tcPr>
                  <w:tcW w:w="405" w:type="dxa"/>
                  <w:tcBorders>
                    <w:top w:val="nil"/>
                    <w:left w:val="nil"/>
                    <w:bottom w:val="single" w:color="333333" w:sz="4" w:space="0"/>
                    <w:right w:val="single" w:color="333333" w:sz="4" w:space="0"/>
                  </w:tcBorders>
                  <w:tcMar>
                    <w:top w:w="75" w:type="dxa"/>
                    <w:left w:w="120" w:type="dxa"/>
                    <w:bottom w:w="75" w:type="dxa"/>
                    <w:right w:w="120" w:type="dxa"/>
                  </w:tcMar>
                  <w:vAlign w:val="top"/>
                </w:tcPr>
                <w:p w14:paraId="53F731B0"/>
              </w:tc>
              <w:tc>
                <w:tcPr>
                  <w:tcW w:w="405" w:type="dxa"/>
                  <w:tcBorders>
                    <w:top w:val="nil"/>
                    <w:left w:val="nil"/>
                    <w:bottom w:val="single" w:color="333333" w:sz="4" w:space="0"/>
                    <w:right w:val="single" w:color="333333" w:sz="4" w:space="0"/>
                  </w:tcBorders>
                  <w:tcMar>
                    <w:top w:w="75" w:type="dxa"/>
                    <w:left w:w="120" w:type="dxa"/>
                    <w:bottom w:w="75" w:type="dxa"/>
                    <w:right w:w="120" w:type="dxa"/>
                  </w:tcMar>
                  <w:vAlign w:val="top"/>
                </w:tcPr>
                <w:p w14:paraId="1078BCE3"/>
              </w:tc>
              <w:tc>
                <w:tcPr>
                  <w:tcW w:w="20" w:type="dxa"/>
                  <w:tcBorders>
                    <w:top w:val="nil"/>
                    <w:left w:val="nil"/>
                    <w:bottom w:val="nil"/>
                    <w:right w:val="nil"/>
                  </w:tcBorders>
                </w:tcPr>
                <w:p w14:paraId="407F7C20">
                  <w:pPr>
                    <w:pStyle w:val="4"/>
                    <w:jc w:val="left"/>
                  </w:pPr>
                  <w:r>
                    <w:rPr>
                      <w:rFonts w:ascii="仿宋_GB2312" w:hAnsi="仿宋_GB2312" w:eastAsia="仿宋_GB2312" w:cs="仿宋_GB2312"/>
                      <w:sz w:val="19"/>
                    </w:rPr>
                    <w:t xml:space="preserve"> </w:t>
                  </w:r>
                </w:p>
              </w:tc>
            </w:tr>
            <w:tr w14:paraId="7316364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75" w:type="dxa"/>
                  <w:tcBorders>
                    <w:top w:val="nil"/>
                    <w:left w:val="single" w:color="333333" w:sz="4" w:space="0"/>
                    <w:bottom w:val="single" w:color="333333" w:sz="4" w:space="0"/>
                    <w:right w:val="single" w:color="333333" w:sz="4" w:space="0"/>
                  </w:tcBorders>
                  <w:tcMar>
                    <w:top w:w="75" w:type="dxa"/>
                    <w:left w:w="120" w:type="dxa"/>
                    <w:bottom w:w="75" w:type="dxa"/>
                    <w:right w:w="120" w:type="dxa"/>
                  </w:tcMar>
                  <w:vAlign w:val="top"/>
                </w:tcPr>
                <w:p w14:paraId="128AD9F5">
                  <w:pPr>
                    <w:pStyle w:val="4"/>
                    <w:jc w:val="left"/>
                  </w:pPr>
                  <w:r>
                    <w:rPr>
                      <w:rFonts w:ascii="仿宋_GB2312" w:hAnsi="仿宋_GB2312" w:eastAsia="仿宋_GB2312" w:cs="仿宋_GB2312"/>
                      <w:sz w:val="24"/>
                    </w:rPr>
                    <w:t>8</w:t>
                  </w:r>
                </w:p>
              </w:tc>
              <w:tc>
                <w:tcPr>
                  <w:tcW w:w="523" w:type="dxa"/>
                  <w:tcBorders>
                    <w:top w:val="nil"/>
                    <w:left w:val="nil"/>
                    <w:bottom w:val="single" w:color="333333" w:sz="4" w:space="0"/>
                    <w:right w:val="single" w:color="333333" w:sz="4" w:space="0"/>
                  </w:tcBorders>
                  <w:tcMar>
                    <w:top w:w="75" w:type="dxa"/>
                    <w:left w:w="120" w:type="dxa"/>
                    <w:bottom w:w="75" w:type="dxa"/>
                    <w:right w:w="120" w:type="dxa"/>
                  </w:tcMar>
                  <w:vAlign w:val="top"/>
                </w:tcPr>
                <w:p w14:paraId="36E1E6E4">
                  <w:pPr>
                    <w:pStyle w:val="4"/>
                    <w:jc w:val="left"/>
                  </w:pPr>
                  <w:r>
                    <w:rPr>
                      <w:rFonts w:ascii="仿宋_GB2312" w:hAnsi="仿宋_GB2312" w:eastAsia="仿宋_GB2312" w:cs="仿宋_GB2312"/>
                      <w:sz w:val="24"/>
                    </w:rPr>
                    <w:t>漏电检测仪</w:t>
                  </w:r>
                </w:p>
              </w:tc>
              <w:tc>
                <w:tcPr>
                  <w:tcW w:w="3446" w:type="dxa"/>
                  <w:tcBorders>
                    <w:top w:val="nil"/>
                    <w:left w:val="nil"/>
                    <w:bottom w:val="single" w:color="333333" w:sz="4" w:space="0"/>
                    <w:right w:val="single" w:color="333333" w:sz="4" w:space="0"/>
                  </w:tcBorders>
                  <w:tcMar>
                    <w:top w:w="75" w:type="dxa"/>
                    <w:left w:w="120" w:type="dxa"/>
                    <w:bottom w:w="75" w:type="dxa"/>
                    <w:right w:w="120" w:type="dxa"/>
                  </w:tcMar>
                  <w:vAlign w:val="top"/>
                </w:tcPr>
                <w:p w14:paraId="31574858">
                  <w:pPr>
                    <w:pStyle w:val="4"/>
                    <w:jc w:val="left"/>
                  </w:pPr>
                  <w:r>
                    <w:rPr>
                      <w:rFonts w:ascii="仿宋_GB2312" w:hAnsi="仿宋_GB2312" w:eastAsia="仿宋_GB2312" w:cs="仿宋_GB2312"/>
                      <w:sz w:val="24"/>
                    </w:rPr>
                    <w:t>▲1、手持式，探测仪长度≥45cm,保证使用者的安全。</w:t>
                  </w:r>
                </w:p>
                <w:p w14:paraId="66B4117E">
                  <w:pPr>
                    <w:pStyle w:val="4"/>
                    <w:jc w:val="left"/>
                  </w:pPr>
                  <w:r>
                    <w:rPr>
                      <w:rFonts w:ascii="仿宋_GB2312" w:hAnsi="仿宋_GB2312" w:eastAsia="仿宋_GB2312" w:cs="仿宋_GB2312"/>
                      <w:sz w:val="24"/>
                    </w:rPr>
                    <w:t>2、探测电压：120V/60Hz 或 220V/50Hz；7.2Kv/50Hz 或 15kV/50Hz</w:t>
                  </w:r>
                </w:p>
                <w:p w14:paraId="64D016A7">
                  <w:pPr>
                    <w:pStyle w:val="4"/>
                    <w:jc w:val="left"/>
                  </w:pPr>
                  <w:r>
                    <w:rPr>
                      <w:rFonts w:ascii="仿宋_GB2312" w:hAnsi="仿宋_GB2312" w:eastAsia="仿宋_GB2312" w:cs="仿宋_GB2312"/>
                      <w:sz w:val="24"/>
                    </w:rPr>
                    <w:t>3、自检功能：≤3S</w:t>
                  </w:r>
                </w:p>
                <w:p w14:paraId="2E805D7A">
                  <w:pPr>
                    <w:pStyle w:val="4"/>
                    <w:jc w:val="left"/>
                  </w:pPr>
                  <w:r>
                    <w:rPr>
                      <w:rFonts w:ascii="仿宋_GB2312" w:hAnsi="仿宋_GB2312" w:eastAsia="仿宋_GB2312" w:cs="仿宋_GB2312"/>
                      <w:sz w:val="24"/>
                    </w:rPr>
                    <w:t>4、灵敏度：具有高敏度、低敏度、前端（定位）等3档可调节。</w:t>
                  </w:r>
                </w:p>
                <w:p w14:paraId="0EA51CD4">
                  <w:pPr>
                    <w:pStyle w:val="4"/>
                    <w:jc w:val="left"/>
                  </w:pPr>
                  <w:r>
                    <w:rPr>
                      <w:rFonts w:ascii="仿宋_GB2312" w:hAnsi="仿宋_GB2312" w:eastAsia="仿宋_GB2312" w:cs="仿宋_GB2312"/>
                      <w:sz w:val="24"/>
                    </w:rPr>
                    <w:t>▲5、LED手电筒：内置≥3W照明灯，中心亮度≥420lux，水平照射距离≥10m。</w:t>
                  </w:r>
                </w:p>
                <w:p w14:paraId="0C982090">
                  <w:pPr>
                    <w:pStyle w:val="4"/>
                    <w:jc w:val="left"/>
                  </w:pPr>
                  <w:r>
                    <w:rPr>
                      <w:rFonts w:ascii="仿宋_GB2312" w:hAnsi="仿宋_GB2312" w:eastAsia="仿宋_GB2312" w:cs="仿宋_GB2312"/>
                      <w:sz w:val="24"/>
                    </w:rPr>
                    <w:t>▲6、警示功能：内置8颗红色LED警示灯，能红灯闪烁具有警示和指挥功能。</w:t>
                  </w:r>
                </w:p>
                <w:p w14:paraId="2612F247">
                  <w:pPr>
                    <w:pStyle w:val="4"/>
                    <w:jc w:val="left"/>
                  </w:pPr>
                  <w:r>
                    <w:rPr>
                      <w:rFonts w:ascii="仿宋_GB2312" w:hAnsi="仿宋_GB2312" w:eastAsia="仿宋_GB2312" w:cs="仿宋_GB2312"/>
                      <w:sz w:val="24"/>
                    </w:rPr>
                    <w:t>▲7、电子口哨：具有尖锐的电子口哨声音和警示灯爆闪的功能，可用于来警示同伴现场的特殊性和危险性。</w:t>
                  </w:r>
                </w:p>
                <w:p w14:paraId="6C9AEEEE">
                  <w:pPr>
                    <w:pStyle w:val="4"/>
                    <w:jc w:val="left"/>
                  </w:pPr>
                  <w:r>
                    <w:rPr>
                      <w:rFonts w:ascii="仿宋_GB2312" w:hAnsi="仿宋_GB2312" w:eastAsia="仿宋_GB2312" w:cs="仿宋_GB2312"/>
                      <w:sz w:val="24"/>
                    </w:rPr>
                    <w:t>▲8、S0S功能：开启S0S模式时，探测仪白光灯闪烁、警示灯爆闪和蜂鸣器发出“三长三短”强烈的求救信号。</w:t>
                  </w:r>
                </w:p>
                <w:p w14:paraId="1922FECD">
                  <w:pPr>
                    <w:pStyle w:val="4"/>
                    <w:jc w:val="left"/>
                  </w:pPr>
                  <w:r>
                    <w:rPr>
                      <w:rFonts w:ascii="仿宋_GB2312" w:hAnsi="仿宋_GB2312" w:eastAsia="仿宋_GB2312" w:cs="仿宋_GB2312"/>
                      <w:sz w:val="24"/>
                    </w:rPr>
                    <w:t>▲9、破窗功能：内置机械钨钢尖头破窗器，可击破≥7mm厚的玻璃。</w:t>
                  </w:r>
                </w:p>
                <w:p w14:paraId="557E4156">
                  <w:pPr>
                    <w:pStyle w:val="4"/>
                    <w:jc w:val="left"/>
                  </w:pPr>
                  <w:r>
                    <w:rPr>
                      <w:rFonts w:ascii="仿宋_GB2312" w:hAnsi="仿宋_GB2312" w:eastAsia="仿宋_GB2312" w:cs="仿宋_GB2312"/>
                      <w:sz w:val="24"/>
                    </w:rPr>
                    <w:t>★10、连续工作时间≥200h；内置可充电锂电池，电池容量≥3200mAh，配置铝箱</w:t>
                  </w:r>
                </w:p>
                <w:p w14:paraId="22255F69">
                  <w:pPr>
                    <w:pStyle w:val="4"/>
                    <w:jc w:val="left"/>
                  </w:pPr>
                  <w:r>
                    <w:rPr>
                      <w:rFonts w:ascii="仿宋_GB2312" w:hAnsi="仿宋_GB2312" w:eastAsia="仿宋_GB2312" w:cs="仿宋_GB2312"/>
                      <w:color w:val="000000"/>
                      <w:sz w:val="24"/>
                    </w:rPr>
                    <w:t>★</w:t>
                  </w:r>
                  <w:r>
                    <w:rPr>
                      <w:rFonts w:ascii="仿宋_GB2312" w:hAnsi="仿宋_GB2312" w:eastAsia="仿宋_GB2312" w:cs="仿宋_GB2312"/>
                      <w:sz w:val="24"/>
                    </w:rPr>
                    <w:t>11、执行标准：符合GB14048.1-2012《低压开关设备和控制设备 第1部分：总则》标准”</w:t>
                  </w:r>
                </w:p>
              </w:tc>
              <w:tc>
                <w:tcPr>
                  <w:tcW w:w="425" w:type="dxa"/>
                  <w:tcBorders>
                    <w:top w:val="nil"/>
                    <w:left w:val="nil"/>
                    <w:bottom w:val="single" w:color="333333" w:sz="4" w:space="0"/>
                    <w:right w:val="single" w:color="333333" w:sz="4" w:space="0"/>
                  </w:tcBorders>
                  <w:tcMar>
                    <w:top w:w="75" w:type="dxa"/>
                    <w:left w:w="120" w:type="dxa"/>
                    <w:bottom w:w="75" w:type="dxa"/>
                    <w:right w:w="120" w:type="dxa"/>
                  </w:tcMar>
                  <w:vAlign w:val="top"/>
                </w:tcPr>
                <w:p w14:paraId="011220DF">
                  <w:pPr>
                    <w:pStyle w:val="4"/>
                    <w:jc w:val="left"/>
                  </w:pPr>
                </w:p>
              </w:tc>
              <w:tc>
                <w:tcPr>
                  <w:tcW w:w="405" w:type="dxa"/>
                  <w:tcBorders>
                    <w:top w:val="nil"/>
                    <w:left w:val="nil"/>
                    <w:bottom w:val="single" w:color="333333" w:sz="4" w:space="0"/>
                    <w:right w:val="single" w:color="333333" w:sz="4" w:space="0"/>
                  </w:tcBorders>
                  <w:tcMar>
                    <w:top w:w="75" w:type="dxa"/>
                    <w:left w:w="120" w:type="dxa"/>
                    <w:bottom w:w="75" w:type="dxa"/>
                    <w:right w:w="120" w:type="dxa"/>
                  </w:tcMar>
                  <w:vAlign w:val="top"/>
                </w:tcPr>
                <w:p w14:paraId="2B88A82A"/>
              </w:tc>
              <w:tc>
                <w:tcPr>
                  <w:tcW w:w="405" w:type="dxa"/>
                  <w:tcBorders>
                    <w:top w:val="nil"/>
                    <w:left w:val="nil"/>
                    <w:bottom w:val="single" w:color="333333" w:sz="4" w:space="0"/>
                    <w:right w:val="single" w:color="333333" w:sz="4" w:space="0"/>
                  </w:tcBorders>
                  <w:tcMar>
                    <w:top w:w="75" w:type="dxa"/>
                    <w:left w:w="120" w:type="dxa"/>
                    <w:bottom w:w="75" w:type="dxa"/>
                    <w:right w:w="120" w:type="dxa"/>
                  </w:tcMar>
                  <w:vAlign w:val="top"/>
                </w:tcPr>
                <w:p w14:paraId="480F6C67"/>
              </w:tc>
              <w:tc>
                <w:tcPr>
                  <w:tcW w:w="20" w:type="dxa"/>
                  <w:tcBorders>
                    <w:top w:val="nil"/>
                    <w:left w:val="nil"/>
                    <w:bottom w:val="nil"/>
                    <w:right w:val="nil"/>
                  </w:tcBorders>
                </w:tcPr>
                <w:p w14:paraId="503E7E4D">
                  <w:pPr>
                    <w:pStyle w:val="4"/>
                    <w:jc w:val="left"/>
                  </w:pPr>
                  <w:r>
                    <w:rPr>
                      <w:rFonts w:ascii="仿宋_GB2312" w:hAnsi="仿宋_GB2312" w:eastAsia="仿宋_GB2312" w:cs="仿宋_GB2312"/>
                      <w:sz w:val="19"/>
                    </w:rPr>
                    <w:t xml:space="preserve"> </w:t>
                  </w:r>
                </w:p>
              </w:tc>
            </w:tr>
            <w:tr w14:paraId="2A7FAC5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75" w:type="dxa"/>
                  <w:tcBorders>
                    <w:top w:val="nil"/>
                    <w:left w:val="single" w:color="333333" w:sz="4" w:space="0"/>
                    <w:bottom w:val="single" w:color="333333" w:sz="4" w:space="0"/>
                    <w:right w:val="single" w:color="333333" w:sz="4" w:space="0"/>
                  </w:tcBorders>
                  <w:tcMar>
                    <w:top w:w="75" w:type="dxa"/>
                    <w:left w:w="120" w:type="dxa"/>
                    <w:bottom w:w="75" w:type="dxa"/>
                    <w:right w:w="120" w:type="dxa"/>
                  </w:tcMar>
                  <w:vAlign w:val="top"/>
                </w:tcPr>
                <w:p w14:paraId="47D6445D">
                  <w:pPr>
                    <w:pStyle w:val="4"/>
                    <w:jc w:val="left"/>
                  </w:pPr>
                  <w:r>
                    <w:rPr>
                      <w:rFonts w:ascii="仿宋_GB2312" w:hAnsi="仿宋_GB2312" w:eastAsia="仿宋_GB2312" w:cs="仿宋_GB2312"/>
                      <w:sz w:val="24"/>
                    </w:rPr>
                    <w:t>9</w:t>
                  </w:r>
                </w:p>
              </w:tc>
              <w:tc>
                <w:tcPr>
                  <w:tcW w:w="523" w:type="dxa"/>
                  <w:tcBorders>
                    <w:top w:val="nil"/>
                    <w:left w:val="nil"/>
                    <w:bottom w:val="single" w:color="333333" w:sz="4" w:space="0"/>
                    <w:right w:val="single" w:color="333333" w:sz="4" w:space="0"/>
                  </w:tcBorders>
                  <w:tcMar>
                    <w:top w:w="75" w:type="dxa"/>
                    <w:left w:w="120" w:type="dxa"/>
                    <w:bottom w:w="75" w:type="dxa"/>
                    <w:right w:w="120" w:type="dxa"/>
                  </w:tcMar>
                  <w:vAlign w:val="top"/>
                </w:tcPr>
                <w:p w14:paraId="72D54613">
                  <w:pPr>
                    <w:pStyle w:val="4"/>
                    <w:jc w:val="left"/>
                  </w:pPr>
                  <w:r>
                    <w:rPr>
                      <w:rFonts w:ascii="仿宋_GB2312" w:hAnsi="仿宋_GB2312" w:eastAsia="仿宋_GB2312" w:cs="仿宋_GB2312"/>
                      <w:sz w:val="24"/>
                    </w:rPr>
                    <w:t>应急救援服（含秋冬和鞋子各1套）</w:t>
                  </w:r>
                </w:p>
              </w:tc>
              <w:tc>
                <w:tcPr>
                  <w:tcW w:w="3446" w:type="dxa"/>
                  <w:tcBorders>
                    <w:top w:val="nil"/>
                    <w:left w:val="nil"/>
                    <w:bottom w:val="single" w:color="333333" w:sz="4" w:space="0"/>
                    <w:right w:val="single" w:color="333333" w:sz="4" w:space="0"/>
                  </w:tcBorders>
                  <w:tcMar>
                    <w:top w:w="75" w:type="dxa"/>
                    <w:left w:w="120" w:type="dxa"/>
                    <w:bottom w:w="75" w:type="dxa"/>
                    <w:right w:w="120" w:type="dxa"/>
                  </w:tcMar>
                  <w:vAlign w:val="top"/>
                </w:tcPr>
                <w:p w14:paraId="70154DBB">
                  <w:pPr>
                    <w:pStyle w:val="4"/>
                    <w:jc w:val="left"/>
                  </w:pPr>
                  <w:r>
                    <w:rPr>
                      <w:rFonts w:ascii="仿宋_GB2312" w:hAnsi="仿宋_GB2312" w:eastAsia="仿宋_GB2312" w:cs="仿宋_GB2312"/>
                      <w:sz w:val="24"/>
                    </w:rPr>
                    <w:t>一、夏作训服</w:t>
                  </w:r>
                </w:p>
                <w:p w14:paraId="2A37CD60">
                  <w:pPr>
                    <w:pStyle w:val="4"/>
                    <w:jc w:val="left"/>
                  </w:pPr>
                  <w:r>
                    <w:rPr>
                      <w:rFonts w:ascii="仿宋_GB2312" w:hAnsi="仿宋_GB2312" w:eastAsia="仿宋_GB2312" w:cs="仿宋_GB2312"/>
                      <w:sz w:val="24"/>
                    </w:rPr>
                    <w:t>1、颜色：火焰蓝；</w:t>
                  </w:r>
                </w:p>
                <w:p w14:paraId="3290E693">
                  <w:pPr>
                    <w:pStyle w:val="4"/>
                    <w:jc w:val="left"/>
                  </w:pPr>
                  <w:r>
                    <w:rPr>
                      <w:rFonts w:ascii="仿宋_GB2312" w:hAnsi="仿宋_GB2312" w:eastAsia="仿宋_GB2312" w:cs="仿宋_GB2312"/>
                      <w:sz w:val="24"/>
                    </w:rPr>
                    <w:t>2、面料克重：≥157g/㎡；</w:t>
                  </w:r>
                </w:p>
                <w:p w14:paraId="4D0A990F">
                  <w:pPr>
                    <w:pStyle w:val="4"/>
                    <w:jc w:val="left"/>
                  </w:pPr>
                  <w:r>
                    <w:rPr>
                      <w:rFonts w:ascii="仿宋_GB2312" w:hAnsi="仿宋_GB2312" w:eastAsia="仿宋_GB2312" w:cs="仿宋_GB2312"/>
                      <w:sz w:val="24"/>
                    </w:rPr>
                    <w:t>3、面料含量：涤纶+维纶+棉；</w:t>
                  </w:r>
                </w:p>
                <w:p w14:paraId="774B3C87">
                  <w:pPr>
                    <w:pStyle w:val="4"/>
                    <w:jc w:val="left"/>
                  </w:pPr>
                  <w:r>
                    <w:rPr>
                      <w:rFonts w:ascii="仿宋_GB2312" w:hAnsi="仿宋_GB2312" w:eastAsia="仿宋_GB2312" w:cs="仿宋_GB2312"/>
                      <w:sz w:val="24"/>
                    </w:rPr>
                    <w:t>4、特性：防刮耐磨，不起球，耐穿耐撕扯。</w:t>
                  </w:r>
                </w:p>
                <w:p w14:paraId="7BEFEB58">
                  <w:pPr>
                    <w:pStyle w:val="4"/>
                    <w:jc w:val="left"/>
                  </w:pPr>
                  <w:r>
                    <w:rPr>
                      <w:rFonts w:ascii="仿宋_GB2312" w:hAnsi="仿宋_GB2312" w:eastAsia="仿宋_GB2312" w:cs="仿宋_GB2312"/>
                      <w:sz w:val="24"/>
                    </w:rPr>
                    <w:t>5、领口、左臂、口袋上有魔术贴，可贴胸章。</w:t>
                  </w:r>
                </w:p>
                <w:p w14:paraId="23011AAD">
                  <w:pPr>
                    <w:pStyle w:val="4"/>
                    <w:jc w:val="left"/>
                  </w:pPr>
                  <w:r>
                    <w:rPr>
                      <w:rFonts w:ascii="仿宋_GB2312" w:hAnsi="仿宋_GB2312" w:eastAsia="仿宋_GB2312" w:cs="仿宋_GB2312"/>
                      <w:sz w:val="24"/>
                    </w:rPr>
                    <w:t>二、冬作训服</w:t>
                  </w:r>
                </w:p>
                <w:p w14:paraId="29300E5F">
                  <w:pPr>
                    <w:pStyle w:val="4"/>
                    <w:jc w:val="left"/>
                  </w:pPr>
                  <w:r>
                    <w:rPr>
                      <w:rFonts w:ascii="仿宋_GB2312" w:hAnsi="仿宋_GB2312" w:eastAsia="仿宋_GB2312" w:cs="仿宋_GB2312"/>
                      <w:sz w:val="24"/>
                    </w:rPr>
                    <w:t>1、颜色：火焰蓝；</w:t>
                  </w:r>
                </w:p>
                <w:p w14:paraId="480F234A">
                  <w:pPr>
                    <w:pStyle w:val="4"/>
                    <w:jc w:val="left"/>
                  </w:pPr>
                  <w:r>
                    <w:rPr>
                      <w:rFonts w:ascii="仿宋_GB2312" w:hAnsi="仿宋_GB2312" w:eastAsia="仿宋_GB2312" w:cs="仿宋_GB2312"/>
                      <w:sz w:val="24"/>
                    </w:rPr>
                    <w:t>2、面料克重：≥268g/㎡；</w:t>
                  </w:r>
                </w:p>
                <w:p w14:paraId="5C3865BD">
                  <w:pPr>
                    <w:pStyle w:val="4"/>
                    <w:jc w:val="left"/>
                  </w:pPr>
                  <w:r>
                    <w:rPr>
                      <w:rFonts w:ascii="仿宋_GB2312" w:hAnsi="仿宋_GB2312" w:eastAsia="仿宋_GB2312" w:cs="仿宋_GB2312"/>
                      <w:sz w:val="24"/>
                    </w:rPr>
                    <w:t>3、面料含量：涤纶+维纶+棉；</w:t>
                  </w:r>
                </w:p>
                <w:p w14:paraId="6008C479">
                  <w:pPr>
                    <w:pStyle w:val="4"/>
                    <w:jc w:val="left"/>
                  </w:pPr>
                  <w:r>
                    <w:rPr>
                      <w:rFonts w:ascii="仿宋_GB2312" w:hAnsi="仿宋_GB2312" w:eastAsia="仿宋_GB2312" w:cs="仿宋_GB2312"/>
                      <w:sz w:val="24"/>
                    </w:rPr>
                    <w:t>4、特性：防刮耐磨，不起球，耐穿耐撕扯；</w:t>
                  </w:r>
                </w:p>
                <w:p w14:paraId="676782C5">
                  <w:pPr>
                    <w:pStyle w:val="4"/>
                    <w:jc w:val="left"/>
                  </w:pPr>
                  <w:r>
                    <w:rPr>
                      <w:rFonts w:ascii="仿宋_GB2312" w:hAnsi="仿宋_GB2312" w:eastAsia="仿宋_GB2312" w:cs="仿宋_GB2312"/>
                      <w:sz w:val="24"/>
                    </w:rPr>
                    <w:t>领口、左臂、口袋上有魔术贴，可贴胸章。</w:t>
                  </w:r>
                </w:p>
                <w:p w14:paraId="73AD52A0">
                  <w:pPr>
                    <w:pStyle w:val="4"/>
                    <w:jc w:val="left"/>
                  </w:pPr>
                  <w:r>
                    <w:rPr>
                      <w:rFonts w:ascii="仿宋_GB2312" w:hAnsi="仿宋_GB2312" w:eastAsia="仿宋_GB2312" w:cs="仿宋_GB2312"/>
                      <w:sz w:val="24"/>
                    </w:rPr>
                    <w:t>三、作训鞋</w:t>
                  </w:r>
                </w:p>
                <w:p w14:paraId="17E2A259">
                  <w:pPr>
                    <w:pStyle w:val="4"/>
                    <w:jc w:val="left"/>
                  </w:pPr>
                  <w:r>
                    <w:rPr>
                      <w:rFonts w:ascii="仿宋_GB2312" w:hAnsi="仿宋_GB2312" w:eastAsia="仿宋_GB2312" w:cs="仿宋_GB2312"/>
                      <w:sz w:val="24"/>
                    </w:rPr>
                    <w:t>1、鞋面材质：采用细纤维纤合成革+高密度细纹帆布，防水透气；</w:t>
                  </w:r>
                </w:p>
                <w:p w14:paraId="7818FC3C">
                  <w:pPr>
                    <w:pStyle w:val="4"/>
                    <w:jc w:val="left"/>
                  </w:pPr>
                  <w:r>
                    <w:rPr>
                      <w:rFonts w:ascii="仿宋_GB2312" w:hAnsi="仿宋_GB2312" w:eastAsia="仿宋_GB2312" w:cs="仿宋_GB2312"/>
                      <w:sz w:val="24"/>
                    </w:rPr>
                    <w:t>2、鞋底材质：采用橡胶+EVA+TPU制作，减震防滑耐磨；</w:t>
                  </w:r>
                </w:p>
                <w:p w14:paraId="3D868FE8">
                  <w:pPr>
                    <w:pStyle w:val="4"/>
                    <w:jc w:val="left"/>
                  </w:pPr>
                  <w:r>
                    <w:rPr>
                      <w:rFonts w:ascii="仿宋_GB2312" w:hAnsi="仿宋_GB2312" w:eastAsia="仿宋_GB2312" w:cs="仿宋_GB2312"/>
                      <w:sz w:val="24"/>
                    </w:rPr>
                    <w:t>3、内里材质：网状纯棉内里，柔软舒适；</w:t>
                  </w:r>
                </w:p>
                <w:p w14:paraId="79461926">
                  <w:pPr>
                    <w:pStyle w:val="4"/>
                    <w:jc w:val="left"/>
                  </w:pPr>
                  <w:r>
                    <w:rPr>
                      <w:rFonts w:ascii="仿宋_GB2312" w:hAnsi="仿宋_GB2312" w:eastAsia="仿宋_GB2312" w:cs="仿宋_GB2312"/>
                      <w:sz w:val="24"/>
                    </w:rPr>
                    <w:t>4、颜色：黑色。</w:t>
                  </w:r>
                </w:p>
                <w:p w14:paraId="0BC376FF">
                  <w:pPr>
                    <w:pStyle w:val="4"/>
                    <w:jc w:val="left"/>
                  </w:pPr>
                  <w:r>
                    <w:rPr>
                      <w:rFonts w:ascii="仿宋_GB2312" w:hAnsi="仿宋_GB2312" w:eastAsia="仿宋_GB2312" w:cs="仿宋_GB2312"/>
                      <w:sz w:val="24"/>
                    </w:rPr>
                    <w:t>★四、应急救援服规格尺寸：具体尺码、数量可按采购人需求调整。</w:t>
                  </w:r>
                </w:p>
              </w:tc>
              <w:tc>
                <w:tcPr>
                  <w:tcW w:w="425" w:type="dxa"/>
                  <w:tcBorders>
                    <w:top w:val="nil"/>
                    <w:left w:val="nil"/>
                    <w:bottom w:val="single" w:color="333333" w:sz="4" w:space="0"/>
                    <w:right w:val="single" w:color="333333" w:sz="4" w:space="0"/>
                  </w:tcBorders>
                  <w:tcMar>
                    <w:top w:w="75" w:type="dxa"/>
                    <w:left w:w="120" w:type="dxa"/>
                    <w:bottom w:w="75" w:type="dxa"/>
                    <w:right w:w="120" w:type="dxa"/>
                  </w:tcMar>
                  <w:vAlign w:val="top"/>
                </w:tcPr>
                <w:p w14:paraId="05880741">
                  <w:pPr>
                    <w:pStyle w:val="4"/>
                    <w:jc w:val="left"/>
                  </w:pPr>
                </w:p>
              </w:tc>
              <w:tc>
                <w:tcPr>
                  <w:tcW w:w="405" w:type="dxa"/>
                  <w:tcBorders>
                    <w:top w:val="nil"/>
                    <w:left w:val="nil"/>
                    <w:bottom w:val="single" w:color="333333" w:sz="4" w:space="0"/>
                    <w:right w:val="single" w:color="333333" w:sz="4" w:space="0"/>
                  </w:tcBorders>
                  <w:tcMar>
                    <w:top w:w="75" w:type="dxa"/>
                    <w:left w:w="120" w:type="dxa"/>
                    <w:bottom w:w="75" w:type="dxa"/>
                    <w:right w:w="120" w:type="dxa"/>
                  </w:tcMar>
                  <w:vAlign w:val="top"/>
                </w:tcPr>
                <w:p w14:paraId="7DAF7A57"/>
              </w:tc>
              <w:tc>
                <w:tcPr>
                  <w:tcW w:w="405" w:type="dxa"/>
                  <w:tcBorders>
                    <w:top w:val="nil"/>
                    <w:left w:val="nil"/>
                    <w:bottom w:val="single" w:color="333333" w:sz="4" w:space="0"/>
                    <w:right w:val="single" w:color="333333" w:sz="4" w:space="0"/>
                  </w:tcBorders>
                  <w:tcMar>
                    <w:top w:w="75" w:type="dxa"/>
                    <w:left w:w="120" w:type="dxa"/>
                    <w:bottom w:w="75" w:type="dxa"/>
                    <w:right w:w="120" w:type="dxa"/>
                  </w:tcMar>
                  <w:vAlign w:val="top"/>
                </w:tcPr>
                <w:p w14:paraId="0FA7A2DE"/>
              </w:tc>
              <w:tc>
                <w:tcPr>
                  <w:tcW w:w="20" w:type="dxa"/>
                  <w:tcBorders>
                    <w:top w:val="nil"/>
                    <w:left w:val="nil"/>
                    <w:bottom w:val="single" w:color="333333" w:sz="4" w:space="0"/>
                    <w:right w:val="nil"/>
                  </w:tcBorders>
                </w:tcPr>
                <w:p w14:paraId="506EA0E9">
                  <w:pPr>
                    <w:pStyle w:val="4"/>
                    <w:jc w:val="left"/>
                  </w:pPr>
                  <w:r>
                    <w:rPr>
                      <w:rFonts w:ascii="仿宋_GB2312" w:hAnsi="仿宋_GB2312" w:eastAsia="仿宋_GB2312" w:cs="仿宋_GB2312"/>
                      <w:sz w:val="19"/>
                    </w:rPr>
                    <w:t xml:space="preserve"> </w:t>
                  </w:r>
                </w:p>
              </w:tc>
            </w:tr>
            <w:tr w14:paraId="7DDA9CC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75" w:type="dxa"/>
                  <w:tcBorders>
                    <w:top w:val="nil"/>
                    <w:left w:val="single" w:color="333333" w:sz="4" w:space="0"/>
                    <w:bottom w:val="single" w:color="333333" w:sz="4" w:space="0"/>
                    <w:right w:val="single" w:color="333333" w:sz="4" w:space="0"/>
                  </w:tcBorders>
                  <w:tcMar>
                    <w:top w:w="75" w:type="dxa"/>
                    <w:left w:w="120" w:type="dxa"/>
                    <w:bottom w:w="75" w:type="dxa"/>
                    <w:right w:w="120" w:type="dxa"/>
                  </w:tcMar>
                  <w:vAlign w:val="top"/>
                </w:tcPr>
                <w:p w14:paraId="226D2C32">
                  <w:pPr>
                    <w:pStyle w:val="4"/>
                    <w:jc w:val="left"/>
                  </w:pPr>
                  <w:r>
                    <w:rPr>
                      <w:rFonts w:ascii="仿宋_GB2312" w:hAnsi="仿宋_GB2312" w:eastAsia="仿宋_GB2312" w:cs="仿宋_GB2312"/>
                      <w:sz w:val="24"/>
                    </w:rPr>
                    <w:t>10</w:t>
                  </w:r>
                </w:p>
              </w:tc>
              <w:tc>
                <w:tcPr>
                  <w:tcW w:w="523" w:type="dxa"/>
                  <w:tcBorders>
                    <w:top w:val="nil"/>
                    <w:left w:val="nil"/>
                    <w:bottom w:val="single" w:color="333333" w:sz="4" w:space="0"/>
                    <w:right w:val="single" w:color="333333" w:sz="4" w:space="0"/>
                  </w:tcBorders>
                  <w:tcMar>
                    <w:top w:w="75" w:type="dxa"/>
                    <w:left w:w="120" w:type="dxa"/>
                    <w:bottom w:w="75" w:type="dxa"/>
                    <w:right w:w="120" w:type="dxa"/>
                  </w:tcMar>
                  <w:vAlign w:val="top"/>
                </w:tcPr>
                <w:p w14:paraId="6B081AE7">
                  <w:pPr>
                    <w:pStyle w:val="4"/>
                    <w:jc w:val="left"/>
                  </w:pPr>
                  <w:r>
                    <w:rPr>
                      <w:rFonts w:ascii="仿宋_GB2312" w:hAnsi="仿宋_GB2312" w:eastAsia="仿宋_GB2312" w:cs="仿宋_GB2312"/>
                      <w:sz w:val="24"/>
                    </w:rPr>
                    <w:t>个体防护套装</w:t>
                  </w:r>
                </w:p>
              </w:tc>
              <w:tc>
                <w:tcPr>
                  <w:tcW w:w="3446" w:type="dxa"/>
                  <w:tcBorders>
                    <w:top w:val="nil"/>
                    <w:left w:val="nil"/>
                    <w:bottom w:val="single" w:color="333333" w:sz="4" w:space="0"/>
                    <w:right w:val="single" w:color="333333" w:sz="4" w:space="0"/>
                  </w:tcBorders>
                  <w:tcMar>
                    <w:top w:w="75" w:type="dxa"/>
                    <w:left w:w="120" w:type="dxa"/>
                    <w:bottom w:w="75" w:type="dxa"/>
                    <w:right w:w="120" w:type="dxa"/>
                  </w:tcMar>
                  <w:vAlign w:val="top"/>
                </w:tcPr>
                <w:p w14:paraId="649E790D">
                  <w:pPr>
                    <w:pStyle w:val="4"/>
                    <w:jc w:val="left"/>
                  </w:pPr>
                  <w:r>
                    <w:rPr>
                      <w:rFonts w:ascii="仿宋_GB2312" w:hAnsi="仿宋_GB2312" w:eastAsia="仿宋_GB2312" w:cs="仿宋_GB2312"/>
                      <w:sz w:val="24"/>
                    </w:rPr>
                    <w:t>包含：安全帽、护目镜、作训服、肩灯、防护手套、防护鞋、背包各一套；</w:t>
                  </w:r>
                </w:p>
                <w:p w14:paraId="7FD55F99">
                  <w:pPr>
                    <w:pStyle w:val="4"/>
                    <w:jc w:val="left"/>
                  </w:pPr>
                  <w:r>
                    <w:rPr>
                      <w:rFonts w:ascii="仿宋_GB2312" w:hAnsi="仿宋_GB2312" w:eastAsia="仿宋_GB2312" w:cs="仿宋_GB2312"/>
                      <w:sz w:val="24"/>
                    </w:rPr>
                    <w:t>一、安全帽</w:t>
                  </w:r>
                </w:p>
                <w:p w14:paraId="153BF7D8">
                  <w:pPr>
                    <w:pStyle w:val="4"/>
                    <w:jc w:val="left"/>
                  </w:pPr>
                  <w:r>
                    <w:rPr>
                      <w:rFonts w:ascii="仿宋_GB2312" w:hAnsi="仿宋_GB2312" w:eastAsia="仿宋_GB2312" w:cs="仿宋_GB2312"/>
                      <w:sz w:val="24"/>
                    </w:rPr>
                    <w:t>1、头盔披肩可与扑火服连成一体，对头部和肩部形成整体保护，前部有森林防火标志，内衬可调节大小；</w:t>
                  </w:r>
                </w:p>
                <w:p w14:paraId="05B41F2B">
                  <w:pPr>
                    <w:pStyle w:val="4"/>
                    <w:jc w:val="left"/>
                  </w:pPr>
                  <w:r>
                    <w:rPr>
                      <w:rFonts w:ascii="仿宋_GB2312" w:hAnsi="仿宋_GB2312" w:eastAsia="仿宋_GB2312" w:cs="仿宋_GB2312"/>
                      <w:sz w:val="24"/>
                    </w:rPr>
                    <w:t>2、结构由盔体、内衬、面罩、披肩、标识组成；</w:t>
                  </w:r>
                </w:p>
                <w:p w14:paraId="6C54F20C">
                  <w:pPr>
                    <w:pStyle w:val="4"/>
                    <w:jc w:val="left"/>
                  </w:pPr>
                  <w:r>
                    <w:rPr>
                      <w:rFonts w:ascii="仿宋_GB2312" w:hAnsi="仿宋_GB2312" w:eastAsia="仿宋_GB2312" w:cs="仿宋_GB2312"/>
                      <w:sz w:val="24"/>
                    </w:rPr>
                    <w:t>3、盔体材质：PVC；</w:t>
                  </w:r>
                </w:p>
                <w:p w14:paraId="60726F8E">
                  <w:pPr>
                    <w:pStyle w:val="4"/>
                    <w:jc w:val="left"/>
                  </w:pPr>
                  <w:r>
                    <w:rPr>
                      <w:rFonts w:ascii="仿宋_GB2312" w:hAnsi="仿宋_GB2312" w:eastAsia="仿宋_GB2312" w:cs="仿宋_GB2312"/>
                      <w:sz w:val="24"/>
                    </w:rPr>
                    <w:t>4、标识：有森林防火行业标志帽徽，及“森林防火”字样。</w:t>
                  </w:r>
                </w:p>
                <w:p w14:paraId="4F54DEC6">
                  <w:pPr>
                    <w:pStyle w:val="4"/>
                    <w:jc w:val="left"/>
                  </w:pPr>
                  <w:r>
                    <w:rPr>
                      <w:rFonts w:ascii="仿宋_GB2312" w:hAnsi="仿宋_GB2312" w:eastAsia="仿宋_GB2312" w:cs="仿宋_GB2312"/>
                      <w:sz w:val="24"/>
                    </w:rPr>
                    <w:t>二、护目镜</w:t>
                  </w:r>
                </w:p>
                <w:p w14:paraId="70ACD4ED">
                  <w:pPr>
                    <w:pStyle w:val="4"/>
                    <w:jc w:val="left"/>
                  </w:pPr>
                  <w:r>
                    <w:rPr>
                      <w:rFonts w:ascii="仿宋_GB2312" w:hAnsi="仿宋_GB2312" w:eastAsia="仿宋_GB2312" w:cs="仿宋_GB2312"/>
                      <w:sz w:val="24"/>
                    </w:rPr>
                    <w:t>★1、符合XF1273-2015《消防员护目镜》标准。</w:t>
                  </w:r>
                </w:p>
                <w:p w14:paraId="332EB7F7">
                  <w:pPr>
                    <w:pStyle w:val="4"/>
                    <w:jc w:val="left"/>
                  </w:pPr>
                  <w:r>
                    <w:rPr>
                      <w:rFonts w:ascii="仿宋_GB2312" w:hAnsi="仿宋_GB2312" w:eastAsia="仿宋_GB2312" w:cs="仿宋_GB2312"/>
                      <w:sz w:val="24"/>
                    </w:rPr>
                    <w:t>2、调节性：护目镜用于固定作用的头带可调节，护目镜头带的宽度≥15mm。</w:t>
                  </w:r>
                </w:p>
                <w:p w14:paraId="199B82CE">
                  <w:pPr>
                    <w:pStyle w:val="4"/>
                    <w:jc w:val="left"/>
                  </w:pPr>
                  <w:r>
                    <w:rPr>
                      <w:rFonts w:ascii="仿宋_GB2312" w:hAnsi="仿宋_GB2312" w:eastAsia="仿宋_GB2312" w:cs="仿宋_GB2312"/>
                      <w:sz w:val="24"/>
                    </w:rPr>
                    <w:t>3、在防雾试验期间，护目镜8s内不起雾。</w:t>
                  </w:r>
                </w:p>
                <w:p w14:paraId="159EBA52">
                  <w:pPr>
                    <w:pStyle w:val="4"/>
                    <w:jc w:val="left"/>
                  </w:pPr>
                  <w:r>
                    <w:rPr>
                      <w:rFonts w:ascii="仿宋_GB2312" w:hAnsi="仿宋_GB2312" w:eastAsia="仿宋_GB2312" w:cs="仿宋_GB2312"/>
                      <w:sz w:val="24"/>
                    </w:rPr>
                    <w:t>4、重量：护目镜的质量≤150g。</w:t>
                  </w:r>
                </w:p>
                <w:p w14:paraId="14C40DE4">
                  <w:pPr>
                    <w:pStyle w:val="4"/>
                    <w:jc w:val="left"/>
                  </w:pPr>
                  <w:r>
                    <w:rPr>
                      <w:rFonts w:ascii="仿宋_GB2312" w:hAnsi="仿宋_GB2312" w:eastAsia="仿宋_GB2312" w:cs="仿宋_GB2312"/>
                      <w:sz w:val="24"/>
                    </w:rPr>
                    <w:t>5、抗高速粒子冲击性能：能承受直径≥6mm、质量为≥0.86g、速度≥120m/S的钢珠在正面和侧面两个冲击点的冲击试验，试验后镜片不能破损。</w:t>
                  </w:r>
                </w:p>
                <w:p w14:paraId="0B2DAF2F">
                  <w:pPr>
                    <w:pStyle w:val="4"/>
                    <w:jc w:val="left"/>
                  </w:pPr>
                  <w:r>
                    <w:rPr>
                      <w:rFonts w:ascii="仿宋_GB2312" w:hAnsi="仿宋_GB2312" w:eastAsia="仿宋_GB2312" w:cs="仿宋_GB2312"/>
                      <w:sz w:val="24"/>
                    </w:rPr>
                    <w:t>三、作训服</w:t>
                  </w:r>
                </w:p>
                <w:p w14:paraId="1E37ACBC">
                  <w:pPr>
                    <w:pStyle w:val="4"/>
                    <w:jc w:val="left"/>
                  </w:pPr>
                  <w:r>
                    <w:rPr>
                      <w:rFonts w:ascii="仿宋_GB2312" w:hAnsi="仿宋_GB2312" w:eastAsia="仿宋_GB2312" w:cs="仿宋_GB2312"/>
                      <w:sz w:val="24"/>
                    </w:rPr>
                    <w:t>★符合XF633-2006《消防员抢险救援防护服装》标准。具有永久性阻燃，高隔热、高强度、抗撕破、永久性抗静电、耐高温，耐酸碱腐蚀，耐摩擦、不易起毛起球，色泽牢度极其稳定等特点。</w:t>
                  </w:r>
                </w:p>
                <w:p w14:paraId="7ECCB4E3">
                  <w:pPr>
                    <w:pStyle w:val="4"/>
                    <w:jc w:val="left"/>
                  </w:pPr>
                  <w:r>
                    <w:rPr>
                      <w:rFonts w:ascii="仿宋_GB2312" w:hAnsi="仿宋_GB2312" w:eastAsia="仿宋_GB2312" w:cs="仿宋_GB2312"/>
                      <w:sz w:val="24"/>
                    </w:rPr>
                    <w:t>一、产品结构：</w:t>
                  </w:r>
                </w:p>
                <w:p w14:paraId="7845F5E2">
                  <w:pPr>
                    <w:pStyle w:val="4"/>
                    <w:jc w:val="left"/>
                  </w:pPr>
                  <w:r>
                    <w:rPr>
                      <w:rFonts w:ascii="仿宋_GB2312" w:hAnsi="仿宋_GB2312" w:eastAsia="仿宋_GB2312" w:cs="仿宋_GB2312"/>
                      <w:sz w:val="24"/>
                    </w:rPr>
                    <w:t>1、款式：衬衫式分体抢险救援服。上衣采用收腰设计，衬衫式圆弧形下摆，前下摆应能够束入裤腰，且弯腰时后下摆不得滑出裤腰，前后衣长差量30-50mm。</w:t>
                  </w:r>
                </w:p>
                <w:p w14:paraId="736AE783">
                  <w:pPr>
                    <w:pStyle w:val="4"/>
                    <w:jc w:val="left"/>
                  </w:pPr>
                  <w:r>
                    <w:rPr>
                      <w:rFonts w:ascii="仿宋_GB2312" w:hAnsi="仿宋_GB2312" w:eastAsia="仿宋_GB2312" w:cs="仿宋_GB2312"/>
                      <w:sz w:val="24"/>
                    </w:rPr>
                    <w:t>2、衣领：立领，并设置小护领，衣领竖起时，能够覆盖颈部，衣门襟使用拉链闭合。</w:t>
                  </w:r>
                </w:p>
                <w:p w14:paraId="72DEF60D">
                  <w:pPr>
                    <w:pStyle w:val="4"/>
                    <w:jc w:val="left"/>
                  </w:pPr>
                  <w:r>
                    <w:rPr>
                      <w:rFonts w:ascii="仿宋_GB2312" w:hAnsi="仿宋_GB2312" w:eastAsia="仿宋_GB2312" w:cs="仿宋_GB2312"/>
                      <w:sz w:val="24"/>
                    </w:rPr>
                    <w:t>3、前胸设“V”字形反光标志带，后背设水平反光标志带，袖口和脚口设环绕反光标志带,便于夜间救援增加360°可视度。上衣肩背部设计拼接，面料为深火焰蓝色，胸前设置贴袋两个，袋盖为深火焰蓝色。裤腰设置防滑腰衬，裤腰局部采用弹力松紧带设计，根据个人腰围进行调节，裤腿两侧各1个立体口袋，便于救援人员放置小型的救援工具及随身物品，裤脚魔术贴收紧，便于穿脱救援靴。</w:t>
                  </w:r>
                </w:p>
                <w:p w14:paraId="0B3CC358">
                  <w:pPr>
                    <w:pStyle w:val="4"/>
                    <w:jc w:val="left"/>
                  </w:pPr>
                  <w:r>
                    <w:rPr>
                      <w:rFonts w:ascii="仿宋_GB2312" w:hAnsi="仿宋_GB2312" w:eastAsia="仿宋_GB2312" w:cs="仿宋_GB2312"/>
                      <w:sz w:val="24"/>
                    </w:rPr>
                    <w:t>4、肩、肘、膝、臀、裆部加厚处理增加耐磨性。</w:t>
                  </w:r>
                </w:p>
                <w:p w14:paraId="2654DDA2">
                  <w:pPr>
                    <w:pStyle w:val="4"/>
                    <w:jc w:val="left"/>
                  </w:pPr>
                  <w:r>
                    <w:rPr>
                      <w:rFonts w:ascii="仿宋_GB2312" w:hAnsi="仿宋_GB2312" w:eastAsia="仿宋_GB2312" w:cs="仿宋_GB2312"/>
                      <w:sz w:val="24"/>
                    </w:rPr>
                    <w:t>二、技术参数：</w:t>
                  </w:r>
                </w:p>
                <w:p w14:paraId="59DD6B9F">
                  <w:pPr>
                    <w:pStyle w:val="4"/>
                    <w:jc w:val="left"/>
                  </w:pPr>
                  <w:r>
                    <w:rPr>
                      <w:rFonts w:ascii="仿宋_GB2312" w:hAnsi="仿宋_GB2312" w:eastAsia="仿宋_GB2312" w:cs="仿宋_GB2312"/>
                      <w:sz w:val="24"/>
                    </w:rPr>
                    <w:t>1、面料颜色：橙色（潘通色号PANTONE 17-1456 TCX Tigerlily），火焰蓝（潘通色号PANTONE 19-3938 TCX）；救援服色差≥3 级。</w:t>
                  </w:r>
                </w:p>
                <w:p w14:paraId="7D6999C3">
                  <w:pPr>
                    <w:pStyle w:val="4"/>
                    <w:jc w:val="left"/>
                  </w:pPr>
                  <w:r>
                    <w:rPr>
                      <w:rFonts w:ascii="仿宋_GB2312" w:hAnsi="仿宋_GB2312" w:eastAsia="仿宋_GB2312" w:cs="仿宋_GB2312"/>
                      <w:sz w:val="24"/>
                    </w:rPr>
                    <w:t>▲2、面料单位面积质量：≥200g/m2；</w:t>
                  </w:r>
                </w:p>
                <w:p w14:paraId="4F783A6E">
                  <w:pPr>
                    <w:pStyle w:val="4"/>
                    <w:jc w:val="left"/>
                  </w:pPr>
                  <w:r>
                    <w:rPr>
                      <w:rFonts w:ascii="仿宋_GB2312" w:hAnsi="仿宋_GB2312" w:eastAsia="仿宋_GB2312" w:cs="仿宋_GB2312"/>
                      <w:sz w:val="24"/>
                    </w:rPr>
                    <w:t>★3、阻燃性能（橙色）：续燃时间＜0.2s，损毁长度＜50mm，无熔融、滴落；</w:t>
                  </w:r>
                </w:p>
                <w:p w14:paraId="22D10333">
                  <w:pPr>
                    <w:pStyle w:val="4"/>
                    <w:jc w:val="left"/>
                  </w:pPr>
                  <w:r>
                    <w:rPr>
                      <w:rFonts w:ascii="仿宋_GB2312" w:hAnsi="仿宋_GB2312" w:eastAsia="仿宋_GB2312" w:cs="仿宋_GB2312"/>
                      <w:sz w:val="24"/>
                    </w:rPr>
                    <w:t>★4、阻燃性能（火焰蓝）：续燃时间＜0.2s，损毁长度＜50mm，无熔融、滴落；</w:t>
                  </w:r>
                </w:p>
                <w:p w14:paraId="6A32EBDD">
                  <w:pPr>
                    <w:pStyle w:val="4"/>
                    <w:jc w:val="left"/>
                  </w:pPr>
                  <w:r>
                    <w:rPr>
                      <w:rFonts w:ascii="仿宋_GB2312" w:hAnsi="仿宋_GB2312" w:eastAsia="仿宋_GB2312" w:cs="仿宋_GB2312"/>
                      <w:sz w:val="24"/>
                    </w:rPr>
                    <w:t>5、断裂强力（橙色）：经向≥1100N，纬向≥1100N；</w:t>
                  </w:r>
                </w:p>
                <w:p w14:paraId="166AFC7F">
                  <w:pPr>
                    <w:pStyle w:val="4"/>
                    <w:jc w:val="left"/>
                  </w:pPr>
                  <w:r>
                    <w:rPr>
                      <w:rFonts w:ascii="仿宋_GB2312" w:hAnsi="仿宋_GB2312" w:eastAsia="仿宋_GB2312" w:cs="仿宋_GB2312"/>
                      <w:sz w:val="24"/>
                    </w:rPr>
                    <w:t>6、撕破强力（橙色）：经向≥2.0×102N，纬向≥2.0×102N；</w:t>
                  </w:r>
                </w:p>
                <w:p w14:paraId="6C75E4E0">
                  <w:pPr>
                    <w:pStyle w:val="4"/>
                    <w:jc w:val="left"/>
                  </w:pPr>
                  <w:r>
                    <w:rPr>
                      <w:rFonts w:ascii="仿宋_GB2312" w:hAnsi="仿宋_GB2312" w:eastAsia="仿宋_GB2312" w:cs="仿宋_GB2312"/>
                      <w:sz w:val="24"/>
                    </w:rPr>
                    <w:t>7、接缝断裂强力：≥830N；</w:t>
                  </w:r>
                </w:p>
                <w:p w14:paraId="181EA234">
                  <w:pPr>
                    <w:pStyle w:val="4"/>
                    <w:jc w:val="left"/>
                  </w:pPr>
                  <w:r>
                    <w:rPr>
                      <w:rFonts w:ascii="仿宋_GB2312" w:hAnsi="仿宋_GB2312" w:eastAsia="仿宋_GB2312" w:cs="仿宋_GB2312"/>
                      <w:sz w:val="24"/>
                    </w:rPr>
                    <w:t>8、热稳定性能（橙色）：经过（180±5）℃热稳定性能试验后，试样表面无明显变化，经向、纬向尺寸变化率≤1%；</w:t>
                  </w:r>
                </w:p>
                <w:p w14:paraId="2594299D">
                  <w:pPr>
                    <w:pStyle w:val="4"/>
                    <w:jc w:val="left"/>
                  </w:pPr>
                  <w:r>
                    <w:rPr>
                      <w:rFonts w:ascii="仿宋_GB2312" w:hAnsi="仿宋_GB2312" w:eastAsia="仿宋_GB2312" w:cs="仿宋_GB2312"/>
                      <w:sz w:val="24"/>
                    </w:rPr>
                    <w:t>9、防静电性能：≤0.3µ C；</w:t>
                  </w:r>
                </w:p>
                <w:p w14:paraId="68412DCD">
                  <w:pPr>
                    <w:pStyle w:val="4"/>
                    <w:jc w:val="left"/>
                  </w:pPr>
                  <w:r>
                    <w:rPr>
                      <w:rFonts w:ascii="仿宋_GB2312" w:hAnsi="仿宋_GB2312" w:eastAsia="仿宋_GB2312" w:cs="仿宋_GB2312"/>
                      <w:sz w:val="24"/>
                    </w:rPr>
                    <w:t>10、救援服针距密度：明暗线、包缝线≥12针/3cm；</w:t>
                  </w:r>
                </w:p>
                <w:p w14:paraId="57035ADF">
                  <w:pPr>
                    <w:pStyle w:val="4"/>
                    <w:jc w:val="left"/>
                  </w:pPr>
                  <w:r>
                    <w:rPr>
                      <w:rFonts w:ascii="仿宋_GB2312" w:hAnsi="仿宋_GB2312" w:eastAsia="仿宋_GB2312" w:cs="仿宋_GB2312"/>
                      <w:sz w:val="24"/>
                    </w:rPr>
                    <w:t>▲11、救援服反光带标志：逆反射系数5°12′≥450cd/(lx·㎡）；阻燃性能：续燃时间≤0.2S，损毁长度≤55mm；试样经高低温试验后，无断裂、起皱、扭曲的现象；逆反射系数5°12′≥450cd/(lx·m2)；</w:t>
                  </w:r>
                </w:p>
                <w:p w14:paraId="1B02C5E0">
                  <w:pPr>
                    <w:pStyle w:val="4"/>
                    <w:jc w:val="left"/>
                  </w:pPr>
                  <w:r>
                    <w:rPr>
                      <w:rFonts w:ascii="仿宋_GB2312" w:hAnsi="仿宋_GB2312" w:eastAsia="仿宋_GB2312" w:cs="仿宋_GB2312"/>
                      <w:sz w:val="24"/>
                    </w:rPr>
                    <w:t>▲12、缝纫线热稳定性能：经（180±5）℃，5min后，无熔融和烧焦现象。</w:t>
                  </w:r>
                </w:p>
                <w:p w14:paraId="1686D5E2">
                  <w:pPr>
                    <w:pStyle w:val="4"/>
                    <w:jc w:val="left"/>
                  </w:pPr>
                  <w:r>
                    <w:rPr>
                      <w:rFonts w:ascii="仿宋_GB2312" w:hAnsi="仿宋_GB2312" w:eastAsia="仿宋_GB2312" w:cs="仿宋_GB2312"/>
                      <w:sz w:val="24"/>
                    </w:rPr>
                    <w:t>13、硬质附件热稳定性能：经（180±5）℃，5min后，能保持原有功能。</w:t>
                  </w:r>
                </w:p>
                <w:p w14:paraId="463DA869">
                  <w:pPr>
                    <w:pStyle w:val="4"/>
                    <w:jc w:val="left"/>
                  </w:pPr>
                  <w:r>
                    <w:rPr>
                      <w:rFonts w:ascii="仿宋_GB2312" w:hAnsi="仿宋_GB2312" w:eastAsia="仿宋_GB2312" w:cs="仿宋_GB2312"/>
                      <w:sz w:val="24"/>
                    </w:rPr>
                    <w:t>▲14、外观质量：a、各部位的缝合顺直、整齐、平服、牢固、松紧适宜，无跳针、开线、断线;b、各部位熨烫平整、整齐、美观、无水渍、无烫光; c、衣领平服、不翻翘;d、对称部位基本一致;e、粘合衬无脱胶及表面渗胶；f、标签位置正确，标志准确清晰。</w:t>
                  </w:r>
                </w:p>
                <w:p w14:paraId="7EA98FF2">
                  <w:pPr>
                    <w:pStyle w:val="4"/>
                    <w:jc w:val="left"/>
                  </w:pPr>
                  <w:r>
                    <w:rPr>
                      <w:rFonts w:ascii="仿宋_GB2312" w:hAnsi="仿宋_GB2312" w:eastAsia="仿宋_GB2312" w:cs="仿宋_GB2312"/>
                      <w:sz w:val="24"/>
                    </w:rPr>
                    <w:t>四、肩灯</w:t>
                  </w:r>
                </w:p>
                <w:p w14:paraId="4734785F">
                  <w:pPr>
                    <w:pStyle w:val="4"/>
                    <w:jc w:val="left"/>
                  </w:pPr>
                  <w:r>
                    <w:rPr>
                      <w:rFonts w:ascii="仿宋_GB2312" w:hAnsi="仿宋_GB2312" w:eastAsia="仿宋_GB2312" w:cs="仿宋_GB2312"/>
                      <w:sz w:val="24"/>
                    </w:rPr>
                    <w:t>★1、外壳材质：PC材料（防紫外线、耐热、阻燃、抗击力强），质量：≤60g（含背夹），光源应采用有色LED灯珠，光源颜色应为红、蓝两种颜色；</w:t>
                  </w:r>
                </w:p>
                <w:p w14:paraId="109AF799">
                  <w:pPr>
                    <w:pStyle w:val="4"/>
                    <w:jc w:val="left"/>
                  </w:pPr>
                  <w:r>
                    <w:rPr>
                      <w:rFonts w:ascii="仿宋_GB2312" w:hAnsi="仿宋_GB2312" w:eastAsia="仿宋_GB2312" w:cs="仿宋_GB2312"/>
                      <w:sz w:val="24"/>
                    </w:rPr>
                    <w:t>▲2、外壳防护等级：符合GB/T 4208-2017中IP65的要求；外形尺寸：长≤78mm*宽≤35mm*高≤29mm；</w:t>
                  </w:r>
                </w:p>
                <w:p w14:paraId="4B353BEE">
                  <w:pPr>
                    <w:pStyle w:val="4"/>
                    <w:jc w:val="left"/>
                  </w:pPr>
                  <w:r>
                    <w:rPr>
                      <w:rFonts w:ascii="仿宋_GB2312" w:hAnsi="仿宋_GB2312" w:eastAsia="仿宋_GB2312" w:cs="仿宋_GB2312"/>
                      <w:sz w:val="24"/>
                    </w:rPr>
                    <w:t>3、控制方式：自动重力感应、振动或拍打；供电电源：聚合物锂电池，电池容量≥500mAh；</w:t>
                  </w:r>
                </w:p>
                <w:p w14:paraId="43502215">
                  <w:pPr>
                    <w:pStyle w:val="4"/>
                    <w:jc w:val="left"/>
                  </w:pPr>
                  <w:r>
                    <w:rPr>
                      <w:rFonts w:ascii="仿宋_GB2312" w:hAnsi="仿宋_GB2312" w:eastAsia="仿宋_GB2312" w:cs="仿宋_GB2312"/>
                      <w:sz w:val="24"/>
                    </w:rPr>
                    <w:t>工作温度：-20℃—﹢60℃；额定电压：3.7-4.2（VDC）</w:t>
                  </w:r>
                </w:p>
                <w:p w14:paraId="265D2C42">
                  <w:pPr>
                    <w:pStyle w:val="4"/>
                    <w:jc w:val="left"/>
                  </w:pPr>
                  <w:r>
                    <w:rPr>
                      <w:rFonts w:ascii="仿宋_GB2312" w:hAnsi="仿宋_GB2312" w:eastAsia="仿宋_GB2312" w:cs="仿宋_GB2312"/>
                      <w:sz w:val="24"/>
                    </w:rPr>
                    <w:t>▲4、连续工作时间（电池充满电条件下）：在红蓝灯快闪模式下的连续工作时间≥50h；在红蓝灯水平慢闪模式下的连续工作时间≥35h；在红蓝灯垂直快闪模式下的连续工作时间≥50h；在白光灯照明模式下的连续工作时间≥30h；在白光灯频闪模式下的连续工作时间≥50h。</w:t>
                  </w:r>
                </w:p>
                <w:p w14:paraId="662872D0">
                  <w:pPr>
                    <w:pStyle w:val="4"/>
                    <w:jc w:val="left"/>
                  </w:pPr>
                  <w:r>
                    <w:rPr>
                      <w:rFonts w:ascii="仿宋_GB2312" w:hAnsi="仿宋_GB2312" w:eastAsia="仿宋_GB2312" w:cs="仿宋_GB2312"/>
                      <w:sz w:val="24"/>
                    </w:rPr>
                    <w:t>▲5、工作模式：可通过按键依次进行红蓝LED灯快闪、红蓝LED灯垂直慢闪、红蓝LED灯水平快闪、红蓝LED灯水平垂直同时快闪、白光LED灯照明模式、白光LED灯频闪、关闭灯光模式切换。</w:t>
                  </w:r>
                </w:p>
                <w:p w14:paraId="0A133D4A">
                  <w:pPr>
                    <w:pStyle w:val="4"/>
                    <w:jc w:val="left"/>
                  </w:pPr>
                  <w:r>
                    <w:rPr>
                      <w:rFonts w:ascii="仿宋_GB2312" w:hAnsi="仿宋_GB2312" w:eastAsia="仿宋_GB2312" w:cs="仿宋_GB2312"/>
                      <w:sz w:val="24"/>
                    </w:rPr>
                    <w:t>▲6、重力感应模式：当肩灯倾斜角度大于45°时，红蓝LED灯闪烁模式由垂直方向警示灯闪烁自动切换为水平方向警示灯闪烁。振动感应模式：可在红蓝LED灯频闪模式下通过拍击样机方式开启/关闭肩灯。</w:t>
                  </w:r>
                </w:p>
                <w:p w14:paraId="7D87AD0F">
                  <w:pPr>
                    <w:pStyle w:val="4"/>
                    <w:jc w:val="left"/>
                  </w:pPr>
                  <w:r>
                    <w:rPr>
                      <w:rFonts w:ascii="仿宋_GB2312" w:hAnsi="仿宋_GB2312" w:eastAsia="仿宋_GB2312" w:cs="仿宋_GB2312"/>
                      <w:sz w:val="24"/>
                    </w:rPr>
                    <w:t>7、充电时间：电池充电时间≤3h，充电时适配器有明显的充电及完成状态指示（充电时显示红灯，充满电后显示绿灯）。接口类型：采用国际规范标准的Type-C充电接口可实现随时随地快速充电。</w:t>
                  </w:r>
                </w:p>
                <w:p w14:paraId="4D922577">
                  <w:pPr>
                    <w:pStyle w:val="4"/>
                    <w:jc w:val="left"/>
                  </w:pPr>
                  <w:r>
                    <w:rPr>
                      <w:rFonts w:ascii="仿宋_GB2312" w:hAnsi="仿宋_GB2312" w:eastAsia="仿宋_GB2312" w:cs="仿宋_GB2312"/>
                      <w:sz w:val="24"/>
                    </w:rPr>
                    <w:t>▲8、指挥灯功能：可在开机状态下通过长按按键开启红光指挥灯功能。</w:t>
                  </w:r>
                </w:p>
                <w:p w14:paraId="106A634E">
                  <w:pPr>
                    <w:pStyle w:val="4"/>
                    <w:jc w:val="left"/>
                  </w:pPr>
                  <w:r>
                    <w:rPr>
                      <w:rFonts w:ascii="仿宋_GB2312" w:hAnsi="仿宋_GB2312" w:eastAsia="仿宋_GB2312" w:cs="仿宋_GB2312"/>
                      <w:sz w:val="24"/>
                    </w:rPr>
                    <w:t>▲9、固定方式：应为不锈钢带锯齿旋转背夹，背夹附有磁性吸铁石，可轻松吸附在金属表面。</w:t>
                  </w:r>
                </w:p>
                <w:p w14:paraId="791A1663">
                  <w:pPr>
                    <w:pStyle w:val="4"/>
                    <w:jc w:val="left"/>
                  </w:pPr>
                  <w:r>
                    <w:rPr>
                      <w:rFonts w:ascii="仿宋_GB2312" w:hAnsi="仿宋_GB2312" w:eastAsia="仿宋_GB2312" w:cs="仿宋_GB2312"/>
                      <w:sz w:val="24"/>
                    </w:rPr>
                    <w:t>五、防护手套</w:t>
                  </w:r>
                </w:p>
                <w:p w14:paraId="01BB995E">
                  <w:pPr>
                    <w:pStyle w:val="4"/>
                    <w:jc w:val="left"/>
                  </w:pPr>
                  <w:r>
                    <w:rPr>
                      <w:rFonts w:ascii="仿宋_GB2312" w:hAnsi="仿宋_GB2312" w:eastAsia="仿宋_GB2312" w:cs="仿宋_GB2312"/>
                      <w:sz w:val="24"/>
                    </w:rPr>
                    <w:t>一、整体要求</w:t>
                  </w:r>
                </w:p>
                <w:p w14:paraId="453D0FB6">
                  <w:pPr>
                    <w:pStyle w:val="4"/>
                    <w:jc w:val="left"/>
                  </w:pPr>
                  <w:r>
                    <w:rPr>
                      <w:rFonts w:ascii="仿宋_GB2312" w:hAnsi="仿宋_GB2312" w:eastAsia="仿宋_GB2312" w:cs="仿宋_GB2312"/>
                      <w:sz w:val="24"/>
                    </w:rPr>
                    <w:t>1、颜色:橘红色；</w:t>
                  </w:r>
                </w:p>
                <w:p w14:paraId="3417D552">
                  <w:pPr>
                    <w:pStyle w:val="4"/>
                    <w:jc w:val="left"/>
                  </w:pPr>
                  <w:r>
                    <w:rPr>
                      <w:rFonts w:ascii="仿宋_GB2312" w:hAnsi="仿宋_GB2312" w:eastAsia="仿宋_GB2312" w:cs="仿宋_GB2312"/>
                      <w:sz w:val="24"/>
                    </w:rPr>
                    <w:t>2、手套外层面料阻燃性能：洗涤50次后续燃时间经向≤0.1s,纬向≤0.1s；洗涤50次后阴燃时间经向≤0.1s,纬向≤0.1s；损毁长度经向≤25mm，纬向≤25mm；熔融、滴落：不应有；</w:t>
                  </w:r>
                </w:p>
                <w:p w14:paraId="4BDDC124">
                  <w:pPr>
                    <w:pStyle w:val="4"/>
                    <w:jc w:val="left"/>
                  </w:pPr>
                  <w:r>
                    <w:rPr>
                      <w:rFonts w:ascii="仿宋_GB2312" w:hAnsi="仿宋_GB2312" w:eastAsia="仿宋_GB2312" w:cs="仿宋_GB2312"/>
                      <w:sz w:val="24"/>
                    </w:rPr>
                    <w:t>3、手套隔热层面料阻燃性能：洗涤50次后续燃时间经向≤0.1s，纬向≤0.1s；洗涤50次后阴燃时间经向≤0.1s,纬向≤0.1s；损毁长度经向≤25mm，纬向≤25mm；熔融、滴落：不应有；</w:t>
                  </w:r>
                </w:p>
                <w:p w14:paraId="68E205E8">
                  <w:pPr>
                    <w:pStyle w:val="4"/>
                    <w:jc w:val="left"/>
                  </w:pPr>
                  <w:r>
                    <w:rPr>
                      <w:rFonts w:ascii="仿宋_GB2312" w:hAnsi="仿宋_GB2312" w:eastAsia="仿宋_GB2312" w:cs="仿宋_GB2312"/>
                      <w:sz w:val="24"/>
                    </w:rPr>
                    <w:t>4、热防护系数TPP：≥275(kw.s/m²)；</w:t>
                  </w:r>
                </w:p>
                <w:p w14:paraId="0BCB1E4A">
                  <w:pPr>
                    <w:pStyle w:val="4"/>
                    <w:jc w:val="left"/>
                  </w:pPr>
                  <w:r>
                    <w:rPr>
                      <w:rFonts w:ascii="仿宋_GB2312" w:hAnsi="仿宋_GB2312" w:eastAsia="仿宋_GB2312" w:cs="仿宋_GB2312"/>
                      <w:sz w:val="24"/>
                    </w:rPr>
                    <w:t>5、面料洗涤50次后性能：断裂强力经向≥1300N，纬向≥1300N；撕破强力经向≥140N，纬向≥180N；</w:t>
                  </w:r>
                </w:p>
                <w:p w14:paraId="425E8A23">
                  <w:pPr>
                    <w:pStyle w:val="4"/>
                    <w:jc w:val="left"/>
                  </w:pPr>
                  <w:r>
                    <w:rPr>
                      <w:rFonts w:ascii="仿宋_GB2312" w:hAnsi="仿宋_GB2312" w:eastAsia="仿宋_GB2312" w:cs="仿宋_GB2312"/>
                      <w:sz w:val="24"/>
                    </w:rPr>
                    <w:t>6、手套结构组成：掌心、掌背、手臂采用双层设计；阻燃层使用芳纶面料；隔热层使用芳纶水刺隔热毡；手掌关键部位加有防穿刺、防滑的皮料；</w:t>
                  </w:r>
                </w:p>
                <w:p w14:paraId="187D7D81">
                  <w:pPr>
                    <w:pStyle w:val="4"/>
                    <w:jc w:val="left"/>
                  </w:pPr>
                  <w:r>
                    <w:rPr>
                      <w:rFonts w:ascii="仿宋_GB2312" w:hAnsi="仿宋_GB2312" w:eastAsia="仿宋_GB2312" w:cs="仿宋_GB2312"/>
                      <w:sz w:val="24"/>
                    </w:rPr>
                    <w:t>7、反光标识：手臂和手背处需有阻燃反光带；</w:t>
                  </w:r>
                </w:p>
                <w:p w14:paraId="757F4673">
                  <w:pPr>
                    <w:pStyle w:val="4"/>
                    <w:jc w:val="left"/>
                  </w:pPr>
                  <w:r>
                    <w:rPr>
                      <w:rFonts w:ascii="仿宋_GB2312" w:hAnsi="仿宋_GB2312" w:eastAsia="仿宋_GB2312" w:cs="仿宋_GB2312"/>
                      <w:sz w:val="24"/>
                    </w:rPr>
                    <w:t>8、收紧装置：手腕处应有松紧调节大小；手臂处应有大小调节装置；</w:t>
                  </w:r>
                </w:p>
                <w:p w14:paraId="208E2F40">
                  <w:pPr>
                    <w:pStyle w:val="4"/>
                    <w:jc w:val="left"/>
                  </w:pPr>
                  <w:r>
                    <w:rPr>
                      <w:rFonts w:ascii="仿宋_GB2312" w:hAnsi="仿宋_GB2312" w:eastAsia="仿宋_GB2312" w:cs="仿宋_GB2312"/>
                      <w:sz w:val="24"/>
                    </w:rPr>
                    <w:t>9、手套总长：≥38cm；</w:t>
                  </w:r>
                </w:p>
                <w:p w14:paraId="1C955A90">
                  <w:pPr>
                    <w:pStyle w:val="4"/>
                    <w:jc w:val="left"/>
                  </w:pPr>
                  <w:r>
                    <w:rPr>
                      <w:rFonts w:ascii="仿宋_GB2312" w:hAnsi="仿宋_GB2312" w:eastAsia="仿宋_GB2312" w:cs="仿宋_GB2312"/>
                      <w:sz w:val="24"/>
                    </w:rPr>
                    <w:t>▲10、面料纤维含量100%芳纶。</w:t>
                  </w:r>
                </w:p>
                <w:p w14:paraId="6418B007">
                  <w:pPr>
                    <w:pStyle w:val="4"/>
                    <w:jc w:val="left"/>
                  </w:pPr>
                  <w:r>
                    <w:rPr>
                      <w:rFonts w:ascii="仿宋_GB2312" w:hAnsi="仿宋_GB2312" w:eastAsia="仿宋_GB2312" w:cs="仿宋_GB2312"/>
                      <w:sz w:val="24"/>
                    </w:rPr>
                    <w:t>六、防护鞋</w:t>
                  </w:r>
                </w:p>
                <w:p w14:paraId="7EE1E486">
                  <w:pPr>
                    <w:pStyle w:val="4"/>
                    <w:jc w:val="left"/>
                  </w:pPr>
                  <w:r>
                    <w:rPr>
                      <w:rFonts w:ascii="仿宋_GB2312" w:hAnsi="仿宋_GB2312" w:eastAsia="仿宋_GB2312" w:cs="仿宋_GB2312"/>
                      <w:sz w:val="24"/>
                    </w:rPr>
                    <w:t>1、面料阻燃性能：</w:t>
                  </w:r>
                </w:p>
                <w:p w14:paraId="4E60B0F0">
                  <w:pPr>
                    <w:pStyle w:val="4"/>
                    <w:jc w:val="left"/>
                  </w:pPr>
                  <w:r>
                    <w:rPr>
                      <w:rFonts w:ascii="仿宋_GB2312" w:hAnsi="仿宋_GB2312" w:eastAsia="仿宋_GB2312" w:cs="仿宋_GB2312"/>
                      <w:sz w:val="24"/>
                    </w:rPr>
                    <w:t>续燃时间经向：≤1s、纬向：≤1s；</w:t>
                  </w:r>
                </w:p>
                <w:p w14:paraId="68041419">
                  <w:pPr>
                    <w:pStyle w:val="4"/>
                    <w:jc w:val="left"/>
                  </w:pPr>
                  <w:r>
                    <w:rPr>
                      <w:rFonts w:ascii="仿宋_GB2312" w:hAnsi="仿宋_GB2312" w:eastAsia="仿宋_GB2312" w:cs="仿宋_GB2312"/>
                      <w:sz w:val="24"/>
                    </w:rPr>
                    <w:t>损毁长度经向：≤50mm，纬向：≤50mm；</w:t>
                  </w:r>
                </w:p>
                <w:p w14:paraId="1B2854D0">
                  <w:pPr>
                    <w:pStyle w:val="4"/>
                    <w:jc w:val="left"/>
                  </w:pPr>
                  <w:r>
                    <w:rPr>
                      <w:rFonts w:ascii="仿宋_GB2312" w:hAnsi="仿宋_GB2312" w:eastAsia="仿宋_GB2312" w:cs="仿宋_GB2312"/>
                      <w:sz w:val="24"/>
                    </w:rPr>
                    <w:t>熔融、滴落：不应有；</w:t>
                  </w:r>
                </w:p>
                <w:p w14:paraId="294B31B0">
                  <w:pPr>
                    <w:pStyle w:val="4"/>
                    <w:jc w:val="left"/>
                  </w:pPr>
                  <w:r>
                    <w:rPr>
                      <w:rFonts w:ascii="仿宋_GB2312" w:hAnsi="仿宋_GB2312" w:eastAsia="仿宋_GB2312" w:cs="仿宋_GB2312"/>
                      <w:sz w:val="24"/>
                    </w:rPr>
                    <w:t>2、面料洗涤50次后:</w:t>
                  </w:r>
                </w:p>
                <w:p w14:paraId="10D8B2B6">
                  <w:pPr>
                    <w:pStyle w:val="4"/>
                    <w:jc w:val="left"/>
                  </w:pPr>
                  <w:r>
                    <w:rPr>
                      <w:rFonts w:ascii="仿宋_GB2312" w:hAnsi="仿宋_GB2312" w:eastAsia="仿宋_GB2312" w:cs="仿宋_GB2312"/>
                      <w:sz w:val="24"/>
                    </w:rPr>
                    <w:t>断裂强力经向：≥800N，纬向≥900N；</w:t>
                  </w:r>
                </w:p>
                <w:p w14:paraId="683D0D84">
                  <w:pPr>
                    <w:pStyle w:val="4"/>
                    <w:jc w:val="left"/>
                  </w:pPr>
                  <w:r>
                    <w:rPr>
                      <w:rFonts w:ascii="仿宋_GB2312" w:hAnsi="仿宋_GB2312" w:eastAsia="仿宋_GB2312" w:cs="仿宋_GB2312"/>
                      <w:sz w:val="24"/>
                    </w:rPr>
                    <w:t>撕破强力经向：≥160N，纬向≥100N；</w:t>
                  </w:r>
                </w:p>
                <w:p w14:paraId="0A83F9D0">
                  <w:pPr>
                    <w:pStyle w:val="4"/>
                    <w:jc w:val="left"/>
                  </w:pPr>
                  <w:r>
                    <w:rPr>
                      <w:rFonts w:ascii="仿宋_GB2312" w:hAnsi="仿宋_GB2312" w:eastAsia="仿宋_GB2312" w:cs="仿宋_GB2312"/>
                      <w:sz w:val="24"/>
                    </w:rPr>
                    <w:t>3、甲醛含量：≤75mg/kg；</w:t>
                  </w:r>
                </w:p>
                <w:p w14:paraId="33144720">
                  <w:pPr>
                    <w:pStyle w:val="4"/>
                    <w:jc w:val="left"/>
                  </w:pPr>
                  <w:r>
                    <w:rPr>
                      <w:rFonts w:ascii="仿宋_GB2312" w:hAnsi="仿宋_GB2312" w:eastAsia="仿宋_GB2312" w:cs="仿宋_GB2312"/>
                      <w:sz w:val="24"/>
                    </w:rPr>
                    <w:t>4、面料热稳定性（180℃±5℃）%：温度为（180±5）℃，经5min后，靴上部件不应熔融，硬质附件应保持性能完好；</w:t>
                  </w:r>
                </w:p>
                <w:p w14:paraId="08F54909">
                  <w:pPr>
                    <w:pStyle w:val="4"/>
                    <w:jc w:val="left"/>
                  </w:pPr>
                  <w:r>
                    <w:rPr>
                      <w:rFonts w:ascii="仿宋_GB2312" w:hAnsi="仿宋_GB2312" w:eastAsia="仿宋_GB2312" w:cs="仿宋_GB2312"/>
                      <w:sz w:val="24"/>
                    </w:rPr>
                    <w:t>▲5、靴底抗穿刺性能：≥1400N；</w:t>
                  </w:r>
                </w:p>
                <w:p w14:paraId="34DCE8F9">
                  <w:pPr>
                    <w:pStyle w:val="4"/>
                    <w:jc w:val="left"/>
                  </w:pPr>
                  <w:r>
                    <w:rPr>
                      <w:rFonts w:ascii="仿宋_GB2312" w:hAnsi="仿宋_GB2312" w:eastAsia="仿宋_GB2312" w:cs="仿宋_GB2312"/>
                      <w:sz w:val="24"/>
                    </w:rPr>
                    <w:t>▲6、防滑性能：始滑角不得≤15度；</w:t>
                  </w:r>
                </w:p>
                <w:p w14:paraId="44A9A4C5">
                  <w:pPr>
                    <w:pStyle w:val="4"/>
                    <w:jc w:val="left"/>
                  </w:pPr>
                  <w:r>
                    <w:rPr>
                      <w:rFonts w:ascii="仿宋_GB2312" w:hAnsi="仿宋_GB2312" w:eastAsia="仿宋_GB2312" w:cs="仿宋_GB2312"/>
                      <w:sz w:val="24"/>
                    </w:rPr>
                    <w:t>7、靴帮材质：应采用头层牛皮加阻燃芳纶面料，靴帮上应具有“中国森林防火”标志和反光条设计；</w:t>
                  </w:r>
                </w:p>
                <w:p w14:paraId="4FD11CAA">
                  <w:pPr>
                    <w:pStyle w:val="4"/>
                    <w:jc w:val="left"/>
                  </w:pPr>
                  <w:r>
                    <w:rPr>
                      <w:rFonts w:ascii="仿宋_GB2312" w:hAnsi="仿宋_GB2312" w:eastAsia="仿宋_GB2312" w:cs="仿宋_GB2312"/>
                      <w:sz w:val="24"/>
                    </w:rPr>
                    <w:t>▲8、靴帮阻燃面料材质：</w:t>
                  </w:r>
                </w:p>
                <w:p w14:paraId="12A76ED6">
                  <w:pPr>
                    <w:pStyle w:val="4"/>
                    <w:jc w:val="left"/>
                  </w:pPr>
                  <w:r>
                    <w:rPr>
                      <w:rFonts w:ascii="仿宋_GB2312" w:hAnsi="仿宋_GB2312" w:eastAsia="仿宋_GB2312" w:cs="仿宋_GB2312"/>
                      <w:sz w:val="24"/>
                    </w:rPr>
                    <w:t>阻燃层：采用芳纶面料；</w:t>
                  </w:r>
                </w:p>
                <w:p w14:paraId="5F00D1F8">
                  <w:pPr>
                    <w:pStyle w:val="4"/>
                    <w:jc w:val="left"/>
                  </w:pPr>
                  <w:r>
                    <w:rPr>
                      <w:rFonts w:ascii="仿宋_GB2312" w:hAnsi="仿宋_GB2312" w:eastAsia="仿宋_GB2312" w:cs="仿宋_GB2312"/>
                      <w:sz w:val="24"/>
                    </w:rPr>
                    <w:t>隔热层：采用芳纶水刺隔热毡；</w:t>
                  </w:r>
                </w:p>
                <w:p w14:paraId="58226F0F">
                  <w:pPr>
                    <w:pStyle w:val="4"/>
                    <w:jc w:val="left"/>
                  </w:pPr>
                  <w:r>
                    <w:rPr>
                      <w:rFonts w:ascii="仿宋_GB2312" w:hAnsi="仿宋_GB2312" w:eastAsia="仿宋_GB2312" w:cs="仿宋_GB2312"/>
                      <w:sz w:val="24"/>
                    </w:rPr>
                    <w:t>舒适层：采用芳纶粘胶阻燃面料；</w:t>
                  </w:r>
                </w:p>
                <w:p w14:paraId="4BA17616">
                  <w:pPr>
                    <w:pStyle w:val="4"/>
                    <w:jc w:val="left"/>
                  </w:pPr>
                  <w:r>
                    <w:rPr>
                      <w:rFonts w:ascii="仿宋_GB2312" w:hAnsi="仿宋_GB2312" w:eastAsia="仿宋_GB2312" w:cs="仿宋_GB2312"/>
                      <w:sz w:val="24"/>
                    </w:rPr>
                    <w:t>9、撕裂力：≥60N；</w:t>
                  </w:r>
                </w:p>
                <w:p w14:paraId="0B20C51F">
                  <w:pPr>
                    <w:pStyle w:val="4"/>
                    <w:jc w:val="left"/>
                  </w:pPr>
                  <w:r>
                    <w:rPr>
                      <w:rFonts w:ascii="仿宋_GB2312" w:hAnsi="仿宋_GB2312" w:eastAsia="仿宋_GB2312" w:cs="仿宋_GB2312"/>
                      <w:sz w:val="24"/>
                    </w:rPr>
                    <w:t>10、靴帮厚度：≥5mm；靴帮抗刺穿力：≥65N；</w:t>
                  </w:r>
                </w:p>
                <w:p w14:paraId="3C5BB8F3">
                  <w:pPr>
                    <w:pStyle w:val="4"/>
                    <w:jc w:val="left"/>
                  </w:pPr>
                  <w:r>
                    <w:rPr>
                      <w:rFonts w:ascii="仿宋_GB2312" w:hAnsi="仿宋_GB2312" w:eastAsia="仿宋_GB2312" w:cs="仿宋_GB2312"/>
                      <w:sz w:val="24"/>
                    </w:rPr>
                    <w:t>11、外底扯断强度：≥11Mpa；外底扯断伸长率：≥380%；</w:t>
                  </w:r>
                </w:p>
                <w:p w14:paraId="1E6A2107">
                  <w:pPr>
                    <w:pStyle w:val="4"/>
                    <w:jc w:val="left"/>
                  </w:pPr>
                  <w:r>
                    <w:rPr>
                      <w:rFonts w:ascii="仿宋_GB2312" w:hAnsi="仿宋_GB2312" w:eastAsia="仿宋_GB2312" w:cs="仿宋_GB2312"/>
                      <w:sz w:val="24"/>
                    </w:rPr>
                    <w:t>12、鞋底结构及材质：</w:t>
                  </w:r>
                </w:p>
                <w:p w14:paraId="5D64D9F6">
                  <w:pPr>
                    <w:pStyle w:val="4"/>
                    <w:jc w:val="left"/>
                  </w:pPr>
                  <w:r>
                    <w:rPr>
                      <w:rFonts w:ascii="仿宋_GB2312" w:hAnsi="仿宋_GB2312" w:eastAsia="仿宋_GB2312" w:cs="仿宋_GB2312"/>
                      <w:sz w:val="24"/>
                    </w:rPr>
                    <w:t>底层：优质橡胶；</w:t>
                  </w:r>
                </w:p>
                <w:p w14:paraId="0CAF5ABF">
                  <w:pPr>
                    <w:pStyle w:val="4"/>
                    <w:jc w:val="left"/>
                  </w:pPr>
                  <w:r>
                    <w:rPr>
                      <w:rFonts w:ascii="仿宋_GB2312" w:hAnsi="仿宋_GB2312" w:eastAsia="仿宋_GB2312" w:cs="仿宋_GB2312"/>
                      <w:sz w:val="24"/>
                    </w:rPr>
                    <w:t>中层：高弹性、高密度EVA；</w:t>
                  </w:r>
                </w:p>
                <w:p w14:paraId="29D0AB46">
                  <w:pPr>
                    <w:pStyle w:val="4"/>
                    <w:jc w:val="left"/>
                  </w:pPr>
                  <w:r>
                    <w:rPr>
                      <w:rFonts w:ascii="仿宋_GB2312" w:hAnsi="仿宋_GB2312" w:eastAsia="仿宋_GB2312" w:cs="仿宋_GB2312"/>
                      <w:sz w:val="24"/>
                    </w:rPr>
                    <w:t>上层：防穿刺的凯夫拉；</w:t>
                  </w:r>
                </w:p>
                <w:p w14:paraId="4374B221">
                  <w:pPr>
                    <w:pStyle w:val="4"/>
                    <w:jc w:val="left"/>
                  </w:pPr>
                  <w:r>
                    <w:rPr>
                      <w:rFonts w:ascii="仿宋_GB2312" w:hAnsi="仿宋_GB2312" w:eastAsia="仿宋_GB2312" w:cs="仿宋_GB2312"/>
                      <w:sz w:val="24"/>
                    </w:rPr>
                    <w:t>13、靴底制作工艺：应采用注塑一次成型。</w:t>
                  </w:r>
                </w:p>
                <w:p w14:paraId="434901BC">
                  <w:pPr>
                    <w:pStyle w:val="4"/>
                    <w:jc w:val="left"/>
                  </w:pPr>
                  <w:r>
                    <w:rPr>
                      <w:rFonts w:ascii="仿宋_GB2312" w:hAnsi="仿宋_GB2312" w:eastAsia="仿宋_GB2312" w:cs="仿宋_GB2312"/>
                      <w:sz w:val="24"/>
                    </w:rPr>
                    <w:t>七、背包</w:t>
                  </w:r>
                </w:p>
                <w:p w14:paraId="35C2D0A8">
                  <w:pPr>
                    <w:pStyle w:val="4"/>
                    <w:jc w:val="left"/>
                  </w:pPr>
                  <w:r>
                    <w:rPr>
                      <w:rFonts w:ascii="仿宋_GB2312" w:hAnsi="仿宋_GB2312" w:eastAsia="仿宋_GB2312" w:cs="仿宋_GB2312"/>
                      <w:sz w:val="24"/>
                    </w:rPr>
                    <w:t>背囊分区域设计：顶部内侧有1L证件拉链仓和扩展束口袋；左右侧各有三条夜光引导反光带和帐篷防潮垫固定绑带；弹力网格扩展兜；正面上部个人信息卡槽和印刷LOGO区；正面中部单位名称印刷区和双条附件挂环16个，背囊内部设计有饮水袋等物品挂扣和饮水管出口，内侧面10L束口仓和上下仓分格拉链；背部和腰部采用高弹力中空棉弹力保护网；</w:t>
                  </w:r>
                </w:p>
                <w:p w14:paraId="406DE067">
                  <w:pPr>
                    <w:pStyle w:val="4"/>
                    <w:jc w:val="left"/>
                  </w:pPr>
                  <w:r>
                    <w:rPr>
                      <w:rFonts w:ascii="仿宋_GB2312" w:hAnsi="仿宋_GB2312" w:eastAsia="仿宋_GB2312" w:cs="仿宋_GB2312"/>
                      <w:sz w:val="24"/>
                    </w:rPr>
                    <w:t>1、容积： ≥80L；</w:t>
                  </w:r>
                </w:p>
                <w:p w14:paraId="70F62996">
                  <w:pPr>
                    <w:pStyle w:val="4"/>
                    <w:jc w:val="left"/>
                  </w:pPr>
                  <w:r>
                    <w:rPr>
                      <w:rFonts w:ascii="仿宋_GB2312" w:hAnsi="仿宋_GB2312" w:eastAsia="仿宋_GB2312" w:cs="仿宋_GB2312"/>
                      <w:sz w:val="24"/>
                    </w:rPr>
                    <w:t>2、重量：≤2.15KG；</w:t>
                  </w:r>
                </w:p>
                <w:p w14:paraId="3B54EC41">
                  <w:pPr>
                    <w:pStyle w:val="4"/>
                    <w:jc w:val="left"/>
                  </w:pPr>
                  <w:r>
                    <w:rPr>
                      <w:rFonts w:ascii="仿宋_GB2312" w:hAnsi="仿宋_GB2312" w:eastAsia="仿宋_GB2312" w:cs="仿宋_GB2312"/>
                      <w:sz w:val="24"/>
                    </w:rPr>
                    <w:t>3、尺寸：长*宽*高≥35*28*85±3cm；</w:t>
                  </w:r>
                </w:p>
                <w:p w14:paraId="4C7DE828">
                  <w:pPr>
                    <w:pStyle w:val="4"/>
                    <w:jc w:val="left"/>
                  </w:pPr>
                  <w:r>
                    <w:rPr>
                      <w:rFonts w:ascii="仿宋_GB2312" w:hAnsi="仿宋_GB2312" w:eastAsia="仿宋_GB2312" w:cs="仿宋_GB2312"/>
                      <w:sz w:val="24"/>
                    </w:rPr>
                    <w:t>4、里料：210D锦纶加密或同等性能及以上材料，涂UL优丽胶面料，防水耐磨抗撕裂；</w:t>
                  </w:r>
                </w:p>
                <w:p w14:paraId="4F97A297">
                  <w:pPr>
                    <w:pStyle w:val="4"/>
                    <w:jc w:val="left"/>
                  </w:pPr>
                  <w:r>
                    <w:rPr>
                      <w:rFonts w:ascii="仿宋_GB2312" w:hAnsi="仿宋_GB2312" w:eastAsia="仿宋_GB2312" w:cs="仿宋_GB2312"/>
                      <w:sz w:val="24"/>
                    </w:rPr>
                    <w:t>5、背囊缝合强度≥381N；</w:t>
                  </w:r>
                </w:p>
                <w:p w14:paraId="5DDD7CA1">
                  <w:pPr>
                    <w:pStyle w:val="4"/>
                    <w:jc w:val="left"/>
                  </w:pPr>
                  <w:r>
                    <w:rPr>
                      <w:rFonts w:ascii="仿宋_GB2312" w:hAnsi="仿宋_GB2312" w:eastAsia="仿宋_GB2312" w:cs="仿宋_GB2312"/>
                      <w:sz w:val="24"/>
                    </w:rPr>
                    <w:t>6、耐水色牢度≥4；</w:t>
                  </w:r>
                </w:p>
                <w:p w14:paraId="7E8EB04C">
                  <w:pPr>
                    <w:pStyle w:val="4"/>
                    <w:jc w:val="left"/>
                  </w:pPr>
                  <w:r>
                    <w:rPr>
                      <w:rFonts w:ascii="仿宋_GB2312" w:hAnsi="仿宋_GB2312" w:eastAsia="仿宋_GB2312" w:cs="仿宋_GB2312"/>
                      <w:sz w:val="24"/>
                    </w:rPr>
                    <w:t>7、耐光色牢度≥4；</w:t>
                  </w:r>
                </w:p>
              </w:tc>
              <w:tc>
                <w:tcPr>
                  <w:tcW w:w="425" w:type="dxa"/>
                  <w:tcBorders>
                    <w:top w:val="nil"/>
                    <w:left w:val="nil"/>
                    <w:bottom w:val="single" w:color="333333" w:sz="4" w:space="0"/>
                    <w:right w:val="single" w:color="333333" w:sz="4" w:space="0"/>
                  </w:tcBorders>
                  <w:tcMar>
                    <w:top w:w="75" w:type="dxa"/>
                    <w:left w:w="120" w:type="dxa"/>
                    <w:bottom w:w="75" w:type="dxa"/>
                    <w:right w:w="120" w:type="dxa"/>
                  </w:tcMar>
                  <w:vAlign w:val="top"/>
                </w:tcPr>
                <w:p w14:paraId="315D38FD">
                  <w:pPr>
                    <w:pStyle w:val="4"/>
                    <w:jc w:val="left"/>
                  </w:pPr>
                </w:p>
              </w:tc>
              <w:tc>
                <w:tcPr>
                  <w:tcW w:w="405" w:type="dxa"/>
                  <w:tcBorders>
                    <w:top w:val="nil"/>
                    <w:left w:val="nil"/>
                    <w:bottom w:val="single" w:color="333333" w:sz="4" w:space="0"/>
                    <w:right w:val="single" w:color="333333" w:sz="4" w:space="0"/>
                  </w:tcBorders>
                  <w:tcMar>
                    <w:top w:w="75" w:type="dxa"/>
                    <w:left w:w="120" w:type="dxa"/>
                    <w:bottom w:w="75" w:type="dxa"/>
                    <w:right w:w="120" w:type="dxa"/>
                  </w:tcMar>
                  <w:vAlign w:val="top"/>
                </w:tcPr>
                <w:p w14:paraId="452B0AC9"/>
              </w:tc>
              <w:tc>
                <w:tcPr>
                  <w:tcW w:w="425" w:type="dxa"/>
                  <w:gridSpan w:val="2"/>
                  <w:tcBorders>
                    <w:top w:val="nil"/>
                    <w:left w:val="nil"/>
                    <w:bottom w:val="single" w:color="333333" w:sz="4" w:space="0"/>
                    <w:right w:val="single" w:color="333333" w:sz="4" w:space="0"/>
                  </w:tcBorders>
                  <w:tcMar>
                    <w:top w:w="75" w:type="dxa"/>
                    <w:left w:w="120" w:type="dxa"/>
                    <w:bottom w:w="75" w:type="dxa"/>
                    <w:right w:w="120" w:type="dxa"/>
                  </w:tcMar>
                  <w:vAlign w:val="top"/>
                </w:tcPr>
                <w:p w14:paraId="389A4C58"/>
              </w:tc>
            </w:tr>
            <w:tr w14:paraId="02EF3D7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75" w:type="dxa"/>
                  <w:tcBorders>
                    <w:top w:val="nil"/>
                    <w:left w:val="single" w:color="333333" w:sz="4" w:space="0"/>
                    <w:bottom w:val="single" w:color="333333" w:sz="4" w:space="0"/>
                    <w:right w:val="single" w:color="333333" w:sz="4" w:space="0"/>
                  </w:tcBorders>
                  <w:tcMar>
                    <w:top w:w="75" w:type="dxa"/>
                    <w:left w:w="120" w:type="dxa"/>
                    <w:bottom w:w="75" w:type="dxa"/>
                    <w:right w:w="120" w:type="dxa"/>
                  </w:tcMar>
                  <w:vAlign w:val="top"/>
                </w:tcPr>
                <w:p w14:paraId="3A60CBD7">
                  <w:pPr>
                    <w:pStyle w:val="4"/>
                    <w:jc w:val="left"/>
                  </w:pPr>
                  <w:r>
                    <w:rPr>
                      <w:rFonts w:ascii="仿宋_GB2312" w:hAnsi="仿宋_GB2312" w:eastAsia="仿宋_GB2312" w:cs="仿宋_GB2312"/>
                      <w:sz w:val="24"/>
                    </w:rPr>
                    <w:t>11</w:t>
                  </w:r>
                </w:p>
              </w:tc>
              <w:tc>
                <w:tcPr>
                  <w:tcW w:w="523" w:type="dxa"/>
                  <w:tcBorders>
                    <w:top w:val="nil"/>
                    <w:left w:val="nil"/>
                    <w:bottom w:val="single" w:color="333333" w:sz="4" w:space="0"/>
                    <w:right w:val="single" w:color="333333" w:sz="4" w:space="0"/>
                  </w:tcBorders>
                  <w:tcMar>
                    <w:top w:w="75" w:type="dxa"/>
                    <w:left w:w="120" w:type="dxa"/>
                    <w:bottom w:w="75" w:type="dxa"/>
                    <w:right w:w="120" w:type="dxa"/>
                  </w:tcMar>
                  <w:vAlign w:val="top"/>
                </w:tcPr>
                <w:p w14:paraId="709CD564">
                  <w:pPr>
                    <w:pStyle w:val="4"/>
                    <w:jc w:val="left"/>
                  </w:pPr>
                  <w:r>
                    <w:rPr>
                      <w:rFonts w:ascii="仿宋_GB2312" w:hAnsi="仿宋_GB2312" w:eastAsia="仿宋_GB2312" w:cs="仿宋_GB2312"/>
                      <w:sz w:val="24"/>
                    </w:rPr>
                    <w:t>灭火器</w:t>
                  </w:r>
                </w:p>
              </w:tc>
              <w:tc>
                <w:tcPr>
                  <w:tcW w:w="3446" w:type="dxa"/>
                  <w:tcBorders>
                    <w:top w:val="nil"/>
                    <w:left w:val="nil"/>
                    <w:bottom w:val="single" w:color="333333" w:sz="4" w:space="0"/>
                    <w:right w:val="single" w:color="333333" w:sz="4" w:space="0"/>
                  </w:tcBorders>
                  <w:tcMar>
                    <w:top w:w="75" w:type="dxa"/>
                    <w:left w:w="120" w:type="dxa"/>
                    <w:bottom w:w="75" w:type="dxa"/>
                    <w:right w:w="120" w:type="dxa"/>
                  </w:tcMar>
                  <w:vAlign w:val="top"/>
                </w:tcPr>
                <w:p w14:paraId="261A281E">
                  <w:pPr>
                    <w:pStyle w:val="4"/>
                    <w:jc w:val="left"/>
                  </w:pPr>
                  <w:r>
                    <w:rPr>
                      <w:rFonts w:ascii="仿宋_GB2312" w:hAnsi="仿宋_GB2312" w:eastAsia="仿宋_GB2312" w:cs="仿宋_GB2312"/>
                      <w:sz w:val="24"/>
                    </w:rPr>
                    <w:t>1、产品名称：手提式干粉灭火器。</w:t>
                  </w:r>
                </w:p>
                <w:p w14:paraId="25C02C67">
                  <w:pPr>
                    <w:pStyle w:val="4"/>
                    <w:jc w:val="left"/>
                  </w:pPr>
                  <w:r>
                    <w:rPr>
                      <w:rFonts w:ascii="仿宋_GB2312" w:hAnsi="仿宋_GB2312" w:eastAsia="仿宋_GB2312" w:cs="仿宋_GB2312"/>
                      <w:sz w:val="24"/>
                    </w:rPr>
                    <w:t>2、瓶身外表面需按照采购人要求喷印文字，相关文字喷漆规范、清晰。</w:t>
                  </w:r>
                </w:p>
                <w:p w14:paraId="0555EFC8">
                  <w:pPr>
                    <w:pStyle w:val="4"/>
                    <w:jc w:val="left"/>
                  </w:pPr>
                  <w:r>
                    <w:rPr>
                      <w:rFonts w:ascii="仿宋_GB2312" w:hAnsi="仿宋_GB2312" w:eastAsia="仿宋_GB2312" w:cs="仿宋_GB2312"/>
                      <w:sz w:val="24"/>
                    </w:rPr>
                    <w:t>★3、手提式干粉灭火器应符合GB4351-2023《手提式灭火器》国家标准；灭火剂的名称和规格：干粉灭火剂ABC-NH4H2PO4(75%)+(NH4)2SO4(15%)；灭火器的灭火级别和灭火种类：2A、55B、C、E；</w:t>
                  </w:r>
                </w:p>
                <w:p w14:paraId="462193AB">
                  <w:pPr>
                    <w:pStyle w:val="4"/>
                    <w:jc w:val="left"/>
                  </w:pPr>
                  <w:r>
                    <w:rPr>
                      <w:rFonts w:ascii="仿宋_GB2312" w:hAnsi="仿宋_GB2312" w:eastAsia="仿宋_GB2312" w:cs="仿宋_GB2312"/>
                      <w:sz w:val="24"/>
                    </w:rPr>
                    <w:t>▲4、喷射性能试验测试：喷射距离≥3m，喷射剩余率≤5%，有效喷射时间≥10s。</w:t>
                  </w:r>
                </w:p>
                <w:p w14:paraId="138FF3E1">
                  <w:pPr>
                    <w:pStyle w:val="4"/>
                    <w:jc w:val="left"/>
                  </w:pPr>
                  <w:r>
                    <w:rPr>
                      <w:rFonts w:ascii="仿宋_GB2312" w:hAnsi="仿宋_GB2312" w:eastAsia="仿宋_GB2312" w:cs="仿宋_GB2312"/>
                      <w:sz w:val="24"/>
                    </w:rPr>
                    <w:t>5、药剂保质期≥4年。</w:t>
                  </w:r>
                </w:p>
                <w:p w14:paraId="39150FCF">
                  <w:pPr>
                    <w:pStyle w:val="4"/>
                    <w:jc w:val="left"/>
                  </w:pPr>
                  <w:r>
                    <w:rPr>
                      <w:rFonts w:ascii="仿宋_GB2312" w:hAnsi="仿宋_GB2312" w:eastAsia="仿宋_GB2312" w:cs="仿宋_GB2312"/>
                      <w:sz w:val="24"/>
                    </w:rPr>
                    <w:t>6、灭火器充装量：4kg（±3%）</w:t>
                  </w:r>
                </w:p>
              </w:tc>
              <w:tc>
                <w:tcPr>
                  <w:tcW w:w="425" w:type="dxa"/>
                  <w:tcBorders>
                    <w:top w:val="nil"/>
                    <w:left w:val="nil"/>
                    <w:bottom w:val="single" w:color="333333" w:sz="4" w:space="0"/>
                    <w:right w:val="single" w:color="333333" w:sz="4" w:space="0"/>
                  </w:tcBorders>
                  <w:tcMar>
                    <w:top w:w="75" w:type="dxa"/>
                    <w:left w:w="120" w:type="dxa"/>
                    <w:bottom w:w="75" w:type="dxa"/>
                    <w:right w:w="120" w:type="dxa"/>
                  </w:tcMar>
                  <w:vAlign w:val="top"/>
                </w:tcPr>
                <w:p w14:paraId="4F9A7FDF">
                  <w:pPr>
                    <w:pStyle w:val="4"/>
                    <w:jc w:val="left"/>
                  </w:pPr>
                </w:p>
              </w:tc>
              <w:tc>
                <w:tcPr>
                  <w:tcW w:w="405" w:type="dxa"/>
                  <w:tcBorders>
                    <w:top w:val="nil"/>
                    <w:left w:val="nil"/>
                    <w:bottom w:val="single" w:color="333333" w:sz="4" w:space="0"/>
                    <w:right w:val="single" w:color="333333" w:sz="4" w:space="0"/>
                  </w:tcBorders>
                  <w:tcMar>
                    <w:top w:w="75" w:type="dxa"/>
                    <w:left w:w="120" w:type="dxa"/>
                    <w:bottom w:w="75" w:type="dxa"/>
                    <w:right w:w="120" w:type="dxa"/>
                  </w:tcMar>
                  <w:vAlign w:val="top"/>
                </w:tcPr>
                <w:p w14:paraId="164EF42D"/>
              </w:tc>
              <w:tc>
                <w:tcPr>
                  <w:tcW w:w="425" w:type="dxa"/>
                  <w:gridSpan w:val="2"/>
                  <w:tcBorders>
                    <w:top w:val="nil"/>
                    <w:left w:val="nil"/>
                    <w:bottom w:val="single" w:color="333333" w:sz="4" w:space="0"/>
                    <w:right w:val="single" w:color="333333" w:sz="4" w:space="0"/>
                  </w:tcBorders>
                  <w:tcMar>
                    <w:top w:w="75" w:type="dxa"/>
                    <w:left w:w="120" w:type="dxa"/>
                    <w:bottom w:w="75" w:type="dxa"/>
                    <w:right w:w="120" w:type="dxa"/>
                  </w:tcMar>
                  <w:vAlign w:val="top"/>
                </w:tcPr>
                <w:p w14:paraId="2A3F8422"/>
              </w:tc>
            </w:tr>
            <w:tr w14:paraId="75FBCBC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75" w:type="dxa"/>
                  <w:tcBorders>
                    <w:top w:val="nil"/>
                    <w:left w:val="single" w:color="333333" w:sz="4" w:space="0"/>
                    <w:bottom w:val="single" w:color="333333" w:sz="4" w:space="0"/>
                    <w:right w:val="single" w:color="333333" w:sz="4" w:space="0"/>
                  </w:tcBorders>
                  <w:tcMar>
                    <w:top w:w="75" w:type="dxa"/>
                    <w:left w:w="120" w:type="dxa"/>
                    <w:bottom w:w="75" w:type="dxa"/>
                    <w:right w:w="120" w:type="dxa"/>
                  </w:tcMar>
                  <w:vAlign w:val="top"/>
                </w:tcPr>
                <w:p w14:paraId="5DEFDEB0">
                  <w:pPr>
                    <w:pStyle w:val="4"/>
                    <w:jc w:val="left"/>
                  </w:pPr>
                  <w:r>
                    <w:rPr>
                      <w:rFonts w:ascii="仿宋_GB2312" w:hAnsi="仿宋_GB2312" w:eastAsia="仿宋_GB2312" w:cs="仿宋_GB2312"/>
                      <w:color w:val="000000"/>
                      <w:sz w:val="24"/>
                    </w:rPr>
                    <w:t>12</w:t>
                  </w:r>
                </w:p>
              </w:tc>
              <w:tc>
                <w:tcPr>
                  <w:tcW w:w="523" w:type="dxa"/>
                  <w:tcBorders>
                    <w:top w:val="nil"/>
                    <w:left w:val="nil"/>
                    <w:bottom w:val="single" w:color="333333" w:sz="4" w:space="0"/>
                    <w:right w:val="single" w:color="333333" w:sz="4" w:space="0"/>
                  </w:tcBorders>
                  <w:tcMar>
                    <w:top w:w="75" w:type="dxa"/>
                    <w:left w:w="120" w:type="dxa"/>
                    <w:bottom w:w="75" w:type="dxa"/>
                    <w:right w:w="120" w:type="dxa"/>
                  </w:tcMar>
                  <w:vAlign w:val="top"/>
                </w:tcPr>
                <w:p w14:paraId="1ADB1D95">
                  <w:pPr>
                    <w:pStyle w:val="4"/>
                    <w:jc w:val="left"/>
                  </w:pPr>
                  <w:r>
                    <w:rPr>
                      <w:rFonts w:ascii="仿宋_GB2312" w:hAnsi="仿宋_GB2312" w:eastAsia="仿宋_GB2312" w:cs="仿宋_GB2312"/>
                      <w:color w:val="000000"/>
                      <w:sz w:val="24"/>
                    </w:rPr>
                    <w:t>救援绳</w:t>
                  </w:r>
                </w:p>
              </w:tc>
              <w:tc>
                <w:tcPr>
                  <w:tcW w:w="3446" w:type="dxa"/>
                  <w:tcBorders>
                    <w:top w:val="nil"/>
                    <w:left w:val="nil"/>
                    <w:bottom w:val="single" w:color="333333" w:sz="4" w:space="0"/>
                    <w:right w:val="single" w:color="333333" w:sz="4" w:space="0"/>
                  </w:tcBorders>
                  <w:tcMar>
                    <w:top w:w="75" w:type="dxa"/>
                    <w:left w:w="120" w:type="dxa"/>
                    <w:bottom w:w="75" w:type="dxa"/>
                    <w:right w:w="120" w:type="dxa"/>
                  </w:tcMar>
                  <w:vAlign w:val="top"/>
                </w:tcPr>
                <w:p w14:paraId="785106FF">
                  <w:pPr>
                    <w:pStyle w:val="4"/>
                    <w:jc w:val="left"/>
                  </w:pPr>
                  <w:r>
                    <w:rPr>
                      <w:rFonts w:ascii="仿宋_GB2312" w:hAnsi="仿宋_GB2312" w:eastAsia="仿宋_GB2312" w:cs="仿宋_GB2312"/>
                      <w:sz w:val="24"/>
                    </w:rPr>
                    <w:t>★1、技术性能符合XF494-2023《消防用防坠落装备》标准要求；</w:t>
                  </w:r>
                </w:p>
                <w:p w14:paraId="2FE42E05">
                  <w:pPr>
                    <w:pStyle w:val="4"/>
                    <w:jc w:val="left"/>
                  </w:pPr>
                  <w:r>
                    <w:rPr>
                      <w:rFonts w:ascii="仿宋_GB2312" w:hAnsi="仿宋_GB2312" w:eastAsia="仿宋_GB2312" w:cs="仿宋_GB2312"/>
                      <w:sz w:val="24"/>
                    </w:rPr>
                    <w:t>2、安全绳为连续结构，主承重部分由涤纶纤维长丝做成，采用包心绳结构，表面无任何机械损伤现象，整绳粗细均匀，结构一致；</w:t>
                  </w:r>
                </w:p>
                <w:p w14:paraId="5FA1AADA">
                  <w:pPr>
                    <w:pStyle w:val="4"/>
                    <w:jc w:val="left"/>
                  </w:pPr>
                  <w:r>
                    <w:rPr>
                      <w:rFonts w:ascii="仿宋_GB2312" w:hAnsi="仿宋_GB2312" w:eastAsia="仿宋_GB2312" w:cs="仿宋_GB2312"/>
                      <w:sz w:val="24"/>
                    </w:rPr>
                    <w:t>3、直径12.5mm±0.5mm，长度≥50m；</w:t>
                  </w:r>
                </w:p>
                <w:p w14:paraId="56553628">
                  <w:pPr>
                    <w:pStyle w:val="4"/>
                    <w:jc w:val="left"/>
                  </w:pPr>
                  <w:r>
                    <w:rPr>
                      <w:rFonts w:ascii="仿宋_GB2312" w:hAnsi="仿宋_GB2312" w:eastAsia="仿宋_GB2312" w:cs="仿宋_GB2312"/>
                      <w:sz w:val="24"/>
                    </w:rPr>
                    <w:t>4、破断强度：≥50KN；</w:t>
                  </w:r>
                </w:p>
                <w:p w14:paraId="46A7A14A">
                  <w:pPr>
                    <w:pStyle w:val="4"/>
                    <w:jc w:val="left"/>
                  </w:pPr>
                  <w:r>
                    <w:rPr>
                      <w:rFonts w:ascii="仿宋_GB2312" w:hAnsi="仿宋_GB2312" w:eastAsia="仿宋_GB2312" w:cs="仿宋_GB2312"/>
                      <w:sz w:val="24"/>
                    </w:rPr>
                    <w:t>5、当承重达到最小破断强度的10%时，安全绳的延伸率应不小于1%且不大于10%；</w:t>
                  </w:r>
                </w:p>
                <w:p w14:paraId="11DA917E">
                  <w:pPr>
                    <w:pStyle w:val="4"/>
                    <w:jc w:val="left"/>
                  </w:pPr>
                  <w:r>
                    <w:rPr>
                      <w:rFonts w:ascii="仿宋_GB2312" w:hAnsi="仿宋_GB2312" w:eastAsia="仿宋_GB2312" w:cs="仿宋_GB2312"/>
                      <w:sz w:val="24"/>
                    </w:rPr>
                    <w:t>6、在204°±5℃的耐高温性能试验后，安全绳无融熔、焦化现象；</w:t>
                  </w:r>
                </w:p>
                <w:p w14:paraId="2A5212FB">
                  <w:pPr>
                    <w:pStyle w:val="4"/>
                    <w:jc w:val="left"/>
                  </w:pPr>
                  <w:r>
                    <w:rPr>
                      <w:rFonts w:ascii="仿宋_GB2312" w:hAnsi="仿宋_GB2312" w:eastAsia="仿宋_GB2312" w:cs="仿宋_GB2312"/>
                      <w:sz w:val="24"/>
                    </w:rPr>
                    <w:t>7、绳芯结构：不少于12股，并行排列，另有一根宽度不小于2mm标有生产企业名称的信息条。</w:t>
                  </w:r>
                </w:p>
              </w:tc>
              <w:tc>
                <w:tcPr>
                  <w:tcW w:w="425" w:type="dxa"/>
                  <w:tcBorders>
                    <w:top w:val="nil"/>
                    <w:left w:val="nil"/>
                    <w:bottom w:val="single" w:color="333333" w:sz="4" w:space="0"/>
                    <w:right w:val="single" w:color="333333" w:sz="4" w:space="0"/>
                  </w:tcBorders>
                  <w:tcMar>
                    <w:top w:w="75" w:type="dxa"/>
                    <w:left w:w="120" w:type="dxa"/>
                    <w:bottom w:w="75" w:type="dxa"/>
                    <w:right w:w="120" w:type="dxa"/>
                  </w:tcMar>
                  <w:vAlign w:val="top"/>
                </w:tcPr>
                <w:p w14:paraId="1D76F6AD">
                  <w:pPr>
                    <w:pStyle w:val="4"/>
                    <w:jc w:val="left"/>
                  </w:pPr>
                </w:p>
              </w:tc>
              <w:tc>
                <w:tcPr>
                  <w:tcW w:w="405" w:type="dxa"/>
                  <w:tcBorders>
                    <w:top w:val="nil"/>
                    <w:left w:val="nil"/>
                    <w:bottom w:val="single" w:color="333333" w:sz="4" w:space="0"/>
                    <w:right w:val="single" w:color="333333" w:sz="4" w:space="0"/>
                  </w:tcBorders>
                  <w:tcMar>
                    <w:top w:w="75" w:type="dxa"/>
                    <w:left w:w="120" w:type="dxa"/>
                    <w:bottom w:w="75" w:type="dxa"/>
                    <w:right w:w="120" w:type="dxa"/>
                  </w:tcMar>
                  <w:vAlign w:val="top"/>
                </w:tcPr>
                <w:p w14:paraId="38F3E0E3"/>
              </w:tc>
              <w:tc>
                <w:tcPr>
                  <w:tcW w:w="425" w:type="dxa"/>
                  <w:gridSpan w:val="2"/>
                  <w:tcBorders>
                    <w:top w:val="nil"/>
                    <w:left w:val="nil"/>
                    <w:bottom w:val="single" w:color="333333" w:sz="4" w:space="0"/>
                    <w:right w:val="single" w:color="333333" w:sz="4" w:space="0"/>
                  </w:tcBorders>
                  <w:tcMar>
                    <w:top w:w="75" w:type="dxa"/>
                    <w:left w:w="120" w:type="dxa"/>
                    <w:bottom w:w="75" w:type="dxa"/>
                    <w:right w:w="120" w:type="dxa"/>
                  </w:tcMar>
                  <w:vAlign w:val="top"/>
                </w:tcPr>
                <w:p w14:paraId="4A687656"/>
              </w:tc>
            </w:tr>
            <w:tr w14:paraId="3AF7C98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75" w:type="dxa"/>
                  <w:tcBorders>
                    <w:top w:val="nil"/>
                    <w:left w:val="single" w:color="333333" w:sz="4" w:space="0"/>
                    <w:bottom w:val="single" w:color="333333" w:sz="4" w:space="0"/>
                    <w:right w:val="single" w:color="333333" w:sz="4" w:space="0"/>
                  </w:tcBorders>
                  <w:tcMar>
                    <w:top w:w="75" w:type="dxa"/>
                    <w:left w:w="120" w:type="dxa"/>
                    <w:bottom w:w="75" w:type="dxa"/>
                    <w:right w:w="120" w:type="dxa"/>
                  </w:tcMar>
                  <w:vAlign w:val="top"/>
                </w:tcPr>
                <w:p w14:paraId="5672A480">
                  <w:pPr>
                    <w:pStyle w:val="4"/>
                    <w:jc w:val="left"/>
                  </w:pPr>
                  <w:r>
                    <w:rPr>
                      <w:rFonts w:ascii="仿宋_GB2312" w:hAnsi="仿宋_GB2312" w:eastAsia="仿宋_GB2312" w:cs="仿宋_GB2312"/>
                      <w:color w:val="000000"/>
                      <w:sz w:val="24"/>
                    </w:rPr>
                    <w:t>13</w:t>
                  </w:r>
                </w:p>
              </w:tc>
              <w:tc>
                <w:tcPr>
                  <w:tcW w:w="523" w:type="dxa"/>
                  <w:tcBorders>
                    <w:top w:val="nil"/>
                    <w:left w:val="nil"/>
                    <w:bottom w:val="single" w:color="333333" w:sz="4" w:space="0"/>
                    <w:right w:val="single" w:color="333333" w:sz="4" w:space="0"/>
                  </w:tcBorders>
                  <w:tcMar>
                    <w:top w:w="75" w:type="dxa"/>
                    <w:left w:w="120" w:type="dxa"/>
                    <w:bottom w:w="75" w:type="dxa"/>
                    <w:right w:w="120" w:type="dxa"/>
                  </w:tcMar>
                  <w:vAlign w:val="top"/>
                </w:tcPr>
                <w:p w14:paraId="637311CF">
                  <w:pPr>
                    <w:pStyle w:val="4"/>
                    <w:jc w:val="left"/>
                  </w:pPr>
                  <w:r>
                    <w:rPr>
                      <w:rFonts w:ascii="仿宋_GB2312" w:hAnsi="仿宋_GB2312" w:eastAsia="仿宋_GB2312" w:cs="仿宋_GB2312"/>
                      <w:color w:val="000000"/>
                      <w:sz w:val="24"/>
                    </w:rPr>
                    <w:t>折叠梯</w:t>
                  </w:r>
                </w:p>
              </w:tc>
              <w:tc>
                <w:tcPr>
                  <w:tcW w:w="3446" w:type="dxa"/>
                  <w:tcBorders>
                    <w:top w:val="nil"/>
                    <w:left w:val="nil"/>
                    <w:bottom w:val="single" w:color="333333" w:sz="4" w:space="0"/>
                    <w:right w:val="single" w:color="333333" w:sz="4" w:space="0"/>
                  </w:tcBorders>
                  <w:tcMar>
                    <w:top w:w="75" w:type="dxa"/>
                    <w:left w:w="120" w:type="dxa"/>
                    <w:bottom w:w="75" w:type="dxa"/>
                    <w:right w:w="120" w:type="dxa"/>
                  </w:tcMar>
                  <w:vAlign w:val="top"/>
                </w:tcPr>
                <w:p w14:paraId="293BAAFF">
                  <w:pPr>
                    <w:pStyle w:val="4"/>
                    <w:jc w:val="left"/>
                  </w:pPr>
                  <w:r>
                    <w:rPr>
                      <w:rFonts w:ascii="仿宋_GB2312" w:hAnsi="仿宋_GB2312" w:eastAsia="仿宋_GB2312" w:cs="仿宋_GB2312"/>
                      <w:sz w:val="24"/>
                    </w:rPr>
                    <w:t>1、直行高度：≥3.7m，收缩高度≤1m；</w:t>
                  </w:r>
                </w:p>
                <w:p w14:paraId="71CDB860">
                  <w:pPr>
                    <w:pStyle w:val="4"/>
                    <w:jc w:val="left"/>
                  </w:pPr>
                  <w:r>
                    <w:rPr>
                      <w:rFonts w:ascii="仿宋_GB2312" w:hAnsi="仿宋_GB2312" w:eastAsia="仿宋_GB2312" w:cs="仿宋_GB2312"/>
                      <w:sz w:val="24"/>
                    </w:rPr>
                    <w:t>2、承载能力：≥100kg；</w:t>
                  </w:r>
                </w:p>
                <w:p w14:paraId="2E3EB324">
                  <w:pPr>
                    <w:pStyle w:val="4"/>
                    <w:jc w:val="left"/>
                  </w:pPr>
                  <w:r>
                    <w:rPr>
                      <w:rFonts w:ascii="仿宋_GB2312" w:hAnsi="仿宋_GB2312" w:eastAsia="仿宋_GB2312" w:cs="仿宋_GB2312"/>
                      <w:sz w:val="24"/>
                    </w:rPr>
                    <w:t>3、重量：≤15kg；</w:t>
                  </w:r>
                </w:p>
                <w:p w14:paraId="2AB77B4C">
                  <w:pPr>
                    <w:pStyle w:val="4"/>
                    <w:jc w:val="left"/>
                  </w:pPr>
                  <w:r>
                    <w:rPr>
                      <w:rFonts w:ascii="仿宋_GB2312" w:hAnsi="仿宋_GB2312" w:eastAsia="仿宋_GB2312" w:cs="仿宋_GB2312"/>
                      <w:sz w:val="24"/>
                    </w:rPr>
                    <w:t>4、管内套叠设计，不少于4个防滑脚套。</w:t>
                  </w:r>
                </w:p>
              </w:tc>
              <w:tc>
                <w:tcPr>
                  <w:tcW w:w="425" w:type="dxa"/>
                  <w:tcBorders>
                    <w:top w:val="nil"/>
                    <w:left w:val="nil"/>
                    <w:bottom w:val="single" w:color="333333" w:sz="4" w:space="0"/>
                    <w:right w:val="single" w:color="333333" w:sz="4" w:space="0"/>
                  </w:tcBorders>
                  <w:tcMar>
                    <w:top w:w="75" w:type="dxa"/>
                    <w:left w:w="120" w:type="dxa"/>
                    <w:bottom w:w="75" w:type="dxa"/>
                    <w:right w:w="120" w:type="dxa"/>
                  </w:tcMar>
                  <w:vAlign w:val="top"/>
                </w:tcPr>
                <w:p w14:paraId="339A4D65">
                  <w:pPr>
                    <w:pStyle w:val="4"/>
                    <w:jc w:val="left"/>
                  </w:pPr>
                </w:p>
              </w:tc>
              <w:tc>
                <w:tcPr>
                  <w:tcW w:w="405" w:type="dxa"/>
                  <w:tcBorders>
                    <w:top w:val="nil"/>
                    <w:left w:val="nil"/>
                    <w:bottom w:val="single" w:color="333333" w:sz="4" w:space="0"/>
                    <w:right w:val="single" w:color="333333" w:sz="4" w:space="0"/>
                  </w:tcBorders>
                  <w:tcMar>
                    <w:top w:w="75" w:type="dxa"/>
                    <w:left w:w="120" w:type="dxa"/>
                    <w:bottom w:w="75" w:type="dxa"/>
                    <w:right w:w="120" w:type="dxa"/>
                  </w:tcMar>
                  <w:vAlign w:val="top"/>
                </w:tcPr>
                <w:p w14:paraId="2C082123"/>
              </w:tc>
              <w:tc>
                <w:tcPr>
                  <w:tcW w:w="425" w:type="dxa"/>
                  <w:gridSpan w:val="2"/>
                  <w:tcBorders>
                    <w:top w:val="nil"/>
                    <w:left w:val="nil"/>
                    <w:bottom w:val="single" w:color="333333" w:sz="4" w:space="0"/>
                    <w:right w:val="single" w:color="333333" w:sz="4" w:space="0"/>
                  </w:tcBorders>
                  <w:tcMar>
                    <w:top w:w="75" w:type="dxa"/>
                    <w:left w:w="120" w:type="dxa"/>
                    <w:bottom w:w="75" w:type="dxa"/>
                    <w:right w:w="120" w:type="dxa"/>
                  </w:tcMar>
                  <w:vAlign w:val="top"/>
                </w:tcPr>
                <w:p w14:paraId="5A50C9DB"/>
              </w:tc>
            </w:tr>
            <w:tr w14:paraId="33419F8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75" w:type="dxa"/>
                  <w:tcBorders>
                    <w:top w:val="nil"/>
                    <w:left w:val="single" w:color="333333" w:sz="4" w:space="0"/>
                    <w:bottom w:val="single" w:color="333333" w:sz="4" w:space="0"/>
                    <w:right w:val="single" w:color="333333" w:sz="4" w:space="0"/>
                  </w:tcBorders>
                  <w:tcMar>
                    <w:top w:w="75" w:type="dxa"/>
                    <w:left w:w="120" w:type="dxa"/>
                    <w:bottom w:w="75" w:type="dxa"/>
                    <w:right w:w="120" w:type="dxa"/>
                  </w:tcMar>
                  <w:vAlign w:val="top"/>
                </w:tcPr>
                <w:p w14:paraId="62521C4C">
                  <w:pPr>
                    <w:pStyle w:val="4"/>
                    <w:jc w:val="left"/>
                  </w:pPr>
                  <w:r>
                    <w:rPr>
                      <w:rFonts w:ascii="仿宋_GB2312" w:hAnsi="仿宋_GB2312" w:eastAsia="仿宋_GB2312" w:cs="仿宋_GB2312"/>
                      <w:sz w:val="24"/>
                    </w:rPr>
                    <w:t>14</w:t>
                  </w:r>
                </w:p>
              </w:tc>
              <w:tc>
                <w:tcPr>
                  <w:tcW w:w="523" w:type="dxa"/>
                  <w:tcBorders>
                    <w:top w:val="nil"/>
                    <w:left w:val="nil"/>
                    <w:bottom w:val="single" w:color="333333" w:sz="4" w:space="0"/>
                    <w:right w:val="single" w:color="333333" w:sz="4" w:space="0"/>
                  </w:tcBorders>
                  <w:tcMar>
                    <w:top w:w="75" w:type="dxa"/>
                    <w:left w:w="120" w:type="dxa"/>
                    <w:bottom w:w="75" w:type="dxa"/>
                    <w:right w:w="120" w:type="dxa"/>
                  </w:tcMar>
                  <w:vAlign w:val="top"/>
                </w:tcPr>
                <w:p w14:paraId="3FAECE7C">
                  <w:pPr>
                    <w:pStyle w:val="4"/>
                    <w:jc w:val="left"/>
                  </w:pPr>
                  <w:r>
                    <w:rPr>
                      <w:rFonts w:ascii="仿宋_GB2312" w:hAnsi="仿宋_GB2312" w:eastAsia="仿宋_GB2312" w:cs="仿宋_GB2312"/>
                      <w:sz w:val="24"/>
                    </w:rPr>
                    <w:t>警示带</w:t>
                  </w:r>
                </w:p>
              </w:tc>
              <w:tc>
                <w:tcPr>
                  <w:tcW w:w="3446" w:type="dxa"/>
                  <w:tcBorders>
                    <w:top w:val="nil"/>
                    <w:left w:val="nil"/>
                    <w:bottom w:val="single" w:color="333333" w:sz="4" w:space="0"/>
                    <w:right w:val="single" w:color="333333" w:sz="4" w:space="0"/>
                  </w:tcBorders>
                  <w:tcMar>
                    <w:top w:w="75" w:type="dxa"/>
                    <w:left w:w="120" w:type="dxa"/>
                    <w:bottom w:w="75" w:type="dxa"/>
                    <w:right w:w="120" w:type="dxa"/>
                  </w:tcMar>
                  <w:vAlign w:val="top"/>
                </w:tcPr>
                <w:p w14:paraId="067CC021">
                  <w:pPr>
                    <w:pStyle w:val="4"/>
                    <w:jc w:val="left"/>
                  </w:pPr>
                  <w:r>
                    <w:rPr>
                      <w:rFonts w:ascii="仿宋_GB2312" w:hAnsi="仿宋_GB2312" w:eastAsia="仿宋_GB2312" w:cs="仿宋_GB2312"/>
                      <w:sz w:val="24"/>
                    </w:rPr>
                    <w:t>1、警示带印有“警戒线”等字样。</w:t>
                  </w:r>
                </w:p>
                <w:p w14:paraId="7597F77D">
                  <w:pPr>
                    <w:pStyle w:val="4"/>
                    <w:jc w:val="left"/>
                  </w:pPr>
                  <w:r>
                    <w:rPr>
                      <w:rFonts w:ascii="仿宋_GB2312" w:hAnsi="仿宋_GB2312" w:eastAsia="仿宋_GB2312" w:cs="仿宋_GB2312"/>
                      <w:sz w:val="24"/>
                    </w:rPr>
                    <w:t>2、材质：涤纶布。</w:t>
                  </w:r>
                </w:p>
                <w:p w14:paraId="15DBE3E4">
                  <w:pPr>
                    <w:pStyle w:val="4"/>
                    <w:jc w:val="left"/>
                  </w:pPr>
                  <w:r>
                    <w:rPr>
                      <w:rFonts w:ascii="仿宋_GB2312" w:hAnsi="仿宋_GB2312" w:eastAsia="仿宋_GB2312" w:cs="仿宋_GB2312"/>
                      <w:sz w:val="24"/>
                    </w:rPr>
                    <w:t>3、厚度：≥0.1mm。</w:t>
                  </w:r>
                </w:p>
                <w:p w14:paraId="54E2FC8B">
                  <w:pPr>
                    <w:pStyle w:val="4"/>
                    <w:jc w:val="left"/>
                  </w:pPr>
                  <w:r>
                    <w:rPr>
                      <w:rFonts w:ascii="仿宋_GB2312" w:hAnsi="仿宋_GB2312" w:eastAsia="仿宋_GB2312" w:cs="仿宋_GB2312"/>
                      <w:sz w:val="24"/>
                    </w:rPr>
                    <w:t>4、宽度：≥4cm。</w:t>
                  </w:r>
                </w:p>
                <w:p w14:paraId="4A6DF390">
                  <w:pPr>
                    <w:pStyle w:val="4"/>
                    <w:jc w:val="left"/>
                  </w:pPr>
                  <w:r>
                    <w:rPr>
                      <w:rFonts w:ascii="仿宋_GB2312" w:hAnsi="仿宋_GB2312" w:eastAsia="仿宋_GB2312" w:cs="仿宋_GB2312"/>
                      <w:sz w:val="24"/>
                    </w:rPr>
                    <w:t>5、规格：≥80m。</w:t>
                  </w:r>
                </w:p>
              </w:tc>
              <w:tc>
                <w:tcPr>
                  <w:tcW w:w="425" w:type="dxa"/>
                  <w:tcBorders>
                    <w:top w:val="nil"/>
                    <w:left w:val="nil"/>
                    <w:bottom w:val="single" w:color="333333" w:sz="4" w:space="0"/>
                    <w:right w:val="single" w:color="333333" w:sz="4" w:space="0"/>
                  </w:tcBorders>
                  <w:tcMar>
                    <w:top w:w="75" w:type="dxa"/>
                    <w:left w:w="120" w:type="dxa"/>
                    <w:bottom w:w="75" w:type="dxa"/>
                    <w:right w:w="120" w:type="dxa"/>
                  </w:tcMar>
                  <w:vAlign w:val="top"/>
                </w:tcPr>
                <w:p w14:paraId="5898F90A">
                  <w:pPr>
                    <w:pStyle w:val="4"/>
                    <w:jc w:val="left"/>
                  </w:pPr>
                </w:p>
              </w:tc>
              <w:tc>
                <w:tcPr>
                  <w:tcW w:w="405" w:type="dxa"/>
                  <w:tcBorders>
                    <w:top w:val="nil"/>
                    <w:left w:val="nil"/>
                    <w:bottom w:val="single" w:color="333333" w:sz="4" w:space="0"/>
                    <w:right w:val="single" w:color="333333" w:sz="4" w:space="0"/>
                  </w:tcBorders>
                  <w:tcMar>
                    <w:top w:w="75" w:type="dxa"/>
                    <w:left w:w="120" w:type="dxa"/>
                    <w:bottom w:w="75" w:type="dxa"/>
                    <w:right w:w="120" w:type="dxa"/>
                  </w:tcMar>
                  <w:vAlign w:val="top"/>
                </w:tcPr>
                <w:p w14:paraId="4505533E"/>
              </w:tc>
              <w:tc>
                <w:tcPr>
                  <w:tcW w:w="425" w:type="dxa"/>
                  <w:gridSpan w:val="2"/>
                  <w:tcBorders>
                    <w:top w:val="nil"/>
                    <w:left w:val="nil"/>
                    <w:bottom w:val="single" w:color="333333" w:sz="4" w:space="0"/>
                    <w:right w:val="single" w:color="333333" w:sz="4" w:space="0"/>
                  </w:tcBorders>
                  <w:tcMar>
                    <w:top w:w="75" w:type="dxa"/>
                    <w:left w:w="120" w:type="dxa"/>
                    <w:bottom w:w="75" w:type="dxa"/>
                    <w:right w:w="120" w:type="dxa"/>
                  </w:tcMar>
                  <w:vAlign w:val="top"/>
                </w:tcPr>
                <w:p w14:paraId="67F990A7"/>
              </w:tc>
            </w:tr>
            <w:tr w14:paraId="13CAE50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75" w:type="dxa"/>
                  <w:tcBorders>
                    <w:top w:val="nil"/>
                    <w:left w:val="single" w:color="333333" w:sz="4" w:space="0"/>
                    <w:bottom w:val="single" w:color="333333" w:sz="4" w:space="0"/>
                    <w:right w:val="single" w:color="333333" w:sz="4" w:space="0"/>
                  </w:tcBorders>
                  <w:tcMar>
                    <w:top w:w="75" w:type="dxa"/>
                    <w:left w:w="120" w:type="dxa"/>
                    <w:bottom w:w="75" w:type="dxa"/>
                    <w:right w:w="120" w:type="dxa"/>
                  </w:tcMar>
                  <w:vAlign w:val="top"/>
                </w:tcPr>
                <w:p w14:paraId="5FA928B3">
                  <w:pPr>
                    <w:pStyle w:val="4"/>
                    <w:jc w:val="left"/>
                  </w:pPr>
                  <w:r>
                    <w:rPr>
                      <w:rFonts w:ascii="仿宋_GB2312" w:hAnsi="仿宋_GB2312" w:eastAsia="仿宋_GB2312" w:cs="仿宋_GB2312"/>
                      <w:color w:val="000000"/>
                      <w:sz w:val="24"/>
                    </w:rPr>
                    <w:t>15</w:t>
                  </w:r>
                </w:p>
              </w:tc>
              <w:tc>
                <w:tcPr>
                  <w:tcW w:w="523" w:type="dxa"/>
                  <w:tcBorders>
                    <w:top w:val="nil"/>
                    <w:left w:val="nil"/>
                    <w:bottom w:val="single" w:color="333333" w:sz="4" w:space="0"/>
                    <w:right w:val="single" w:color="333333" w:sz="4" w:space="0"/>
                  </w:tcBorders>
                  <w:tcMar>
                    <w:top w:w="75" w:type="dxa"/>
                    <w:left w:w="120" w:type="dxa"/>
                    <w:bottom w:w="75" w:type="dxa"/>
                    <w:right w:w="120" w:type="dxa"/>
                  </w:tcMar>
                  <w:vAlign w:val="top"/>
                </w:tcPr>
                <w:p w14:paraId="3B352DAD">
                  <w:pPr>
                    <w:pStyle w:val="4"/>
                    <w:jc w:val="left"/>
                  </w:pPr>
                  <w:r>
                    <w:rPr>
                      <w:rFonts w:ascii="仿宋_GB2312" w:hAnsi="仿宋_GB2312" w:eastAsia="仿宋_GB2312" w:cs="仿宋_GB2312"/>
                      <w:color w:val="000000"/>
                      <w:sz w:val="24"/>
                    </w:rPr>
                    <w:t>救生衣</w:t>
                  </w:r>
                </w:p>
              </w:tc>
              <w:tc>
                <w:tcPr>
                  <w:tcW w:w="3446" w:type="dxa"/>
                  <w:tcBorders>
                    <w:top w:val="nil"/>
                    <w:left w:val="nil"/>
                    <w:bottom w:val="single" w:color="333333" w:sz="4" w:space="0"/>
                    <w:right w:val="single" w:color="333333" w:sz="4" w:space="0"/>
                  </w:tcBorders>
                  <w:tcMar>
                    <w:top w:w="75" w:type="dxa"/>
                    <w:left w:w="120" w:type="dxa"/>
                    <w:bottom w:w="75" w:type="dxa"/>
                    <w:right w:w="120" w:type="dxa"/>
                  </w:tcMar>
                  <w:vAlign w:val="top"/>
                </w:tcPr>
                <w:p w14:paraId="5DEAD50E">
                  <w:pPr>
                    <w:pStyle w:val="4"/>
                    <w:jc w:val="left"/>
                  </w:pPr>
                  <w:r>
                    <w:rPr>
                      <w:rFonts w:ascii="仿宋_GB2312" w:hAnsi="仿宋_GB2312" w:eastAsia="仿宋_GB2312" w:cs="仿宋_GB2312"/>
                      <w:sz w:val="24"/>
                    </w:rPr>
                    <w:t>★1、船用工作救生衣符合：标准：GB/T32227-2015，通过船级社CCS认证，产品为橙红色；</w:t>
                  </w:r>
                </w:p>
                <w:p w14:paraId="35858911">
                  <w:pPr>
                    <w:pStyle w:val="4"/>
                    <w:jc w:val="left"/>
                  </w:pPr>
                  <w:r>
                    <w:rPr>
                      <w:rFonts w:ascii="仿宋_GB2312" w:hAnsi="仿宋_GB2312" w:eastAsia="仿宋_GB2312" w:cs="仿宋_GB2312"/>
                      <w:sz w:val="24"/>
                    </w:rPr>
                    <w:t>2、救生衣印有“正面穿着”字样，单面穿着；</w:t>
                  </w:r>
                </w:p>
                <w:p w14:paraId="54C551C3">
                  <w:pPr>
                    <w:pStyle w:val="4"/>
                    <w:jc w:val="left"/>
                  </w:pPr>
                  <w:r>
                    <w:rPr>
                      <w:rFonts w:ascii="仿宋_GB2312" w:hAnsi="仿宋_GB2312" w:eastAsia="仿宋_GB2312" w:cs="仿宋_GB2312"/>
                      <w:sz w:val="24"/>
                    </w:rPr>
                    <w:t>3、救生衣浮力≥74N；</w:t>
                  </w:r>
                </w:p>
                <w:p w14:paraId="741C9A96">
                  <w:pPr>
                    <w:pStyle w:val="4"/>
                    <w:jc w:val="left"/>
                  </w:pPr>
                  <w:r>
                    <w:rPr>
                      <w:rFonts w:ascii="仿宋_GB2312" w:hAnsi="仿宋_GB2312" w:eastAsia="仿宋_GB2312" w:cs="仿宋_GB2312"/>
                      <w:sz w:val="24"/>
                    </w:rPr>
                    <w:t>4、应采用快速系固方式，通常采用两条插扣进行系固；</w:t>
                  </w:r>
                </w:p>
                <w:p w14:paraId="29F0CBFD">
                  <w:pPr>
                    <w:pStyle w:val="4"/>
                    <w:jc w:val="left"/>
                  </w:pPr>
                  <w:r>
                    <w:rPr>
                      <w:rFonts w:ascii="仿宋_GB2312" w:hAnsi="仿宋_GB2312" w:eastAsia="仿宋_GB2312" w:cs="仿宋_GB2312"/>
                      <w:sz w:val="24"/>
                    </w:rPr>
                    <w:t>5、反光带面积应达到200cm²（正面配有两片20cm*5cm大小标识）；</w:t>
                  </w:r>
                </w:p>
                <w:p w14:paraId="195D6EDB">
                  <w:pPr>
                    <w:pStyle w:val="4"/>
                    <w:jc w:val="left"/>
                  </w:pPr>
                  <w:r>
                    <w:rPr>
                      <w:rFonts w:ascii="仿宋_GB2312" w:hAnsi="仿宋_GB2312" w:eastAsia="仿宋_GB2312" w:cs="仿宋_GB2312"/>
                      <w:sz w:val="24"/>
                    </w:rPr>
                    <w:t>6、救生衣包布缝边向里折进大于10 mm；</w:t>
                  </w:r>
                </w:p>
                <w:p w14:paraId="15AC4AFD">
                  <w:pPr>
                    <w:pStyle w:val="4"/>
                    <w:jc w:val="left"/>
                  </w:pPr>
                  <w:r>
                    <w:rPr>
                      <w:rFonts w:ascii="仿宋_GB2312" w:hAnsi="仿宋_GB2312" w:eastAsia="仿宋_GB2312" w:cs="仿宋_GB2312"/>
                      <w:sz w:val="24"/>
                    </w:rPr>
                    <w:t>7、救生衣的明缝线距边缘大于 1 mm，且缝线无跳针；</w:t>
                  </w:r>
                </w:p>
                <w:p w14:paraId="0C3D37B0">
                  <w:pPr>
                    <w:pStyle w:val="4"/>
                    <w:jc w:val="left"/>
                  </w:pPr>
                  <w:r>
                    <w:rPr>
                      <w:rFonts w:ascii="仿宋_GB2312" w:hAnsi="仿宋_GB2312" w:eastAsia="仿宋_GB2312" w:cs="仿宋_GB2312"/>
                      <w:sz w:val="24"/>
                    </w:rPr>
                    <w:t>8、救生衣机缝线密度每50 mm长度内大于16针，缝线端部打回结；</w:t>
                  </w:r>
                </w:p>
                <w:p w14:paraId="7FEBABE5">
                  <w:pPr>
                    <w:pStyle w:val="4"/>
                    <w:jc w:val="left"/>
                  </w:pPr>
                  <w:r>
                    <w:rPr>
                      <w:rFonts w:ascii="仿宋_GB2312" w:hAnsi="仿宋_GB2312" w:eastAsia="仿宋_GB2312" w:cs="仿宋_GB2312"/>
                      <w:sz w:val="24"/>
                    </w:rPr>
                    <w:t>9、缚带端头镶入包布的长度大于 30 mm。绱缚带应用 3 趟缝线等加固方法；</w:t>
                  </w:r>
                </w:p>
                <w:p w14:paraId="483500C5">
                  <w:pPr>
                    <w:pStyle w:val="4"/>
                    <w:jc w:val="left"/>
                  </w:pPr>
                  <w:r>
                    <w:rPr>
                      <w:rFonts w:ascii="仿宋_GB2312" w:hAnsi="仿宋_GB2312" w:eastAsia="仿宋_GB2312" w:cs="仿宋_GB2312"/>
                      <w:sz w:val="24"/>
                    </w:rPr>
                    <w:t>10、口哨用不松脱的死结捆扎；</w:t>
                  </w:r>
                </w:p>
              </w:tc>
              <w:tc>
                <w:tcPr>
                  <w:tcW w:w="425" w:type="dxa"/>
                  <w:tcBorders>
                    <w:top w:val="nil"/>
                    <w:left w:val="nil"/>
                    <w:bottom w:val="single" w:color="333333" w:sz="4" w:space="0"/>
                    <w:right w:val="single" w:color="333333" w:sz="4" w:space="0"/>
                  </w:tcBorders>
                  <w:tcMar>
                    <w:top w:w="75" w:type="dxa"/>
                    <w:left w:w="120" w:type="dxa"/>
                    <w:bottom w:w="75" w:type="dxa"/>
                    <w:right w:w="120" w:type="dxa"/>
                  </w:tcMar>
                  <w:vAlign w:val="top"/>
                </w:tcPr>
                <w:p w14:paraId="2EF0AADC">
                  <w:pPr>
                    <w:pStyle w:val="4"/>
                    <w:jc w:val="left"/>
                  </w:pPr>
                </w:p>
              </w:tc>
              <w:tc>
                <w:tcPr>
                  <w:tcW w:w="405" w:type="dxa"/>
                  <w:tcBorders>
                    <w:top w:val="nil"/>
                    <w:left w:val="nil"/>
                    <w:bottom w:val="single" w:color="333333" w:sz="4" w:space="0"/>
                    <w:right w:val="single" w:color="333333" w:sz="4" w:space="0"/>
                  </w:tcBorders>
                  <w:tcMar>
                    <w:top w:w="75" w:type="dxa"/>
                    <w:left w:w="120" w:type="dxa"/>
                    <w:bottom w:w="75" w:type="dxa"/>
                    <w:right w:w="120" w:type="dxa"/>
                  </w:tcMar>
                  <w:vAlign w:val="top"/>
                </w:tcPr>
                <w:p w14:paraId="0E519328"/>
              </w:tc>
              <w:tc>
                <w:tcPr>
                  <w:tcW w:w="425" w:type="dxa"/>
                  <w:gridSpan w:val="2"/>
                  <w:tcBorders>
                    <w:top w:val="nil"/>
                    <w:left w:val="nil"/>
                    <w:bottom w:val="single" w:color="333333" w:sz="4" w:space="0"/>
                    <w:right w:val="single" w:color="333333" w:sz="4" w:space="0"/>
                  </w:tcBorders>
                  <w:tcMar>
                    <w:top w:w="75" w:type="dxa"/>
                    <w:left w:w="120" w:type="dxa"/>
                    <w:bottom w:w="75" w:type="dxa"/>
                    <w:right w:w="120" w:type="dxa"/>
                  </w:tcMar>
                  <w:vAlign w:val="top"/>
                </w:tcPr>
                <w:p w14:paraId="49582D0E"/>
              </w:tc>
            </w:tr>
            <w:tr w14:paraId="3E3DBF9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75" w:type="dxa"/>
                  <w:tcBorders>
                    <w:top w:val="nil"/>
                    <w:left w:val="single" w:color="333333" w:sz="4" w:space="0"/>
                    <w:bottom w:val="single" w:color="333333" w:sz="4" w:space="0"/>
                    <w:right w:val="single" w:color="333333" w:sz="4" w:space="0"/>
                  </w:tcBorders>
                  <w:tcMar>
                    <w:top w:w="75" w:type="dxa"/>
                    <w:left w:w="120" w:type="dxa"/>
                    <w:bottom w:w="75" w:type="dxa"/>
                    <w:right w:w="120" w:type="dxa"/>
                  </w:tcMar>
                  <w:vAlign w:val="top"/>
                </w:tcPr>
                <w:p w14:paraId="591B9B90">
                  <w:pPr>
                    <w:pStyle w:val="4"/>
                    <w:jc w:val="left"/>
                  </w:pPr>
                  <w:r>
                    <w:rPr>
                      <w:rFonts w:ascii="仿宋_GB2312" w:hAnsi="仿宋_GB2312" w:eastAsia="仿宋_GB2312" w:cs="仿宋_GB2312"/>
                      <w:color w:val="000000"/>
                      <w:sz w:val="24"/>
                    </w:rPr>
                    <w:t>16</w:t>
                  </w:r>
                </w:p>
              </w:tc>
              <w:tc>
                <w:tcPr>
                  <w:tcW w:w="523" w:type="dxa"/>
                  <w:tcBorders>
                    <w:top w:val="nil"/>
                    <w:left w:val="nil"/>
                    <w:bottom w:val="single" w:color="333333" w:sz="4" w:space="0"/>
                    <w:right w:val="single" w:color="333333" w:sz="4" w:space="0"/>
                  </w:tcBorders>
                  <w:tcMar>
                    <w:top w:w="75" w:type="dxa"/>
                    <w:left w:w="120" w:type="dxa"/>
                    <w:bottom w:w="75" w:type="dxa"/>
                    <w:right w:w="120" w:type="dxa"/>
                  </w:tcMar>
                  <w:vAlign w:val="top"/>
                </w:tcPr>
                <w:p w14:paraId="5AFBDA42">
                  <w:pPr>
                    <w:pStyle w:val="4"/>
                    <w:jc w:val="left"/>
                  </w:pPr>
                  <w:r>
                    <w:rPr>
                      <w:rFonts w:ascii="仿宋_GB2312" w:hAnsi="仿宋_GB2312" w:eastAsia="仿宋_GB2312" w:cs="仿宋_GB2312"/>
                      <w:color w:val="000000"/>
                      <w:sz w:val="24"/>
                    </w:rPr>
                    <w:t>千斤顶</w:t>
                  </w:r>
                </w:p>
              </w:tc>
              <w:tc>
                <w:tcPr>
                  <w:tcW w:w="3446" w:type="dxa"/>
                  <w:tcBorders>
                    <w:top w:val="nil"/>
                    <w:left w:val="nil"/>
                    <w:bottom w:val="single" w:color="333333" w:sz="4" w:space="0"/>
                    <w:right w:val="single" w:color="333333" w:sz="4" w:space="0"/>
                  </w:tcBorders>
                  <w:tcMar>
                    <w:top w:w="75" w:type="dxa"/>
                    <w:left w:w="120" w:type="dxa"/>
                    <w:bottom w:w="75" w:type="dxa"/>
                    <w:right w:w="120" w:type="dxa"/>
                  </w:tcMar>
                  <w:vAlign w:val="top"/>
                </w:tcPr>
                <w:p w14:paraId="2F374144">
                  <w:pPr>
                    <w:pStyle w:val="4"/>
                    <w:jc w:val="left"/>
                  </w:pPr>
                  <w:r>
                    <w:rPr>
                      <w:rFonts w:ascii="仿宋_GB2312" w:hAnsi="仿宋_GB2312" w:eastAsia="仿宋_GB2312" w:cs="仿宋_GB2312"/>
                      <w:sz w:val="24"/>
                    </w:rPr>
                    <w:t>★1、最大起重：≥10T；</w:t>
                  </w:r>
                </w:p>
                <w:p w14:paraId="79E04578">
                  <w:pPr>
                    <w:pStyle w:val="4"/>
                    <w:jc w:val="left"/>
                  </w:pPr>
                  <w:r>
                    <w:rPr>
                      <w:rFonts w:ascii="仿宋_GB2312" w:hAnsi="仿宋_GB2312" w:eastAsia="仿宋_GB2312" w:cs="仿宋_GB2312"/>
                      <w:sz w:val="24"/>
                    </w:rPr>
                    <w:t>2、最高高度：≥370mm；</w:t>
                  </w:r>
                </w:p>
                <w:p w14:paraId="110D5B01">
                  <w:pPr>
                    <w:pStyle w:val="4"/>
                    <w:jc w:val="left"/>
                  </w:pPr>
                  <w:r>
                    <w:rPr>
                      <w:rFonts w:ascii="仿宋_GB2312" w:hAnsi="仿宋_GB2312" w:eastAsia="仿宋_GB2312" w:cs="仿宋_GB2312"/>
                      <w:sz w:val="24"/>
                    </w:rPr>
                    <w:t>3、最低高度：≤195mm；</w:t>
                  </w:r>
                </w:p>
                <w:p w14:paraId="7FC6E78E">
                  <w:pPr>
                    <w:pStyle w:val="4"/>
                    <w:jc w:val="left"/>
                  </w:pPr>
                  <w:r>
                    <w:rPr>
                      <w:rFonts w:ascii="仿宋_GB2312" w:hAnsi="仿宋_GB2312" w:eastAsia="仿宋_GB2312" w:cs="仿宋_GB2312"/>
                      <w:sz w:val="24"/>
                    </w:rPr>
                    <w:t>4、起升高度：≥115mm；</w:t>
                  </w:r>
                </w:p>
                <w:p w14:paraId="398C9A07">
                  <w:pPr>
                    <w:pStyle w:val="4"/>
                    <w:jc w:val="left"/>
                  </w:pPr>
                  <w:r>
                    <w:rPr>
                      <w:rFonts w:ascii="仿宋_GB2312" w:hAnsi="仿宋_GB2312" w:eastAsia="仿宋_GB2312" w:cs="仿宋_GB2312"/>
                      <w:sz w:val="24"/>
                    </w:rPr>
                    <w:t>5、调整高度：≥60mm；</w:t>
                  </w:r>
                </w:p>
                <w:p w14:paraId="185AF609">
                  <w:pPr>
                    <w:pStyle w:val="4"/>
                    <w:jc w:val="left"/>
                  </w:pPr>
                  <w:r>
                    <w:rPr>
                      <w:rFonts w:ascii="仿宋_GB2312" w:hAnsi="仿宋_GB2312" w:eastAsia="仿宋_GB2312" w:cs="仿宋_GB2312"/>
                      <w:sz w:val="24"/>
                    </w:rPr>
                    <w:t>6、重量 ：≤4kg；</w:t>
                  </w:r>
                </w:p>
              </w:tc>
              <w:tc>
                <w:tcPr>
                  <w:tcW w:w="425" w:type="dxa"/>
                  <w:tcBorders>
                    <w:top w:val="nil"/>
                    <w:left w:val="nil"/>
                    <w:bottom w:val="single" w:color="333333" w:sz="4" w:space="0"/>
                    <w:right w:val="single" w:color="333333" w:sz="4" w:space="0"/>
                  </w:tcBorders>
                  <w:tcMar>
                    <w:top w:w="75" w:type="dxa"/>
                    <w:left w:w="120" w:type="dxa"/>
                    <w:bottom w:w="75" w:type="dxa"/>
                    <w:right w:w="120" w:type="dxa"/>
                  </w:tcMar>
                  <w:vAlign w:val="top"/>
                </w:tcPr>
                <w:p w14:paraId="410A2192">
                  <w:pPr>
                    <w:pStyle w:val="4"/>
                    <w:jc w:val="left"/>
                  </w:pPr>
                </w:p>
              </w:tc>
              <w:tc>
                <w:tcPr>
                  <w:tcW w:w="405" w:type="dxa"/>
                  <w:tcBorders>
                    <w:top w:val="nil"/>
                    <w:left w:val="nil"/>
                    <w:bottom w:val="single" w:color="333333" w:sz="4" w:space="0"/>
                    <w:right w:val="single" w:color="333333" w:sz="4" w:space="0"/>
                  </w:tcBorders>
                  <w:tcMar>
                    <w:top w:w="75" w:type="dxa"/>
                    <w:left w:w="120" w:type="dxa"/>
                    <w:bottom w:w="75" w:type="dxa"/>
                    <w:right w:w="120" w:type="dxa"/>
                  </w:tcMar>
                  <w:vAlign w:val="top"/>
                </w:tcPr>
                <w:p w14:paraId="6F1A634E"/>
              </w:tc>
              <w:tc>
                <w:tcPr>
                  <w:tcW w:w="425" w:type="dxa"/>
                  <w:gridSpan w:val="2"/>
                  <w:tcBorders>
                    <w:top w:val="nil"/>
                    <w:left w:val="nil"/>
                    <w:bottom w:val="single" w:color="333333" w:sz="4" w:space="0"/>
                    <w:right w:val="single" w:color="333333" w:sz="4" w:space="0"/>
                  </w:tcBorders>
                  <w:tcMar>
                    <w:top w:w="75" w:type="dxa"/>
                    <w:left w:w="120" w:type="dxa"/>
                    <w:bottom w:w="75" w:type="dxa"/>
                    <w:right w:w="120" w:type="dxa"/>
                  </w:tcMar>
                  <w:vAlign w:val="top"/>
                </w:tcPr>
                <w:p w14:paraId="7F0DDEE9"/>
              </w:tc>
            </w:tr>
            <w:tr w14:paraId="545071B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75" w:type="dxa"/>
                  <w:tcBorders>
                    <w:top w:val="nil"/>
                    <w:left w:val="single" w:color="333333" w:sz="4" w:space="0"/>
                    <w:bottom w:val="single" w:color="333333" w:sz="4" w:space="0"/>
                    <w:right w:val="single" w:color="333333" w:sz="4" w:space="0"/>
                  </w:tcBorders>
                  <w:tcMar>
                    <w:top w:w="75" w:type="dxa"/>
                    <w:left w:w="120" w:type="dxa"/>
                    <w:bottom w:w="75" w:type="dxa"/>
                    <w:right w:w="120" w:type="dxa"/>
                  </w:tcMar>
                  <w:vAlign w:val="top"/>
                </w:tcPr>
                <w:p w14:paraId="0CD9C0AC">
                  <w:pPr>
                    <w:pStyle w:val="4"/>
                    <w:jc w:val="left"/>
                  </w:pPr>
                  <w:r>
                    <w:rPr>
                      <w:rFonts w:ascii="仿宋_GB2312" w:hAnsi="仿宋_GB2312" w:eastAsia="仿宋_GB2312" w:cs="仿宋_GB2312"/>
                      <w:sz w:val="24"/>
                    </w:rPr>
                    <w:t>17</w:t>
                  </w:r>
                </w:p>
              </w:tc>
              <w:tc>
                <w:tcPr>
                  <w:tcW w:w="523" w:type="dxa"/>
                  <w:tcBorders>
                    <w:top w:val="nil"/>
                    <w:left w:val="nil"/>
                    <w:bottom w:val="single" w:color="333333" w:sz="4" w:space="0"/>
                    <w:right w:val="single" w:color="333333" w:sz="4" w:space="0"/>
                  </w:tcBorders>
                  <w:tcMar>
                    <w:top w:w="75" w:type="dxa"/>
                    <w:left w:w="120" w:type="dxa"/>
                    <w:bottom w:w="75" w:type="dxa"/>
                    <w:right w:w="120" w:type="dxa"/>
                  </w:tcMar>
                  <w:vAlign w:val="top"/>
                </w:tcPr>
                <w:p w14:paraId="56B9130C">
                  <w:pPr>
                    <w:pStyle w:val="4"/>
                    <w:jc w:val="left"/>
                  </w:pPr>
                  <w:r>
                    <w:rPr>
                      <w:rFonts w:ascii="仿宋_GB2312" w:hAnsi="仿宋_GB2312" w:eastAsia="仿宋_GB2312" w:cs="仿宋_GB2312"/>
                      <w:sz w:val="24"/>
                    </w:rPr>
                    <w:t>水带</w:t>
                  </w:r>
                </w:p>
              </w:tc>
              <w:tc>
                <w:tcPr>
                  <w:tcW w:w="3446" w:type="dxa"/>
                  <w:tcBorders>
                    <w:top w:val="nil"/>
                    <w:left w:val="nil"/>
                    <w:bottom w:val="single" w:color="333333" w:sz="4" w:space="0"/>
                    <w:right w:val="single" w:color="333333" w:sz="4" w:space="0"/>
                  </w:tcBorders>
                  <w:tcMar>
                    <w:top w:w="75" w:type="dxa"/>
                    <w:left w:w="120" w:type="dxa"/>
                    <w:bottom w:w="75" w:type="dxa"/>
                    <w:right w:w="120" w:type="dxa"/>
                  </w:tcMar>
                  <w:vAlign w:val="top"/>
                </w:tcPr>
                <w:p w14:paraId="0F4D1729">
                  <w:pPr>
                    <w:pStyle w:val="4"/>
                    <w:jc w:val="left"/>
                  </w:pPr>
                  <w:r>
                    <w:rPr>
                      <w:rFonts w:ascii="仿宋_GB2312" w:hAnsi="仿宋_GB2312" w:eastAsia="仿宋_GB2312" w:cs="仿宋_GB2312"/>
                      <w:sz w:val="24"/>
                    </w:rPr>
                    <w:t>★1、符合GB6246-2011或最新标准《消防水带》技术要求。</w:t>
                  </w:r>
                </w:p>
                <w:p w14:paraId="13991E97">
                  <w:pPr>
                    <w:pStyle w:val="4"/>
                    <w:jc w:val="left"/>
                  </w:pPr>
                  <w:r>
                    <w:rPr>
                      <w:rFonts w:ascii="仿宋_GB2312" w:hAnsi="仿宋_GB2312" w:eastAsia="仿宋_GB2312" w:cs="仿宋_GB2312"/>
                      <w:sz w:val="24"/>
                    </w:rPr>
                    <w:t>2、织物层编织均匀，表面整洁，无跳双经、断双经、跳纬及划伤。衬里厚度均匀，表面应光滑平整、无褶皱或其他缺陷，内层内衬厚度≥0.4mm。</w:t>
                  </w:r>
                </w:p>
                <w:p w14:paraId="2D4FF6BF">
                  <w:pPr>
                    <w:pStyle w:val="4"/>
                    <w:jc w:val="left"/>
                  </w:pPr>
                  <w:r>
                    <w:rPr>
                      <w:rFonts w:ascii="仿宋_GB2312" w:hAnsi="仿宋_GB2312" w:eastAsia="仿宋_GB2312" w:cs="仿宋_GB2312"/>
                      <w:sz w:val="24"/>
                    </w:rPr>
                    <w:t>3、水带口径为38-40mm之间,长度≥30m，内衬优质聚氨酯材质，最大工作压力≥3.0 MPa。</w:t>
                  </w:r>
                </w:p>
                <w:p w14:paraId="4B9C3674">
                  <w:pPr>
                    <w:pStyle w:val="4"/>
                    <w:jc w:val="left"/>
                  </w:pPr>
                  <w:r>
                    <w:rPr>
                      <w:rFonts w:ascii="仿宋_GB2312" w:hAnsi="仿宋_GB2312" w:eastAsia="仿宋_GB2312" w:cs="仿宋_GB2312"/>
                      <w:sz w:val="24"/>
                    </w:rPr>
                    <w:t>▲4、爆破压力≥11.5Mpa，单位长度质量≤165g/m。</w:t>
                  </w:r>
                </w:p>
                <w:p w14:paraId="3F80F11A">
                  <w:pPr>
                    <w:pStyle w:val="4"/>
                    <w:jc w:val="left"/>
                  </w:pPr>
                  <w:r>
                    <w:rPr>
                      <w:rFonts w:ascii="仿宋_GB2312" w:hAnsi="仿宋_GB2312" w:eastAsia="仿宋_GB2312" w:cs="仿宋_GB2312"/>
                      <w:sz w:val="24"/>
                    </w:rPr>
                    <w:t>▲5、水带编织层与衬里之间的附着强度≥80N/25mm，轴向延伸率≤2.7%，直径膨胀率≤3.0%；水带衬里的扯断伸长率≥455%，扯断强度≥48Mpa。</w:t>
                  </w:r>
                </w:p>
                <w:p w14:paraId="5DC83068">
                  <w:pPr>
                    <w:pStyle w:val="4"/>
                    <w:jc w:val="left"/>
                  </w:pPr>
                  <w:r>
                    <w:rPr>
                      <w:rFonts w:ascii="仿宋_GB2312" w:hAnsi="仿宋_GB2312" w:eastAsia="仿宋_GB2312" w:cs="仿宋_GB2312"/>
                      <w:sz w:val="24"/>
                    </w:rPr>
                    <w:t>▲6、热空气老化性能：爆破压力比率≥100%，附着强度比率≥105%。</w:t>
                  </w:r>
                </w:p>
                <w:p w14:paraId="55E926CF">
                  <w:pPr>
                    <w:pStyle w:val="4"/>
                    <w:jc w:val="left"/>
                  </w:pPr>
                  <w:r>
                    <w:rPr>
                      <w:rFonts w:ascii="仿宋_GB2312" w:hAnsi="仿宋_GB2312" w:eastAsia="仿宋_GB2312" w:cs="仿宋_GB2312"/>
                      <w:sz w:val="24"/>
                    </w:rPr>
                    <w:t>7、配备森林锻造内涨式接口，水带与消防接口连接处无渗漏、爆破或滑脱。</w:t>
                  </w:r>
                </w:p>
                <w:p w14:paraId="1BF838A5">
                  <w:pPr>
                    <w:pStyle w:val="4"/>
                    <w:jc w:val="left"/>
                  </w:pPr>
                  <w:r>
                    <w:rPr>
                      <w:rFonts w:ascii="仿宋_GB2312" w:hAnsi="仿宋_GB2312" w:eastAsia="仿宋_GB2312" w:cs="仿宋_GB2312"/>
                      <w:sz w:val="24"/>
                    </w:rPr>
                    <w:t>8、耐低温性能：在-30℃以下条件下存放≥10h，水带应能立即展开、无卷曲现象、并能再次卷紧，且在工作压力下无渗漏。</w:t>
                  </w:r>
                </w:p>
                <w:p w14:paraId="271A3C4C">
                  <w:pPr>
                    <w:pStyle w:val="4"/>
                    <w:jc w:val="left"/>
                  </w:pPr>
                  <w:r>
                    <w:rPr>
                      <w:rFonts w:ascii="仿宋_GB2312" w:hAnsi="仿宋_GB2312" w:eastAsia="仿宋_GB2312" w:cs="仿宋_GB2312"/>
                      <w:sz w:val="24"/>
                    </w:rPr>
                    <w:t>9、耐腐蚀：水带接口经96h连续喷射盐雾腐蚀试验后,接口表面应无起层、氧化、剥落或其他肉眼可见的点蚀凹坑，并能正常操作使用。</w:t>
                  </w:r>
                </w:p>
              </w:tc>
              <w:tc>
                <w:tcPr>
                  <w:tcW w:w="425" w:type="dxa"/>
                  <w:tcBorders>
                    <w:top w:val="nil"/>
                    <w:left w:val="nil"/>
                    <w:bottom w:val="single" w:color="333333" w:sz="4" w:space="0"/>
                    <w:right w:val="single" w:color="333333" w:sz="4" w:space="0"/>
                  </w:tcBorders>
                  <w:tcMar>
                    <w:top w:w="75" w:type="dxa"/>
                    <w:left w:w="120" w:type="dxa"/>
                    <w:bottom w:w="75" w:type="dxa"/>
                    <w:right w:w="120" w:type="dxa"/>
                  </w:tcMar>
                  <w:vAlign w:val="top"/>
                </w:tcPr>
                <w:p w14:paraId="408A6141">
                  <w:pPr>
                    <w:pStyle w:val="4"/>
                    <w:jc w:val="left"/>
                  </w:pPr>
                </w:p>
              </w:tc>
              <w:tc>
                <w:tcPr>
                  <w:tcW w:w="405" w:type="dxa"/>
                  <w:tcBorders>
                    <w:top w:val="nil"/>
                    <w:left w:val="nil"/>
                    <w:bottom w:val="single" w:color="333333" w:sz="4" w:space="0"/>
                    <w:right w:val="single" w:color="333333" w:sz="4" w:space="0"/>
                  </w:tcBorders>
                  <w:tcMar>
                    <w:top w:w="75" w:type="dxa"/>
                    <w:left w:w="120" w:type="dxa"/>
                    <w:bottom w:w="75" w:type="dxa"/>
                    <w:right w:w="120" w:type="dxa"/>
                  </w:tcMar>
                  <w:vAlign w:val="top"/>
                </w:tcPr>
                <w:p w14:paraId="05FF76B4"/>
              </w:tc>
              <w:tc>
                <w:tcPr>
                  <w:tcW w:w="425" w:type="dxa"/>
                  <w:gridSpan w:val="2"/>
                  <w:tcBorders>
                    <w:top w:val="nil"/>
                    <w:left w:val="nil"/>
                    <w:bottom w:val="single" w:color="333333" w:sz="4" w:space="0"/>
                    <w:right w:val="single" w:color="333333" w:sz="4" w:space="0"/>
                  </w:tcBorders>
                  <w:tcMar>
                    <w:top w:w="75" w:type="dxa"/>
                    <w:left w:w="120" w:type="dxa"/>
                    <w:bottom w:w="75" w:type="dxa"/>
                    <w:right w:w="120" w:type="dxa"/>
                  </w:tcMar>
                  <w:vAlign w:val="top"/>
                </w:tcPr>
                <w:p w14:paraId="1C22DDEE"/>
              </w:tc>
            </w:tr>
            <w:tr w14:paraId="46AA197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75" w:type="dxa"/>
                  <w:tcBorders>
                    <w:top w:val="nil"/>
                    <w:left w:val="single" w:color="333333" w:sz="4" w:space="0"/>
                    <w:bottom w:val="single" w:color="333333" w:sz="4" w:space="0"/>
                    <w:right w:val="single" w:color="333333" w:sz="4" w:space="0"/>
                  </w:tcBorders>
                  <w:tcMar>
                    <w:top w:w="75" w:type="dxa"/>
                    <w:left w:w="120" w:type="dxa"/>
                    <w:bottom w:w="75" w:type="dxa"/>
                    <w:right w:w="120" w:type="dxa"/>
                  </w:tcMar>
                  <w:vAlign w:val="top"/>
                </w:tcPr>
                <w:p w14:paraId="72BA0DEE">
                  <w:pPr>
                    <w:pStyle w:val="4"/>
                    <w:jc w:val="left"/>
                  </w:pPr>
                  <w:r>
                    <w:rPr>
                      <w:rFonts w:ascii="仿宋_GB2312" w:hAnsi="仿宋_GB2312" w:eastAsia="仿宋_GB2312" w:cs="仿宋_GB2312"/>
                      <w:sz w:val="24"/>
                    </w:rPr>
                    <w:t>18</w:t>
                  </w:r>
                </w:p>
              </w:tc>
              <w:tc>
                <w:tcPr>
                  <w:tcW w:w="523" w:type="dxa"/>
                  <w:tcBorders>
                    <w:top w:val="nil"/>
                    <w:left w:val="nil"/>
                    <w:bottom w:val="single" w:color="333333" w:sz="4" w:space="0"/>
                    <w:right w:val="single" w:color="333333" w:sz="4" w:space="0"/>
                  </w:tcBorders>
                  <w:tcMar>
                    <w:top w:w="75" w:type="dxa"/>
                    <w:left w:w="120" w:type="dxa"/>
                    <w:bottom w:w="75" w:type="dxa"/>
                    <w:right w:w="120" w:type="dxa"/>
                  </w:tcMar>
                  <w:vAlign w:val="top"/>
                </w:tcPr>
                <w:p w14:paraId="7CBE1B08">
                  <w:pPr>
                    <w:pStyle w:val="4"/>
                    <w:jc w:val="left"/>
                  </w:pPr>
                  <w:r>
                    <w:rPr>
                      <w:rFonts w:ascii="仿宋_GB2312" w:hAnsi="仿宋_GB2312" w:eastAsia="仿宋_GB2312" w:cs="仿宋_GB2312"/>
                      <w:sz w:val="24"/>
                    </w:rPr>
                    <w:t>消防自救呼吸器</w:t>
                  </w:r>
                </w:p>
              </w:tc>
              <w:tc>
                <w:tcPr>
                  <w:tcW w:w="3446" w:type="dxa"/>
                  <w:tcBorders>
                    <w:top w:val="nil"/>
                    <w:left w:val="nil"/>
                    <w:bottom w:val="single" w:color="333333" w:sz="4" w:space="0"/>
                    <w:right w:val="single" w:color="333333" w:sz="4" w:space="0"/>
                  </w:tcBorders>
                  <w:tcMar>
                    <w:top w:w="75" w:type="dxa"/>
                    <w:left w:w="120" w:type="dxa"/>
                    <w:bottom w:w="75" w:type="dxa"/>
                    <w:right w:w="120" w:type="dxa"/>
                  </w:tcMar>
                  <w:vAlign w:val="top"/>
                </w:tcPr>
                <w:p w14:paraId="5E3509D0">
                  <w:pPr>
                    <w:pStyle w:val="4"/>
                    <w:jc w:val="left"/>
                  </w:pPr>
                  <w:r>
                    <w:rPr>
                      <w:rFonts w:ascii="仿宋_GB2312" w:hAnsi="仿宋_GB2312" w:eastAsia="仿宋_GB2312" w:cs="仿宋_GB2312"/>
                      <w:sz w:val="24"/>
                    </w:rPr>
                    <w:t>★符合标准GB21976.7-2012规定；</w:t>
                  </w:r>
                </w:p>
                <w:p w14:paraId="2DACD469">
                  <w:pPr>
                    <w:pStyle w:val="4"/>
                    <w:jc w:val="left"/>
                  </w:pPr>
                  <w:r>
                    <w:rPr>
                      <w:rFonts w:ascii="仿宋_GB2312" w:hAnsi="仿宋_GB2312" w:eastAsia="仿宋_GB2312" w:cs="仿宋_GB2312"/>
                      <w:sz w:val="24"/>
                    </w:rPr>
                    <w:t>1、防毒时间≥30分钟；</w:t>
                  </w:r>
                </w:p>
                <w:p w14:paraId="3C4574D4">
                  <w:pPr>
                    <w:pStyle w:val="4"/>
                    <w:jc w:val="left"/>
                  </w:pPr>
                  <w:r>
                    <w:rPr>
                      <w:rFonts w:ascii="仿宋_GB2312" w:hAnsi="仿宋_GB2312" w:eastAsia="仿宋_GB2312" w:cs="仿宋_GB2312"/>
                      <w:sz w:val="24"/>
                    </w:rPr>
                    <w:t>2、防护对象一氧化碳(CO)、氰化氢(HCN)、氨气(NH3)、毒烟、毒雾；</w:t>
                  </w:r>
                </w:p>
                <w:p w14:paraId="1E8B6353">
                  <w:pPr>
                    <w:pStyle w:val="4"/>
                    <w:jc w:val="left"/>
                  </w:pPr>
                  <w:r>
                    <w:rPr>
                      <w:rFonts w:ascii="仿宋_GB2312" w:hAnsi="仿宋_GB2312" w:eastAsia="仿宋_GB2312" w:cs="仿宋_GB2312"/>
                      <w:sz w:val="24"/>
                    </w:rPr>
                    <w:t>3、油雾透过系数﹤5%；</w:t>
                  </w:r>
                </w:p>
                <w:p w14:paraId="5CC06961">
                  <w:pPr>
                    <w:pStyle w:val="4"/>
                    <w:jc w:val="left"/>
                  </w:pPr>
                  <w:r>
                    <w:rPr>
                      <w:rFonts w:ascii="仿宋_GB2312" w:hAnsi="仿宋_GB2312" w:eastAsia="仿宋_GB2312" w:cs="仿宋_GB2312"/>
                      <w:sz w:val="24"/>
                    </w:rPr>
                    <w:t>4、吸气阻力≤800pa；</w:t>
                  </w:r>
                </w:p>
                <w:p w14:paraId="65FF867D">
                  <w:pPr>
                    <w:pStyle w:val="4"/>
                    <w:jc w:val="left"/>
                  </w:pPr>
                  <w:r>
                    <w:rPr>
                      <w:rFonts w:ascii="仿宋_GB2312" w:hAnsi="仿宋_GB2312" w:eastAsia="仿宋_GB2312" w:cs="仿宋_GB2312"/>
                      <w:sz w:val="24"/>
                    </w:rPr>
                    <w:t>呼气阻力≤300pa；</w:t>
                  </w:r>
                </w:p>
              </w:tc>
              <w:tc>
                <w:tcPr>
                  <w:tcW w:w="425" w:type="dxa"/>
                  <w:tcBorders>
                    <w:top w:val="nil"/>
                    <w:left w:val="nil"/>
                    <w:bottom w:val="single" w:color="333333" w:sz="4" w:space="0"/>
                    <w:right w:val="single" w:color="333333" w:sz="4" w:space="0"/>
                  </w:tcBorders>
                  <w:tcMar>
                    <w:top w:w="75" w:type="dxa"/>
                    <w:left w:w="120" w:type="dxa"/>
                    <w:bottom w:w="75" w:type="dxa"/>
                    <w:right w:w="120" w:type="dxa"/>
                  </w:tcMar>
                  <w:vAlign w:val="top"/>
                </w:tcPr>
                <w:p w14:paraId="48F57441">
                  <w:pPr>
                    <w:pStyle w:val="4"/>
                    <w:jc w:val="left"/>
                  </w:pPr>
                </w:p>
              </w:tc>
              <w:tc>
                <w:tcPr>
                  <w:tcW w:w="405" w:type="dxa"/>
                  <w:tcBorders>
                    <w:top w:val="nil"/>
                    <w:left w:val="nil"/>
                    <w:bottom w:val="single" w:color="333333" w:sz="4" w:space="0"/>
                    <w:right w:val="single" w:color="333333" w:sz="4" w:space="0"/>
                  </w:tcBorders>
                  <w:tcMar>
                    <w:top w:w="75" w:type="dxa"/>
                    <w:left w:w="120" w:type="dxa"/>
                    <w:bottom w:w="75" w:type="dxa"/>
                    <w:right w:w="120" w:type="dxa"/>
                  </w:tcMar>
                  <w:vAlign w:val="top"/>
                </w:tcPr>
                <w:p w14:paraId="2E223AA1"/>
              </w:tc>
              <w:tc>
                <w:tcPr>
                  <w:tcW w:w="425" w:type="dxa"/>
                  <w:gridSpan w:val="2"/>
                  <w:tcBorders>
                    <w:top w:val="nil"/>
                    <w:left w:val="nil"/>
                    <w:bottom w:val="single" w:color="333333" w:sz="4" w:space="0"/>
                    <w:right w:val="single" w:color="333333" w:sz="4" w:space="0"/>
                  </w:tcBorders>
                  <w:tcMar>
                    <w:top w:w="75" w:type="dxa"/>
                    <w:left w:w="120" w:type="dxa"/>
                    <w:bottom w:w="75" w:type="dxa"/>
                    <w:right w:w="120" w:type="dxa"/>
                  </w:tcMar>
                  <w:vAlign w:val="top"/>
                </w:tcPr>
                <w:p w14:paraId="0431B845"/>
              </w:tc>
            </w:tr>
            <w:tr w14:paraId="1C091F3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75" w:type="dxa"/>
                  <w:tcBorders>
                    <w:top w:val="nil"/>
                    <w:left w:val="single" w:color="333333" w:sz="4" w:space="0"/>
                    <w:bottom w:val="single" w:color="333333" w:sz="4" w:space="0"/>
                    <w:right w:val="single" w:color="333333" w:sz="4" w:space="0"/>
                  </w:tcBorders>
                  <w:tcMar>
                    <w:top w:w="75" w:type="dxa"/>
                    <w:left w:w="120" w:type="dxa"/>
                    <w:bottom w:w="75" w:type="dxa"/>
                    <w:right w:w="120" w:type="dxa"/>
                  </w:tcMar>
                  <w:vAlign w:val="top"/>
                </w:tcPr>
                <w:p w14:paraId="2F29512E">
                  <w:pPr>
                    <w:pStyle w:val="4"/>
                    <w:jc w:val="left"/>
                  </w:pPr>
                  <w:r>
                    <w:rPr>
                      <w:rFonts w:ascii="仿宋_GB2312" w:hAnsi="仿宋_GB2312" w:eastAsia="仿宋_GB2312" w:cs="仿宋_GB2312"/>
                      <w:sz w:val="24"/>
                    </w:rPr>
                    <w:t>19</w:t>
                  </w:r>
                </w:p>
              </w:tc>
              <w:tc>
                <w:tcPr>
                  <w:tcW w:w="523" w:type="dxa"/>
                  <w:tcBorders>
                    <w:top w:val="nil"/>
                    <w:left w:val="nil"/>
                    <w:bottom w:val="single" w:color="333333" w:sz="4" w:space="0"/>
                    <w:right w:val="single" w:color="333333" w:sz="4" w:space="0"/>
                  </w:tcBorders>
                  <w:tcMar>
                    <w:top w:w="75" w:type="dxa"/>
                    <w:left w:w="120" w:type="dxa"/>
                    <w:bottom w:w="75" w:type="dxa"/>
                    <w:right w:w="120" w:type="dxa"/>
                  </w:tcMar>
                  <w:vAlign w:val="top"/>
                </w:tcPr>
                <w:p w14:paraId="7E07C5A4">
                  <w:pPr>
                    <w:pStyle w:val="4"/>
                    <w:jc w:val="left"/>
                  </w:pPr>
                  <w:r>
                    <w:rPr>
                      <w:rFonts w:ascii="仿宋_GB2312" w:hAnsi="仿宋_GB2312" w:eastAsia="仿宋_GB2312" w:cs="仿宋_GB2312"/>
                      <w:sz w:val="24"/>
                    </w:rPr>
                    <w:t>消火栓扳手</w:t>
                  </w:r>
                </w:p>
              </w:tc>
              <w:tc>
                <w:tcPr>
                  <w:tcW w:w="3446" w:type="dxa"/>
                  <w:tcBorders>
                    <w:top w:val="nil"/>
                    <w:left w:val="nil"/>
                    <w:bottom w:val="single" w:color="333333" w:sz="4" w:space="0"/>
                    <w:right w:val="single" w:color="333333" w:sz="4" w:space="0"/>
                  </w:tcBorders>
                  <w:tcMar>
                    <w:top w:w="75" w:type="dxa"/>
                    <w:left w:w="120" w:type="dxa"/>
                    <w:bottom w:w="75" w:type="dxa"/>
                    <w:right w:w="120" w:type="dxa"/>
                  </w:tcMar>
                  <w:vAlign w:val="top"/>
                </w:tcPr>
                <w:p w14:paraId="047F70E7">
                  <w:pPr>
                    <w:pStyle w:val="4"/>
                    <w:jc w:val="left"/>
                  </w:pPr>
                  <w:r>
                    <w:rPr>
                      <w:rFonts w:ascii="仿宋_GB2312" w:hAnsi="仿宋_GB2312" w:eastAsia="仿宋_GB2312" w:cs="仿宋_GB2312"/>
                      <w:sz w:val="24"/>
                    </w:rPr>
                    <w:t>1、消火栓扳手铸钢材质，主要用于开启或关闭室外地上式消火栓，消火栓扳手表面需涂大红醇磁漆，套筒壁厚应均匀，内外表面不应有裂纹和影响使用性能的斑疤等缺陷。</w:t>
                  </w:r>
                </w:p>
                <w:p w14:paraId="71569CB4">
                  <w:pPr>
                    <w:pStyle w:val="4"/>
                    <w:jc w:val="left"/>
                  </w:pPr>
                  <w:r>
                    <w:rPr>
                      <w:rFonts w:ascii="仿宋_GB2312" w:hAnsi="仿宋_GB2312" w:eastAsia="仿宋_GB2312" w:cs="仿宋_GB2312"/>
                      <w:sz w:val="24"/>
                    </w:rPr>
                    <w:t>2、质量≤3kg，扳手总长度≤400mm。</w:t>
                  </w:r>
                </w:p>
              </w:tc>
              <w:tc>
                <w:tcPr>
                  <w:tcW w:w="425" w:type="dxa"/>
                  <w:tcBorders>
                    <w:top w:val="nil"/>
                    <w:left w:val="nil"/>
                    <w:bottom w:val="single" w:color="333333" w:sz="4" w:space="0"/>
                    <w:right w:val="single" w:color="333333" w:sz="4" w:space="0"/>
                  </w:tcBorders>
                  <w:tcMar>
                    <w:top w:w="75" w:type="dxa"/>
                    <w:left w:w="120" w:type="dxa"/>
                    <w:bottom w:w="75" w:type="dxa"/>
                    <w:right w:w="120" w:type="dxa"/>
                  </w:tcMar>
                  <w:vAlign w:val="top"/>
                </w:tcPr>
                <w:p w14:paraId="1B1C5183">
                  <w:pPr>
                    <w:pStyle w:val="4"/>
                    <w:jc w:val="left"/>
                  </w:pPr>
                </w:p>
              </w:tc>
              <w:tc>
                <w:tcPr>
                  <w:tcW w:w="405" w:type="dxa"/>
                  <w:tcBorders>
                    <w:top w:val="nil"/>
                    <w:left w:val="nil"/>
                    <w:bottom w:val="single" w:color="333333" w:sz="4" w:space="0"/>
                    <w:right w:val="single" w:color="333333" w:sz="4" w:space="0"/>
                  </w:tcBorders>
                  <w:tcMar>
                    <w:top w:w="75" w:type="dxa"/>
                    <w:left w:w="120" w:type="dxa"/>
                    <w:bottom w:w="75" w:type="dxa"/>
                    <w:right w:w="120" w:type="dxa"/>
                  </w:tcMar>
                  <w:vAlign w:val="top"/>
                </w:tcPr>
                <w:p w14:paraId="6FCA7A0E"/>
              </w:tc>
              <w:tc>
                <w:tcPr>
                  <w:tcW w:w="425" w:type="dxa"/>
                  <w:gridSpan w:val="2"/>
                  <w:tcBorders>
                    <w:top w:val="nil"/>
                    <w:left w:val="nil"/>
                    <w:bottom w:val="single" w:color="333333" w:sz="4" w:space="0"/>
                    <w:right w:val="single" w:color="333333" w:sz="4" w:space="0"/>
                  </w:tcBorders>
                  <w:tcMar>
                    <w:top w:w="75" w:type="dxa"/>
                    <w:left w:w="120" w:type="dxa"/>
                    <w:bottom w:w="75" w:type="dxa"/>
                    <w:right w:w="120" w:type="dxa"/>
                  </w:tcMar>
                  <w:vAlign w:val="top"/>
                </w:tcPr>
                <w:p w14:paraId="6604FB83"/>
              </w:tc>
            </w:tr>
          </w:tbl>
          <w:p w14:paraId="3343D4AD">
            <w:pPr>
              <w:pStyle w:val="4"/>
              <w:jc w:val="left"/>
            </w:pPr>
            <w:r>
              <w:rPr>
                <w:rFonts w:ascii="仿宋_GB2312" w:hAnsi="仿宋_GB2312" w:eastAsia="仿宋_GB2312" w:cs="仿宋_GB2312"/>
                <w:sz w:val="24"/>
              </w:rPr>
              <w:t>注：1、标注“★”项参数为实质性要求，不允许负偏离；</w:t>
            </w:r>
          </w:p>
          <w:p w14:paraId="37B7749C">
            <w:pPr>
              <w:pStyle w:val="4"/>
              <w:jc w:val="left"/>
            </w:pPr>
            <w:r>
              <w:rPr>
                <w:rFonts w:ascii="仿宋_GB2312" w:hAnsi="仿宋_GB2312" w:eastAsia="仿宋_GB2312" w:cs="仿宋_GB2312"/>
                <w:sz w:val="24"/>
              </w:rPr>
              <w:t xml:space="preserve">  2、标注“▲”项为重要参数，在响应时须提供具有CMA或CNAS资质的第三方检测机构（检验（测）项目须在国家认可委员会认可的检验（测）能力范围文件内）出具的检验（测）报告复印件进行佐证</w:t>
            </w:r>
            <w:r>
              <w:rPr>
                <w:rFonts w:ascii="仿宋_GB2312" w:hAnsi="仿宋_GB2312" w:eastAsia="仿宋_GB2312" w:cs="仿宋_GB2312"/>
              </w:rPr>
              <w:t xml:space="preserve"> </w:t>
            </w:r>
          </w:p>
        </w:tc>
      </w:tr>
      <w:tr w14:paraId="4021700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7A230799">
            <w:pPr>
              <w:pStyle w:val="4"/>
              <w:jc w:val="center"/>
            </w:pPr>
            <w:r>
              <w:rPr>
                <w:rFonts w:ascii="仿宋_GB2312" w:hAnsi="仿宋_GB2312" w:eastAsia="仿宋_GB2312" w:cs="仿宋_GB2312"/>
              </w:rPr>
              <w:t>2</w:t>
            </w:r>
          </w:p>
        </w:tc>
        <w:tc>
          <w:tcPr>
            <w:tcW w:w="581" w:type="dxa"/>
          </w:tcPr>
          <w:p w14:paraId="2D79A648"/>
        </w:tc>
        <w:tc>
          <w:tcPr>
            <w:tcW w:w="1495" w:type="dxa"/>
          </w:tcPr>
          <w:p w14:paraId="6F21EAB4">
            <w:pPr>
              <w:pStyle w:val="4"/>
              <w:jc w:val="left"/>
            </w:pPr>
            <w:r>
              <w:rPr>
                <w:rFonts w:ascii="仿宋_GB2312" w:hAnsi="仿宋_GB2312" w:eastAsia="仿宋_GB2312" w:cs="仿宋_GB2312"/>
              </w:rPr>
              <w:t>质量及服务要求</w:t>
            </w:r>
          </w:p>
        </w:tc>
        <w:tc>
          <w:tcPr>
            <w:tcW w:w="5814" w:type="dxa"/>
          </w:tcPr>
          <w:p w14:paraId="546BB474">
            <w:pPr>
              <w:pStyle w:val="4"/>
              <w:jc w:val="both"/>
            </w:pPr>
            <w:r>
              <w:rPr>
                <w:rFonts w:ascii="仿宋_GB2312" w:hAnsi="仿宋_GB2312" w:eastAsia="仿宋_GB2312" w:cs="仿宋_GB2312"/>
                <w:color w:val="0A82E5"/>
                <w:sz w:val="24"/>
              </w:rPr>
              <w:t>一、质量要求：</w:t>
            </w:r>
          </w:p>
          <w:p w14:paraId="3C40C26B">
            <w:pPr>
              <w:pStyle w:val="4"/>
              <w:jc w:val="both"/>
            </w:pPr>
            <w:r>
              <w:rPr>
                <w:rFonts w:ascii="仿宋_GB2312" w:hAnsi="仿宋_GB2312" w:eastAsia="仿宋_GB2312" w:cs="仿宋_GB2312"/>
                <w:color w:val="0A82E5"/>
                <w:sz w:val="24"/>
              </w:rPr>
              <w:t>1.投标人提供的产品为最新生产的全新的原装正品（含零部件、配件等），表面无划伤、无碰撞痕迹，且权属清楚，不得侵害他人的知识产权。</w:t>
            </w:r>
          </w:p>
          <w:p w14:paraId="02582A9A">
            <w:pPr>
              <w:pStyle w:val="4"/>
              <w:jc w:val="both"/>
            </w:pPr>
            <w:r>
              <w:rPr>
                <w:rFonts w:ascii="仿宋_GB2312" w:hAnsi="仿宋_GB2312" w:eastAsia="仿宋_GB2312" w:cs="仿宋_GB2312"/>
                <w:color w:val="0A82E5"/>
                <w:sz w:val="24"/>
              </w:rPr>
              <w:t>2.产品必须符合或优于国家(行业)标准、地方标准或者其他标准、规范要求。</w:t>
            </w:r>
          </w:p>
          <w:p w14:paraId="41BE532E">
            <w:pPr>
              <w:pStyle w:val="4"/>
              <w:jc w:val="both"/>
            </w:pPr>
            <w:r>
              <w:rPr>
                <w:rFonts w:ascii="仿宋_GB2312" w:hAnsi="仿宋_GB2312" w:eastAsia="仿宋_GB2312" w:cs="仿宋_GB2312"/>
                <w:color w:val="0A82E5"/>
                <w:sz w:val="24"/>
              </w:rPr>
              <w:t>3.产品制造质量出现问题，投标人应负责三包(包修、包换、包退)，费用由投标人负担，招标人有权到产品生产厂家生产场地检查货物质量和生产进度。</w:t>
            </w:r>
          </w:p>
          <w:p w14:paraId="1BD1B716">
            <w:pPr>
              <w:pStyle w:val="4"/>
              <w:jc w:val="both"/>
            </w:pPr>
            <w:r>
              <w:rPr>
                <w:rFonts w:ascii="仿宋_GB2312" w:hAnsi="仿宋_GB2312" w:eastAsia="仿宋_GB2312" w:cs="仿宋_GB2312"/>
                <w:color w:val="0A82E5"/>
                <w:sz w:val="24"/>
              </w:rPr>
              <w:t>4.投标人所提供与本项目相关的所有货物送到安装地点时，须通知招标人项目负责人、资产管理员到场依据合同清单确认并签字后方可实施安装，如所供货物与合同清单不一致的，招标人将采取退货处理并追究违约责任。</w:t>
            </w:r>
          </w:p>
          <w:p w14:paraId="2AD06CD0">
            <w:pPr>
              <w:pStyle w:val="4"/>
              <w:jc w:val="both"/>
            </w:pPr>
            <w:r>
              <w:rPr>
                <w:rFonts w:ascii="仿宋_GB2312" w:hAnsi="仿宋_GB2312" w:eastAsia="仿宋_GB2312" w:cs="仿宋_GB2312"/>
                <w:color w:val="0A82E5"/>
                <w:sz w:val="24"/>
              </w:rPr>
              <w:t>5.投标人所交产品不符合规定或质量不合格的，由投标人负责在合同约定的交货时间内整改，并承担换货而支付的一切费用。投标人不能调换的，按不能交货处理。</w:t>
            </w:r>
          </w:p>
          <w:p w14:paraId="3256C50E">
            <w:pPr>
              <w:pStyle w:val="4"/>
              <w:jc w:val="both"/>
            </w:pPr>
            <w:r>
              <w:rPr>
                <w:rFonts w:ascii="仿宋_GB2312" w:hAnsi="仿宋_GB2312" w:eastAsia="仿宋_GB2312" w:cs="仿宋_GB2312"/>
              </w:rPr>
              <w:t>6.</w:t>
            </w:r>
            <w:r>
              <w:rPr>
                <w:rFonts w:ascii="仿宋_GB2312" w:hAnsi="仿宋_GB2312" w:eastAsia="仿宋_GB2312" w:cs="仿宋_GB2312"/>
                <w:sz w:val="24"/>
              </w:rPr>
              <w:t>质保期限：</w:t>
            </w:r>
          </w:p>
          <w:p w14:paraId="06992F0C">
            <w:pPr>
              <w:pStyle w:val="4"/>
              <w:jc w:val="both"/>
            </w:pPr>
            <w:r>
              <w:rPr>
                <w:rFonts w:ascii="仿宋_GB2312" w:hAnsi="仿宋_GB2312" w:eastAsia="仿宋_GB2312" w:cs="仿宋_GB2312"/>
                <w:sz w:val="24"/>
              </w:rPr>
              <w:t>（1）纺织类物资（棉被、棉大衣等）：使用寿命≥3 年，质保期≥1 年；</w:t>
            </w:r>
          </w:p>
          <w:p w14:paraId="3439D253">
            <w:pPr>
              <w:pStyle w:val="4"/>
              <w:jc w:val="both"/>
            </w:pPr>
            <w:r>
              <w:rPr>
                <w:rFonts w:ascii="仿宋_GB2312" w:hAnsi="仿宋_GB2312" w:eastAsia="仿宋_GB2312" w:cs="仿宋_GB2312"/>
                <w:sz w:val="24"/>
              </w:rPr>
              <w:t>（2）金属制品（折叠床、灭火器）：使用寿命≥5 年，质保期≥2 年</w:t>
            </w:r>
          </w:p>
          <w:p w14:paraId="2F8C86A4">
            <w:pPr>
              <w:pStyle w:val="4"/>
              <w:jc w:val="both"/>
            </w:pPr>
            <w:r>
              <w:rPr>
                <w:rFonts w:ascii="仿宋_GB2312" w:hAnsi="仿宋_GB2312" w:eastAsia="仿宋_GB2312" w:cs="仿宋_GB2312"/>
                <w:sz w:val="24"/>
              </w:rPr>
              <w:t>（3）电子设备（无人机、视频终端）：使用寿命≥4 年，质保期≥3 年（含上门维修）</w:t>
            </w:r>
          </w:p>
          <w:p w14:paraId="6165537B">
            <w:pPr>
              <w:pStyle w:val="4"/>
              <w:jc w:val="both"/>
            </w:pPr>
            <w:r>
              <w:rPr>
                <w:rFonts w:ascii="仿宋_GB2312" w:hAnsi="仿宋_GB2312" w:eastAsia="仿宋_GB2312" w:cs="仿宋_GB2312"/>
                <w:sz w:val="24"/>
              </w:rPr>
              <w:t>（4）如设备或货物说明书的质保期长于本参数规定的质保期的，以说明书的质保期为准。</w:t>
            </w:r>
          </w:p>
          <w:p w14:paraId="51F51BEE">
            <w:pPr>
              <w:pStyle w:val="4"/>
              <w:jc w:val="left"/>
            </w:pPr>
            <w:r>
              <w:rPr>
                <w:rFonts w:ascii="仿宋_GB2312" w:hAnsi="仿宋_GB2312" w:eastAsia="仿宋_GB2312" w:cs="仿宋_GB2312"/>
                <w:color w:val="0A82E5"/>
                <w:sz w:val="24"/>
              </w:rPr>
              <w:t>二、服务要求：</w:t>
            </w:r>
          </w:p>
          <w:p w14:paraId="78B384B1">
            <w:pPr>
              <w:pStyle w:val="4"/>
              <w:jc w:val="left"/>
            </w:pPr>
            <w:r>
              <w:rPr>
                <w:rFonts w:ascii="仿宋_GB2312" w:hAnsi="仿宋_GB2312" w:eastAsia="仿宋_GB2312" w:cs="仿宋_GB2312"/>
                <w:color w:val="0A82E5"/>
                <w:sz w:val="24"/>
              </w:rPr>
              <w:t>1.投标人应承诺所提供的检测报告、证书等佐证材料均真实、有效，招标人有权在签订合同前对投标人所提供的佐证材料进行核查，若发现投标人提供的佐证材料存在弄虚作假的情形，将依法上报主管部门，并由投标人自行承担相应法律后果。（投标人应在响应时提供承诺函原件，承诺函格式自拟。）</w:t>
            </w:r>
          </w:p>
          <w:p w14:paraId="3DC2C395">
            <w:pPr>
              <w:pStyle w:val="4"/>
              <w:jc w:val="left"/>
            </w:pPr>
            <w:r>
              <w:rPr>
                <w:rFonts w:ascii="仿宋_GB2312" w:hAnsi="仿宋_GB2312" w:eastAsia="仿宋_GB2312" w:cs="仿宋_GB2312"/>
                <w:color w:val="0A82E5"/>
                <w:sz w:val="24"/>
              </w:rPr>
              <w:t>2.售后服务要求：</w:t>
            </w:r>
          </w:p>
          <w:p w14:paraId="58E395C6">
            <w:pPr>
              <w:pStyle w:val="4"/>
              <w:jc w:val="left"/>
            </w:pPr>
            <w:r>
              <w:rPr>
                <w:rFonts w:ascii="仿宋_GB2312" w:hAnsi="仿宋_GB2312" w:eastAsia="仿宋_GB2312" w:cs="仿宋_GB2312"/>
                <w:color w:val="0A82E5"/>
                <w:sz w:val="24"/>
              </w:rPr>
              <w:t xml:space="preserve"> (1)本项目报价包含生产制造、运输、搬运、安装、调试、检测、安装所需辅材、利润及售后服务、保险、税金等所有与本项目相关的费用。投标人报价应充分考虑市场价格变化等因素，中标后价格不作调整。</w:t>
            </w:r>
          </w:p>
          <w:p w14:paraId="59AA5FF3">
            <w:pPr>
              <w:pStyle w:val="4"/>
              <w:jc w:val="left"/>
            </w:pPr>
            <w:r>
              <w:rPr>
                <w:rFonts w:ascii="仿宋_GB2312" w:hAnsi="仿宋_GB2312" w:eastAsia="仿宋_GB2312" w:cs="仿宋_GB2312"/>
                <w:color w:val="0A82E5"/>
                <w:sz w:val="24"/>
              </w:rPr>
              <w:t>(2)其他有利于招标人的增值服务。</w:t>
            </w:r>
          </w:p>
          <w:p w14:paraId="00A7B5D0">
            <w:pPr>
              <w:pStyle w:val="4"/>
              <w:jc w:val="left"/>
            </w:pPr>
            <w:r>
              <w:rPr>
                <w:rFonts w:ascii="仿宋_GB2312" w:hAnsi="仿宋_GB2312" w:eastAsia="仿宋_GB2312" w:cs="仿宋_GB2312"/>
                <w:color w:val="0A82E5"/>
                <w:sz w:val="24"/>
              </w:rPr>
              <w:t>(3)投标人须指派专人负责与招标人联系售后服务事宜。</w:t>
            </w:r>
          </w:p>
          <w:p w14:paraId="0AE204FB">
            <w:pPr>
              <w:pStyle w:val="4"/>
              <w:jc w:val="left"/>
            </w:pPr>
            <w:r>
              <w:rPr>
                <w:rFonts w:ascii="仿宋_GB2312" w:hAnsi="仿宋_GB2312" w:eastAsia="仿宋_GB2312" w:cs="仿宋_GB2312"/>
                <w:color w:val="0A82E5"/>
                <w:sz w:val="24"/>
              </w:rPr>
              <w:t>3.采购清单中产品的技术参数描述如与特定品牌或者型号相匹配，仅作为技术参考，不代表特定产品，如参数中出现品牌或型号仅供参考，投标人可提供等同或优于参数要求的产品。</w:t>
            </w:r>
          </w:p>
          <w:p w14:paraId="374BB962">
            <w:pPr>
              <w:pStyle w:val="4"/>
              <w:jc w:val="left"/>
            </w:pPr>
            <w:r>
              <w:rPr>
                <w:rFonts w:ascii="仿宋_GB2312" w:hAnsi="仿宋_GB2312" w:eastAsia="仿宋_GB2312" w:cs="仿宋_GB2312"/>
                <w:color w:val="0A82E5"/>
                <w:sz w:val="24"/>
              </w:rPr>
              <w:t>4.若所投产品涉及 3C 认证产品的，在投标文件中可不提供3C 认证证书（招标文件另有明确要求的除外），中标人应在签订采购合同前提供至招标人，未提供或不能提供的视为虚假响应。招标人将另行确定中标人或重新组织招标。（提供独立的承诺函，格式自拟）</w:t>
            </w:r>
          </w:p>
          <w:p w14:paraId="043C6F77">
            <w:pPr>
              <w:pStyle w:val="4"/>
              <w:jc w:val="left"/>
            </w:pPr>
            <w:r>
              <w:rPr>
                <w:rFonts w:ascii="仿宋_GB2312" w:hAnsi="仿宋_GB2312" w:eastAsia="仿宋_GB2312" w:cs="仿宋_GB2312"/>
                <w:color w:val="0A82E5"/>
                <w:sz w:val="24"/>
              </w:rPr>
              <w:t>5.投标人响应产品涉及国家或行业主管部门对其生产(制造)商或投标人有资质等相关规定及要求的，其生产(制造)商和投标人必须符合其相关规定及要求，如有要求的需要提供相应佐证材料。</w:t>
            </w:r>
          </w:p>
          <w:p w14:paraId="5A257596">
            <w:pPr>
              <w:pStyle w:val="4"/>
              <w:jc w:val="left"/>
            </w:pPr>
            <w:r>
              <w:rPr>
                <w:rFonts w:ascii="仿宋_GB2312" w:hAnsi="仿宋_GB2312" w:eastAsia="仿宋_GB2312" w:cs="仿宋_GB2312"/>
                <w:color w:val="0A82E5"/>
                <w:sz w:val="24"/>
              </w:rPr>
              <w:t>6.除招标文件明确要求以外，本项目采购清单中采购标的名称，因招标人不能穷尽详列或通俗认知等原因，可能投标人提供的产品所对应的证书、证明材料对产品命名存在差别的，在满足技术参数要求前提下，本项目给予认可。</w:t>
            </w:r>
          </w:p>
          <w:p w14:paraId="4254D7C9">
            <w:pPr>
              <w:pStyle w:val="4"/>
              <w:jc w:val="left"/>
            </w:pPr>
            <w:r>
              <w:rPr>
                <w:rFonts w:ascii="仿宋_GB2312" w:hAnsi="仿宋_GB2312" w:eastAsia="仿宋_GB2312" w:cs="仿宋_GB2312"/>
                <w:color w:val="0A82E5"/>
                <w:sz w:val="24"/>
              </w:rPr>
              <w:t>7.本项目产品所涉及的国家标准如有更新，按最新国家标准执行。</w:t>
            </w:r>
          </w:p>
        </w:tc>
      </w:tr>
      <w:tr w14:paraId="56B524B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2BE6BF97">
            <w:pPr>
              <w:pStyle w:val="4"/>
              <w:jc w:val="center"/>
            </w:pPr>
            <w:r>
              <w:rPr>
                <w:rFonts w:ascii="仿宋_GB2312" w:hAnsi="仿宋_GB2312" w:eastAsia="仿宋_GB2312" w:cs="仿宋_GB2312"/>
              </w:rPr>
              <w:t>3</w:t>
            </w:r>
          </w:p>
        </w:tc>
        <w:tc>
          <w:tcPr>
            <w:tcW w:w="581" w:type="dxa"/>
          </w:tcPr>
          <w:p w14:paraId="0376493B"/>
        </w:tc>
        <w:tc>
          <w:tcPr>
            <w:tcW w:w="1495" w:type="dxa"/>
          </w:tcPr>
          <w:p w14:paraId="7B870253">
            <w:pPr>
              <w:pStyle w:val="4"/>
              <w:jc w:val="left"/>
            </w:pPr>
            <w:r>
              <w:rPr>
                <w:rFonts w:ascii="仿宋_GB2312" w:hAnsi="仿宋_GB2312" w:eastAsia="仿宋_GB2312" w:cs="仿宋_GB2312"/>
              </w:rPr>
              <w:t>其他要求</w:t>
            </w:r>
          </w:p>
        </w:tc>
        <w:tc>
          <w:tcPr>
            <w:tcW w:w="5814" w:type="dxa"/>
          </w:tcPr>
          <w:p w14:paraId="2FC4C305">
            <w:pPr>
              <w:pStyle w:val="4"/>
              <w:jc w:val="both"/>
            </w:pPr>
            <w:r>
              <w:rPr>
                <w:rFonts w:ascii="仿宋_GB2312" w:hAnsi="仿宋_GB2312" w:eastAsia="仿宋_GB2312" w:cs="仿宋_GB2312"/>
              </w:rPr>
              <w:t>1.</w:t>
            </w:r>
            <w:r>
              <w:rPr>
                <w:rFonts w:ascii="仿宋_GB2312" w:hAnsi="仿宋_GB2312" w:eastAsia="仿宋_GB2312" w:cs="仿宋_GB2312"/>
                <w:sz w:val="21"/>
              </w:rPr>
              <w:t>投标人针对本项目提供的项目实施方案包括：</w:t>
            </w:r>
            <w:r>
              <w:rPr>
                <w:rFonts w:ascii="仿宋_GB2312" w:hAnsi="仿宋_GB2312" w:eastAsia="仿宋_GB2312" w:cs="仿宋_GB2312"/>
                <w:sz w:val="24"/>
              </w:rPr>
              <w:t>①备货运输方案；②进度计划及安排；③安装调试方案；④质量保障措施；⑤应急方案</w:t>
            </w:r>
            <w:r>
              <w:rPr>
                <w:rFonts w:ascii="仿宋_GB2312" w:hAnsi="仿宋_GB2312" w:eastAsia="仿宋_GB2312" w:cs="仿宋_GB2312"/>
                <w:sz w:val="21"/>
              </w:rPr>
              <w:t>。</w:t>
            </w:r>
          </w:p>
          <w:p w14:paraId="38C3305E">
            <w:pPr>
              <w:pStyle w:val="4"/>
              <w:jc w:val="both"/>
            </w:pPr>
            <w:r>
              <w:rPr>
                <w:rFonts w:ascii="仿宋_GB2312" w:hAnsi="仿宋_GB2312" w:eastAsia="仿宋_GB2312" w:cs="仿宋_GB2312"/>
                <w:sz w:val="24"/>
              </w:rPr>
              <w:t>2.投标人按照本项目的技术要求及服务要求编制项目售后服务方案包括：①服务人员构成；②快速的退换货机制；③完整的售后服务体系；④技术指导方案。</w:t>
            </w:r>
          </w:p>
        </w:tc>
      </w:tr>
    </w:tbl>
    <w:p w14:paraId="6562A918">
      <w:pPr>
        <w:pStyle w:val="4"/>
        <w:jc w:val="left"/>
      </w:pPr>
      <w:r>
        <w:rPr>
          <w:rFonts w:ascii="仿宋_GB2312" w:hAnsi="仿宋_GB2312" w:eastAsia="仿宋_GB2312" w:cs="仿宋_GB2312"/>
        </w:rPr>
        <w:t>采购包2：</w:t>
      </w:r>
    </w:p>
    <w:p w14:paraId="6AC8BCCF">
      <w:pPr>
        <w:pStyle w:val="4"/>
        <w:jc w:val="left"/>
      </w:pPr>
      <w:r>
        <w:rPr>
          <w:rFonts w:ascii="仿宋_GB2312" w:hAnsi="仿宋_GB2312" w:eastAsia="仿宋_GB2312" w:cs="仿宋_GB2312"/>
        </w:rPr>
        <w:t>标的名称：广元市利州区乡镇(街道)应急管理能力建设项目</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3415278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6A7ADE5E">
            <w:pPr>
              <w:pStyle w:val="4"/>
              <w:jc w:val="center"/>
            </w:pPr>
            <w:r>
              <w:rPr>
                <w:rFonts w:ascii="仿宋_GB2312" w:hAnsi="仿宋_GB2312" w:eastAsia="仿宋_GB2312" w:cs="仿宋_GB2312"/>
              </w:rPr>
              <w:t>序号</w:t>
            </w:r>
          </w:p>
        </w:tc>
        <w:tc>
          <w:tcPr>
            <w:tcW w:w="581" w:type="dxa"/>
          </w:tcPr>
          <w:p w14:paraId="6EAAB402">
            <w:pPr>
              <w:pStyle w:val="4"/>
              <w:jc w:val="center"/>
            </w:pPr>
            <w:r>
              <w:rPr>
                <w:rFonts w:ascii="仿宋_GB2312" w:hAnsi="仿宋_GB2312" w:eastAsia="仿宋_GB2312" w:cs="仿宋_GB2312"/>
              </w:rPr>
              <w:t>符号标识</w:t>
            </w:r>
          </w:p>
        </w:tc>
        <w:tc>
          <w:tcPr>
            <w:tcW w:w="1495" w:type="dxa"/>
          </w:tcPr>
          <w:p w14:paraId="6512E16A">
            <w:pPr>
              <w:pStyle w:val="4"/>
              <w:jc w:val="center"/>
            </w:pPr>
            <w:r>
              <w:rPr>
                <w:rFonts w:ascii="仿宋_GB2312" w:hAnsi="仿宋_GB2312" w:eastAsia="仿宋_GB2312" w:cs="仿宋_GB2312"/>
              </w:rPr>
              <w:t>技术要求名称</w:t>
            </w:r>
          </w:p>
        </w:tc>
        <w:tc>
          <w:tcPr>
            <w:tcW w:w="5814" w:type="dxa"/>
          </w:tcPr>
          <w:p w14:paraId="78D12F2C">
            <w:pPr>
              <w:pStyle w:val="4"/>
              <w:jc w:val="center"/>
            </w:pPr>
            <w:r>
              <w:rPr>
                <w:rFonts w:ascii="仿宋_GB2312" w:hAnsi="仿宋_GB2312" w:eastAsia="仿宋_GB2312" w:cs="仿宋_GB2312"/>
              </w:rPr>
              <w:t>技术参数与性能指标</w:t>
            </w:r>
          </w:p>
        </w:tc>
      </w:tr>
      <w:tr w14:paraId="2867C4B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381446BE">
            <w:pPr>
              <w:pStyle w:val="4"/>
              <w:jc w:val="center"/>
            </w:pPr>
            <w:r>
              <w:rPr>
                <w:rFonts w:ascii="仿宋_GB2312" w:hAnsi="仿宋_GB2312" w:eastAsia="仿宋_GB2312" w:cs="仿宋_GB2312"/>
              </w:rPr>
              <w:t>1</w:t>
            </w:r>
          </w:p>
        </w:tc>
        <w:tc>
          <w:tcPr>
            <w:tcW w:w="581" w:type="dxa"/>
          </w:tcPr>
          <w:p w14:paraId="43806D3E"/>
        </w:tc>
        <w:tc>
          <w:tcPr>
            <w:tcW w:w="1495" w:type="dxa"/>
          </w:tcPr>
          <w:p w14:paraId="54D88E3C">
            <w:pPr>
              <w:pStyle w:val="4"/>
              <w:jc w:val="left"/>
            </w:pPr>
            <w:r>
              <w:rPr>
                <w:rFonts w:ascii="仿宋_GB2312" w:hAnsi="仿宋_GB2312" w:eastAsia="仿宋_GB2312" w:cs="仿宋_GB2312"/>
              </w:rPr>
              <w:t>技术指标和配置</w:t>
            </w:r>
          </w:p>
        </w:tc>
        <w:tc>
          <w:tcPr>
            <w:tcW w:w="5814" w:type="dxa"/>
          </w:tcPr>
          <w:tbl>
            <w:tblPr>
              <w:tblStyle w:val="2"/>
              <w:tblW w:w="0" w:type="auto"/>
              <w:tblInd w:w="135"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481"/>
              <w:gridCol w:w="2"/>
              <w:gridCol w:w="503"/>
              <w:gridCol w:w="2786"/>
              <w:gridCol w:w="485"/>
              <w:gridCol w:w="481"/>
              <w:gridCol w:w="270"/>
              <w:gridCol w:w="3"/>
              <w:gridCol w:w="3"/>
              <w:gridCol w:w="222"/>
              <w:gridCol w:w="222"/>
            </w:tblGrid>
            <w:tr w14:paraId="35DC251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gridAfter w:val="1"/>
                <w:wAfter w:w="222" w:type="dxa"/>
              </w:trPr>
              <w:tc>
                <w:tcPr>
                  <w:tcW w:w="314" w:type="dxa"/>
                  <w:tcBorders>
                    <w:top w:val="single" w:color="333333" w:sz="4" w:space="0"/>
                    <w:left w:val="single" w:color="333333" w:sz="4" w:space="0"/>
                    <w:bottom w:val="single" w:color="333333" w:sz="4" w:space="0"/>
                    <w:right w:val="single" w:color="333333" w:sz="4" w:space="0"/>
                  </w:tcBorders>
                  <w:tcMar>
                    <w:top w:w="75" w:type="dxa"/>
                    <w:left w:w="120" w:type="dxa"/>
                    <w:bottom w:w="75" w:type="dxa"/>
                    <w:right w:w="120" w:type="dxa"/>
                  </w:tcMar>
                  <w:vAlign w:val="top"/>
                </w:tcPr>
                <w:p w14:paraId="3877C0F3">
                  <w:pPr>
                    <w:pStyle w:val="4"/>
                    <w:jc w:val="center"/>
                  </w:pPr>
                  <w:r>
                    <w:rPr>
                      <w:rFonts w:ascii="仿宋_GB2312" w:hAnsi="仿宋_GB2312" w:eastAsia="仿宋_GB2312" w:cs="仿宋_GB2312"/>
                      <w:b/>
                      <w:sz w:val="24"/>
                    </w:rPr>
                    <w:t>序号</w:t>
                  </w:r>
                </w:p>
              </w:tc>
              <w:tc>
                <w:tcPr>
                  <w:tcW w:w="539" w:type="dxa"/>
                  <w:gridSpan w:val="2"/>
                  <w:tcBorders>
                    <w:top w:val="single" w:color="333333" w:sz="4" w:space="0"/>
                    <w:left w:val="nil"/>
                    <w:bottom w:val="single" w:color="333333" w:sz="4" w:space="0"/>
                    <w:right w:val="single" w:color="333333" w:sz="4" w:space="0"/>
                  </w:tcBorders>
                  <w:tcMar>
                    <w:top w:w="75" w:type="dxa"/>
                    <w:left w:w="120" w:type="dxa"/>
                    <w:bottom w:w="75" w:type="dxa"/>
                    <w:right w:w="120" w:type="dxa"/>
                  </w:tcMar>
                  <w:vAlign w:val="top"/>
                </w:tcPr>
                <w:p w14:paraId="5802A619">
                  <w:pPr>
                    <w:pStyle w:val="4"/>
                    <w:jc w:val="center"/>
                  </w:pPr>
                  <w:r>
                    <w:rPr>
                      <w:rFonts w:ascii="仿宋_GB2312" w:hAnsi="仿宋_GB2312" w:eastAsia="仿宋_GB2312" w:cs="仿宋_GB2312"/>
                      <w:b/>
                      <w:sz w:val="24"/>
                    </w:rPr>
                    <w:t>技术要求名称</w:t>
                  </w:r>
                </w:p>
              </w:tc>
              <w:tc>
                <w:tcPr>
                  <w:tcW w:w="3466" w:type="dxa"/>
                  <w:tcBorders>
                    <w:top w:val="single" w:color="333333" w:sz="4" w:space="0"/>
                    <w:left w:val="nil"/>
                    <w:bottom w:val="single" w:color="333333" w:sz="4" w:space="0"/>
                    <w:right w:val="single" w:color="333333" w:sz="4" w:space="0"/>
                  </w:tcBorders>
                  <w:tcMar>
                    <w:top w:w="75" w:type="dxa"/>
                    <w:left w:w="120" w:type="dxa"/>
                    <w:bottom w:w="75" w:type="dxa"/>
                    <w:right w:w="120" w:type="dxa"/>
                  </w:tcMar>
                  <w:vAlign w:val="top"/>
                </w:tcPr>
                <w:p w14:paraId="5CCAC220">
                  <w:pPr>
                    <w:pStyle w:val="4"/>
                    <w:jc w:val="center"/>
                  </w:pPr>
                  <w:r>
                    <w:rPr>
                      <w:rFonts w:ascii="仿宋_GB2312" w:hAnsi="仿宋_GB2312" w:eastAsia="仿宋_GB2312" w:cs="仿宋_GB2312"/>
                      <w:b/>
                      <w:sz w:val="24"/>
                    </w:rPr>
                    <w:t>技术要求内容（性能指标）</w:t>
                  </w:r>
                </w:p>
              </w:tc>
              <w:tc>
                <w:tcPr>
                  <w:tcW w:w="491" w:type="dxa"/>
                  <w:tcBorders>
                    <w:top w:val="single" w:color="333333" w:sz="4" w:space="0"/>
                    <w:left w:val="nil"/>
                    <w:bottom w:val="single" w:color="333333" w:sz="4" w:space="0"/>
                    <w:right w:val="single" w:color="333333" w:sz="4" w:space="0"/>
                  </w:tcBorders>
                  <w:tcMar>
                    <w:top w:w="75" w:type="dxa"/>
                    <w:left w:w="120" w:type="dxa"/>
                    <w:bottom w:w="75" w:type="dxa"/>
                    <w:right w:w="120" w:type="dxa"/>
                  </w:tcMar>
                  <w:vAlign w:val="top"/>
                </w:tcPr>
                <w:p w14:paraId="5509C6F9">
                  <w:pPr>
                    <w:pStyle w:val="4"/>
                    <w:jc w:val="center"/>
                  </w:pPr>
                  <w:r>
                    <w:rPr>
                      <w:rFonts w:ascii="仿宋_GB2312" w:hAnsi="仿宋_GB2312" w:eastAsia="仿宋_GB2312" w:cs="仿宋_GB2312"/>
                      <w:b/>
                      <w:sz w:val="24"/>
                    </w:rPr>
                    <w:t>单位</w:t>
                  </w:r>
                </w:p>
              </w:tc>
              <w:tc>
                <w:tcPr>
                  <w:tcW w:w="451" w:type="dxa"/>
                  <w:tcBorders>
                    <w:top w:val="single" w:color="333333" w:sz="4" w:space="0"/>
                    <w:left w:val="nil"/>
                    <w:bottom w:val="single" w:color="333333" w:sz="4" w:space="0"/>
                    <w:right w:val="single" w:color="333333" w:sz="4" w:space="0"/>
                  </w:tcBorders>
                  <w:tcMar>
                    <w:top w:w="75" w:type="dxa"/>
                    <w:left w:w="120" w:type="dxa"/>
                    <w:bottom w:w="75" w:type="dxa"/>
                    <w:right w:w="120" w:type="dxa"/>
                  </w:tcMar>
                  <w:vAlign w:val="top"/>
                </w:tcPr>
                <w:p w14:paraId="321CCC62">
                  <w:pPr>
                    <w:pStyle w:val="4"/>
                    <w:jc w:val="center"/>
                  </w:pPr>
                  <w:r>
                    <w:rPr>
                      <w:rFonts w:ascii="仿宋_GB2312" w:hAnsi="仿宋_GB2312" w:eastAsia="仿宋_GB2312" w:cs="仿宋_GB2312"/>
                      <w:b/>
                      <w:sz w:val="24"/>
                    </w:rPr>
                    <w:t>数量</w:t>
                  </w:r>
                </w:p>
              </w:tc>
              <w:tc>
                <w:tcPr>
                  <w:tcW w:w="302" w:type="dxa"/>
                  <w:gridSpan w:val="4"/>
                  <w:tcBorders>
                    <w:top w:val="single" w:color="333333" w:sz="4" w:space="0"/>
                    <w:left w:val="nil"/>
                    <w:bottom w:val="single" w:color="333333" w:sz="4" w:space="0"/>
                    <w:right w:val="single" w:color="333333" w:sz="4" w:space="0"/>
                  </w:tcBorders>
                  <w:tcMar>
                    <w:top w:w="75" w:type="dxa"/>
                    <w:left w:w="120" w:type="dxa"/>
                    <w:bottom w:w="75" w:type="dxa"/>
                    <w:right w:w="120" w:type="dxa"/>
                  </w:tcMar>
                  <w:vAlign w:val="top"/>
                </w:tcPr>
                <w:p w14:paraId="021B7E9E">
                  <w:pPr>
                    <w:pStyle w:val="4"/>
                    <w:jc w:val="center"/>
                  </w:pPr>
                  <w:r>
                    <w:rPr>
                      <w:rFonts w:ascii="仿宋_GB2312" w:hAnsi="仿宋_GB2312" w:eastAsia="仿宋_GB2312" w:cs="仿宋_GB2312"/>
                      <w:b/>
                      <w:sz w:val="24"/>
                    </w:rPr>
                    <w:t>备注</w:t>
                  </w:r>
                </w:p>
              </w:tc>
            </w:tr>
            <w:tr w14:paraId="09AB0C8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gridAfter w:val="1"/>
                <w:wAfter w:w="222" w:type="dxa"/>
              </w:trPr>
              <w:tc>
                <w:tcPr>
                  <w:tcW w:w="314" w:type="dxa"/>
                  <w:tcBorders>
                    <w:top w:val="nil"/>
                    <w:left w:val="single" w:color="333333" w:sz="4" w:space="0"/>
                    <w:bottom w:val="single" w:color="333333" w:sz="4" w:space="0"/>
                    <w:right w:val="single" w:color="333333" w:sz="4" w:space="0"/>
                  </w:tcBorders>
                  <w:tcMar>
                    <w:top w:w="75" w:type="dxa"/>
                    <w:left w:w="120" w:type="dxa"/>
                    <w:bottom w:w="75" w:type="dxa"/>
                    <w:right w:w="120" w:type="dxa"/>
                  </w:tcMar>
                  <w:vAlign w:val="top"/>
                </w:tcPr>
                <w:p w14:paraId="004921CF">
                  <w:pPr>
                    <w:pStyle w:val="4"/>
                    <w:jc w:val="left"/>
                  </w:pPr>
                  <w:r>
                    <w:rPr>
                      <w:rFonts w:ascii="仿宋_GB2312" w:hAnsi="仿宋_GB2312" w:eastAsia="仿宋_GB2312" w:cs="仿宋_GB2312"/>
                      <w:sz w:val="24"/>
                    </w:rPr>
                    <w:t>1</w:t>
                  </w:r>
                </w:p>
              </w:tc>
              <w:tc>
                <w:tcPr>
                  <w:tcW w:w="539" w:type="dxa"/>
                  <w:gridSpan w:val="2"/>
                  <w:tcBorders>
                    <w:top w:val="nil"/>
                    <w:left w:val="nil"/>
                    <w:bottom w:val="single" w:color="333333" w:sz="4" w:space="0"/>
                    <w:right w:val="single" w:color="333333" w:sz="4" w:space="0"/>
                  </w:tcBorders>
                  <w:tcMar>
                    <w:top w:w="75" w:type="dxa"/>
                    <w:left w:w="120" w:type="dxa"/>
                    <w:bottom w:w="75" w:type="dxa"/>
                    <w:right w:w="120" w:type="dxa"/>
                  </w:tcMar>
                  <w:vAlign w:val="top"/>
                </w:tcPr>
                <w:p w14:paraId="59A592C1">
                  <w:pPr>
                    <w:pStyle w:val="4"/>
                    <w:jc w:val="left"/>
                  </w:pPr>
                  <w:r>
                    <w:rPr>
                      <w:rFonts w:ascii="仿宋_GB2312" w:hAnsi="仿宋_GB2312" w:eastAsia="仿宋_GB2312" w:cs="仿宋_GB2312"/>
                      <w:sz w:val="24"/>
                    </w:rPr>
                    <w:t>乡镇视频会议终端</w:t>
                  </w:r>
                </w:p>
              </w:tc>
              <w:tc>
                <w:tcPr>
                  <w:tcW w:w="3466" w:type="dxa"/>
                  <w:tcBorders>
                    <w:top w:val="nil"/>
                    <w:left w:val="nil"/>
                    <w:bottom w:val="single" w:color="333333" w:sz="4" w:space="0"/>
                    <w:right w:val="single" w:color="333333" w:sz="4" w:space="0"/>
                  </w:tcBorders>
                  <w:tcMar>
                    <w:top w:w="75" w:type="dxa"/>
                    <w:left w:w="120" w:type="dxa"/>
                    <w:bottom w:w="75" w:type="dxa"/>
                    <w:right w:w="120" w:type="dxa"/>
                  </w:tcMar>
                  <w:vAlign w:val="top"/>
                </w:tcPr>
                <w:p w14:paraId="65AAFD72">
                  <w:pPr>
                    <w:pStyle w:val="4"/>
                    <w:jc w:val="left"/>
                  </w:pPr>
                  <w:r>
                    <w:rPr>
                      <w:rFonts w:ascii="仿宋_GB2312" w:hAnsi="仿宋_GB2312" w:eastAsia="仿宋_GB2312" w:cs="仿宋_GB2312"/>
                      <w:sz w:val="24"/>
                    </w:rPr>
                    <w:t>1.采用一体化设计，集成 PTZ 摄像机、数字阵列麦克风及编解码器，采用国产自主编解码芯片和国产自主操作系统；</w:t>
                  </w:r>
                </w:p>
                <w:p w14:paraId="60644DA0">
                  <w:pPr>
                    <w:pStyle w:val="4"/>
                    <w:jc w:val="left"/>
                  </w:pPr>
                  <w:r>
                    <w:rPr>
                      <w:rFonts w:ascii="仿宋_GB2312" w:hAnsi="仿宋_GB2312" w:eastAsia="仿宋_GB2312" w:cs="仿宋_GB2312"/>
                      <w:sz w:val="24"/>
                    </w:rPr>
                    <w:t>2.支持 ITU-T H.323、IETF SIP 通信标准，具备良好的兼容性和开放性；</w:t>
                  </w:r>
                </w:p>
                <w:p w14:paraId="59C133F1">
                  <w:pPr>
                    <w:pStyle w:val="4"/>
                    <w:jc w:val="left"/>
                  </w:pPr>
                  <w:r>
                    <w:rPr>
                      <w:rFonts w:ascii="仿宋_GB2312" w:hAnsi="仿宋_GB2312" w:eastAsia="仿宋_GB2312" w:cs="仿宋_GB2312"/>
                      <w:sz w:val="24"/>
                    </w:rPr>
                    <w:t>3.支持 64Kbps-4Mbps 呼叫带宽；</w:t>
                  </w:r>
                </w:p>
                <w:p w14:paraId="724C74B7">
                  <w:pPr>
                    <w:pStyle w:val="4"/>
                    <w:jc w:val="left"/>
                  </w:pPr>
                  <w:r>
                    <w:rPr>
                      <w:rFonts w:ascii="仿宋_GB2312" w:hAnsi="仿宋_GB2312" w:eastAsia="仿宋_GB2312" w:cs="仿宋_GB2312"/>
                      <w:sz w:val="24"/>
                    </w:rPr>
                    <w:t>4.内置 PTZ 高清摄像机，≥5倍光学变焦，水平视角 ≥72°，采用 ≥213 万像素 1/2.8英寸 CMOS 成像芯片，支持不小于 1080P 60fps 视频图像采集；</w:t>
                  </w:r>
                </w:p>
                <w:p w14:paraId="14BD7435">
                  <w:pPr>
                    <w:pStyle w:val="4"/>
                    <w:jc w:val="left"/>
                  </w:pPr>
                  <w:r>
                    <w:rPr>
                      <w:rFonts w:ascii="仿宋_GB2312" w:hAnsi="仿宋_GB2312" w:eastAsia="仿宋_GB2312" w:cs="仿宋_GB2312"/>
                      <w:sz w:val="24"/>
                    </w:rPr>
                    <w:t>5.支持 H.265、H.264 HP、H.264 BP、H.263、H.263+等图像编码协议；</w:t>
                  </w:r>
                </w:p>
                <w:p w14:paraId="72716FBF">
                  <w:pPr>
                    <w:pStyle w:val="4"/>
                    <w:jc w:val="left"/>
                  </w:pPr>
                  <w:r>
                    <w:rPr>
                      <w:rFonts w:ascii="仿宋_GB2312" w:hAnsi="仿宋_GB2312" w:eastAsia="仿宋_GB2312" w:cs="仿宋_GB2312"/>
                      <w:sz w:val="24"/>
                    </w:rPr>
                    <w:t>6.具备 ≥1080P30fps 编解码能力；</w:t>
                  </w:r>
                </w:p>
                <w:p w14:paraId="7436CB8E">
                  <w:pPr>
                    <w:pStyle w:val="4"/>
                    <w:jc w:val="left"/>
                  </w:pPr>
                  <w:r>
                    <w:rPr>
                      <w:rFonts w:ascii="仿宋_GB2312" w:hAnsi="仿宋_GB2312" w:eastAsia="仿宋_GB2312" w:cs="仿宋_GB2312"/>
                      <w:sz w:val="24"/>
                    </w:rPr>
                    <w:t>7.支持 G.711A、G.711U、G.722、G.722.1C、G.729A、Opus 等音频协议；</w:t>
                  </w:r>
                </w:p>
                <w:p w14:paraId="456234C1">
                  <w:pPr>
                    <w:pStyle w:val="4"/>
                    <w:jc w:val="left"/>
                  </w:pPr>
                  <w:r>
                    <w:rPr>
                      <w:rFonts w:ascii="仿宋_GB2312" w:hAnsi="仿宋_GB2312" w:eastAsia="仿宋_GB2312" w:cs="仿宋_GB2312"/>
                      <w:sz w:val="24"/>
                    </w:rPr>
                    <w:t>8.支持 H.239、BFCP 双流协议，支持主流达到 1080P60fps 情况下，辅流最大达1080P60fps；</w:t>
                  </w:r>
                </w:p>
                <w:p w14:paraId="2983B39B">
                  <w:pPr>
                    <w:pStyle w:val="4"/>
                    <w:jc w:val="left"/>
                  </w:pPr>
                  <w:r>
                    <w:rPr>
                      <w:rFonts w:ascii="仿宋_GB2312" w:hAnsi="仿宋_GB2312" w:eastAsia="仿宋_GB2312" w:cs="仿宋_GB2312"/>
                      <w:sz w:val="24"/>
                    </w:rPr>
                    <w:t>9.支持≥3 路高清视频输入，≥2 路高清视频输出，≥4 路音频输入，≥2 路音频输出；</w:t>
                  </w:r>
                </w:p>
                <w:p w14:paraId="7DA22162">
                  <w:pPr>
                    <w:pStyle w:val="4"/>
                    <w:jc w:val="left"/>
                  </w:pPr>
                  <w:r>
                    <w:rPr>
                      <w:rFonts w:ascii="仿宋_GB2312" w:hAnsi="仿宋_GB2312" w:eastAsia="仿宋_GB2312" w:cs="仿宋_GB2312"/>
                      <w:sz w:val="24"/>
                    </w:rPr>
                    <w:t>10.支持 10M/100M/1000M 自适应网口；</w:t>
                  </w:r>
                </w:p>
                <w:p w14:paraId="35DE5BD4">
                  <w:pPr>
                    <w:pStyle w:val="4"/>
                    <w:jc w:val="left"/>
                  </w:pPr>
                  <w:r>
                    <w:rPr>
                      <w:rFonts w:ascii="仿宋_GB2312" w:hAnsi="仿宋_GB2312" w:eastAsia="仿宋_GB2312" w:cs="仿宋_GB2312"/>
                      <w:sz w:val="24"/>
                    </w:rPr>
                    <w:t>★11.视频终端需支持接入广元市应急管理部门平台，(提供承诺函，格式自理)；</w:t>
                  </w:r>
                </w:p>
                <w:p w14:paraId="4BFEA3D8">
                  <w:pPr>
                    <w:pStyle w:val="4"/>
                    <w:jc w:val="left"/>
                  </w:pPr>
                  <w:r>
                    <w:rPr>
                      <w:rFonts w:ascii="仿宋_GB2312" w:hAnsi="仿宋_GB2312" w:eastAsia="仿宋_GB2312" w:cs="仿宋_GB2312"/>
                      <w:sz w:val="24"/>
                    </w:rPr>
                    <w:t>12、售后保障：质保期≥3年，质保期内提供免费上门维修、技术支持，响应时间≤24小时。</w:t>
                  </w:r>
                </w:p>
              </w:tc>
              <w:tc>
                <w:tcPr>
                  <w:tcW w:w="491" w:type="dxa"/>
                  <w:tcBorders>
                    <w:top w:val="nil"/>
                    <w:left w:val="nil"/>
                    <w:bottom w:val="single" w:color="333333" w:sz="4" w:space="0"/>
                    <w:right w:val="single" w:color="333333" w:sz="4" w:space="0"/>
                  </w:tcBorders>
                  <w:tcMar>
                    <w:top w:w="75" w:type="dxa"/>
                    <w:left w:w="120" w:type="dxa"/>
                    <w:bottom w:w="75" w:type="dxa"/>
                    <w:right w:w="120" w:type="dxa"/>
                  </w:tcMar>
                  <w:vAlign w:val="top"/>
                </w:tcPr>
                <w:p w14:paraId="22DF29B0">
                  <w:pPr>
                    <w:pStyle w:val="4"/>
                    <w:jc w:val="left"/>
                  </w:pPr>
                </w:p>
              </w:tc>
              <w:tc>
                <w:tcPr>
                  <w:tcW w:w="451" w:type="dxa"/>
                  <w:tcBorders>
                    <w:top w:val="nil"/>
                    <w:left w:val="nil"/>
                    <w:bottom w:val="single" w:color="333333" w:sz="4" w:space="0"/>
                    <w:right w:val="single" w:color="333333" w:sz="4" w:space="0"/>
                  </w:tcBorders>
                  <w:tcMar>
                    <w:top w:w="75" w:type="dxa"/>
                    <w:left w:w="120" w:type="dxa"/>
                    <w:bottom w:w="75" w:type="dxa"/>
                    <w:right w:w="120" w:type="dxa"/>
                  </w:tcMar>
                  <w:vAlign w:val="top"/>
                </w:tcPr>
                <w:p w14:paraId="433B9420"/>
              </w:tc>
              <w:tc>
                <w:tcPr>
                  <w:tcW w:w="302" w:type="dxa"/>
                  <w:gridSpan w:val="4"/>
                  <w:tcBorders>
                    <w:top w:val="nil"/>
                    <w:left w:val="nil"/>
                    <w:bottom w:val="single" w:color="333333" w:sz="4" w:space="0"/>
                    <w:right w:val="single" w:color="333333" w:sz="4" w:space="0"/>
                  </w:tcBorders>
                  <w:tcMar>
                    <w:top w:w="75" w:type="dxa"/>
                    <w:left w:w="120" w:type="dxa"/>
                    <w:bottom w:w="75" w:type="dxa"/>
                    <w:right w:w="120" w:type="dxa"/>
                  </w:tcMar>
                  <w:vAlign w:val="top"/>
                </w:tcPr>
                <w:p w14:paraId="34D75481"/>
              </w:tc>
            </w:tr>
            <w:tr w14:paraId="3473138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17" w:type="dxa"/>
                  <w:tcBorders>
                    <w:top w:val="nil"/>
                    <w:left w:val="single" w:color="333333" w:sz="4" w:space="0"/>
                    <w:bottom w:val="single" w:color="333333" w:sz="4" w:space="0"/>
                    <w:right w:val="single" w:color="333333" w:sz="4" w:space="0"/>
                  </w:tcBorders>
                  <w:tcMar>
                    <w:top w:w="75" w:type="dxa"/>
                    <w:left w:w="120" w:type="dxa"/>
                    <w:bottom w:w="75" w:type="dxa"/>
                    <w:right w:w="120" w:type="dxa"/>
                  </w:tcMar>
                  <w:vAlign w:val="top"/>
                </w:tcPr>
                <w:p w14:paraId="6143B7DD">
                  <w:pPr>
                    <w:pStyle w:val="4"/>
                    <w:jc w:val="left"/>
                  </w:pPr>
                  <w:r>
                    <w:rPr>
                      <w:rFonts w:ascii="仿宋_GB2312" w:hAnsi="仿宋_GB2312" w:eastAsia="仿宋_GB2312" w:cs="仿宋_GB2312"/>
                      <w:sz w:val="24"/>
                    </w:rPr>
                    <w:t>2</w:t>
                  </w:r>
                </w:p>
              </w:tc>
              <w:tc>
                <w:tcPr>
                  <w:tcW w:w="536" w:type="dxa"/>
                  <w:gridSpan w:val="2"/>
                  <w:tcBorders>
                    <w:top w:val="nil"/>
                    <w:left w:val="nil"/>
                    <w:bottom w:val="single" w:color="333333" w:sz="4" w:space="0"/>
                    <w:right w:val="single" w:color="333333" w:sz="4" w:space="0"/>
                  </w:tcBorders>
                  <w:tcMar>
                    <w:top w:w="75" w:type="dxa"/>
                    <w:left w:w="120" w:type="dxa"/>
                    <w:bottom w:w="75" w:type="dxa"/>
                    <w:right w:w="120" w:type="dxa"/>
                  </w:tcMar>
                  <w:vAlign w:val="top"/>
                </w:tcPr>
                <w:p w14:paraId="7E32574E">
                  <w:pPr>
                    <w:pStyle w:val="4"/>
                    <w:jc w:val="left"/>
                  </w:pPr>
                  <w:r>
                    <w:rPr>
                      <w:rFonts w:ascii="仿宋_GB2312" w:hAnsi="仿宋_GB2312" w:eastAsia="仿宋_GB2312" w:cs="仿宋_GB2312"/>
                      <w:sz w:val="24"/>
                    </w:rPr>
                    <w:t>扩音器</w:t>
                  </w:r>
                </w:p>
              </w:tc>
              <w:tc>
                <w:tcPr>
                  <w:tcW w:w="3466" w:type="dxa"/>
                  <w:tcBorders>
                    <w:top w:val="nil"/>
                    <w:left w:val="nil"/>
                    <w:bottom w:val="single" w:color="333333" w:sz="4" w:space="0"/>
                    <w:right w:val="single" w:color="333333" w:sz="4" w:space="0"/>
                  </w:tcBorders>
                  <w:tcMar>
                    <w:top w:w="75" w:type="dxa"/>
                    <w:left w:w="120" w:type="dxa"/>
                    <w:bottom w:w="75" w:type="dxa"/>
                    <w:right w:w="120" w:type="dxa"/>
                  </w:tcMar>
                  <w:vAlign w:val="top"/>
                </w:tcPr>
                <w:p w14:paraId="60F1DF5A">
                  <w:pPr>
                    <w:pStyle w:val="4"/>
                    <w:jc w:val="left"/>
                  </w:pPr>
                  <w:r>
                    <w:rPr>
                      <w:rFonts w:ascii="仿宋_GB2312" w:hAnsi="仿宋_GB2312" w:eastAsia="仿宋_GB2312" w:cs="仿宋_GB2312"/>
                      <w:sz w:val="24"/>
                    </w:rPr>
                    <w:t>1、颜色：白色或其他颜色；</w:t>
                  </w:r>
                </w:p>
                <w:p w14:paraId="5A51C6CC">
                  <w:pPr>
                    <w:pStyle w:val="4"/>
                    <w:jc w:val="left"/>
                  </w:pPr>
                  <w:r>
                    <w:rPr>
                      <w:rFonts w:ascii="仿宋_GB2312" w:hAnsi="仿宋_GB2312" w:eastAsia="仿宋_GB2312" w:cs="仿宋_GB2312"/>
                      <w:sz w:val="24"/>
                    </w:rPr>
                    <w:t>2、材质：ABS；</w:t>
                  </w:r>
                </w:p>
                <w:p w14:paraId="07A0103D">
                  <w:pPr>
                    <w:pStyle w:val="4"/>
                    <w:jc w:val="left"/>
                  </w:pPr>
                  <w:r>
                    <w:rPr>
                      <w:rFonts w:ascii="仿宋_GB2312" w:hAnsi="仿宋_GB2312" w:eastAsia="仿宋_GB2312" w:cs="仿宋_GB2312"/>
                      <w:sz w:val="24"/>
                    </w:rPr>
                    <w:t>3、工作电压：DC3.7V；</w:t>
                  </w:r>
                </w:p>
                <w:p w14:paraId="2079D2AB">
                  <w:pPr>
                    <w:pStyle w:val="4"/>
                    <w:jc w:val="left"/>
                  </w:pPr>
                  <w:r>
                    <w:rPr>
                      <w:rFonts w:ascii="仿宋_GB2312" w:hAnsi="仿宋_GB2312" w:eastAsia="仿宋_GB2312" w:cs="仿宋_GB2312"/>
                      <w:sz w:val="24"/>
                    </w:rPr>
                    <w:t>★4、功率：≥30W；</w:t>
                  </w:r>
                </w:p>
                <w:p w14:paraId="4D5859C4">
                  <w:pPr>
                    <w:pStyle w:val="4"/>
                    <w:jc w:val="left"/>
                  </w:pPr>
                  <w:r>
                    <w:rPr>
                      <w:rFonts w:ascii="仿宋_GB2312" w:hAnsi="仿宋_GB2312" w:eastAsia="仿宋_GB2312" w:cs="仿宋_GB2312"/>
                      <w:sz w:val="24"/>
                    </w:rPr>
                    <w:t>5、录音：≥100s；</w:t>
                  </w:r>
                </w:p>
                <w:p w14:paraId="707B48D9">
                  <w:pPr>
                    <w:pStyle w:val="4"/>
                    <w:jc w:val="left"/>
                  </w:pPr>
                  <w:r>
                    <w:rPr>
                      <w:rFonts w:ascii="仿宋_GB2312" w:hAnsi="仿宋_GB2312" w:eastAsia="仿宋_GB2312" w:cs="仿宋_GB2312"/>
                      <w:sz w:val="24"/>
                    </w:rPr>
                    <w:t>6、传播距离：≥500m；</w:t>
                  </w:r>
                </w:p>
                <w:p w14:paraId="16994587">
                  <w:pPr>
                    <w:pStyle w:val="4"/>
                    <w:jc w:val="left"/>
                  </w:pPr>
                  <w:r>
                    <w:rPr>
                      <w:rFonts w:ascii="仿宋_GB2312" w:hAnsi="仿宋_GB2312" w:eastAsia="仿宋_GB2312" w:cs="仿宋_GB2312"/>
                      <w:sz w:val="24"/>
                    </w:rPr>
                    <w:t>7、失真度：≤1%。</w:t>
                  </w:r>
                </w:p>
                <w:p w14:paraId="40D1EF79">
                  <w:pPr>
                    <w:pStyle w:val="4"/>
                    <w:jc w:val="left"/>
                  </w:pPr>
                  <w:r>
                    <w:rPr>
                      <w:rFonts w:ascii="仿宋_GB2312" w:hAnsi="仿宋_GB2312" w:eastAsia="仿宋_GB2312" w:cs="仿宋_GB2312"/>
                      <w:sz w:val="24"/>
                    </w:rPr>
                    <w:t>8、外观应平整、光洁、无尖锐突出，色泽应一致,表面不应有明显的划伤、裂纹、变形、毛刺及其他机械损伤，表面涂层不应起泡、龟裂、脱落、锈蚀，金属部件应无锈迹。</w:t>
                  </w:r>
                </w:p>
                <w:p w14:paraId="40A7DE36">
                  <w:pPr>
                    <w:pStyle w:val="4"/>
                    <w:jc w:val="left"/>
                  </w:pPr>
                  <w:r>
                    <w:rPr>
                      <w:rFonts w:ascii="仿宋_GB2312" w:hAnsi="仿宋_GB2312" w:eastAsia="仿宋_GB2312" w:cs="仿宋_GB2312"/>
                      <w:sz w:val="24"/>
                    </w:rPr>
                    <w:t>9、开关操作应灵活可靠，零部件紧固无松动。</w:t>
                  </w:r>
                </w:p>
                <w:p w14:paraId="6E6F5552">
                  <w:pPr>
                    <w:pStyle w:val="4"/>
                    <w:jc w:val="left"/>
                  </w:pPr>
                  <w:r>
                    <w:rPr>
                      <w:rFonts w:ascii="仿宋_GB2312" w:hAnsi="仿宋_GB2312" w:eastAsia="仿宋_GB2312" w:cs="仿宋_GB2312"/>
                      <w:sz w:val="24"/>
                    </w:rPr>
                    <w:t>10、说明功能的文字、图形及符号标志应清晰、正确、端正、牢固。</w:t>
                  </w:r>
                </w:p>
                <w:p w14:paraId="3A6CDB4D">
                  <w:pPr>
                    <w:pStyle w:val="4"/>
                    <w:jc w:val="left"/>
                  </w:pPr>
                  <w:r>
                    <w:rPr>
                      <w:rFonts w:ascii="仿宋_GB2312" w:hAnsi="仿宋_GB2312" w:eastAsia="仿宋_GB2312" w:cs="仿宋_GB2312"/>
                      <w:sz w:val="24"/>
                    </w:rPr>
                    <w:t>11、冲击试验：应承受冲击能量2J，冲击次数≥3，试验后，不应影响产品的安全性能。</w:t>
                  </w:r>
                </w:p>
              </w:tc>
              <w:tc>
                <w:tcPr>
                  <w:tcW w:w="491" w:type="dxa"/>
                  <w:tcBorders>
                    <w:top w:val="nil"/>
                    <w:left w:val="nil"/>
                    <w:bottom w:val="single" w:color="333333" w:sz="4" w:space="0"/>
                    <w:right w:val="single" w:color="333333" w:sz="4" w:space="0"/>
                  </w:tcBorders>
                  <w:tcMar>
                    <w:top w:w="75" w:type="dxa"/>
                    <w:left w:w="120" w:type="dxa"/>
                    <w:bottom w:w="75" w:type="dxa"/>
                    <w:right w:w="120" w:type="dxa"/>
                  </w:tcMar>
                  <w:vAlign w:val="top"/>
                </w:tcPr>
                <w:p w14:paraId="4B5F710C">
                  <w:pPr>
                    <w:pStyle w:val="4"/>
                    <w:jc w:val="left"/>
                  </w:pPr>
                </w:p>
              </w:tc>
              <w:tc>
                <w:tcPr>
                  <w:tcW w:w="451" w:type="dxa"/>
                  <w:tcBorders>
                    <w:top w:val="nil"/>
                    <w:left w:val="nil"/>
                    <w:bottom w:val="single" w:color="333333" w:sz="4" w:space="0"/>
                    <w:right w:val="single" w:color="333333" w:sz="4" w:space="0"/>
                  </w:tcBorders>
                  <w:tcMar>
                    <w:top w:w="75" w:type="dxa"/>
                    <w:left w:w="120" w:type="dxa"/>
                    <w:bottom w:w="75" w:type="dxa"/>
                    <w:right w:w="120" w:type="dxa"/>
                  </w:tcMar>
                  <w:vAlign w:val="top"/>
                </w:tcPr>
                <w:p w14:paraId="76FC5463"/>
              </w:tc>
              <w:tc>
                <w:tcPr>
                  <w:tcW w:w="302" w:type="dxa"/>
                  <w:gridSpan w:val="4"/>
                  <w:tcBorders>
                    <w:top w:val="nil"/>
                    <w:left w:val="nil"/>
                    <w:bottom w:val="single" w:color="333333" w:sz="4" w:space="0"/>
                    <w:right w:val="single" w:color="333333" w:sz="4" w:space="0"/>
                  </w:tcBorders>
                  <w:tcMar>
                    <w:top w:w="75" w:type="dxa"/>
                    <w:left w:w="120" w:type="dxa"/>
                    <w:bottom w:w="75" w:type="dxa"/>
                    <w:right w:w="120" w:type="dxa"/>
                  </w:tcMar>
                  <w:vAlign w:val="top"/>
                </w:tcPr>
                <w:p w14:paraId="49F98468"/>
              </w:tc>
              <w:tc>
                <w:tcPr>
                  <w:tcW w:w="0" w:type="dxa"/>
                  <w:tcBorders>
                    <w:top w:val="nil"/>
                    <w:left w:val="nil"/>
                    <w:bottom w:val="nil"/>
                    <w:right w:val="nil"/>
                  </w:tcBorders>
                </w:tcPr>
                <w:p w14:paraId="6ACEEA0D">
                  <w:pPr>
                    <w:pStyle w:val="4"/>
                    <w:jc w:val="left"/>
                  </w:pPr>
                  <w:r>
                    <w:rPr>
                      <w:rFonts w:ascii="仿宋_GB2312" w:hAnsi="仿宋_GB2312" w:eastAsia="仿宋_GB2312" w:cs="仿宋_GB2312"/>
                      <w:sz w:val="19"/>
                    </w:rPr>
                    <w:t xml:space="preserve"> </w:t>
                  </w:r>
                </w:p>
              </w:tc>
            </w:tr>
            <w:tr w14:paraId="7F016CB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17" w:type="dxa"/>
                  <w:tcBorders>
                    <w:top w:val="nil"/>
                    <w:left w:val="single" w:color="333333" w:sz="4" w:space="0"/>
                    <w:bottom w:val="single" w:color="333333" w:sz="4" w:space="0"/>
                    <w:right w:val="single" w:color="333333" w:sz="4" w:space="0"/>
                  </w:tcBorders>
                  <w:tcMar>
                    <w:top w:w="75" w:type="dxa"/>
                    <w:left w:w="120" w:type="dxa"/>
                    <w:bottom w:w="75" w:type="dxa"/>
                    <w:right w:w="120" w:type="dxa"/>
                  </w:tcMar>
                  <w:vAlign w:val="top"/>
                </w:tcPr>
                <w:p w14:paraId="7F0F321D">
                  <w:pPr>
                    <w:pStyle w:val="4"/>
                    <w:jc w:val="left"/>
                  </w:pPr>
                  <w:r>
                    <w:rPr>
                      <w:rFonts w:ascii="仿宋_GB2312" w:hAnsi="仿宋_GB2312" w:eastAsia="仿宋_GB2312" w:cs="仿宋_GB2312"/>
                      <w:sz w:val="24"/>
                    </w:rPr>
                    <w:t>3</w:t>
                  </w:r>
                </w:p>
              </w:tc>
              <w:tc>
                <w:tcPr>
                  <w:tcW w:w="536" w:type="dxa"/>
                  <w:gridSpan w:val="2"/>
                  <w:tcBorders>
                    <w:top w:val="nil"/>
                    <w:left w:val="nil"/>
                    <w:bottom w:val="single" w:color="333333" w:sz="4" w:space="0"/>
                    <w:right w:val="single" w:color="333333" w:sz="4" w:space="0"/>
                  </w:tcBorders>
                  <w:tcMar>
                    <w:top w:w="75" w:type="dxa"/>
                    <w:left w:w="120" w:type="dxa"/>
                    <w:bottom w:w="75" w:type="dxa"/>
                    <w:right w:w="120" w:type="dxa"/>
                  </w:tcMar>
                  <w:vAlign w:val="top"/>
                </w:tcPr>
                <w:p w14:paraId="259528CE">
                  <w:pPr>
                    <w:pStyle w:val="4"/>
                    <w:jc w:val="left"/>
                  </w:pPr>
                  <w:r>
                    <w:rPr>
                      <w:rFonts w:ascii="仿宋_GB2312" w:hAnsi="仿宋_GB2312" w:eastAsia="仿宋_GB2312" w:cs="仿宋_GB2312"/>
                      <w:sz w:val="24"/>
                    </w:rPr>
                    <w:t>侦查无人机+培训</w:t>
                  </w:r>
                </w:p>
              </w:tc>
              <w:tc>
                <w:tcPr>
                  <w:tcW w:w="3466" w:type="dxa"/>
                  <w:tcBorders>
                    <w:top w:val="nil"/>
                    <w:left w:val="nil"/>
                    <w:bottom w:val="single" w:color="333333" w:sz="4" w:space="0"/>
                    <w:right w:val="single" w:color="333333" w:sz="4" w:space="0"/>
                  </w:tcBorders>
                  <w:tcMar>
                    <w:top w:w="75" w:type="dxa"/>
                    <w:left w:w="120" w:type="dxa"/>
                    <w:bottom w:w="75" w:type="dxa"/>
                    <w:right w:w="120" w:type="dxa"/>
                  </w:tcMar>
                  <w:vAlign w:val="top"/>
                </w:tcPr>
                <w:p w14:paraId="27232A1F">
                  <w:pPr>
                    <w:pStyle w:val="4"/>
                    <w:jc w:val="left"/>
                  </w:pPr>
                  <w:r>
                    <w:rPr>
                      <w:rFonts w:ascii="仿宋_GB2312" w:hAnsi="仿宋_GB2312" w:eastAsia="仿宋_GB2312" w:cs="仿宋_GB2312"/>
                      <w:sz w:val="24"/>
                    </w:rPr>
                    <w:t>一、无人机</w:t>
                  </w:r>
                </w:p>
                <w:p w14:paraId="47594740">
                  <w:pPr>
                    <w:pStyle w:val="4"/>
                    <w:jc w:val="left"/>
                  </w:pPr>
                  <w:r>
                    <w:rPr>
                      <w:rFonts w:ascii="仿宋_GB2312" w:hAnsi="仿宋_GB2312" w:eastAsia="仿宋_GB2312" w:cs="仿宋_GB2312"/>
                      <w:sz w:val="24"/>
                    </w:rPr>
                    <w:t>★1、最大起飞重量：≥1400g；</w:t>
                  </w:r>
                </w:p>
                <w:p w14:paraId="51836D20">
                  <w:pPr>
                    <w:pStyle w:val="4"/>
                    <w:jc w:val="left"/>
                  </w:pPr>
                  <w:r>
                    <w:rPr>
                      <w:rFonts w:ascii="仿宋_GB2312" w:hAnsi="仿宋_GB2312" w:eastAsia="仿宋_GB2312" w:cs="仿宋_GB2312"/>
                      <w:sz w:val="24"/>
                    </w:rPr>
                    <w:t>2、尺寸（展开，长×宽×高）：≤400mmx400mmx200mm（L×W×H）；</w:t>
                  </w:r>
                </w:p>
                <w:p w14:paraId="6927C007">
                  <w:pPr>
                    <w:pStyle w:val="4"/>
                    <w:jc w:val="left"/>
                  </w:pPr>
                  <w:r>
                    <w:rPr>
                      <w:rFonts w:ascii="仿宋_GB2312" w:hAnsi="仿宋_GB2312" w:eastAsia="仿宋_GB2312" w:cs="仿宋_GB2312"/>
                      <w:sz w:val="24"/>
                    </w:rPr>
                    <w:t>3、最大上升速度：≥8 m/s；</w:t>
                  </w:r>
                </w:p>
                <w:p w14:paraId="0FA5B954">
                  <w:pPr>
                    <w:pStyle w:val="4"/>
                    <w:jc w:val="left"/>
                  </w:pPr>
                  <w:r>
                    <w:rPr>
                      <w:rFonts w:ascii="仿宋_GB2312" w:hAnsi="仿宋_GB2312" w:eastAsia="仿宋_GB2312" w:cs="仿宋_GB2312"/>
                      <w:sz w:val="24"/>
                    </w:rPr>
                    <w:t>4、最大水平飞行速度：≥20 m/s；</w:t>
                  </w:r>
                </w:p>
                <w:p w14:paraId="1EED856F">
                  <w:pPr>
                    <w:pStyle w:val="4"/>
                    <w:jc w:val="left"/>
                  </w:pPr>
                  <w:r>
                    <w:rPr>
                      <w:rFonts w:ascii="仿宋_GB2312" w:hAnsi="仿宋_GB2312" w:eastAsia="仿宋_GB2312" w:cs="仿宋_GB2312"/>
                      <w:sz w:val="24"/>
                    </w:rPr>
                    <w:t>5、最大起飞海拔高度：≥4000m；</w:t>
                  </w:r>
                </w:p>
                <w:p w14:paraId="06854E9E">
                  <w:pPr>
                    <w:pStyle w:val="4"/>
                    <w:jc w:val="left"/>
                  </w:pPr>
                  <w:r>
                    <w:rPr>
                      <w:rFonts w:ascii="仿宋_GB2312" w:hAnsi="仿宋_GB2312" w:eastAsia="仿宋_GB2312" w:cs="仿宋_GB2312"/>
                      <w:sz w:val="24"/>
                    </w:rPr>
                    <w:t>6、最长飞行时间（常规桨叶）：≥40 min；</w:t>
                  </w:r>
                </w:p>
                <w:p w14:paraId="0B4DE377">
                  <w:pPr>
                    <w:pStyle w:val="4"/>
                    <w:jc w:val="left"/>
                  </w:pPr>
                  <w:r>
                    <w:rPr>
                      <w:rFonts w:ascii="仿宋_GB2312" w:hAnsi="仿宋_GB2312" w:eastAsia="仿宋_GB2312" w:cs="仿宋_GB2312"/>
                      <w:sz w:val="24"/>
                    </w:rPr>
                    <w:t>7、最大抗风速度：≥12 m/s；</w:t>
                  </w:r>
                </w:p>
                <w:p w14:paraId="4448C12F">
                  <w:pPr>
                    <w:pStyle w:val="4"/>
                    <w:jc w:val="left"/>
                  </w:pPr>
                  <w:r>
                    <w:rPr>
                      <w:rFonts w:ascii="仿宋_GB2312" w:hAnsi="仿宋_GB2312" w:eastAsia="仿宋_GB2312" w:cs="仿宋_GB2312"/>
                      <w:sz w:val="24"/>
                    </w:rPr>
                    <w:t>8、最大信号有效距离：≥15 km；</w:t>
                  </w:r>
                </w:p>
                <w:p w14:paraId="69C299E1">
                  <w:pPr>
                    <w:pStyle w:val="4"/>
                    <w:jc w:val="left"/>
                  </w:pPr>
                  <w:r>
                    <w:rPr>
                      <w:rFonts w:ascii="仿宋_GB2312" w:hAnsi="仿宋_GB2312" w:eastAsia="仿宋_GB2312" w:cs="仿宋_GB2312"/>
                      <w:sz w:val="24"/>
                    </w:rPr>
                    <w:t>9、工作环境温度：-10℃ 至 40℃</w:t>
                  </w:r>
                </w:p>
                <w:p w14:paraId="0A113027">
                  <w:pPr>
                    <w:pStyle w:val="4"/>
                    <w:jc w:val="left"/>
                  </w:pPr>
                  <w:r>
                    <w:rPr>
                      <w:rFonts w:ascii="仿宋_GB2312" w:hAnsi="仿宋_GB2312" w:eastAsia="仿宋_GB2312" w:cs="仿宋_GB2312"/>
                      <w:sz w:val="24"/>
                    </w:rPr>
                    <w:t>10、云台具有广角可见光相机、变焦可见光相机、激光测距模块；</w:t>
                  </w:r>
                </w:p>
                <w:p w14:paraId="074EAD56">
                  <w:pPr>
                    <w:pStyle w:val="4"/>
                    <w:jc w:val="left"/>
                  </w:pPr>
                  <w:r>
                    <w:rPr>
                      <w:rFonts w:ascii="仿宋_GB2312" w:hAnsi="仿宋_GB2312" w:eastAsia="仿宋_GB2312" w:cs="仿宋_GB2312"/>
                      <w:sz w:val="24"/>
                    </w:rPr>
                    <w:t>11、广角相机有效像素：≥2000万；</w:t>
                  </w:r>
                </w:p>
                <w:p w14:paraId="0249F462">
                  <w:pPr>
                    <w:pStyle w:val="4"/>
                    <w:jc w:val="left"/>
                  </w:pPr>
                  <w:r>
                    <w:rPr>
                      <w:rFonts w:ascii="仿宋_GB2312" w:hAnsi="仿宋_GB2312" w:eastAsia="仿宋_GB2312" w:cs="仿宋_GB2312"/>
                      <w:sz w:val="24"/>
                    </w:rPr>
                    <w:t>12、变焦相机有效像素：≥4800 万；</w:t>
                  </w:r>
                </w:p>
                <w:p w14:paraId="003F2DDC">
                  <w:pPr>
                    <w:pStyle w:val="4"/>
                    <w:jc w:val="left"/>
                  </w:pPr>
                  <w:r>
                    <w:rPr>
                      <w:rFonts w:ascii="仿宋_GB2312" w:hAnsi="仿宋_GB2312" w:eastAsia="仿宋_GB2312" w:cs="仿宋_GB2312"/>
                      <w:sz w:val="24"/>
                    </w:rPr>
                    <w:t>13、激光测距模块：量程≥1200米；</w:t>
                  </w:r>
                </w:p>
                <w:p w14:paraId="409D2970">
                  <w:pPr>
                    <w:pStyle w:val="4"/>
                    <w:jc w:val="left"/>
                  </w:pPr>
                  <w:r>
                    <w:rPr>
                      <w:rFonts w:ascii="仿宋_GB2312" w:hAnsi="仿宋_GB2312" w:eastAsia="仿宋_GB2312" w:cs="仿宋_GB2312"/>
                      <w:sz w:val="24"/>
                    </w:rPr>
                    <w:t>14、遥控器屏幕尺寸：≥7英寸；</w:t>
                  </w:r>
                </w:p>
                <w:p w14:paraId="32866BB0">
                  <w:pPr>
                    <w:pStyle w:val="4"/>
                    <w:jc w:val="left"/>
                  </w:pPr>
                  <w:r>
                    <w:rPr>
                      <w:rFonts w:ascii="仿宋_GB2312" w:hAnsi="仿宋_GB2312" w:eastAsia="仿宋_GB2312" w:cs="仿宋_GB2312"/>
                      <w:sz w:val="24"/>
                    </w:rPr>
                    <w:t>★15、含适配该机型的CAAC培训并取得证书，培训人员不少于没人每台（提供承诺函，格式自理）；</w:t>
                  </w:r>
                </w:p>
                <w:p w14:paraId="778A81DD">
                  <w:pPr>
                    <w:pStyle w:val="4"/>
                    <w:jc w:val="left"/>
                  </w:pPr>
                  <w:r>
                    <w:rPr>
                      <w:rFonts w:ascii="仿宋_GB2312" w:hAnsi="仿宋_GB2312" w:eastAsia="仿宋_GB2312" w:cs="仿宋_GB2312"/>
                      <w:sz w:val="24"/>
                    </w:rPr>
                    <w:t>二、飞行平台智能功能</w:t>
                  </w:r>
                </w:p>
                <w:p w14:paraId="22C9D8ED">
                  <w:pPr>
                    <w:pStyle w:val="4"/>
                    <w:jc w:val="left"/>
                  </w:pPr>
                  <w:r>
                    <w:rPr>
                      <w:rFonts w:ascii="仿宋_GB2312" w:hAnsi="仿宋_GB2312" w:eastAsia="仿宋_GB2312" w:cs="仿宋_GB2312"/>
                      <w:sz w:val="24"/>
                    </w:rPr>
                    <w:t>▲1、支持多屏显示模式（含三连屏、单屏），可由管理员灵活配置显示需求；</w:t>
                  </w:r>
                </w:p>
                <w:p w14:paraId="710620CA">
                  <w:pPr>
                    <w:pStyle w:val="4"/>
                    <w:jc w:val="left"/>
                  </w:pPr>
                  <w:r>
                    <w:rPr>
                      <w:rFonts w:ascii="仿宋_GB2312" w:hAnsi="仿宋_GB2312" w:eastAsia="仿宋_GB2312" w:cs="仿宋_GB2312"/>
                      <w:sz w:val="24"/>
                    </w:rPr>
                    <w:t>▲2、支持设备数据可视化，将设备在线情况、风级、温度、网络、SN码及多种设备数据动态展示，快捷查看；</w:t>
                  </w:r>
                </w:p>
                <w:p w14:paraId="10BB6CCF">
                  <w:pPr>
                    <w:pStyle w:val="4"/>
                    <w:jc w:val="left"/>
                  </w:pPr>
                  <w:r>
                    <w:rPr>
                      <w:rFonts w:ascii="仿宋_GB2312" w:hAnsi="仿宋_GB2312" w:eastAsia="仿宋_GB2312" w:cs="仿宋_GB2312"/>
                      <w:sz w:val="24"/>
                    </w:rPr>
                    <w:t>▲3、支持智能分析模块的算法导入至飞行控制界面，实现外载算法的识别与调用；</w:t>
                  </w:r>
                </w:p>
                <w:p w14:paraId="2F3D74E9">
                  <w:pPr>
                    <w:pStyle w:val="4"/>
                    <w:jc w:val="left"/>
                  </w:pPr>
                  <w:r>
                    <w:rPr>
                      <w:rFonts w:ascii="仿宋_GB2312" w:hAnsi="仿宋_GB2312" w:eastAsia="仿宋_GB2312" w:cs="仿宋_GB2312"/>
                      <w:sz w:val="24"/>
                    </w:rPr>
                    <w:t>▲4、支持AI识别画面抽帧留档，将识别过程中的直播画面按照一定烈度，截图保存留档记录，还可将截图生成工单信息，派发至相关人员；</w:t>
                  </w:r>
                </w:p>
                <w:p w14:paraId="581FA626">
                  <w:pPr>
                    <w:pStyle w:val="4"/>
                    <w:jc w:val="left"/>
                  </w:pPr>
                  <w:r>
                    <w:rPr>
                      <w:rFonts w:ascii="仿宋_GB2312" w:hAnsi="仿宋_GB2312" w:eastAsia="仿宋_GB2312" w:cs="仿宋_GB2312"/>
                      <w:sz w:val="24"/>
                    </w:rPr>
                    <w:t>▲5、支持多种算法或单类算法的复合识别方式，只需要开启一路识别就可在直播画面或者视频、图片里面同时展示多种识别场景；</w:t>
                  </w:r>
                </w:p>
              </w:tc>
              <w:tc>
                <w:tcPr>
                  <w:tcW w:w="491" w:type="dxa"/>
                  <w:tcBorders>
                    <w:top w:val="nil"/>
                    <w:left w:val="nil"/>
                    <w:bottom w:val="single" w:color="333333" w:sz="4" w:space="0"/>
                    <w:right w:val="single" w:color="333333" w:sz="4" w:space="0"/>
                  </w:tcBorders>
                  <w:tcMar>
                    <w:top w:w="75" w:type="dxa"/>
                    <w:left w:w="120" w:type="dxa"/>
                    <w:bottom w:w="75" w:type="dxa"/>
                    <w:right w:w="120" w:type="dxa"/>
                  </w:tcMar>
                  <w:vAlign w:val="top"/>
                </w:tcPr>
                <w:p w14:paraId="5F281C4F">
                  <w:pPr>
                    <w:pStyle w:val="4"/>
                    <w:jc w:val="left"/>
                  </w:pPr>
                </w:p>
              </w:tc>
              <w:tc>
                <w:tcPr>
                  <w:tcW w:w="451" w:type="dxa"/>
                  <w:tcBorders>
                    <w:top w:val="nil"/>
                    <w:left w:val="nil"/>
                    <w:bottom w:val="single" w:color="333333" w:sz="4" w:space="0"/>
                    <w:right w:val="single" w:color="333333" w:sz="4" w:space="0"/>
                  </w:tcBorders>
                  <w:tcMar>
                    <w:top w:w="75" w:type="dxa"/>
                    <w:left w:w="120" w:type="dxa"/>
                    <w:bottom w:w="75" w:type="dxa"/>
                    <w:right w:w="120" w:type="dxa"/>
                  </w:tcMar>
                  <w:vAlign w:val="top"/>
                </w:tcPr>
                <w:p w14:paraId="5041768C"/>
              </w:tc>
              <w:tc>
                <w:tcPr>
                  <w:tcW w:w="302" w:type="dxa"/>
                  <w:gridSpan w:val="4"/>
                  <w:tcBorders>
                    <w:top w:val="nil"/>
                    <w:left w:val="nil"/>
                    <w:bottom w:val="single" w:color="333333" w:sz="4" w:space="0"/>
                    <w:right w:val="single" w:color="333333" w:sz="4" w:space="0"/>
                  </w:tcBorders>
                  <w:tcMar>
                    <w:top w:w="75" w:type="dxa"/>
                    <w:left w:w="120" w:type="dxa"/>
                    <w:bottom w:w="75" w:type="dxa"/>
                    <w:right w:w="120" w:type="dxa"/>
                  </w:tcMar>
                  <w:vAlign w:val="top"/>
                </w:tcPr>
                <w:p w14:paraId="573C2435"/>
              </w:tc>
              <w:tc>
                <w:tcPr>
                  <w:tcW w:w="0" w:type="dxa"/>
                  <w:tcBorders>
                    <w:top w:val="nil"/>
                    <w:left w:val="nil"/>
                    <w:bottom w:val="nil"/>
                    <w:right w:val="nil"/>
                  </w:tcBorders>
                </w:tcPr>
                <w:p w14:paraId="5397F77A">
                  <w:pPr>
                    <w:pStyle w:val="4"/>
                    <w:jc w:val="left"/>
                  </w:pPr>
                  <w:r>
                    <w:rPr>
                      <w:rFonts w:ascii="仿宋_GB2312" w:hAnsi="仿宋_GB2312" w:eastAsia="仿宋_GB2312" w:cs="仿宋_GB2312"/>
                      <w:sz w:val="19"/>
                    </w:rPr>
                    <w:t xml:space="preserve"> </w:t>
                  </w:r>
                </w:p>
              </w:tc>
            </w:tr>
            <w:tr w14:paraId="01B18C4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gridAfter w:val="1"/>
                <w:wAfter w:w="222" w:type="dxa"/>
              </w:trPr>
              <w:tc>
                <w:tcPr>
                  <w:tcW w:w="320" w:type="dxa"/>
                  <w:gridSpan w:val="2"/>
                  <w:tcBorders>
                    <w:top w:val="nil"/>
                    <w:left w:val="single" w:color="333333" w:sz="4" w:space="0"/>
                    <w:bottom w:val="single" w:color="333333" w:sz="4" w:space="0"/>
                    <w:right w:val="single" w:color="333333" w:sz="4" w:space="0"/>
                  </w:tcBorders>
                  <w:tcMar>
                    <w:top w:w="75" w:type="dxa"/>
                    <w:left w:w="120" w:type="dxa"/>
                    <w:bottom w:w="75" w:type="dxa"/>
                    <w:right w:w="120" w:type="dxa"/>
                  </w:tcMar>
                  <w:vAlign w:val="top"/>
                </w:tcPr>
                <w:p w14:paraId="6BC04E0D">
                  <w:pPr>
                    <w:pStyle w:val="4"/>
                    <w:jc w:val="left"/>
                  </w:pPr>
                  <w:r>
                    <w:rPr>
                      <w:rFonts w:ascii="仿宋_GB2312" w:hAnsi="仿宋_GB2312" w:eastAsia="仿宋_GB2312" w:cs="仿宋_GB2312"/>
                      <w:sz w:val="24"/>
                    </w:rPr>
                    <w:t>4</w:t>
                  </w:r>
                </w:p>
              </w:tc>
              <w:tc>
                <w:tcPr>
                  <w:tcW w:w="533" w:type="dxa"/>
                  <w:tcBorders>
                    <w:top w:val="nil"/>
                    <w:left w:val="nil"/>
                    <w:bottom w:val="single" w:color="333333" w:sz="4" w:space="0"/>
                    <w:right w:val="single" w:color="333333" w:sz="4" w:space="0"/>
                  </w:tcBorders>
                  <w:tcMar>
                    <w:top w:w="75" w:type="dxa"/>
                    <w:left w:w="120" w:type="dxa"/>
                    <w:bottom w:w="75" w:type="dxa"/>
                    <w:right w:w="120" w:type="dxa"/>
                  </w:tcMar>
                  <w:vAlign w:val="top"/>
                </w:tcPr>
                <w:p w14:paraId="54AE233D">
                  <w:pPr>
                    <w:pStyle w:val="4"/>
                    <w:jc w:val="left"/>
                  </w:pPr>
                  <w:r>
                    <w:rPr>
                      <w:rFonts w:ascii="仿宋_GB2312" w:hAnsi="仿宋_GB2312" w:eastAsia="仿宋_GB2312" w:cs="仿宋_GB2312"/>
                      <w:sz w:val="24"/>
                    </w:rPr>
                    <w:t>不锈钢烟感温感枪</w:t>
                  </w:r>
                </w:p>
              </w:tc>
              <w:tc>
                <w:tcPr>
                  <w:tcW w:w="3466" w:type="dxa"/>
                  <w:tcBorders>
                    <w:top w:val="nil"/>
                    <w:left w:val="nil"/>
                    <w:bottom w:val="single" w:color="333333" w:sz="4" w:space="0"/>
                    <w:right w:val="single" w:color="333333" w:sz="4" w:space="0"/>
                  </w:tcBorders>
                  <w:tcMar>
                    <w:top w:w="75" w:type="dxa"/>
                    <w:left w:w="120" w:type="dxa"/>
                    <w:bottom w:w="75" w:type="dxa"/>
                    <w:right w:w="120" w:type="dxa"/>
                  </w:tcMar>
                  <w:vAlign w:val="top"/>
                </w:tcPr>
                <w:p w14:paraId="2AEB133B">
                  <w:pPr>
                    <w:pStyle w:val="4"/>
                    <w:jc w:val="left"/>
                  </w:pPr>
                  <w:r>
                    <w:rPr>
                      <w:rFonts w:ascii="仿宋_GB2312" w:hAnsi="仿宋_GB2312" w:eastAsia="仿宋_GB2312" w:cs="仿宋_GB2312"/>
                      <w:sz w:val="24"/>
                    </w:rPr>
                    <w:t>1、测试功能：烟感/温感</w:t>
                  </w:r>
                </w:p>
                <w:p w14:paraId="7761F089">
                  <w:pPr>
                    <w:pStyle w:val="4"/>
                    <w:jc w:val="left"/>
                  </w:pPr>
                  <w:r>
                    <w:rPr>
                      <w:rFonts w:ascii="仿宋_GB2312" w:hAnsi="仿宋_GB2312" w:eastAsia="仿宋_GB2312" w:cs="仿宋_GB2312"/>
                      <w:sz w:val="24"/>
                    </w:rPr>
                    <w:t>2、电池电压：DC7.4V；</w:t>
                  </w:r>
                </w:p>
                <w:p w14:paraId="6DCFAB17">
                  <w:pPr>
                    <w:pStyle w:val="4"/>
                    <w:jc w:val="left"/>
                  </w:pPr>
                  <w:r>
                    <w:rPr>
                      <w:rFonts w:ascii="仿宋_GB2312" w:hAnsi="仿宋_GB2312" w:eastAsia="仿宋_GB2312" w:cs="仿宋_GB2312"/>
                      <w:sz w:val="24"/>
                    </w:rPr>
                    <w:t>3、充电器输出；DC8.4V，</w:t>
                  </w:r>
                </w:p>
                <w:p w14:paraId="4B88D080">
                  <w:pPr>
                    <w:pStyle w:val="4"/>
                    <w:jc w:val="left"/>
                  </w:pPr>
                  <w:r>
                    <w:rPr>
                      <w:rFonts w:ascii="仿宋_GB2312" w:hAnsi="仿宋_GB2312" w:eastAsia="仿宋_GB2312" w:cs="仿宋_GB2312"/>
                      <w:sz w:val="24"/>
                    </w:rPr>
                    <w:t>4、烟感测试：≥450次（1个充放电周期）</w:t>
                  </w:r>
                </w:p>
                <w:p w14:paraId="4E951FE3">
                  <w:pPr>
                    <w:pStyle w:val="4"/>
                    <w:jc w:val="left"/>
                  </w:pPr>
                  <w:r>
                    <w:rPr>
                      <w:rFonts w:ascii="仿宋_GB2312" w:hAnsi="仿宋_GB2312" w:eastAsia="仿宋_GB2312" w:cs="仿宋_GB2312"/>
                      <w:sz w:val="24"/>
                    </w:rPr>
                    <w:t>5、温感测试：≥400个（1个充放电周期）</w:t>
                  </w:r>
                </w:p>
                <w:p w14:paraId="7484780C">
                  <w:pPr>
                    <w:pStyle w:val="4"/>
                    <w:jc w:val="left"/>
                  </w:pPr>
                  <w:r>
                    <w:rPr>
                      <w:rFonts w:ascii="仿宋_GB2312" w:hAnsi="仿宋_GB2312" w:eastAsia="仿宋_GB2312" w:cs="仿宋_GB2312"/>
                      <w:sz w:val="24"/>
                    </w:rPr>
                    <w:t>6、输出温度：≥80℃</w:t>
                  </w:r>
                </w:p>
                <w:p w14:paraId="62AC50D8">
                  <w:pPr>
                    <w:pStyle w:val="4"/>
                    <w:jc w:val="left"/>
                  </w:pPr>
                  <w:r>
                    <w:rPr>
                      <w:rFonts w:ascii="仿宋_GB2312" w:hAnsi="仿宋_GB2312" w:eastAsia="仿宋_GB2312" w:cs="仿宋_GB2312"/>
                      <w:sz w:val="24"/>
                    </w:rPr>
                    <w:t>7、烟源：环保型雾香液</w:t>
                  </w:r>
                </w:p>
                <w:p w14:paraId="66C60E44">
                  <w:pPr>
                    <w:pStyle w:val="4"/>
                    <w:jc w:val="left"/>
                  </w:pPr>
                  <w:r>
                    <w:rPr>
                      <w:rFonts w:ascii="仿宋_GB2312" w:hAnsi="仿宋_GB2312" w:eastAsia="仿宋_GB2312" w:cs="仿宋_GB2312"/>
                      <w:sz w:val="24"/>
                    </w:rPr>
                    <w:t>8、温源：电子加热</w:t>
                  </w:r>
                </w:p>
                <w:p w14:paraId="14141CD6">
                  <w:pPr>
                    <w:pStyle w:val="4"/>
                    <w:jc w:val="left"/>
                  </w:pPr>
                  <w:r>
                    <w:rPr>
                      <w:rFonts w:ascii="仿宋_GB2312" w:hAnsi="仿宋_GB2312" w:eastAsia="仿宋_GB2312" w:cs="仿宋_GB2312"/>
                      <w:sz w:val="24"/>
                    </w:rPr>
                    <w:t>9、操作方式：手动按钮</w:t>
                  </w:r>
                </w:p>
                <w:p w14:paraId="7343A45A">
                  <w:pPr>
                    <w:pStyle w:val="4"/>
                    <w:jc w:val="left"/>
                  </w:pPr>
                  <w:r>
                    <w:rPr>
                      <w:rFonts w:ascii="仿宋_GB2312" w:hAnsi="仿宋_GB2312" w:eastAsia="仿宋_GB2312" w:cs="仿宋_GB2312"/>
                      <w:sz w:val="24"/>
                    </w:rPr>
                    <w:t>10、标配长度：≥2.5m</w:t>
                  </w:r>
                </w:p>
                <w:p w14:paraId="58B1F985">
                  <w:pPr>
                    <w:pStyle w:val="4"/>
                    <w:jc w:val="left"/>
                  </w:pPr>
                  <w:r>
                    <w:rPr>
                      <w:rFonts w:ascii="仿宋_GB2312" w:hAnsi="仿宋_GB2312" w:eastAsia="仿宋_GB2312" w:cs="仿宋_GB2312"/>
                      <w:sz w:val="24"/>
                    </w:rPr>
                    <w:t>11、枪头材质：铝</w:t>
                  </w:r>
                </w:p>
                <w:p w14:paraId="116DAE5B">
                  <w:pPr>
                    <w:pStyle w:val="4"/>
                    <w:jc w:val="left"/>
                  </w:pPr>
                  <w:r>
                    <w:rPr>
                      <w:rFonts w:ascii="仿宋_GB2312" w:hAnsi="仿宋_GB2312" w:eastAsia="仿宋_GB2312" w:cs="仿宋_GB2312"/>
                      <w:sz w:val="24"/>
                    </w:rPr>
                    <w:t>12、连接杆材质：不锈钢</w:t>
                  </w:r>
                </w:p>
                <w:p w14:paraId="7789F137">
                  <w:pPr>
                    <w:pStyle w:val="4"/>
                    <w:jc w:val="left"/>
                  </w:pPr>
                  <w:r>
                    <w:rPr>
                      <w:rFonts w:ascii="仿宋_GB2312" w:hAnsi="仿宋_GB2312" w:eastAsia="仿宋_GB2312" w:cs="仿宋_GB2312"/>
                      <w:sz w:val="24"/>
                    </w:rPr>
                    <w:t>13、检测精度：烟感检测精度±5%，温感检测精度±1℃</w:t>
                  </w:r>
                </w:p>
              </w:tc>
              <w:tc>
                <w:tcPr>
                  <w:tcW w:w="491" w:type="dxa"/>
                  <w:tcBorders>
                    <w:top w:val="nil"/>
                    <w:left w:val="nil"/>
                    <w:bottom w:val="single" w:color="333333" w:sz="4" w:space="0"/>
                    <w:right w:val="single" w:color="333333" w:sz="4" w:space="0"/>
                  </w:tcBorders>
                  <w:tcMar>
                    <w:top w:w="75" w:type="dxa"/>
                    <w:left w:w="120" w:type="dxa"/>
                    <w:bottom w:w="75" w:type="dxa"/>
                    <w:right w:w="120" w:type="dxa"/>
                  </w:tcMar>
                  <w:vAlign w:val="top"/>
                </w:tcPr>
                <w:p w14:paraId="19DC7398">
                  <w:pPr>
                    <w:pStyle w:val="4"/>
                    <w:jc w:val="left"/>
                  </w:pPr>
                </w:p>
              </w:tc>
              <w:tc>
                <w:tcPr>
                  <w:tcW w:w="451" w:type="dxa"/>
                  <w:tcBorders>
                    <w:top w:val="nil"/>
                    <w:left w:val="nil"/>
                    <w:bottom w:val="single" w:color="333333" w:sz="4" w:space="0"/>
                    <w:right w:val="single" w:color="333333" w:sz="4" w:space="0"/>
                  </w:tcBorders>
                  <w:tcMar>
                    <w:top w:w="75" w:type="dxa"/>
                    <w:left w:w="120" w:type="dxa"/>
                    <w:bottom w:w="75" w:type="dxa"/>
                    <w:right w:w="120" w:type="dxa"/>
                  </w:tcMar>
                  <w:vAlign w:val="top"/>
                </w:tcPr>
                <w:p w14:paraId="68FE6273"/>
              </w:tc>
              <w:tc>
                <w:tcPr>
                  <w:tcW w:w="296" w:type="dxa"/>
                  <w:gridSpan w:val="3"/>
                  <w:tcBorders>
                    <w:top w:val="nil"/>
                    <w:left w:val="nil"/>
                    <w:bottom w:val="single" w:color="333333" w:sz="4" w:space="0"/>
                    <w:right w:val="single" w:color="333333" w:sz="4" w:space="0"/>
                  </w:tcBorders>
                  <w:tcMar>
                    <w:top w:w="75" w:type="dxa"/>
                    <w:left w:w="120" w:type="dxa"/>
                    <w:bottom w:w="75" w:type="dxa"/>
                    <w:right w:w="120" w:type="dxa"/>
                  </w:tcMar>
                  <w:vAlign w:val="top"/>
                </w:tcPr>
                <w:p w14:paraId="6A495E87"/>
              </w:tc>
              <w:tc>
                <w:tcPr>
                  <w:tcW w:w="6" w:type="dxa"/>
                  <w:tcBorders>
                    <w:top w:val="nil"/>
                    <w:left w:val="nil"/>
                    <w:bottom w:val="nil"/>
                    <w:right w:val="nil"/>
                  </w:tcBorders>
                </w:tcPr>
                <w:p w14:paraId="3C79EAB3">
                  <w:pPr>
                    <w:pStyle w:val="4"/>
                    <w:jc w:val="left"/>
                  </w:pPr>
                  <w:r>
                    <w:rPr>
                      <w:rFonts w:ascii="仿宋_GB2312" w:hAnsi="仿宋_GB2312" w:eastAsia="仿宋_GB2312" w:cs="仿宋_GB2312"/>
                      <w:sz w:val="19"/>
                    </w:rPr>
                    <w:t xml:space="preserve"> </w:t>
                  </w:r>
                </w:p>
              </w:tc>
            </w:tr>
            <w:tr w14:paraId="6FFA2C1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gridAfter w:val="1"/>
                <w:wAfter w:w="222" w:type="dxa"/>
              </w:trPr>
              <w:tc>
                <w:tcPr>
                  <w:tcW w:w="323" w:type="dxa"/>
                  <w:gridSpan w:val="2"/>
                  <w:tcBorders>
                    <w:top w:val="nil"/>
                    <w:left w:val="single" w:color="333333" w:sz="4" w:space="0"/>
                    <w:bottom w:val="single" w:color="333333" w:sz="4" w:space="0"/>
                    <w:right w:val="single" w:color="333333" w:sz="4" w:space="0"/>
                  </w:tcBorders>
                  <w:tcMar>
                    <w:top w:w="75" w:type="dxa"/>
                    <w:left w:w="120" w:type="dxa"/>
                    <w:bottom w:w="75" w:type="dxa"/>
                    <w:right w:w="120" w:type="dxa"/>
                  </w:tcMar>
                  <w:vAlign w:val="top"/>
                </w:tcPr>
                <w:p w14:paraId="67D716E4">
                  <w:pPr>
                    <w:pStyle w:val="4"/>
                    <w:jc w:val="left"/>
                  </w:pPr>
                  <w:r>
                    <w:rPr>
                      <w:rFonts w:ascii="仿宋_GB2312" w:hAnsi="仿宋_GB2312" w:eastAsia="仿宋_GB2312" w:cs="仿宋_GB2312"/>
                      <w:sz w:val="24"/>
                    </w:rPr>
                    <w:t>5</w:t>
                  </w:r>
                </w:p>
              </w:tc>
              <w:tc>
                <w:tcPr>
                  <w:tcW w:w="530" w:type="dxa"/>
                  <w:tcBorders>
                    <w:top w:val="nil"/>
                    <w:left w:val="nil"/>
                    <w:bottom w:val="single" w:color="333333" w:sz="4" w:space="0"/>
                    <w:right w:val="single" w:color="333333" w:sz="4" w:space="0"/>
                  </w:tcBorders>
                  <w:tcMar>
                    <w:top w:w="75" w:type="dxa"/>
                    <w:left w:w="120" w:type="dxa"/>
                    <w:bottom w:w="75" w:type="dxa"/>
                    <w:right w:w="120" w:type="dxa"/>
                  </w:tcMar>
                  <w:vAlign w:val="top"/>
                </w:tcPr>
                <w:p w14:paraId="63BC07FD">
                  <w:pPr>
                    <w:pStyle w:val="4"/>
                    <w:jc w:val="left"/>
                  </w:pPr>
                  <w:r>
                    <w:rPr>
                      <w:rFonts w:ascii="仿宋_GB2312" w:hAnsi="仿宋_GB2312" w:eastAsia="仿宋_GB2312" w:cs="仿宋_GB2312"/>
                      <w:sz w:val="24"/>
                    </w:rPr>
                    <w:t>消火栓测压接头</w:t>
                  </w:r>
                </w:p>
              </w:tc>
              <w:tc>
                <w:tcPr>
                  <w:tcW w:w="3466" w:type="dxa"/>
                  <w:tcBorders>
                    <w:top w:val="nil"/>
                    <w:left w:val="nil"/>
                    <w:bottom w:val="single" w:color="333333" w:sz="4" w:space="0"/>
                    <w:right w:val="single" w:color="333333" w:sz="4" w:space="0"/>
                  </w:tcBorders>
                  <w:tcMar>
                    <w:top w:w="75" w:type="dxa"/>
                    <w:left w:w="120" w:type="dxa"/>
                    <w:bottom w:w="75" w:type="dxa"/>
                    <w:right w:w="120" w:type="dxa"/>
                  </w:tcMar>
                  <w:vAlign w:val="top"/>
                </w:tcPr>
                <w:p w14:paraId="62A880C1">
                  <w:pPr>
                    <w:pStyle w:val="4"/>
                    <w:jc w:val="left"/>
                  </w:pPr>
                  <w:r>
                    <w:rPr>
                      <w:rFonts w:ascii="仿宋_GB2312" w:hAnsi="仿宋_GB2312" w:eastAsia="仿宋_GB2312" w:cs="仿宋_GB2312"/>
                      <w:sz w:val="24"/>
                    </w:rPr>
                    <w:t>1、形状：塔宝式；</w:t>
                  </w:r>
                </w:p>
                <w:p w14:paraId="41ED6028">
                  <w:pPr>
                    <w:pStyle w:val="4"/>
                    <w:jc w:val="left"/>
                  </w:pPr>
                  <w:r>
                    <w:rPr>
                      <w:rFonts w:ascii="仿宋_GB2312" w:hAnsi="仿宋_GB2312" w:eastAsia="仿宋_GB2312" w:cs="仿宋_GB2312"/>
                      <w:sz w:val="24"/>
                    </w:rPr>
                    <w:t>2、压力表：径向0-1.6mpa；</w:t>
                  </w:r>
                </w:p>
                <w:p w14:paraId="5598897C">
                  <w:pPr>
                    <w:pStyle w:val="4"/>
                    <w:jc w:val="left"/>
                  </w:pPr>
                  <w:r>
                    <w:rPr>
                      <w:rFonts w:ascii="仿宋_GB2312" w:hAnsi="仿宋_GB2312" w:eastAsia="仿宋_GB2312" w:cs="仿宋_GB2312"/>
                      <w:sz w:val="24"/>
                    </w:rPr>
                    <w:t>3、精度：2.5级；</w:t>
                  </w:r>
                </w:p>
              </w:tc>
              <w:tc>
                <w:tcPr>
                  <w:tcW w:w="491" w:type="dxa"/>
                  <w:tcBorders>
                    <w:top w:val="nil"/>
                    <w:left w:val="nil"/>
                    <w:bottom w:val="single" w:color="333333" w:sz="4" w:space="0"/>
                    <w:right w:val="single" w:color="333333" w:sz="4" w:space="0"/>
                  </w:tcBorders>
                  <w:tcMar>
                    <w:top w:w="75" w:type="dxa"/>
                    <w:left w:w="120" w:type="dxa"/>
                    <w:bottom w:w="75" w:type="dxa"/>
                    <w:right w:w="120" w:type="dxa"/>
                  </w:tcMar>
                  <w:vAlign w:val="top"/>
                </w:tcPr>
                <w:p w14:paraId="38FDFCEE">
                  <w:pPr>
                    <w:pStyle w:val="4"/>
                    <w:jc w:val="left"/>
                  </w:pPr>
                </w:p>
              </w:tc>
              <w:tc>
                <w:tcPr>
                  <w:tcW w:w="451" w:type="dxa"/>
                  <w:tcBorders>
                    <w:top w:val="nil"/>
                    <w:left w:val="nil"/>
                    <w:bottom w:val="single" w:color="333333" w:sz="4" w:space="0"/>
                    <w:right w:val="single" w:color="333333" w:sz="4" w:space="0"/>
                  </w:tcBorders>
                  <w:tcMar>
                    <w:top w:w="75" w:type="dxa"/>
                    <w:left w:w="120" w:type="dxa"/>
                    <w:bottom w:w="75" w:type="dxa"/>
                    <w:right w:w="120" w:type="dxa"/>
                  </w:tcMar>
                  <w:vAlign w:val="top"/>
                </w:tcPr>
                <w:p w14:paraId="2EF2D3B5"/>
              </w:tc>
              <w:tc>
                <w:tcPr>
                  <w:tcW w:w="290" w:type="dxa"/>
                  <w:gridSpan w:val="2"/>
                  <w:tcBorders>
                    <w:top w:val="nil"/>
                    <w:left w:val="nil"/>
                    <w:bottom w:val="single" w:color="333333" w:sz="4" w:space="0"/>
                    <w:right w:val="single" w:color="333333" w:sz="4" w:space="0"/>
                  </w:tcBorders>
                  <w:tcMar>
                    <w:top w:w="75" w:type="dxa"/>
                    <w:left w:w="120" w:type="dxa"/>
                    <w:bottom w:w="75" w:type="dxa"/>
                    <w:right w:w="120" w:type="dxa"/>
                  </w:tcMar>
                  <w:vAlign w:val="top"/>
                </w:tcPr>
                <w:p w14:paraId="1CA17ED6"/>
              </w:tc>
              <w:tc>
                <w:tcPr>
                  <w:tcW w:w="12" w:type="dxa"/>
                  <w:gridSpan w:val="2"/>
                  <w:tcBorders>
                    <w:top w:val="nil"/>
                    <w:left w:val="nil"/>
                    <w:bottom w:val="nil"/>
                    <w:right w:val="nil"/>
                  </w:tcBorders>
                </w:tcPr>
                <w:p w14:paraId="19E8EBC6">
                  <w:pPr>
                    <w:pStyle w:val="4"/>
                    <w:jc w:val="left"/>
                  </w:pPr>
                  <w:r>
                    <w:rPr>
                      <w:rFonts w:ascii="仿宋_GB2312" w:hAnsi="仿宋_GB2312" w:eastAsia="仿宋_GB2312" w:cs="仿宋_GB2312"/>
                      <w:sz w:val="19"/>
                    </w:rPr>
                    <w:t xml:space="preserve"> </w:t>
                  </w:r>
                </w:p>
              </w:tc>
            </w:tr>
            <w:tr w14:paraId="0D91AFF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gridAfter w:val="1"/>
                <w:wAfter w:w="222" w:type="dxa"/>
              </w:trPr>
              <w:tc>
                <w:tcPr>
                  <w:tcW w:w="323" w:type="dxa"/>
                  <w:gridSpan w:val="2"/>
                  <w:tcBorders>
                    <w:top w:val="nil"/>
                    <w:left w:val="single" w:color="333333" w:sz="4" w:space="0"/>
                    <w:bottom w:val="single" w:color="333333" w:sz="4" w:space="0"/>
                    <w:right w:val="single" w:color="333333" w:sz="4" w:space="0"/>
                  </w:tcBorders>
                  <w:tcMar>
                    <w:top w:w="75" w:type="dxa"/>
                    <w:left w:w="120" w:type="dxa"/>
                    <w:bottom w:w="75" w:type="dxa"/>
                    <w:right w:w="120" w:type="dxa"/>
                  </w:tcMar>
                  <w:vAlign w:val="top"/>
                </w:tcPr>
                <w:p w14:paraId="14873186">
                  <w:pPr>
                    <w:pStyle w:val="4"/>
                    <w:jc w:val="left"/>
                  </w:pPr>
                  <w:r>
                    <w:rPr>
                      <w:rFonts w:ascii="仿宋_GB2312" w:hAnsi="仿宋_GB2312" w:eastAsia="仿宋_GB2312" w:cs="仿宋_GB2312"/>
                      <w:sz w:val="24"/>
                    </w:rPr>
                    <w:t>6</w:t>
                  </w:r>
                </w:p>
              </w:tc>
              <w:tc>
                <w:tcPr>
                  <w:tcW w:w="530" w:type="dxa"/>
                  <w:tcBorders>
                    <w:top w:val="nil"/>
                    <w:left w:val="nil"/>
                    <w:bottom w:val="single" w:color="333333" w:sz="4" w:space="0"/>
                    <w:right w:val="single" w:color="333333" w:sz="4" w:space="0"/>
                  </w:tcBorders>
                  <w:tcMar>
                    <w:top w:w="75" w:type="dxa"/>
                    <w:left w:w="120" w:type="dxa"/>
                    <w:bottom w:w="75" w:type="dxa"/>
                    <w:right w:w="120" w:type="dxa"/>
                  </w:tcMar>
                  <w:vAlign w:val="top"/>
                </w:tcPr>
                <w:p w14:paraId="41CD83AC">
                  <w:pPr>
                    <w:pStyle w:val="4"/>
                    <w:jc w:val="left"/>
                  </w:pPr>
                  <w:r>
                    <w:rPr>
                      <w:rFonts w:ascii="仿宋_GB2312" w:hAnsi="仿宋_GB2312" w:eastAsia="仿宋_GB2312" w:cs="仿宋_GB2312"/>
                      <w:sz w:val="24"/>
                    </w:rPr>
                    <w:t>强光手电筒</w:t>
                  </w:r>
                </w:p>
              </w:tc>
              <w:tc>
                <w:tcPr>
                  <w:tcW w:w="3466" w:type="dxa"/>
                  <w:tcBorders>
                    <w:top w:val="nil"/>
                    <w:left w:val="nil"/>
                    <w:bottom w:val="single" w:color="333333" w:sz="4" w:space="0"/>
                    <w:right w:val="single" w:color="333333" w:sz="4" w:space="0"/>
                  </w:tcBorders>
                  <w:tcMar>
                    <w:top w:w="75" w:type="dxa"/>
                    <w:left w:w="120" w:type="dxa"/>
                    <w:bottom w:w="75" w:type="dxa"/>
                    <w:right w:w="120" w:type="dxa"/>
                  </w:tcMar>
                  <w:vAlign w:val="top"/>
                </w:tcPr>
                <w:p w14:paraId="65251061">
                  <w:pPr>
                    <w:pStyle w:val="4"/>
                    <w:jc w:val="left"/>
                  </w:pPr>
                  <w:r>
                    <w:rPr>
                      <w:rFonts w:ascii="仿宋_GB2312" w:hAnsi="仿宋_GB2312" w:eastAsia="仿宋_GB2312" w:cs="仿宋_GB2312"/>
                      <w:sz w:val="24"/>
                    </w:rPr>
                    <w:t>★1、符合国家消防GB30734-2014标准.</w:t>
                  </w:r>
                </w:p>
                <w:p w14:paraId="1980DE84">
                  <w:pPr>
                    <w:pStyle w:val="4"/>
                    <w:jc w:val="left"/>
                  </w:pPr>
                  <w:r>
                    <w:rPr>
                      <w:rFonts w:ascii="仿宋_GB2312" w:hAnsi="仿宋_GB2312" w:eastAsia="仿宋_GB2312" w:cs="仿宋_GB2312"/>
                      <w:sz w:val="24"/>
                    </w:rPr>
                    <w:t>2、外壳采用高硬度合金材料，光源采用高效大功率LED，寿命≥10万小时，额定功率≥9W；</w:t>
                  </w:r>
                </w:p>
                <w:p w14:paraId="236E1DA6">
                  <w:pPr>
                    <w:pStyle w:val="4"/>
                    <w:jc w:val="left"/>
                  </w:pPr>
                  <w:r>
                    <w:rPr>
                      <w:rFonts w:ascii="仿宋_GB2312" w:hAnsi="仿宋_GB2312" w:eastAsia="仿宋_GB2312" w:cs="仿宋_GB2312"/>
                      <w:sz w:val="24"/>
                    </w:rPr>
                    <w:t>3、强光与工作光可任意转换，强光状态下连续工作时间&gt;5小时，工作光连续工作时间&gt;10小时，具备红色信号功能，电池电压：11.1V。电池使用寿命：≥1000h,强光照明时间≥5小时，工作光≥10小时， 充电时间：≤8H；</w:t>
                  </w:r>
                </w:p>
                <w:p w14:paraId="7B32E3F9">
                  <w:pPr>
                    <w:pStyle w:val="4"/>
                    <w:jc w:val="left"/>
                  </w:pPr>
                  <w:r>
                    <w:rPr>
                      <w:rFonts w:ascii="仿宋_GB2312" w:hAnsi="仿宋_GB2312" w:eastAsia="仿宋_GB2312" w:cs="仿宋_GB2312"/>
                      <w:sz w:val="24"/>
                    </w:rPr>
                    <w:t>4、灯具具备倾斜感应报警功能，可检测人体运动状态，静止30S后自动切换为频闪模式，用于方位警示和呼救”。</w:t>
                  </w:r>
                </w:p>
                <w:p w14:paraId="50BCB655">
                  <w:pPr>
                    <w:pStyle w:val="4"/>
                    <w:jc w:val="left"/>
                  </w:pPr>
                  <w:r>
                    <w:rPr>
                      <w:rFonts w:ascii="仿宋_GB2312" w:hAnsi="仿宋_GB2312" w:eastAsia="仿宋_GB2312" w:cs="仿宋_GB2312"/>
                      <w:sz w:val="24"/>
                    </w:rPr>
                    <w:t>5、灯具或充电器应设置充、放电保护电路,灯具的供电电源应采用可充电电池，应具有强、弱光切换功能,应具有闪烁方式的低电压告警功能，应具有电量显示功能。灯具可以手提或者配肩背带使用。</w:t>
                  </w:r>
                </w:p>
                <w:p w14:paraId="57A06E75">
                  <w:pPr>
                    <w:pStyle w:val="4"/>
                    <w:jc w:val="left"/>
                  </w:pPr>
                  <w:r>
                    <w:rPr>
                      <w:rFonts w:ascii="仿宋_GB2312" w:hAnsi="仿宋_GB2312" w:eastAsia="仿宋_GB2312" w:cs="仿宋_GB2312"/>
                      <w:sz w:val="24"/>
                    </w:rPr>
                    <w:t>▲6、强光平均值照度≥1500lx,弱光平均值照度≥670lx。</w:t>
                  </w:r>
                </w:p>
                <w:p w14:paraId="11FE97EC">
                  <w:pPr>
                    <w:pStyle w:val="4"/>
                    <w:jc w:val="left"/>
                  </w:pPr>
                  <w:r>
                    <w:rPr>
                      <w:rFonts w:ascii="仿宋_GB2312" w:hAnsi="仿宋_GB2312" w:eastAsia="仿宋_GB2312" w:cs="仿宋_GB2312"/>
                      <w:sz w:val="24"/>
                    </w:rPr>
                    <w:t>7、防护等级：外壳防护等级≥IP65，具备防水、防尘、抗冲击功能</w:t>
                  </w:r>
                </w:p>
              </w:tc>
              <w:tc>
                <w:tcPr>
                  <w:tcW w:w="491" w:type="dxa"/>
                  <w:tcBorders>
                    <w:top w:val="nil"/>
                    <w:left w:val="nil"/>
                    <w:bottom w:val="single" w:color="333333" w:sz="4" w:space="0"/>
                    <w:right w:val="single" w:color="333333" w:sz="4" w:space="0"/>
                  </w:tcBorders>
                  <w:tcMar>
                    <w:top w:w="75" w:type="dxa"/>
                    <w:left w:w="120" w:type="dxa"/>
                    <w:bottom w:w="75" w:type="dxa"/>
                    <w:right w:w="120" w:type="dxa"/>
                  </w:tcMar>
                  <w:vAlign w:val="top"/>
                </w:tcPr>
                <w:p w14:paraId="14458789">
                  <w:pPr>
                    <w:pStyle w:val="4"/>
                    <w:jc w:val="left"/>
                  </w:pPr>
                </w:p>
              </w:tc>
              <w:tc>
                <w:tcPr>
                  <w:tcW w:w="451" w:type="dxa"/>
                  <w:tcBorders>
                    <w:top w:val="nil"/>
                    <w:left w:val="nil"/>
                    <w:bottom w:val="single" w:color="333333" w:sz="4" w:space="0"/>
                    <w:right w:val="single" w:color="333333" w:sz="4" w:space="0"/>
                  </w:tcBorders>
                  <w:tcMar>
                    <w:top w:w="75" w:type="dxa"/>
                    <w:left w:w="120" w:type="dxa"/>
                    <w:bottom w:w="75" w:type="dxa"/>
                    <w:right w:w="120" w:type="dxa"/>
                  </w:tcMar>
                  <w:vAlign w:val="top"/>
                </w:tcPr>
                <w:p w14:paraId="23870748"/>
              </w:tc>
              <w:tc>
                <w:tcPr>
                  <w:tcW w:w="290" w:type="dxa"/>
                  <w:gridSpan w:val="2"/>
                  <w:tcBorders>
                    <w:top w:val="nil"/>
                    <w:left w:val="nil"/>
                    <w:bottom w:val="single" w:color="333333" w:sz="4" w:space="0"/>
                    <w:right w:val="single" w:color="333333" w:sz="4" w:space="0"/>
                  </w:tcBorders>
                  <w:tcMar>
                    <w:top w:w="75" w:type="dxa"/>
                    <w:left w:w="120" w:type="dxa"/>
                    <w:bottom w:w="75" w:type="dxa"/>
                    <w:right w:w="120" w:type="dxa"/>
                  </w:tcMar>
                  <w:vAlign w:val="top"/>
                </w:tcPr>
                <w:p w14:paraId="2AE99104"/>
              </w:tc>
              <w:tc>
                <w:tcPr>
                  <w:tcW w:w="12" w:type="dxa"/>
                  <w:gridSpan w:val="2"/>
                  <w:tcBorders>
                    <w:top w:val="nil"/>
                    <w:left w:val="nil"/>
                    <w:bottom w:val="nil"/>
                    <w:right w:val="nil"/>
                  </w:tcBorders>
                </w:tcPr>
                <w:p w14:paraId="00EEAE90">
                  <w:pPr>
                    <w:pStyle w:val="4"/>
                    <w:jc w:val="left"/>
                  </w:pPr>
                  <w:r>
                    <w:rPr>
                      <w:rFonts w:ascii="仿宋_GB2312" w:hAnsi="仿宋_GB2312" w:eastAsia="仿宋_GB2312" w:cs="仿宋_GB2312"/>
                      <w:sz w:val="19"/>
                    </w:rPr>
                    <w:t xml:space="preserve"> </w:t>
                  </w:r>
                </w:p>
              </w:tc>
            </w:tr>
            <w:tr w14:paraId="6CD6559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gridAfter w:val="1"/>
                <w:wAfter w:w="222" w:type="dxa"/>
              </w:trPr>
              <w:tc>
                <w:tcPr>
                  <w:tcW w:w="323" w:type="dxa"/>
                  <w:gridSpan w:val="2"/>
                  <w:tcBorders>
                    <w:top w:val="nil"/>
                    <w:left w:val="single" w:color="333333" w:sz="4" w:space="0"/>
                    <w:bottom w:val="single" w:color="333333" w:sz="4" w:space="0"/>
                    <w:right w:val="single" w:color="333333" w:sz="4" w:space="0"/>
                  </w:tcBorders>
                  <w:tcMar>
                    <w:top w:w="75" w:type="dxa"/>
                    <w:left w:w="120" w:type="dxa"/>
                    <w:bottom w:w="75" w:type="dxa"/>
                    <w:right w:w="120" w:type="dxa"/>
                  </w:tcMar>
                  <w:vAlign w:val="top"/>
                </w:tcPr>
                <w:p w14:paraId="32340CDF">
                  <w:pPr>
                    <w:pStyle w:val="4"/>
                    <w:jc w:val="left"/>
                  </w:pPr>
                  <w:r>
                    <w:rPr>
                      <w:rFonts w:ascii="仿宋_GB2312" w:hAnsi="仿宋_GB2312" w:eastAsia="仿宋_GB2312" w:cs="仿宋_GB2312"/>
                      <w:sz w:val="24"/>
                    </w:rPr>
                    <w:t>7</w:t>
                  </w:r>
                </w:p>
              </w:tc>
              <w:tc>
                <w:tcPr>
                  <w:tcW w:w="530" w:type="dxa"/>
                  <w:tcBorders>
                    <w:top w:val="nil"/>
                    <w:left w:val="nil"/>
                    <w:bottom w:val="single" w:color="333333" w:sz="4" w:space="0"/>
                    <w:right w:val="single" w:color="333333" w:sz="4" w:space="0"/>
                  </w:tcBorders>
                  <w:tcMar>
                    <w:top w:w="75" w:type="dxa"/>
                    <w:left w:w="120" w:type="dxa"/>
                    <w:bottom w:w="75" w:type="dxa"/>
                    <w:right w:w="120" w:type="dxa"/>
                  </w:tcMar>
                  <w:vAlign w:val="top"/>
                </w:tcPr>
                <w:p w14:paraId="0CA5641E">
                  <w:pPr>
                    <w:pStyle w:val="4"/>
                    <w:jc w:val="left"/>
                  </w:pPr>
                  <w:r>
                    <w:rPr>
                      <w:rFonts w:ascii="仿宋_GB2312" w:hAnsi="仿宋_GB2312" w:eastAsia="仿宋_GB2312" w:cs="仿宋_GB2312"/>
                      <w:sz w:val="24"/>
                    </w:rPr>
                    <w:t>现场移动照明灯具组</w:t>
                  </w:r>
                </w:p>
              </w:tc>
              <w:tc>
                <w:tcPr>
                  <w:tcW w:w="3466" w:type="dxa"/>
                  <w:tcBorders>
                    <w:top w:val="nil"/>
                    <w:left w:val="nil"/>
                    <w:bottom w:val="single" w:color="333333" w:sz="4" w:space="0"/>
                    <w:right w:val="single" w:color="333333" w:sz="4" w:space="0"/>
                  </w:tcBorders>
                  <w:tcMar>
                    <w:top w:w="75" w:type="dxa"/>
                    <w:left w:w="120" w:type="dxa"/>
                    <w:bottom w:w="75" w:type="dxa"/>
                    <w:right w:w="120" w:type="dxa"/>
                  </w:tcMar>
                  <w:vAlign w:val="top"/>
                </w:tcPr>
                <w:p w14:paraId="54A270AF">
                  <w:pPr>
                    <w:pStyle w:val="4"/>
                    <w:jc w:val="left"/>
                  </w:pPr>
                  <w:r>
                    <w:rPr>
                      <w:rFonts w:ascii="仿宋_GB2312" w:hAnsi="仿宋_GB2312" w:eastAsia="仿宋_GB2312" w:cs="仿宋_GB2312"/>
                      <w:sz w:val="24"/>
                    </w:rPr>
                    <w:t>1、箱体与灯具外壳采用高强度、高品质工程材料制作,耐热抗寒、可抗强力冲击，配以良好的防水技术,使系统耐磨.防水 .防尘.防静电.抗冲击.抗腐蚀,可简单快速地将照明系统拆卸组合,放入安全防水箱内,方便携带、运输。灯具带有LED电量显示屏，可随时查询剩余电量。</w:t>
                  </w:r>
                </w:p>
                <w:p w14:paraId="46DB2197">
                  <w:pPr>
                    <w:pStyle w:val="4"/>
                    <w:jc w:val="left"/>
                  </w:pPr>
                  <w:r>
                    <w:rPr>
                      <w:rFonts w:ascii="仿宋_GB2312" w:hAnsi="仿宋_GB2312" w:eastAsia="仿宋_GB2312" w:cs="仿宋_GB2312"/>
                      <w:sz w:val="24"/>
                    </w:rPr>
                    <w:t>▲2、环境照度≤10lx时，电池充满电后，点亮两个灯头、升降杆升至最高处，灯头与地面夹角45°，灯具5m处地面光斑最远端照度≥70lx</w:t>
                  </w:r>
                </w:p>
                <w:p w14:paraId="5012DD55">
                  <w:pPr>
                    <w:pStyle w:val="4"/>
                    <w:jc w:val="left"/>
                  </w:pPr>
                  <w:r>
                    <w:rPr>
                      <w:rFonts w:ascii="仿宋_GB2312" w:hAnsi="仿宋_GB2312" w:eastAsia="仿宋_GB2312" w:cs="仿宋_GB2312"/>
                      <w:sz w:val="24"/>
                    </w:rPr>
                    <w:t>3、外观：照明系统表面应整洁，无划痕，丝印清晰。卡扣件应转动灵活，力度适中、不易脱落。</w:t>
                  </w:r>
                </w:p>
                <w:p w14:paraId="4CC54DB8">
                  <w:pPr>
                    <w:pStyle w:val="4"/>
                    <w:jc w:val="left"/>
                  </w:pPr>
                  <w:r>
                    <w:rPr>
                      <w:rFonts w:ascii="仿宋_GB2312" w:hAnsi="仿宋_GB2312" w:eastAsia="仿宋_GB2312" w:cs="仿宋_GB2312"/>
                      <w:sz w:val="24"/>
                    </w:rPr>
                    <w:t>4、配充电适配器(AC100-240V)，可选配汽车车充电线对灯具实现充电。</w:t>
                  </w:r>
                </w:p>
                <w:p w14:paraId="22FCF4BA">
                  <w:pPr>
                    <w:pStyle w:val="4"/>
                    <w:jc w:val="left"/>
                  </w:pPr>
                  <w:r>
                    <w:rPr>
                      <w:rFonts w:ascii="仿宋_GB2312" w:hAnsi="仿宋_GB2312" w:eastAsia="仿宋_GB2312" w:cs="仿宋_GB2312"/>
                      <w:sz w:val="24"/>
                    </w:rPr>
                    <w:t>★5、检测依据：按照GB/T15211-2013的方法</w:t>
                  </w:r>
                </w:p>
                <w:p w14:paraId="1466663B">
                  <w:pPr>
                    <w:pStyle w:val="4"/>
                    <w:jc w:val="left"/>
                  </w:pPr>
                  <w:r>
                    <w:rPr>
                      <w:rFonts w:ascii="仿宋_GB2312" w:hAnsi="仿宋_GB2312" w:eastAsia="仿宋_GB2312" w:cs="仿宋_GB2312"/>
                      <w:sz w:val="24"/>
                    </w:rPr>
                    <w:t>▲6、最大升起高度：最大升起高度≥2.0m，允许偏差±0.05m。</w:t>
                  </w:r>
                </w:p>
                <w:p w14:paraId="5031E529">
                  <w:pPr>
                    <w:pStyle w:val="4"/>
                    <w:jc w:val="left"/>
                  </w:pPr>
                  <w:r>
                    <w:rPr>
                      <w:rFonts w:ascii="仿宋_GB2312" w:hAnsi="仿宋_GB2312" w:eastAsia="仿宋_GB2312" w:cs="仿宋_GB2312"/>
                      <w:sz w:val="24"/>
                    </w:rPr>
                    <w:t>7、灯头工作模式：可通过按键使用灯头在工作光 、强光和关闭状态之间切换： 外壳防护等级：照明系统的产品外壳防护等级应满足IP65的要求。</w:t>
                  </w:r>
                </w:p>
                <w:p w14:paraId="65BFEB8D">
                  <w:pPr>
                    <w:pStyle w:val="4"/>
                    <w:jc w:val="left"/>
                  </w:pPr>
                  <w:r>
                    <w:rPr>
                      <w:rFonts w:ascii="仿宋_GB2312" w:hAnsi="仿宋_GB2312" w:eastAsia="仿宋_GB2312" w:cs="仿宋_GB2312"/>
                      <w:sz w:val="24"/>
                    </w:rPr>
                    <w:t>8、灯头转动功能检验：照明系统的灯头照射角度应可在0-180°范围内调节。</w:t>
                  </w:r>
                </w:p>
                <w:p w14:paraId="325E75EB">
                  <w:pPr>
                    <w:pStyle w:val="4"/>
                    <w:jc w:val="left"/>
                  </w:pPr>
                  <w:r>
                    <w:rPr>
                      <w:rFonts w:ascii="仿宋_GB2312" w:hAnsi="仿宋_GB2312" w:eastAsia="仿宋_GB2312" w:cs="仿宋_GB2312"/>
                      <w:sz w:val="24"/>
                    </w:rPr>
                    <w:t>9、应急电源功能：USB接口输出电压为DC5.0V±0.5V，可为手机等数码产品充电。</w:t>
                  </w:r>
                </w:p>
                <w:p w14:paraId="65C9E9BD">
                  <w:pPr>
                    <w:pStyle w:val="4"/>
                    <w:jc w:val="left"/>
                  </w:pPr>
                  <w:r>
                    <w:rPr>
                      <w:rFonts w:ascii="仿宋_GB2312" w:hAnsi="仿宋_GB2312" w:eastAsia="仿宋_GB2312" w:cs="仿宋_GB2312"/>
                      <w:sz w:val="24"/>
                    </w:rPr>
                    <w:t>▲10、 强光模式连续工作时间：强光工作时间≥8H.</w:t>
                  </w:r>
                </w:p>
                <w:p w14:paraId="6A251844">
                  <w:pPr>
                    <w:pStyle w:val="4"/>
                    <w:jc w:val="left"/>
                  </w:pPr>
                  <w:r>
                    <w:rPr>
                      <w:rFonts w:ascii="仿宋_GB2312" w:hAnsi="仿宋_GB2312" w:eastAsia="仿宋_GB2312" w:cs="仿宋_GB2312"/>
                      <w:sz w:val="24"/>
                    </w:rPr>
                    <w:t>11、强光灯头照度：在强光模式下，开启照明系统灯头时，灯头2m处的光照强度应≥7800lx。</w:t>
                  </w:r>
                </w:p>
                <w:p w14:paraId="61C4B809">
                  <w:pPr>
                    <w:pStyle w:val="4"/>
                    <w:jc w:val="left"/>
                  </w:pPr>
                  <w:r>
                    <w:rPr>
                      <w:rFonts w:ascii="仿宋_GB2312" w:hAnsi="仿宋_GB2312" w:eastAsia="仿宋_GB2312" w:cs="仿宋_GB2312"/>
                      <w:sz w:val="24"/>
                    </w:rPr>
                    <w:t>12、高温试验：温度55±2℃，持续时间2H,样机处于工作状态试，试验中及试验后应能正常工作。</w:t>
                  </w:r>
                </w:p>
                <w:p w14:paraId="4E697B3D">
                  <w:pPr>
                    <w:pStyle w:val="4"/>
                    <w:jc w:val="left"/>
                  </w:pPr>
                  <w:r>
                    <w:rPr>
                      <w:rFonts w:ascii="仿宋_GB2312" w:hAnsi="仿宋_GB2312" w:eastAsia="仿宋_GB2312" w:cs="仿宋_GB2312"/>
                      <w:sz w:val="24"/>
                    </w:rPr>
                    <w:t>13、平均使用寿命:100000h,电池充电时间:8－12h</w:t>
                  </w:r>
                </w:p>
                <w:p w14:paraId="1B2D9460">
                  <w:pPr>
                    <w:pStyle w:val="4"/>
                    <w:jc w:val="left"/>
                  </w:pPr>
                  <w:r>
                    <w:rPr>
                      <w:rFonts w:ascii="仿宋_GB2312" w:hAnsi="仿宋_GB2312" w:eastAsia="仿宋_GB2312" w:cs="仿宋_GB2312"/>
                      <w:sz w:val="24"/>
                    </w:rPr>
                    <w:t xml:space="preserve">14、重量:≤21kg  </w:t>
                  </w:r>
                </w:p>
                <w:p w14:paraId="71D44F5C">
                  <w:pPr>
                    <w:pStyle w:val="4"/>
                    <w:jc w:val="left"/>
                  </w:pPr>
                  <w:r>
                    <w:rPr>
                      <w:rFonts w:ascii="仿宋_GB2312" w:hAnsi="仿宋_GB2312" w:eastAsia="仿宋_GB2312" w:cs="仿宋_GB2312"/>
                      <w:sz w:val="24"/>
                    </w:rPr>
                    <w:t>15、供电方式：采用可充电锂电池供电，支持外接电源，电池容量≥10000mAh，可连续供电≥8小时</w:t>
                  </w:r>
                </w:p>
              </w:tc>
              <w:tc>
                <w:tcPr>
                  <w:tcW w:w="491" w:type="dxa"/>
                  <w:tcBorders>
                    <w:top w:val="nil"/>
                    <w:left w:val="nil"/>
                    <w:bottom w:val="single" w:color="333333" w:sz="4" w:space="0"/>
                    <w:right w:val="single" w:color="333333" w:sz="4" w:space="0"/>
                  </w:tcBorders>
                  <w:tcMar>
                    <w:top w:w="75" w:type="dxa"/>
                    <w:left w:w="120" w:type="dxa"/>
                    <w:bottom w:w="75" w:type="dxa"/>
                    <w:right w:w="120" w:type="dxa"/>
                  </w:tcMar>
                  <w:vAlign w:val="top"/>
                </w:tcPr>
                <w:p w14:paraId="19BEA0BA">
                  <w:pPr>
                    <w:pStyle w:val="4"/>
                    <w:jc w:val="left"/>
                  </w:pPr>
                </w:p>
              </w:tc>
              <w:tc>
                <w:tcPr>
                  <w:tcW w:w="451" w:type="dxa"/>
                  <w:tcBorders>
                    <w:top w:val="nil"/>
                    <w:left w:val="nil"/>
                    <w:bottom w:val="single" w:color="333333" w:sz="4" w:space="0"/>
                    <w:right w:val="single" w:color="333333" w:sz="4" w:space="0"/>
                  </w:tcBorders>
                  <w:tcMar>
                    <w:top w:w="75" w:type="dxa"/>
                    <w:left w:w="120" w:type="dxa"/>
                    <w:bottom w:w="75" w:type="dxa"/>
                    <w:right w:w="120" w:type="dxa"/>
                  </w:tcMar>
                  <w:vAlign w:val="top"/>
                </w:tcPr>
                <w:p w14:paraId="573DB527"/>
              </w:tc>
              <w:tc>
                <w:tcPr>
                  <w:tcW w:w="284" w:type="dxa"/>
                  <w:tcBorders>
                    <w:top w:val="nil"/>
                    <w:left w:val="nil"/>
                    <w:bottom w:val="single" w:color="333333" w:sz="4" w:space="0"/>
                    <w:right w:val="single" w:color="333333" w:sz="4" w:space="0"/>
                  </w:tcBorders>
                  <w:tcMar>
                    <w:top w:w="75" w:type="dxa"/>
                    <w:left w:w="120" w:type="dxa"/>
                    <w:bottom w:w="75" w:type="dxa"/>
                    <w:right w:w="120" w:type="dxa"/>
                  </w:tcMar>
                  <w:vAlign w:val="top"/>
                </w:tcPr>
                <w:p w14:paraId="78C29BF9"/>
              </w:tc>
              <w:tc>
                <w:tcPr>
                  <w:tcW w:w="18" w:type="dxa"/>
                  <w:gridSpan w:val="3"/>
                  <w:tcBorders>
                    <w:top w:val="nil"/>
                    <w:left w:val="nil"/>
                    <w:bottom w:val="single" w:color="333333" w:sz="4" w:space="0"/>
                    <w:right w:val="nil"/>
                  </w:tcBorders>
                </w:tcPr>
                <w:p w14:paraId="06BD99BE">
                  <w:pPr>
                    <w:pStyle w:val="4"/>
                    <w:jc w:val="left"/>
                  </w:pPr>
                  <w:r>
                    <w:rPr>
                      <w:rFonts w:ascii="仿宋_GB2312" w:hAnsi="仿宋_GB2312" w:eastAsia="仿宋_GB2312" w:cs="仿宋_GB2312"/>
                      <w:sz w:val="19"/>
                    </w:rPr>
                    <w:t xml:space="preserve"> </w:t>
                  </w:r>
                </w:p>
              </w:tc>
            </w:tr>
            <w:tr w14:paraId="3023EBC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gridAfter w:val="1"/>
                <w:wAfter w:w="222" w:type="dxa"/>
              </w:trPr>
              <w:tc>
                <w:tcPr>
                  <w:tcW w:w="314" w:type="dxa"/>
                  <w:tcBorders>
                    <w:top w:val="nil"/>
                    <w:left w:val="single" w:color="333333" w:sz="4" w:space="0"/>
                    <w:bottom w:val="single" w:color="333333" w:sz="4" w:space="0"/>
                    <w:right w:val="single" w:color="333333" w:sz="4" w:space="0"/>
                  </w:tcBorders>
                  <w:tcMar>
                    <w:top w:w="75" w:type="dxa"/>
                    <w:left w:w="120" w:type="dxa"/>
                    <w:bottom w:w="75" w:type="dxa"/>
                    <w:right w:w="120" w:type="dxa"/>
                  </w:tcMar>
                  <w:vAlign w:val="top"/>
                </w:tcPr>
                <w:p w14:paraId="36E56410">
                  <w:pPr>
                    <w:pStyle w:val="4"/>
                    <w:jc w:val="left"/>
                  </w:pPr>
                  <w:r>
                    <w:rPr>
                      <w:rFonts w:ascii="仿宋_GB2312" w:hAnsi="仿宋_GB2312" w:eastAsia="仿宋_GB2312" w:cs="仿宋_GB2312"/>
                      <w:sz w:val="24"/>
                    </w:rPr>
                    <w:t>8</w:t>
                  </w:r>
                </w:p>
              </w:tc>
              <w:tc>
                <w:tcPr>
                  <w:tcW w:w="539" w:type="dxa"/>
                  <w:gridSpan w:val="2"/>
                  <w:tcBorders>
                    <w:top w:val="nil"/>
                    <w:left w:val="nil"/>
                    <w:bottom w:val="single" w:color="333333" w:sz="4" w:space="0"/>
                    <w:right w:val="single" w:color="333333" w:sz="4" w:space="0"/>
                  </w:tcBorders>
                  <w:tcMar>
                    <w:top w:w="75" w:type="dxa"/>
                    <w:left w:w="120" w:type="dxa"/>
                    <w:bottom w:w="75" w:type="dxa"/>
                    <w:right w:w="120" w:type="dxa"/>
                  </w:tcMar>
                  <w:vAlign w:val="top"/>
                </w:tcPr>
                <w:p w14:paraId="5291888A">
                  <w:pPr>
                    <w:pStyle w:val="4"/>
                    <w:jc w:val="left"/>
                  </w:pPr>
                  <w:r>
                    <w:rPr>
                      <w:rFonts w:ascii="仿宋_GB2312" w:hAnsi="仿宋_GB2312" w:eastAsia="仿宋_GB2312" w:cs="仿宋_GB2312"/>
                      <w:sz w:val="24"/>
                    </w:rPr>
                    <w:t>测距仪</w:t>
                  </w:r>
                </w:p>
              </w:tc>
              <w:tc>
                <w:tcPr>
                  <w:tcW w:w="3466" w:type="dxa"/>
                  <w:tcBorders>
                    <w:top w:val="nil"/>
                    <w:left w:val="nil"/>
                    <w:bottom w:val="single" w:color="333333" w:sz="4" w:space="0"/>
                    <w:right w:val="single" w:color="333333" w:sz="4" w:space="0"/>
                  </w:tcBorders>
                  <w:tcMar>
                    <w:top w:w="75" w:type="dxa"/>
                    <w:left w:w="120" w:type="dxa"/>
                    <w:bottom w:w="75" w:type="dxa"/>
                    <w:right w:w="120" w:type="dxa"/>
                  </w:tcMar>
                  <w:vAlign w:val="top"/>
                </w:tcPr>
                <w:p w14:paraId="13A16736">
                  <w:pPr>
                    <w:pStyle w:val="4"/>
                    <w:jc w:val="left"/>
                  </w:pPr>
                  <w:r>
                    <w:rPr>
                      <w:rFonts w:ascii="仿宋_GB2312" w:hAnsi="仿宋_GB2312" w:eastAsia="仿宋_GB2312" w:cs="仿宋_GB2312"/>
                      <w:sz w:val="24"/>
                    </w:rPr>
                    <w:t>★1符合GB/T14267-2009《光电测距仪》标准要求；</w:t>
                  </w:r>
                </w:p>
                <w:p w14:paraId="5286DA23">
                  <w:pPr>
                    <w:pStyle w:val="4"/>
                    <w:jc w:val="left"/>
                  </w:pPr>
                  <w:r>
                    <w:rPr>
                      <w:rFonts w:ascii="仿宋_GB2312" w:hAnsi="仿宋_GB2312" w:eastAsia="仿宋_GB2312" w:cs="仿宋_GB2312"/>
                      <w:sz w:val="24"/>
                    </w:rPr>
                    <w:t>2、测距量程：0-2000M</w:t>
                  </w:r>
                </w:p>
                <w:p w14:paraId="588321DC">
                  <w:pPr>
                    <w:pStyle w:val="4"/>
                    <w:jc w:val="left"/>
                  </w:pPr>
                  <w:r>
                    <w:rPr>
                      <w:rFonts w:ascii="仿宋_GB2312" w:hAnsi="仿宋_GB2312" w:eastAsia="仿宋_GB2312" w:cs="仿宋_GB2312"/>
                      <w:sz w:val="24"/>
                    </w:rPr>
                    <w:t>▲3、测距显示：内置LCD显示+外置触摸彩屏显示</w:t>
                  </w:r>
                </w:p>
                <w:p w14:paraId="66D71003">
                  <w:pPr>
                    <w:pStyle w:val="4"/>
                    <w:jc w:val="left"/>
                  </w:pPr>
                  <w:r>
                    <w:rPr>
                      <w:rFonts w:ascii="仿宋_GB2312" w:hAnsi="仿宋_GB2312" w:eastAsia="仿宋_GB2312" w:cs="仿宋_GB2312"/>
                      <w:sz w:val="24"/>
                    </w:rPr>
                    <w:t>4、外屏尺寸：≥2英寸触摸彩屏</w:t>
                  </w:r>
                </w:p>
                <w:p w14:paraId="72AC8C4F">
                  <w:pPr>
                    <w:pStyle w:val="4"/>
                    <w:jc w:val="left"/>
                  </w:pPr>
                  <w:r>
                    <w:rPr>
                      <w:rFonts w:ascii="仿宋_GB2312" w:hAnsi="仿宋_GB2312" w:eastAsia="仿宋_GB2312" w:cs="仿宋_GB2312"/>
                      <w:sz w:val="24"/>
                    </w:rPr>
                    <w:t>5、测量单位：米(m)、码(Yd)</w:t>
                  </w:r>
                </w:p>
                <w:p w14:paraId="70230846">
                  <w:pPr>
                    <w:pStyle w:val="4"/>
                    <w:jc w:val="left"/>
                  </w:pPr>
                  <w:r>
                    <w:rPr>
                      <w:rFonts w:ascii="仿宋_GB2312" w:hAnsi="仿宋_GB2312" w:eastAsia="仿宋_GB2312" w:cs="仿宋_GB2312"/>
                      <w:sz w:val="24"/>
                    </w:rPr>
                    <w:t>6、测距误差：≤±0.2m（200m内）；≤±0.5（200m外）</w:t>
                  </w:r>
                </w:p>
                <w:p w14:paraId="7893A1A8">
                  <w:pPr>
                    <w:pStyle w:val="4"/>
                    <w:jc w:val="left"/>
                  </w:pPr>
                  <w:r>
                    <w:rPr>
                      <w:rFonts w:ascii="仿宋_GB2312" w:hAnsi="仿宋_GB2312" w:eastAsia="仿宋_GB2312" w:cs="仿宋_GB2312"/>
                      <w:sz w:val="24"/>
                    </w:rPr>
                    <w:t>7、倾角范围：≥180°</w:t>
                  </w:r>
                </w:p>
                <w:p w14:paraId="2962278A">
                  <w:pPr>
                    <w:pStyle w:val="4"/>
                    <w:jc w:val="left"/>
                  </w:pPr>
                  <w:r>
                    <w:rPr>
                      <w:rFonts w:ascii="仿宋_GB2312" w:hAnsi="仿宋_GB2312" w:eastAsia="仿宋_GB2312" w:cs="仿宋_GB2312"/>
                      <w:sz w:val="24"/>
                    </w:rPr>
                    <w:t>8、测角精度：≤±0.5°</w:t>
                  </w:r>
                </w:p>
                <w:p w14:paraId="5C2323BA">
                  <w:pPr>
                    <w:pStyle w:val="4"/>
                    <w:jc w:val="left"/>
                  </w:pPr>
                  <w:r>
                    <w:rPr>
                      <w:rFonts w:ascii="仿宋_GB2312" w:hAnsi="仿宋_GB2312" w:eastAsia="仿宋_GB2312" w:cs="仿宋_GB2312"/>
                      <w:sz w:val="24"/>
                    </w:rPr>
                    <w:t>9、激光波长：905 nm</w:t>
                  </w:r>
                </w:p>
                <w:p w14:paraId="1C61B7F1">
                  <w:pPr>
                    <w:pStyle w:val="4"/>
                    <w:jc w:val="left"/>
                  </w:pPr>
                  <w:r>
                    <w:rPr>
                      <w:rFonts w:ascii="仿宋_GB2312" w:hAnsi="仿宋_GB2312" w:eastAsia="仿宋_GB2312" w:cs="仿宋_GB2312"/>
                      <w:sz w:val="24"/>
                    </w:rPr>
                    <w:t>10、视场角度：≥8°</w:t>
                  </w:r>
                </w:p>
                <w:p w14:paraId="15FA5154">
                  <w:pPr>
                    <w:pStyle w:val="4"/>
                    <w:jc w:val="left"/>
                  </w:pPr>
                  <w:r>
                    <w:rPr>
                      <w:rFonts w:ascii="仿宋_GB2312" w:hAnsi="仿宋_GB2312" w:eastAsia="仿宋_GB2312" w:cs="仿宋_GB2312"/>
                      <w:sz w:val="24"/>
                    </w:rPr>
                    <w:t>▲11、放大倍率：≥8X</w:t>
                  </w:r>
                </w:p>
                <w:p w14:paraId="2B00B3BE">
                  <w:pPr>
                    <w:pStyle w:val="4"/>
                    <w:jc w:val="left"/>
                  </w:pPr>
                  <w:r>
                    <w:rPr>
                      <w:rFonts w:ascii="仿宋_GB2312" w:hAnsi="仿宋_GB2312" w:eastAsia="仿宋_GB2312" w:cs="仿宋_GB2312"/>
                      <w:sz w:val="24"/>
                    </w:rPr>
                    <w:t>12、物镜孔径：≥26mm</w:t>
                  </w:r>
                </w:p>
                <w:p w14:paraId="7DA22246">
                  <w:pPr>
                    <w:pStyle w:val="4"/>
                    <w:jc w:val="left"/>
                  </w:pPr>
                  <w:r>
                    <w:rPr>
                      <w:rFonts w:ascii="仿宋_GB2312" w:hAnsi="仿宋_GB2312" w:eastAsia="仿宋_GB2312" w:cs="仿宋_GB2312"/>
                      <w:sz w:val="24"/>
                    </w:rPr>
                    <w:t>13、发镜孔径：≥18mm</w:t>
                  </w:r>
                </w:p>
                <w:p w14:paraId="4F80CDBD">
                  <w:pPr>
                    <w:pStyle w:val="4"/>
                    <w:jc w:val="left"/>
                  </w:pPr>
                  <w:r>
                    <w:rPr>
                      <w:rFonts w:ascii="仿宋_GB2312" w:hAnsi="仿宋_GB2312" w:eastAsia="仿宋_GB2312" w:cs="仿宋_GB2312"/>
                      <w:sz w:val="24"/>
                    </w:rPr>
                    <w:t>14、出瞳直径：≥3.2mm</w:t>
                  </w:r>
                </w:p>
                <w:p w14:paraId="5DDCAE9E">
                  <w:pPr>
                    <w:pStyle w:val="4"/>
                    <w:jc w:val="left"/>
                  </w:pPr>
                  <w:r>
                    <w:rPr>
                      <w:rFonts w:ascii="仿宋_GB2312" w:hAnsi="仿宋_GB2312" w:eastAsia="仿宋_GB2312" w:cs="仿宋_GB2312"/>
                      <w:sz w:val="24"/>
                    </w:rPr>
                    <w:t>15、出瞳距离：≥18mm</w:t>
                  </w:r>
                </w:p>
                <w:p w14:paraId="60055AAD">
                  <w:pPr>
                    <w:pStyle w:val="4"/>
                    <w:jc w:val="left"/>
                  </w:pPr>
                  <w:r>
                    <w:rPr>
                      <w:rFonts w:ascii="仿宋_GB2312" w:hAnsi="仿宋_GB2312" w:eastAsia="仿宋_GB2312" w:cs="仿宋_GB2312"/>
                      <w:sz w:val="24"/>
                    </w:rPr>
                    <w:t>16、屈 光 度：±5D</w:t>
                  </w:r>
                </w:p>
                <w:p w14:paraId="234818DD">
                  <w:pPr>
                    <w:pStyle w:val="4"/>
                    <w:jc w:val="left"/>
                  </w:pPr>
                  <w:r>
                    <w:rPr>
                      <w:rFonts w:ascii="仿宋_GB2312" w:hAnsi="仿宋_GB2312" w:eastAsia="仿宋_GB2312" w:cs="仿宋_GB2312"/>
                      <w:sz w:val="24"/>
                    </w:rPr>
                    <w:t>▲17、当前环境温度检测范围：-45℃~+130℃</w:t>
                  </w:r>
                </w:p>
                <w:p w14:paraId="5DCD2B8C">
                  <w:pPr>
                    <w:pStyle w:val="4"/>
                    <w:jc w:val="left"/>
                  </w:pPr>
                  <w:r>
                    <w:rPr>
                      <w:rFonts w:ascii="仿宋_GB2312" w:hAnsi="仿宋_GB2312" w:eastAsia="仿宋_GB2312" w:cs="仿宋_GB2312"/>
                      <w:sz w:val="24"/>
                    </w:rPr>
                    <w:t>▲18、定位功能：支持</w:t>
                  </w:r>
                </w:p>
                <w:p w14:paraId="4DCF03D2">
                  <w:pPr>
                    <w:pStyle w:val="4"/>
                    <w:jc w:val="left"/>
                  </w:pPr>
                  <w:r>
                    <w:rPr>
                      <w:rFonts w:ascii="仿宋_GB2312" w:hAnsi="仿宋_GB2312" w:eastAsia="仿宋_GB2312" w:cs="仿宋_GB2312"/>
                      <w:sz w:val="24"/>
                    </w:rPr>
                    <w:t>19、自动关机：支持</w:t>
                  </w:r>
                </w:p>
              </w:tc>
              <w:tc>
                <w:tcPr>
                  <w:tcW w:w="491" w:type="dxa"/>
                  <w:tcBorders>
                    <w:top w:val="nil"/>
                    <w:left w:val="nil"/>
                    <w:bottom w:val="single" w:color="333333" w:sz="4" w:space="0"/>
                    <w:right w:val="single" w:color="333333" w:sz="4" w:space="0"/>
                  </w:tcBorders>
                  <w:tcMar>
                    <w:top w:w="75" w:type="dxa"/>
                    <w:left w:w="120" w:type="dxa"/>
                    <w:bottom w:w="75" w:type="dxa"/>
                    <w:right w:w="120" w:type="dxa"/>
                  </w:tcMar>
                  <w:vAlign w:val="top"/>
                </w:tcPr>
                <w:p w14:paraId="1E573BF0">
                  <w:pPr>
                    <w:pStyle w:val="4"/>
                    <w:jc w:val="left"/>
                  </w:pPr>
                </w:p>
              </w:tc>
              <w:tc>
                <w:tcPr>
                  <w:tcW w:w="451" w:type="dxa"/>
                  <w:tcBorders>
                    <w:top w:val="nil"/>
                    <w:left w:val="nil"/>
                    <w:bottom w:val="single" w:color="333333" w:sz="4" w:space="0"/>
                    <w:right w:val="single" w:color="333333" w:sz="4" w:space="0"/>
                  </w:tcBorders>
                  <w:tcMar>
                    <w:top w:w="75" w:type="dxa"/>
                    <w:left w:w="120" w:type="dxa"/>
                    <w:bottom w:w="75" w:type="dxa"/>
                    <w:right w:w="120" w:type="dxa"/>
                  </w:tcMar>
                  <w:vAlign w:val="top"/>
                </w:tcPr>
                <w:p w14:paraId="61584AAB"/>
              </w:tc>
              <w:tc>
                <w:tcPr>
                  <w:tcW w:w="302" w:type="dxa"/>
                  <w:gridSpan w:val="4"/>
                  <w:tcBorders>
                    <w:top w:val="nil"/>
                    <w:left w:val="nil"/>
                    <w:bottom w:val="single" w:color="333333" w:sz="4" w:space="0"/>
                    <w:right w:val="single" w:color="333333" w:sz="4" w:space="0"/>
                  </w:tcBorders>
                  <w:tcMar>
                    <w:top w:w="75" w:type="dxa"/>
                    <w:left w:w="120" w:type="dxa"/>
                    <w:bottom w:w="75" w:type="dxa"/>
                    <w:right w:w="120" w:type="dxa"/>
                  </w:tcMar>
                  <w:vAlign w:val="top"/>
                </w:tcPr>
                <w:p w14:paraId="77B4F4AB"/>
              </w:tc>
            </w:tr>
          </w:tbl>
          <w:p w14:paraId="5CCF4FB5">
            <w:pPr>
              <w:pStyle w:val="4"/>
              <w:jc w:val="left"/>
            </w:pPr>
            <w:r>
              <w:rPr>
                <w:rFonts w:ascii="仿宋_GB2312" w:hAnsi="仿宋_GB2312" w:eastAsia="仿宋_GB2312" w:cs="仿宋_GB2312"/>
                <w:sz w:val="24"/>
              </w:rPr>
              <w:t>注：1、标注“★”项参数为实质性要求，不允许负偏离；</w:t>
            </w:r>
          </w:p>
          <w:p w14:paraId="04DDCA56">
            <w:pPr>
              <w:pStyle w:val="4"/>
              <w:jc w:val="left"/>
            </w:pPr>
            <w:r>
              <w:rPr>
                <w:rFonts w:ascii="仿宋_GB2312" w:hAnsi="仿宋_GB2312" w:eastAsia="仿宋_GB2312" w:cs="仿宋_GB2312"/>
                <w:sz w:val="24"/>
              </w:rPr>
              <w:t xml:space="preserve">  2、标注“▲”项为重要参数，在响应时须提供具有CMA或CNAS资质的第三方检测机构（检验（测）项目须在国家认可委员会认可的检验（测）能力范围文件内）出具的检验（测）报告复印件进行佐证</w:t>
            </w:r>
            <w:r>
              <w:rPr>
                <w:rFonts w:ascii="仿宋_GB2312" w:hAnsi="仿宋_GB2312" w:eastAsia="仿宋_GB2312" w:cs="仿宋_GB2312"/>
              </w:rPr>
              <w:t xml:space="preserve"> </w:t>
            </w:r>
          </w:p>
        </w:tc>
      </w:tr>
      <w:tr w14:paraId="02A343B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2EE5FEC2">
            <w:pPr>
              <w:pStyle w:val="4"/>
              <w:jc w:val="center"/>
            </w:pPr>
            <w:r>
              <w:rPr>
                <w:rFonts w:ascii="仿宋_GB2312" w:hAnsi="仿宋_GB2312" w:eastAsia="仿宋_GB2312" w:cs="仿宋_GB2312"/>
              </w:rPr>
              <w:t>2</w:t>
            </w:r>
          </w:p>
        </w:tc>
        <w:tc>
          <w:tcPr>
            <w:tcW w:w="581" w:type="dxa"/>
          </w:tcPr>
          <w:p w14:paraId="56EDBF7F"/>
        </w:tc>
        <w:tc>
          <w:tcPr>
            <w:tcW w:w="1495" w:type="dxa"/>
          </w:tcPr>
          <w:p w14:paraId="4EA24AAD">
            <w:pPr>
              <w:pStyle w:val="4"/>
              <w:jc w:val="left"/>
            </w:pPr>
            <w:r>
              <w:rPr>
                <w:rFonts w:ascii="仿宋_GB2312" w:hAnsi="仿宋_GB2312" w:eastAsia="仿宋_GB2312" w:cs="仿宋_GB2312"/>
              </w:rPr>
              <w:t>质量及服务要求</w:t>
            </w:r>
          </w:p>
        </w:tc>
        <w:tc>
          <w:tcPr>
            <w:tcW w:w="5814" w:type="dxa"/>
          </w:tcPr>
          <w:p w14:paraId="4CD19558">
            <w:pPr>
              <w:pStyle w:val="4"/>
              <w:jc w:val="both"/>
            </w:pPr>
            <w:r>
              <w:rPr>
                <w:rFonts w:ascii="仿宋_GB2312" w:hAnsi="仿宋_GB2312" w:eastAsia="仿宋_GB2312" w:cs="仿宋_GB2312"/>
                <w:color w:val="0A82E5"/>
                <w:sz w:val="24"/>
              </w:rPr>
              <w:t>一、质量要求：</w:t>
            </w:r>
          </w:p>
          <w:p w14:paraId="4ADF9443">
            <w:pPr>
              <w:pStyle w:val="4"/>
              <w:jc w:val="both"/>
            </w:pPr>
            <w:r>
              <w:rPr>
                <w:rFonts w:ascii="仿宋_GB2312" w:hAnsi="仿宋_GB2312" w:eastAsia="仿宋_GB2312" w:cs="仿宋_GB2312"/>
                <w:color w:val="0A82E5"/>
                <w:sz w:val="24"/>
              </w:rPr>
              <w:t>1.投标人提供的产品为最新生产的全新的原装正品（含零部件、配件等），表面无划伤、无碰撞痕迹，且权属清楚，不得侵害他人的知识产权。</w:t>
            </w:r>
          </w:p>
          <w:p w14:paraId="6E6356BA">
            <w:pPr>
              <w:pStyle w:val="4"/>
              <w:jc w:val="both"/>
            </w:pPr>
            <w:r>
              <w:rPr>
                <w:rFonts w:ascii="仿宋_GB2312" w:hAnsi="仿宋_GB2312" w:eastAsia="仿宋_GB2312" w:cs="仿宋_GB2312"/>
                <w:color w:val="0A82E5"/>
                <w:sz w:val="24"/>
              </w:rPr>
              <w:t>2.产品必须符合或优于国家(行业)标准、地方标准或者其他标准、规范要求。</w:t>
            </w:r>
          </w:p>
          <w:p w14:paraId="348E366A">
            <w:pPr>
              <w:pStyle w:val="4"/>
              <w:jc w:val="both"/>
            </w:pPr>
            <w:r>
              <w:rPr>
                <w:rFonts w:ascii="仿宋_GB2312" w:hAnsi="仿宋_GB2312" w:eastAsia="仿宋_GB2312" w:cs="仿宋_GB2312"/>
                <w:color w:val="0A82E5"/>
                <w:sz w:val="24"/>
              </w:rPr>
              <w:t>3.产品制造质量出现问题，投标人应负责三包(包修、包换、包退)，费用由投标人负担，招标人有权到产品生产厂家生产场地检查货物质量和生产进度。</w:t>
            </w:r>
          </w:p>
          <w:p w14:paraId="1B292E8E">
            <w:pPr>
              <w:pStyle w:val="4"/>
              <w:jc w:val="both"/>
            </w:pPr>
            <w:r>
              <w:rPr>
                <w:rFonts w:ascii="仿宋_GB2312" w:hAnsi="仿宋_GB2312" w:eastAsia="仿宋_GB2312" w:cs="仿宋_GB2312"/>
                <w:color w:val="0A82E5"/>
                <w:sz w:val="24"/>
              </w:rPr>
              <w:t>4.投标人所提供与本项目相关的所有货物送到安装地点时，须通知招标人项目负责人、资产管理员到场依据合同清单确认并签字后方可实施安装，如所供货物与合同清单不一致的，招标人将采取退货处理并追究违约责任。</w:t>
            </w:r>
          </w:p>
          <w:p w14:paraId="600E6A9C">
            <w:pPr>
              <w:pStyle w:val="4"/>
              <w:jc w:val="both"/>
            </w:pPr>
            <w:r>
              <w:rPr>
                <w:rFonts w:ascii="仿宋_GB2312" w:hAnsi="仿宋_GB2312" w:eastAsia="仿宋_GB2312" w:cs="仿宋_GB2312"/>
                <w:color w:val="0A82E5"/>
                <w:sz w:val="24"/>
              </w:rPr>
              <w:t>5.投标人所交产品不符合规定或质量不合格的，由投标人负责在合同约定的交货时间内整改，并承担换货而支付的一切费用。投标人不能调换的，按不能交货处理。</w:t>
            </w:r>
          </w:p>
          <w:p w14:paraId="3D1F2E83">
            <w:pPr>
              <w:pStyle w:val="4"/>
              <w:jc w:val="left"/>
            </w:pPr>
            <w:r>
              <w:rPr>
                <w:rFonts w:ascii="仿宋_GB2312" w:hAnsi="仿宋_GB2312" w:eastAsia="仿宋_GB2312" w:cs="仿宋_GB2312"/>
                <w:color w:val="0A82E5"/>
                <w:sz w:val="24"/>
              </w:rPr>
              <w:t>二、服务要求：</w:t>
            </w:r>
          </w:p>
          <w:p w14:paraId="57413B27">
            <w:pPr>
              <w:pStyle w:val="4"/>
              <w:jc w:val="left"/>
            </w:pPr>
            <w:r>
              <w:rPr>
                <w:rFonts w:ascii="仿宋_GB2312" w:hAnsi="仿宋_GB2312" w:eastAsia="仿宋_GB2312" w:cs="仿宋_GB2312"/>
                <w:color w:val="0A82E5"/>
                <w:sz w:val="24"/>
              </w:rPr>
              <w:t>1.投标人应承诺所提供的检测报告、证书等佐证材料均真实、有效，招标人有权在签订合同前对投标人所提供的佐证材料进行核查，若发现投标人提供的佐证材料存在弄虚作假的情形，将依法上报主管部门，并由投标人自行承担相应法律后果。（投标人应在响应时提供承诺函原件，承诺函格式自拟。）</w:t>
            </w:r>
          </w:p>
          <w:p w14:paraId="3FC4EA91">
            <w:pPr>
              <w:pStyle w:val="4"/>
              <w:jc w:val="left"/>
            </w:pPr>
            <w:r>
              <w:rPr>
                <w:rFonts w:ascii="仿宋_GB2312" w:hAnsi="仿宋_GB2312" w:eastAsia="仿宋_GB2312" w:cs="仿宋_GB2312"/>
                <w:color w:val="0A82E5"/>
                <w:sz w:val="24"/>
              </w:rPr>
              <w:t>2.售后服务要求：</w:t>
            </w:r>
          </w:p>
          <w:p w14:paraId="7169C4BD">
            <w:pPr>
              <w:pStyle w:val="4"/>
              <w:jc w:val="left"/>
            </w:pPr>
            <w:r>
              <w:rPr>
                <w:rFonts w:ascii="仿宋_GB2312" w:hAnsi="仿宋_GB2312" w:eastAsia="仿宋_GB2312" w:cs="仿宋_GB2312"/>
                <w:color w:val="0A82E5"/>
                <w:sz w:val="24"/>
              </w:rPr>
              <w:t xml:space="preserve"> (1)本项目报价包含生产制造、运输、搬运、安装、调试、检测、安装所需辅材、利润及售后服务、保险、税金等所有与本项目相关的费用。投标人报价应充分考虑市场价格变化等因素，中标后价格不作调整。</w:t>
            </w:r>
          </w:p>
          <w:p w14:paraId="784B29D1">
            <w:pPr>
              <w:pStyle w:val="4"/>
              <w:jc w:val="left"/>
            </w:pPr>
            <w:r>
              <w:rPr>
                <w:rFonts w:ascii="仿宋_GB2312" w:hAnsi="仿宋_GB2312" w:eastAsia="仿宋_GB2312" w:cs="仿宋_GB2312"/>
                <w:color w:val="0A82E5"/>
                <w:sz w:val="24"/>
              </w:rPr>
              <w:t>(2)其他有利于招标人的增值服务。</w:t>
            </w:r>
          </w:p>
          <w:p w14:paraId="143B1163">
            <w:pPr>
              <w:pStyle w:val="4"/>
              <w:jc w:val="left"/>
            </w:pPr>
            <w:r>
              <w:rPr>
                <w:rFonts w:ascii="仿宋_GB2312" w:hAnsi="仿宋_GB2312" w:eastAsia="仿宋_GB2312" w:cs="仿宋_GB2312"/>
                <w:color w:val="0A82E5"/>
                <w:sz w:val="24"/>
              </w:rPr>
              <w:t>(3)投标人须指派专人负责与招标人联系售后服务事宜。</w:t>
            </w:r>
          </w:p>
          <w:p w14:paraId="2150CC45">
            <w:pPr>
              <w:pStyle w:val="4"/>
              <w:jc w:val="left"/>
            </w:pPr>
            <w:r>
              <w:rPr>
                <w:rFonts w:ascii="仿宋_GB2312" w:hAnsi="仿宋_GB2312" w:eastAsia="仿宋_GB2312" w:cs="仿宋_GB2312"/>
                <w:color w:val="0A82E5"/>
                <w:sz w:val="24"/>
              </w:rPr>
              <w:t>3.采购清单中产品的技术参数描述如与特定品牌或者型号相匹配，仅作为技术参考，不代表特定产品，如参数中出现品牌或型号仅供参考，投标人可提供等同或优于参数要求的产品。</w:t>
            </w:r>
          </w:p>
          <w:p w14:paraId="0B56010B">
            <w:pPr>
              <w:pStyle w:val="4"/>
              <w:jc w:val="left"/>
            </w:pPr>
            <w:r>
              <w:rPr>
                <w:rFonts w:ascii="仿宋_GB2312" w:hAnsi="仿宋_GB2312" w:eastAsia="仿宋_GB2312" w:cs="仿宋_GB2312"/>
                <w:color w:val="0A82E5"/>
                <w:sz w:val="24"/>
              </w:rPr>
              <w:t>4.若所投产品涉及 3C 认证产品的，在投标文件中可不提供3C 认证证书（招标文件另有明确要求的除外），中标人应在签订采购合同前提供至招标人，未提供或不能提供的视为虚假响应。招标人将另行确定中标人或重新组织招标。（提供独立的承诺函，格式自拟）</w:t>
            </w:r>
          </w:p>
          <w:p w14:paraId="15F20E6C">
            <w:pPr>
              <w:pStyle w:val="4"/>
              <w:jc w:val="left"/>
            </w:pPr>
            <w:r>
              <w:rPr>
                <w:rFonts w:ascii="仿宋_GB2312" w:hAnsi="仿宋_GB2312" w:eastAsia="仿宋_GB2312" w:cs="仿宋_GB2312"/>
                <w:color w:val="0A82E5"/>
                <w:sz w:val="24"/>
              </w:rPr>
              <w:t>5.投标人响应产品涉及国家或行业主管部门对其生产(制造)商或投标人有资质等相关规定及要求的，其生产(制造)商和投标人必须符合其相关规定及要求，如有要求的需要提供相应佐证材料。</w:t>
            </w:r>
          </w:p>
          <w:p w14:paraId="4ACC4252">
            <w:pPr>
              <w:pStyle w:val="4"/>
              <w:jc w:val="left"/>
            </w:pPr>
            <w:r>
              <w:rPr>
                <w:rFonts w:ascii="仿宋_GB2312" w:hAnsi="仿宋_GB2312" w:eastAsia="仿宋_GB2312" w:cs="仿宋_GB2312"/>
                <w:color w:val="0A82E5"/>
                <w:sz w:val="24"/>
              </w:rPr>
              <w:t>6.除招标文件明确要求以外，本项目采购清单中采购标的名称，因招标人不能穷尽详列或通俗认知等原因，可能投标人提供的产品所对应的证书、证明材料对产品命名存在差别的，在满足技术参数要求前提下，本项目给予认可。</w:t>
            </w:r>
          </w:p>
          <w:p w14:paraId="3E98F90B">
            <w:pPr>
              <w:pStyle w:val="4"/>
              <w:jc w:val="left"/>
            </w:pPr>
            <w:r>
              <w:rPr>
                <w:rFonts w:ascii="仿宋_GB2312" w:hAnsi="仿宋_GB2312" w:eastAsia="仿宋_GB2312" w:cs="仿宋_GB2312"/>
                <w:color w:val="0A82E5"/>
                <w:sz w:val="24"/>
              </w:rPr>
              <w:t>7.本项目产品所涉及的国家标准如有更新，按最新国家标准执行。</w:t>
            </w:r>
          </w:p>
        </w:tc>
      </w:tr>
      <w:tr w14:paraId="640ACBD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19BCDD25">
            <w:pPr>
              <w:pStyle w:val="4"/>
              <w:jc w:val="center"/>
            </w:pPr>
            <w:r>
              <w:rPr>
                <w:rFonts w:ascii="仿宋_GB2312" w:hAnsi="仿宋_GB2312" w:eastAsia="仿宋_GB2312" w:cs="仿宋_GB2312"/>
              </w:rPr>
              <w:t>3</w:t>
            </w:r>
          </w:p>
        </w:tc>
        <w:tc>
          <w:tcPr>
            <w:tcW w:w="581" w:type="dxa"/>
          </w:tcPr>
          <w:p w14:paraId="48C364A1"/>
        </w:tc>
        <w:tc>
          <w:tcPr>
            <w:tcW w:w="1495" w:type="dxa"/>
          </w:tcPr>
          <w:p w14:paraId="0DFD28FE">
            <w:pPr>
              <w:pStyle w:val="4"/>
              <w:jc w:val="left"/>
            </w:pPr>
            <w:r>
              <w:rPr>
                <w:rFonts w:ascii="仿宋_GB2312" w:hAnsi="仿宋_GB2312" w:eastAsia="仿宋_GB2312" w:cs="仿宋_GB2312"/>
              </w:rPr>
              <w:t>其他要求</w:t>
            </w:r>
          </w:p>
        </w:tc>
        <w:tc>
          <w:tcPr>
            <w:tcW w:w="5814" w:type="dxa"/>
          </w:tcPr>
          <w:p w14:paraId="392EC4E3">
            <w:pPr>
              <w:pStyle w:val="4"/>
              <w:numPr>
                <w:ilvl w:val="0"/>
                <w:numId w:val="1"/>
              </w:numPr>
              <w:jc w:val="both"/>
            </w:pPr>
            <w:r>
              <w:rPr>
                <w:rFonts w:ascii="仿宋_GB2312" w:hAnsi="仿宋_GB2312" w:eastAsia="仿宋_GB2312" w:cs="仿宋_GB2312"/>
                <w:sz w:val="21"/>
              </w:rPr>
              <w:t>投标人针对本项目提供的项目实施方案包括：</w:t>
            </w:r>
            <w:r>
              <w:rPr>
                <w:rFonts w:ascii="仿宋_GB2312" w:hAnsi="仿宋_GB2312" w:eastAsia="仿宋_GB2312" w:cs="仿宋_GB2312"/>
                <w:sz w:val="24"/>
              </w:rPr>
              <w:t>①备货运输方案；②进度计划及安排；③安装调试方案；④质量保障措施；⑤应急方案</w:t>
            </w:r>
            <w:r>
              <w:rPr>
                <w:rFonts w:ascii="仿宋_GB2312" w:hAnsi="仿宋_GB2312" w:eastAsia="仿宋_GB2312" w:cs="仿宋_GB2312"/>
                <w:sz w:val="21"/>
              </w:rPr>
              <w:t>。</w:t>
            </w:r>
          </w:p>
          <w:p w14:paraId="41A1E12E">
            <w:pPr>
              <w:pStyle w:val="4"/>
              <w:numPr>
                <w:ilvl w:val="0"/>
                <w:numId w:val="1"/>
              </w:numPr>
              <w:jc w:val="both"/>
            </w:pPr>
            <w:r>
              <w:rPr>
                <w:rFonts w:ascii="仿宋_GB2312" w:hAnsi="仿宋_GB2312" w:eastAsia="仿宋_GB2312" w:cs="仿宋_GB2312"/>
                <w:sz w:val="24"/>
              </w:rPr>
              <w:t>投标人按照本项目的技术要求及服务要求编制项目售后服务方案包括：①服务人员构成；②快速的退换货机制；③完整的售后服务体系；④技术指导方案。</w:t>
            </w:r>
          </w:p>
          <w:p w14:paraId="23BFBDB8">
            <w:pPr>
              <w:pStyle w:val="4"/>
              <w:jc w:val="left"/>
            </w:pPr>
          </w:p>
        </w:tc>
      </w:tr>
    </w:tbl>
    <w:p w14:paraId="180EADB6">
      <w:pPr>
        <w:pStyle w:val="4"/>
        <w:jc w:val="left"/>
        <w:outlineLvl w:val="2"/>
      </w:pPr>
      <w:r>
        <w:rPr>
          <w:rFonts w:ascii="仿宋_GB2312" w:hAnsi="仿宋_GB2312" w:eastAsia="仿宋_GB2312" w:cs="仿宋_GB2312"/>
          <w:b/>
          <w:sz w:val="28"/>
        </w:rPr>
        <w:t>3.3.服务要求</w:t>
      </w:r>
    </w:p>
    <w:p w14:paraId="5D0232E6">
      <w:pPr>
        <w:pStyle w:val="4"/>
        <w:jc w:val="left"/>
        <w:outlineLvl w:val="3"/>
      </w:pPr>
      <w:r>
        <w:rPr>
          <w:rFonts w:ascii="仿宋_GB2312" w:hAnsi="仿宋_GB2312" w:eastAsia="仿宋_GB2312" w:cs="仿宋_GB2312"/>
          <w:b/>
          <w:sz w:val="24"/>
        </w:rPr>
        <w:t>3.3.1.服务内容要求</w:t>
      </w:r>
    </w:p>
    <w:p w14:paraId="23EAB129">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0D54FF2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5DB288D2">
            <w:pPr>
              <w:pStyle w:val="4"/>
              <w:jc w:val="center"/>
            </w:pPr>
            <w:r>
              <w:rPr>
                <w:rFonts w:ascii="仿宋_GB2312" w:hAnsi="仿宋_GB2312" w:eastAsia="仿宋_GB2312" w:cs="仿宋_GB2312"/>
              </w:rPr>
              <w:t xml:space="preserve"> 序号</w:t>
            </w:r>
          </w:p>
        </w:tc>
        <w:tc>
          <w:tcPr>
            <w:tcW w:w="581" w:type="dxa"/>
          </w:tcPr>
          <w:p w14:paraId="0E24FD8A">
            <w:pPr>
              <w:pStyle w:val="4"/>
              <w:jc w:val="center"/>
            </w:pPr>
            <w:r>
              <w:rPr>
                <w:rFonts w:ascii="仿宋_GB2312" w:hAnsi="仿宋_GB2312" w:eastAsia="仿宋_GB2312" w:cs="仿宋_GB2312"/>
              </w:rPr>
              <w:t xml:space="preserve"> 符号标识</w:t>
            </w:r>
          </w:p>
        </w:tc>
        <w:tc>
          <w:tcPr>
            <w:tcW w:w="1495" w:type="dxa"/>
          </w:tcPr>
          <w:p w14:paraId="0E26C3DF">
            <w:pPr>
              <w:pStyle w:val="4"/>
              <w:jc w:val="center"/>
            </w:pPr>
            <w:r>
              <w:rPr>
                <w:rFonts w:ascii="仿宋_GB2312" w:hAnsi="仿宋_GB2312" w:eastAsia="仿宋_GB2312" w:cs="仿宋_GB2312"/>
              </w:rPr>
              <w:t xml:space="preserve"> 服务要求名称</w:t>
            </w:r>
          </w:p>
        </w:tc>
        <w:tc>
          <w:tcPr>
            <w:tcW w:w="5814" w:type="dxa"/>
          </w:tcPr>
          <w:p w14:paraId="7FC5C7C0">
            <w:pPr>
              <w:pStyle w:val="4"/>
              <w:jc w:val="center"/>
            </w:pPr>
            <w:r>
              <w:rPr>
                <w:rFonts w:ascii="仿宋_GB2312" w:hAnsi="仿宋_GB2312" w:eastAsia="仿宋_GB2312" w:cs="仿宋_GB2312"/>
              </w:rPr>
              <w:t xml:space="preserve"> 服务要求内容</w:t>
            </w:r>
          </w:p>
        </w:tc>
      </w:tr>
      <w:tr w14:paraId="33A2C61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5" w:type="dxa"/>
            <w:gridSpan w:val="4"/>
          </w:tcPr>
          <w:p w14:paraId="42AE18F8">
            <w:pPr>
              <w:pStyle w:val="4"/>
              <w:jc w:val="center"/>
            </w:pPr>
            <w:r>
              <w:rPr>
                <w:rFonts w:ascii="仿宋_GB2312" w:hAnsi="仿宋_GB2312" w:eastAsia="仿宋_GB2312" w:cs="仿宋_GB2312"/>
              </w:rPr>
              <w:t>无</w:t>
            </w:r>
          </w:p>
        </w:tc>
      </w:tr>
    </w:tbl>
    <w:p w14:paraId="57933BDA">
      <w:pPr>
        <w:pStyle w:val="4"/>
        <w:jc w:val="left"/>
      </w:pPr>
      <w:r>
        <w:rPr>
          <w:rFonts w:ascii="仿宋_GB2312" w:hAnsi="仿宋_GB2312" w:eastAsia="仿宋_GB2312" w:cs="仿宋_GB2312"/>
        </w:rPr>
        <w:t>采购包2：</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19C370E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PrEx>
        <w:tc>
          <w:tcPr>
            <w:tcW w:w="415" w:type="dxa"/>
          </w:tcPr>
          <w:p w14:paraId="4A7A53DA">
            <w:pPr>
              <w:pStyle w:val="4"/>
              <w:jc w:val="center"/>
            </w:pPr>
            <w:r>
              <w:rPr>
                <w:rFonts w:ascii="仿宋_GB2312" w:hAnsi="仿宋_GB2312" w:eastAsia="仿宋_GB2312" w:cs="仿宋_GB2312"/>
              </w:rPr>
              <w:t xml:space="preserve"> 序号</w:t>
            </w:r>
          </w:p>
        </w:tc>
        <w:tc>
          <w:tcPr>
            <w:tcW w:w="581" w:type="dxa"/>
          </w:tcPr>
          <w:p w14:paraId="68972D30">
            <w:pPr>
              <w:pStyle w:val="4"/>
              <w:jc w:val="center"/>
            </w:pPr>
            <w:r>
              <w:rPr>
                <w:rFonts w:ascii="仿宋_GB2312" w:hAnsi="仿宋_GB2312" w:eastAsia="仿宋_GB2312" w:cs="仿宋_GB2312"/>
              </w:rPr>
              <w:t xml:space="preserve"> 符号标识</w:t>
            </w:r>
          </w:p>
        </w:tc>
        <w:tc>
          <w:tcPr>
            <w:tcW w:w="1495" w:type="dxa"/>
          </w:tcPr>
          <w:p w14:paraId="28D3C425">
            <w:pPr>
              <w:pStyle w:val="4"/>
              <w:jc w:val="center"/>
            </w:pPr>
            <w:r>
              <w:rPr>
                <w:rFonts w:ascii="仿宋_GB2312" w:hAnsi="仿宋_GB2312" w:eastAsia="仿宋_GB2312" w:cs="仿宋_GB2312"/>
              </w:rPr>
              <w:t xml:space="preserve"> 服务要求名称</w:t>
            </w:r>
          </w:p>
        </w:tc>
        <w:tc>
          <w:tcPr>
            <w:tcW w:w="5814" w:type="dxa"/>
          </w:tcPr>
          <w:p w14:paraId="7F32939B">
            <w:pPr>
              <w:pStyle w:val="4"/>
              <w:jc w:val="center"/>
            </w:pPr>
            <w:r>
              <w:rPr>
                <w:rFonts w:ascii="仿宋_GB2312" w:hAnsi="仿宋_GB2312" w:eastAsia="仿宋_GB2312" w:cs="仿宋_GB2312"/>
              </w:rPr>
              <w:t xml:space="preserve"> 服务要求内容</w:t>
            </w:r>
          </w:p>
        </w:tc>
      </w:tr>
      <w:tr w14:paraId="4CB333B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5" w:type="dxa"/>
            <w:gridSpan w:val="4"/>
          </w:tcPr>
          <w:p w14:paraId="34890D46">
            <w:pPr>
              <w:pStyle w:val="4"/>
              <w:jc w:val="center"/>
            </w:pPr>
            <w:r>
              <w:rPr>
                <w:rFonts w:ascii="仿宋_GB2312" w:hAnsi="仿宋_GB2312" w:eastAsia="仿宋_GB2312" w:cs="仿宋_GB2312"/>
              </w:rPr>
              <w:t>无</w:t>
            </w:r>
          </w:p>
        </w:tc>
      </w:tr>
    </w:tbl>
    <w:p w14:paraId="2A04EA36">
      <w:pPr>
        <w:pStyle w:val="4"/>
        <w:jc w:val="left"/>
        <w:outlineLvl w:val="3"/>
      </w:pPr>
      <w:r>
        <w:rPr>
          <w:rFonts w:ascii="仿宋_GB2312" w:hAnsi="仿宋_GB2312" w:eastAsia="仿宋_GB2312" w:cs="仿宋_GB2312"/>
          <w:b/>
          <w:sz w:val="24"/>
        </w:rPr>
        <w:t>3.3.2.商务要求</w:t>
      </w:r>
    </w:p>
    <w:p w14:paraId="18981D73">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52D5C69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0897F031">
            <w:pPr>
              <w:pStyle w:val="4"/>
              <w:jc w:val="center"/>
            </w:pPr>
            <w:r>
              <w:rPr>
                <w:rFonts w:ascii="仿宋_GB2312" w:hAnsi="仿宋_GB2312" w:eastAsia="仿宋_GB2312" w:cs="仿宋_GB2312"/>
              </w:rPr>
              <w:t>序号</w:t>
            </w:r>
          </w:p>
        </w:tc>
        <w:tc>
          <w:tcPr>
            <w:tcW w:w="581" w:type="dxa"/>
          </w:tcPr>
          <w:p w14:paraId="3AF90E89">
            <w:pPr>
              <w:pStyle w:val="4"/>
              <w:jc w:val="center"/>
            </w:pPr>
            <w:r>
              <w:rPr>
                <w:rFonts w:ascii="仿宋_GB2312" w:hAnsi="仿宋_GB2312" w:eastAsia="仿宋_GB2312" w:cs="仿宋_GB2312"/>
              </w:rPr>
              <w:t>符号标识</w:t>
            </w:r>
          </w:p>
        </w:tc>
        <w:tc>
          <w:tcPr>
            <w:tcW w:w="1495" w:type="dxa"/>
          </w:tcPr>
          <w:p w14:paraId="24926D94">
            <w:pPr>
              <w:pStyle w:val="4"/>
              <w:jc w:val="center"/>
            </w:pPr>
            <w:r>
              <w:rPr>
                <w:rFonts w:ascii="仿宋_GB2312" w:hAnsi="仿宋_GB2312" w:eastAsia="仿宋_GB2312" w:cs="仿宋_GB2312"/>
              </w:rPr>
              <w:t>商务要求名称</w:t>
            </w:r>
          </w:p>
        </w:tc>
        <w:tc>
          <w:tcPr>
            <w:tcW w:w="5814" w:type="dxa"/>
          </w:tcPr>
          <w:p w14:paraId="1755C30D">
            <w:pPr>
              <w:pStyle w:val="4"/>
              <w:jc w:val="center"/>
            </w:pPr>
            <w:r>
              <w:rPr>
                <w:rFonts w:ascii="仿宋_GB2312" w:hAnsi="仿宋_GB2312" w:eastAsia="仿宋_GB2312" w:cs="仿宋_GB2312"/>
              </w:rPr>
              <w:t>商务要求内容</w:t>
            </w:r>
          </w:p>
        </w:tc>
      </w:tr>
      <w:tr w14:paraId="3B39EB5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15AD6304">
            <w:pPr>
              <w:pStyle w:val="4"/>
              <w:jc w:val="center"/>
            </w:pPr>
            <w:r>
              <w:rPr>
                <w:rFonts w:ascii="仿宋_GB2312" w:hAnsi="仿宋_GB2312" w:eastAsia="仿宋_GB2312" w:cs="仿宋_GB2312"/>
              </w:rPr>
              <w:t>1</w:t>
            </w:r>
          </w:p>
        </w:tc>
        <w:tc>
          <w:tcPr>
            <w:tcW w:w="581" w:type="dxa"/>
          </w:tcPr>
          <w:p w14:paraId="1D7FE03B"/>
        </w:tc>
        <w:tc>
          <w:tcPr>
            <w:tcW w:w="1495" w:type="dxa"/>
          </w:tcPr>
          <w:p w14:paraId="5A0309E9">
            <w:pPr>
              <w:pStyle w:val="4"/>
              <w:jc w:val="left"/>
            </w:pPr>
            <w:r>
              <w:rPr>
                <w:rFonts w:ascii="仿宋_GB2312" w:hAnsi="仿宋_GB2312" w:eastAsia="仿宋_GB2312" w:cs="仿宋_GB2312"/>
              </w:rPr>
              <w:t>交货时间</w:t>
            </w:r>
          </w:p>
        </w:tc>
        <w:tc>
          <w:tcPr>
            <w:tcW w:w="5814" w:type="dxa"/>
          </w:tcPr>
          <w:p w14:paraId="0F1FBD30">
            <w:pPr>
              <w:pStyle w:val="4"/>
              <w:jc w:val="left"/>
            </w:pPr>
            <w:r>
              <w:rPr>
                <w:rFonts w:ascii="仿宋_GB2312" w:hAnsi="仿宋_GB2312" w:eastAsia="仿宋_GB2312" w:cs="仿宋_GB2312"/>
              </w:rPr>
              <w:t>合同签订生效后30个工作日内将所有货物配送至招标人指定地点</w:t>
            </w:r>
          </w:p>
        </w:tc>
      </w:tr>
      <w:tr w14:paraId="5F0402B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54D8588F">
            <w:pPr>
              <w:pStyle w:val="4"/>
              <w:jc w:val="center"/>
            </w:pPr>
            <w:r>
              <w:rPr>
                <w:rFonts w:ascii="仿宋_GB2312" w:hAnsi="仿宋_GB2312" w:eastAsia="仿宋_GB2312" w:cs="仿宋_GB2312"/>
              </w:rPr>
              <w:t>2</w:t>
            </w:r>
          </w:p>
        </w:tc>
        <w:tc>
          <w:tcPr>
            <w:tcW w:w="581" w:type="dxa"/>
          </w:tcPr>
          <w:p w14:paraId="41FE1D91"/>
        </w:tc>
        <w:tc>
          <w:tcPr>
            <w:tcW w:w="1495" w:type="dxa"/>
          </w:tcPr>
          <w:p w14:paraId="0D585E31">
            <w:pPr>
              <w:pStyle w:val="4"/>
              <w:jc w:val="left"/>
            </w:pPr>
            <w:r>
              <w:rPr>
                <w:rFonts w:ascii="仿宋_GB2312" w:hAnsi="仿宋_GB2312" w:eastAsia="仿宋_GB2312" w:cs="仿宋_GB2312"/>
              </w:rPr>
              <w:t>交货地点</w:t>
            </w:r>
          </w:p>
        </w:tc>
        <w:tc>
          <w:tcPr>
            <w:tcW w:w="5814" w:type="dxa"/>
          </w:tcPr>
          <w:p w14:paraId="2C36DE83">
            <w:pPr>
              <w:pStyle w:val="4"/>
              <w:jc w:val="left"/>
            </w:pPr>
            <w:r>
              <w:rPr>
                <w:rFonts w:ascii="仿宋_GB2312" w:hAnsi="仿宋_GB2312" w:eastAsia="仿宋_GB2312" w:cs="仿宋_GB2312"/>
              </w:rPr>
              <w:t>采购人指定交货地点</w:t>
            </w:r>
          </w:p>
        </w:tc>
      </w:tr>
      <w:tr w14:paraId="2693A7B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709DC21F">
            <w:pPr>
              <w:pStyle w:val="4"/>
              <w:jc w:val="center"/>
            </w:pPr>
            <w:r>
              <w:rPr>
                <w:rFonts w:ascii="仿宋_GB2312" w:hAnsi="仿宋_GB2312" w:eastAsia="仿宋_GB2312" w:cs="仿宋_GB2312"/>
              </w:rPr>
              <w:t>3</w:t>
            </w:r>
          </w:p>
        </w:tc>
        <w:tc>
          <w:tcPr>
            <w:tcW w:w="581" w:type="dxa"/>
          </w:tcPr>
          <w:p w14:paraId="2D5E10EC"/>
        </w:tc>
        <w:tc>
          <w:tcPr>
            <w:tcW w:w="1495" w:type="dxa"/>
          </w:tcPr>
          <w:p w14:paraId="4DCBA0F5">
            <w:pPr>
              <w:pStyle w:val="4"/>
              <w:jc w:val="left"/>
            </w:pPr>
            <w:r>
              <w:rPr>
                <w:rFonts w:ascii="仿宋_GB2312" w:hAnsi="仿宋_GB2312" w:eastAsia="仿宋_GB2312" w:cs="仿宋_GB2312"/>
              </w:rPr>
              <w:t>支付方式</w:t>
            </w:r>
          </w:p>
        </w:tc>
        <w:tc>
          <w:tcPr>
            <w:tcW w:w="5814" w:type="dxa"/>
          </w:tcPr>
          <w:p w14:paraId="18FC411E">
            <w:pPr>
              <w:pStyle w:val="4"/>
              <w:jc w:val="left"/>
            </w:pPr>
            <w:r>
              <w:rPr>
                <w:rFonts w:ascii="仿宋_GB2312" w:hAnsi="仿宋_GB2312" w:eastAsia="仿宋_GB2312" w:cs="仿宋_GB2312"/>
              </w:rPr>
              <w:t>分期付款</w:t>
            </w:r>
          </w:p>
        </w:tc>
      </w:tr>
      <w:tr w14:paraId="6D00A90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6C9DC633">
            <w:pPr>
              <w:pStyle w:val="4"/>
              <w:jc w:val="center"/>
            </w:pPr>
            <w:r>
              <w:rPr>
                <w:rFonts w:ascii="仿宋_GB2312" w:hAnsi="仿宋_GB2312" w:eastAsia="仿宋_GB2312" w:cs="仿宋_GB2312"/>
              </w:rPr>
              <w:t>4</w:t>
            </w:r>
          </w:p>
        </w:tc>
        <w:tc>
          <w:tcPr>
            <w:tcW w:w="581" w:type="dxa"/>
          </w:tcPr>
          <w:p w14:paraId="100536CF"/>
        </w:tc>
        <w:tc>
          <w:tcPr>
            <w:tcW w:w="1495" w:type="dxa"/>
          </w:tcPr>
          <w:p w14:paraId="6533C182">
            <w:pPr>
              <w:pStyle w:val="4"/>
              <w:jc w:val="left"/>
            </w:pPr>
            <w:r>
              <w:rPr>
                <w:rFonts w:ascii="仿宋_GB2312" w:hAnsi="仿宋_GB2312" w:eastAsia="仿宋_GB2312" w:cs="仿宋_GB2312"/>
              </w:rPr>
              <w:t>付款进度安排</w:t>
            </w:r>
          </w:p>
        </w:tc>
        <w:tc>
          <w:tcPr>
            <w:tcW w:w="5814" w:type="dxa"/>
          </w:tcPr>
          <w:p w14:paraId="00D67D6D">
            <w:pPr>
              <w:pStyle w:val="4"/>
              <w:jc w:val="left"/>
            </w:pPr>
            <w:r>
              <w:rPr>
                <w:rFonts w:ascii="仿宋_GB2312" w:hAnsi="仿宋_GB2312" w:eastAsia="仿宋_GB2312" w:cs="仿宋_GB2312"/>
              </w:rPr>
              <w:t>1、预付款支付，合同签订生效后，达到付款条件起15日内，支付合同总金额的50.00%</w:t>
            </w:r>
          </w:p>
          <w:p w14:paraId="3AFE4186">
            <w:pPr>
              <w:pStyle w:val="4"/>
              <w:jc w:val="left"/>
            </w:pPr>
            <w:r>
              <w:rPr>
                <w:rFonts w:ascii="仿宋_GB2312" w:hAnsi="仿宋_GB2312" w:eastAsia="仿宋_GB2312" w:cs="仿宋_GB2312"/>
              </w:rPr>
              <w:t>2、验收合格后，成交供应商提交付款申请及发票后，达到付款条件起30日内，支付合同总金额的50.00%</w:t>
            </w:r>
          </w:p>
        </w:tc>
      </w:tr>
      <w:tr w14:paraId="1AD5B56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34FC569D">
            <w:pPr>
              <w:pStyle w:val="4"/>
              <w:jc w:val="center"/>
            </w:pPr>
            <w:r>
              <w:rPr>
                <w:rFonts w:ascii="仿宋_GB2312" w:hAnsi="仿宋_GB2312" w:eastAsia="仿宋_GB2312" w:cs="仿宋_GB2312"/>
              </w:rPr>
              <w:t>5</w:t>
            </w:r>
          </w:p>
        </w:tc>
        <w:tc>
          <w:tcPr>
            <w:tcW w:w="581" w:type="dxa"/>
          </w:tcPr>
          <w:p w14:paraId="6B1C777D"/>
        </w:tc>
        <w:tc>
          <w:tcPr>
            <w:tcW w:w="1495" w:type="dxa"/>
          </w:tcPr>
          <w:p w14:paraId="64B4F193">
            <w:pPr>
              <w:pStyle w:val="4"/>
              <w:jc w:val="left"/>
            </w:pPr>
            <w:r>
              <w:rPr>
                <w:rFonts w:ascii="仿宋_GB2312" w:hAnsi="仿宋_GB2312" w:eastAsia="仿宋_GB2312" w:cs="仿宋_GB2312"/>
              </w:rPr>
              <w:t>验收、交付标准和方法</w:t>
            </w:r>
          </w:p>
        </w:tc>
        <w:tc>
          <w:tcPr>
            <w:tcW w:w="5814" w:type="dxa"/>
          </w:tcPr>
          <w:p w14:paraId="491FB616">
            <w:pPr>
              <w:pStyle w:val="4"/>
              <w:jc w:val="left"/>
            </w:pPr>
            <w:r>
              <w:rPr>
                <w:rFonts w:ascii="仿宋_GB2312" w:hAnsi="仿宋_GB2312" w:eastAsia="仿宋_GB2312" w:cs="仿宋_GB2312"/>
              </w:rPr>
              <w:t>1、验收工作以招标文件的技术参数作为货物验收的依据，如投标人虚假响应谋取中标而实际参数未能达到采购要求技术参数，造成的采购延误影响的，招标人将追究中标方法律责任并要求其赔偿经济损失。 2、投标人与招标人应严格按照《财政部关于进一步加强政府采购需求和履约验收管理的指导意见》（财库（2016）205 号）、《政府采购需求管理办法》（财库〔2021〕22 号）的要求、文件规定的要求和投标文件及合同承诺的内容进行验收。 3、所有货物交货时须提供产品合格证。</w:t>
            </w:r>
          </w:p>
        </w:tc>
      </w:tr>
      <w:tr w14:paraId="31BF0BA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16A00497">
            <w:pPr>
              <w:pStyle w:val="4"/>
              <w:jc w:val="center"/>
            </w:pPr>
            <w:r>
              <w:rPr>
                <w:rFonts w:ascii="仿宋_GB2312" w:hAnsi="仿宋_GB2312" w:eastAsia="仿宋_GB2312" w:cs="仿宋_GB2312"/>
              </w:rPr>
              <w:t>6</w:t>
            </w:r>
          </w:p>
        </w:tc>
        <w:tc>
          <w:tcPr>
            <w:tcW w:w="581" w:type="dxa"/>
          </w:tcPr>
          <w:p w14:paraId="2D822767"/>
        </w:tc>
        <w:tc>
          <w:tcPr>
            <w:tcW w:w="1495" w:type="dxa"/>
          </w:tcPr>
          <w:p w14:paraId="7964D9C7">
            <w:pPr>
              <w:pStyle w:val="4"/>
              <w:jc w:val="left"/>
            </w:pPr>
            <w:r>
              <w:rPr>
                <w:rFonts w:ascii="仿宋_GB2312" w:hAnsi="仿宋_GB2312" w:eastAsia="仿宋_GB2312" w:cs="仿宋_GB2312"/>
              </w:rPr>
              <w:t>质量保修范围和保修期</w:t>
            </w:r>
          </w:p>
        </w:tc>
        <w:tc>
          <w:tcPr>
            <w:tcW w:w="5814" w:type="dxa"/>
          </w:tcPr>
          <w:p w14:paraId="2228577C">
            <w:pPr>
              <w:pStyle w:val="4"/>
              <w:jc w:val="left"/>
            </w:pPr>
            <w:r>
              <w:rPr>
                <w:rFonts w:ascii="仿宋_GB2312" w:hAnsi="仿宋_GB2312" w:eastAsia="仿宋_GB2312" w:cs="仿宋_GB2312"/>
              </w:rPr>
              <w:t>1.质保期：验收合格后一年，质保期内出现质量问题，投标人在接到通知后 8 小时内响应到场，24 小时内完成维修或更换，并承担修理调换的费用；如货物经投标人 2 次维修仍不能达到本合同约定的质量标准，视作投标人未能按时交货，招标人有权退货并追究投标人的违约责任。货到现场后由于招标人保管不当造成的问题，投标人亦应负责修复，但费用由招标人负担。 2、投标人须指派专人负责与招标人联系售后服务事宜。 3、按国家、行业标准及合同约定。</w:t>
            </w:r>
          </w:p>
        </w:tc>
      </w:tr>
      <w:tr w14:paraId="054733A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7EAEA156">
            <w:pPr>
              <w:pStyle w:val="4"/>
              <w:jc w:val="center"/>
            </w:pPr>
            <w:r>
              <w:rPr>
                <w:rFonts w:ascii="仿宋_GB2312" w:hAnsi="仿宋_GB2312" w:eastAsia="仿宋_GB2312" w:cs="仿宋_GB2312"/>
              </w:rPr>
              <w:t>7</w:t>
            </w:r>
          </w:p>
        </w:tc>
        <w:tc>
          <w:tcPr>
            <w:tcW w:w="581" w:type="dxa"/>
          </w:tcPr>
          <w:p w14:paraId="55ED7811"/>
        </w:tc>
        <w:tc>
          <w:tcPr>
            <w:tcW w:w="1495" w:type="dxa"/>
          </w:tcPr>
          <w:p w14:paraId="15342465">
            <w:pPr>
              <w:pStyle w:val="4"/>
              <w:jc w:val="left"/>
            </w:pPr>
            <w:r>
              <w:rPr>
                <w:rFonts w:ascii="仿宋_GB2312" w:hAnsi="仿宋_GB2312" w:eastAsia="仿宋_GB2312" w:cs="仿宋_GB2312"/>
              </w:rPr>
              <w:t>违约责任与解决争议的方法</w:t>
            </w:r>
          </w:p>
        </w:tc>
        <w:tc>
          <w:tcPr>
            <w:tcW w:w="5814" w:type="dxa"/>
          </w:tcPr>
          <w:p w14:paraId="675155A2">
            <w:pPr>
              <w:pStyle w:val="4"/>
              <w:jc w:val="left"/>
            </w:pPr>
            <w:r>
              <w:rPr>
                <w:rFonts w:ascii="仿宋_GB2312" w:hAnsi="仿宋_GB2312" w:eastAsia="仿宋_GB2312" w:cs="仿宋_GB2312"/>
              </w:rPr>
              <w:t>招标人违约： 1.招标人应遵守本合同并执行合同中的各项规定，保证本合同的正常履行； 2.如有延期支付合同款项，或因招标人原因导致变更、中止或终止政府采购合同的，应依照合同约定对投标人受到的损失予以赔偿或补偿。 投标人违约： 1.投标人必须遵守采购合同并执行合同中的各项规定，保证采购合同的正常履行。 2.如因投标人工作人员在履行职务过程中的疏忽、失职、过错等故意或者过失原因给招标人造成损失或侵害，包括但不限于招标人本身的财产损失、由此而导致的招标人对任何第三方的法律责任等，投标人对此均应承担全部的赔偿责任。 （二）争议解决办法： （1）因服务的质量问题发生争议，由投标人所在地质量技术监督部门或其指定的质量鉴定机构进行质量鉴定。服务符合标准的，鉴定费由投标人承担；服务不符合质量标准的，鉴定费由投标人承担。</w:t>
            </w:r>
          </w:p>
        </w:tc>
      </w:tr>
      <w:tr w14:paraId="0167150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2BAED772">
            <w:pPr>
              <w:pStyle w:val="4"/>
              <w:jc w:val="center"/>
            </w:pPr>
            <w:r>
              <w:rPr>
                <w:rFonts w:ascii="仿宋_GB2312" w:hAnsi="仿宋_GB2312" w:eastAsia="仿宋_GB2312" w:cs="仿宋_GB2312"/>
              </w:rPr>
              <w:t>8</w:t>
            </w:r>
          </w:p>
        </w:tc>
        <w:tc>
          <w:tcPr>
            <w:tcW w:w="581" w:type="dxa"/>
          </w:tcPr>
          <w:p w14:paraId="69F3EABD"/>
        </w:tc>
        <w:tc>
          <w:tcPr>
            <w:tcW w:w="1495" w:type="dxa"/>
          </w:tcPr>
          <w:p w14:paraId="3CB3D778">
            <w:pPr>
              <w:pStyle w:val="4"/>
              <w:jc w:val="left"/>
            </w:pPr>
            <w:r>
              <w:rPr>
                <w:rFonts w:ascii="仿宋_GB2312" w:hAnsi="仿宋_GB2312" w:eastAsia="仿宋_GB2312" w:cs="仿宋_GB2312"/>
              </w:rPr>
              <w:t>包装方式及运输</w:t>
            </w:r>
          </w:p>
        </w:tc>
        <w:tc>
          <w:tcPr>
            <w:tcW w:w="5814" w:type="dxa"/>
          </w:tcPr>
          <w:p w14:paraId="54A7657A">
            <w:pPr>
              <w:pStyle w:val="4"/>
              <w:jc w:val="left"/>
            </w:pPr>
            <w:r>
              <w:rPr>
                <w:rFonts w:ascii="仿宋_GB2312" w:hAnsi="仿宋_GB2312" w:eastAsia="仿宋_GB2312" w:cs="仿宋_GB2312"/>
              </w:rPr>
              <w:t>涉及的商品包装和快递包装，均应符合《商品包装政府采购需求标准（试行）》《快递包装政府采购需求标准（试行）》的要求，包装应适应于远距离运输、防潮、防震、防锈和防野蛮装卸，以确保货物安全无损运抵指定地点。</w:t>
            </w:r>
          </w:p>
        </w:tc>
      </w:tr>
    </w:tbl>
    <w:p w14:paraId="02EBEE17">
      <w:pPr>
        <w:pStyle w:val="4"/>
        <w:jc w:val="left"/>
      </w:pPr>
      <w:r>
        <w:rPr>
          <w:rFonts w:ascii="仿宋_GB2312" w:hAnsi="仿宋_GB2312" w:eastAsia="仿宋_GB2312" w:cs="仿宋_GB2312"/>
        </w:rPr>
        <w:t>采购包2：</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112024D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326100EF">
            <w:pPr>
              <w:pStyle w:val="4"/>
              <w:jc w:val="center"/>
            </w:pPr>
            <w:r>
              <w:rPr>
                <w:rFonts w:ascii="仿宋_GB2312" w:hAnsi="仿宋_GB2312" w:eastAsia="仿宋_GB2312" w:cs="仿宋_GB2312"/>
              </w:rPr>
              <w:t>序号</w:t>
            </w:r>
          </w:p>
        </w:tc>
        <w:tc>
          <w:tcPr>
            <w:tcW w:w="581" w:type="dxa"/>
          </w:tcPr>
          <w:p w14:paraId="38CEBDAD">
            <w:pPr>
              <w:pStyle w:val="4"/>
              <w:jc w:val="center"/>
            </w:pPr>
            <w:r>
              <w:rPr>
                <w:rFonts w:ascii="仿宋_GB2312" w:hAnsi="仿宋_GB2312" w:eastAsia="仿宋_GB2312" w:cs="仿宋_GB2312"/>
              </w:rPr>
              <w:t>符号标识</w:t>
            </w:r>
          </w:p>
        </w:tc>
        <w:tc>
          <w:tcPr>
            <w:tcW w:w="1495" w:type="dxa"/>
          </w:tcPr>
          <w:p w14:paraId="671C81C4">
            <w:pPr>
              <w:pStyle w:val="4"/>
              <w:jc w:val="center"/>
            </w:pPr>
            <w:r>
              <w:rPr>
                <w:rFonts w:ascii="仿宋_GB2312" w:hAnsi="仿宋_GB2312" w:eastAsia="仿宋_GB2312" w:cs="仿宋_GB2312"/>
              </w:rPr>
              <w:t>商务要求名称</w:t>
            </w:r>
          </w:p>
        </w:tc>
        <w:tc>
          <w:tcPr>
            <w:tcW w:w="5814" w:type="dxa"/>
          </w:tcPr>
          <w:p w14:paraId="2A40BB01">
            <w:pPr>
              <w:pStyle w:val="4"/>
              <w:jc w:val="center"/>
            </w:pPr>
            <w:r>
              <w:rPr>
                <w:rFonts w:ascii="仿宋_GB2312" w:hAnsi="仿宋_GB2312" w:eastAsia="仿宋_GB2312" w:cs="仿宋_GB2312"/>
              </w:rPr>
              <w:t>商务要求内容</w:t>
            </w:r>
          </w:p>
        </w:tc>
      </w:tr>
      <w:tr w14:paraId="01075CC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40577B59">
            <w:pPr>
              <w:pStyle w:val="4"/>
              <w:jc w:val="center"/>
            </w:pPr>
            <w:r>
              <w:rPr>
                <w:rFonts w:ascii="仿宋_GB2312" w:hAnsi="仿宋_GB2312" w:eastAsia="仿宋_GB2312" w:cs="仿宋_GB2312"/>
              </w:rPr>
              <w:t>1</w:t>
            </w:r>
          </w:p>
        </w:tc>
        <w:tc>
          <w:tcPr>
            <w:tcW w:w="581" w:type="dxa"/>
          </w:tcPr>
          <w:p w14:paraId="72590815"/>
        </w:tc>
        <w:tc>
          <w:tcPr>
            <w:tcW w:w="1495" w:type="dxa"/>
          </w:tcPr>
          <w:p w14:paraId="08FECB19">
            <w:pPr>
              <w:pStyle w:val="4"/>
              <w:jc w:val="left"/>
            </w:pPr>
            <w:r>
              <w:rPr>
                <w:rFonts w:ascii="仿宋_GB2312" w:hAnsi="仿宋_GB2312" w:eastAsia="仿宋_GB2312" w:cs="仿宋_GB2312"/>
              </w:rPr>
              <w:t>交货时间</w:t>
            </w:r>
          </w:p>
        </w:tc>
        <w:tc>
          <w:tcPr>
            <w:tcW w:w="5814" w:type="dxa"/>
          </w:tcPr>
          <w:p w14:paraId="171993A5">
            <w:pPr>
              <w:pStyle w:val="4"/>
              <w:jc w:val="left"/>
            </w:pPr>
            <w:r>
              <w:rPr>
                <w:rFonts w:ascii="仿宋_GB2312" w:hAnsi="仿宋_GB2312" w:eastAsia="仿宋_GB2312" w:cs="仿宋_GB2312"/>
              </w:rPr>
              <w:t>合同签订生效后30个工作日内将所有货物配送至招标人指定地点</w:t>
            </w:r>
          </w:p>
        </w:tc>
      </w:tr>
      <w:tr w14:paraId="4C63AA0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04E6E8EB">
            <w:pPr>
              <w:pStyle w:val="4"/>
              <w:jc w:val="center"/>
            </w:pPr>
            <w:r>
              <w:rPr>
                <w:rFonts w:ascii="仿宋_GB2312" w:hAnsi="仿宋_GB2312" w:eastAsia="仿宋_GB2312" w:cs="仿宋_GB2312"/>
              </w:rPr>
              <w:t>2</w:t>
            </w:r>
          </w:p>
        </w:tc>
        <w:tc>
          <w:tcPr>
            <w:tcW w:w="581" w:type="dxa"/>
          </w:tcPr>
          <w:p w14:paraId="16FA9FB2"/>
        </w:tc>
        <w:tc>
          <w:tcPr>
            <w:tcW w:w="1495" w:type="dxa"/>
          </w:tcPr>
          <w:p w14:paraId="67178892">
            <w:pPr>
              <w:pStyle w:val="4"/>
              <w:jc w:val="left"/>
            </w:pPr>
            <w:r>
              <w:rPr>
                <w:rFonts w:ascii="仿宋_GB2312" w:hAnsi="仿宋_GB2312" w:eastAsia="仿宋_GB2312" w:cs="仿宋_GB2312"/>
              </w:rPr>
              <w:t>交货地点</w:t>
            </w:r>
          </w:p>
        </w:tc>
        <w:tc>
          <w:tcPr>
            <w:tcW w:w="5814" w:type="dxa"/>
          </w:tcPr>
          <w:p w14:paraId="05A46208">
            <w:pPr>
              <w:pStyle w:val="4"/>
              <w:jc w:val="left"/>
            </w:pPr>
            <w:r>
              <w:rPr>
                <w:rFonts w:ascii="仿宋_GB2312" w:hAnsi="仿宋_GB2312" w:eastAsia="仿宋_GB2312" w:cs="仿宋_GB2312"/>
              </w:rPr>
              <w:t>采购人指定交货地点</w:t>
            </w:r>
          </w:p>
        </w:tc>
      </w:tr>
      <w:tr w14:paraId="12C6FB8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73B0D953">
            <w:pPr>
              <w:pStyle w:val="4"/>
              <w:jc w:val="center"/>
            </w:pPr>
            <w:r>
              <w:rPr>
                <w:rFonts w:ascii="仿宋_GB2312" w:hAnsi="仿宋_GB2312" w:eastAsia="仿宋_GB2312" w:cs="仿宋_GB2312"/>
              </w:rPr>
              <w:t>3</w:t>
            </w:r>
          </w:p>
        </w:tc>
        <w:tc>
          <w:tcPr>
            <w:tcW w:w="581" w:type="dxa"/>
          </w:tcPr>
          <w:p w14:paraId="46CEB883"/>
        </w:tc>
        <w:tc>
          <w:tcPr>
            <w:tcW w:w="1495" w:type="dxa"/>
          </w:tcPr>
          <w:p w14:paraId="7CFD9072">
            <w:pPr>
              <w:pStyle w:val="4"/>
              <w:jc w:val="left"/>
            </w:pPr>
            <w:r>
              <w:rPr>
                <w:rFonts w:ascii="仿宋_GB2312" w:hAnsi="仿宋_GB2312" w:eastAsia="仿宋_GB2312" w:cs="仿宋_GB2312"/>
              </w:rPr>
              <w:t>支付方式</w:t>
            </w:r>
          </w:p>
        </w:tc>
        <w:tc>
          <w:tcPr>
            <w:tcW w:w="5814" w:type="dxa"/>
          </w:tcPr>
          <w:p w14:paraId="10387BA5">
            <w:pPr>
              <w:pStyle w:val="4"/>
              <w:jc w:val="left"/>
            </w:pPr>
            <w:r>
              <w:rPr>
                <w:rFonts w:ascii="仿宋_GB2312" w:hAnsi="仿宋_GB2312" w:eastAsia="仿宋_GB2312" w:cs="仿宋_GB2312"/>
              </w:rPr>
              <w:t>分期付款</w:t>
            </w:r>
          </w:p>
        </w:tc>
      </w:tr>
      <w:tr w14:paraId="08D2E2F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075CCA23">
            <w:pPr>
              <w:pStyle w:val="4"/>
              <w:jc w:val="center"/>
            </w:pPr>
            <w:r>
              <w:rPr>
                <w:rFonts w:ascii="仿宋_GB2312" w:hAnsi="仿宋_GB2312" w:eastAsia="仿宋_GB2312" w:cs="仿宋_GB2312"/>
              </w:rPr>
              <w:t>4</w:t>
            </w:r>
          </w:p>
        </w:tc>
        <w:tc>
          <w:tcPr>
            <w:tcW w:w="581" w:type="dxa"/>
          </w:tcPr>
          <w:p w14:paraId="69E9B830"/>
        </w:tc>
        <w:tc>
          <w:tcPr>
            <w:tcW w:w="1495" w:type="dxa"/>
          </w:tcPr>
          <w:p w14:paraId="0F89E506">
            <w:pPr>
              <w:pStyle w:val="4"/>
              <w:jc w:val="left"/>
            </w:pPr>
            <w:r>
              <w:rPr>
                <w:rFonts w:ascii="仿宋_GB2312" w:hAnsi="仿宋_GB2312" w:eastAsia="仿宋_GB2312" w:cs="仿宋_GB2312"/>
              </w:rPr>
              <w:t>付款进度安排</w:t>
            </w:r>
          </w:p>
        </w:tc>
        <w:tc>
          <w:tcPr>
            <w:tcW w:w="5814" w:type="dxa"/>
          </w:tcPr>
          <w:p w14:paraId="54D8A590">
            <w:pPr>
              <w:pStyle w:val="4"/>
              <w:jc w:val="left"/>
            </w:pPr>
            <w:r>
              <w:rPr>
                <w:rFonts w:ascii="仿宋_GB2312" w:hAnsi="仿宋_GB2312" w:eastAsia="仿宋_GB2312" w:cs="仿宋_GB2312"/>
              </w:rPr>
              <w:t>1、合同签订生效后，达到付款条件起15日内，支付合同总金额的50.00%</w:t>
            </w:r>
          </w:p>
          <w:p w14:paraId="6F4886B9">
            <w:pPr>
              <w:pStyle w:val="4"/>
              <w:jc w:val="left"/>
            </w:pPr>
            <w:r>
              <w:rPr>
                <w:rFonts w:ascii="仿宋_GB2312" w:hAnsi="仿宋_GB2312" w:eastAsia="仿宋_GB2312" w:cs="仿宋_GB2312"/>
              </w:rPr>
              <w:t>2、验收合格后，成交供应商提交付款申请及发票后，达到付款条件起30日内，支付合同总金额的50.00%</w:t>
            </w:r>
          </w:p>
        </w:tc>
      </w:tr>
      <w:tr w14:paraId="5BBD9E9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580666DB">
            <w:pPr>
              <w:pStyle w:val="4"/>
              <w:jc w:val="center"/>
            </w:pPr>
            <w:r>
              <w:rPr>
                <w:rFonts w:ascii="仿宋_GB2312" w:hAnsi="仿宋_GB2312" w:eastAsia="仿宋_GB2312" w:cs="仿宋_GB2312"/>
              </w:rPr>
              <w:t>5</w:t>
            </w:r>
          </w:p>
        </w:tc>
        <w:tc>
          <w:tcPr>
            <w:tcW w:w="581" w:type="dxa"/>
          </w:tcPr>
          <w:p w14:paraId="23D34D30"/>
        </w:tc>
        <w:tc>
          <w:tcPr>
            <w:tcW w:w="1495" w:type="dxa"/>
          </w:tcPr>
          <w:p w14:paraId="09E8B02A">
            <w:pPr>
              <w:pStyle w:val="4"/>
              <w:jc w:val="left"/>
            </w:pPr>
            <w:r>
              <w:rPr>
                <w:rFonts w:ascii="仿宋_GB2312" w:hAnsi="仿宋_GB2312" w:eastAsia="仿宋_GB2312" w:cs="仿宋_GB2312"/>
              </w:rPr>
              <w:t>验收、交付标准和方法</w:t>
            </w:r>
          </w:p>
        </w:tc>
        <w:tc>
          <w:tcPr>
            <w:tcW w:w="5814" w:type="dxa"/>
          </w:tcPr>
          <w:p w14:paraId="3CEEFD9B">
            <w:pPr>
              <w:pStyle w:val="4"/>
              <w:jc w:val="left"/>
            </w:pPr>
            <w:r>
              <w:rPr>
                <w:rFonts w:ascii="仿宋_GB2312" w:hAnsi="仿宋_GB2312" w:eastAsia="仿宋_GB2312" w:cs="仿宋_GB2312"/>
              </w:rPr>
              <w:t>1、验收工作以招标文件的技术参数作为货物验收的依据，如投标人虚假响应谋取中标而实际参数未能达到采购要求技术参数，造成的采购延误影响的，招标人将追究中标方法律责任并要求其赔偿经济损失。 2、投标人与招标人应严格按照《财政部关于进一步加强政府采购需求和履约验收管理的指导意见》（财库（2016）205 号）、《政府采购需求管理办法》（财库〔2021〕22 号）的要求、文件规定的要求和投标文件及合同承诺的内容进行验收。 3、所有货物交货时须提供产品合格证。</w:t>
            </w:r>
          </w:p>
        </w:tc>
      </w:tr>
      <w:tr w14:paraId="0973A61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7177E3D5">
            <w:pPr>
              <w:pStyle w:val="4"/>
              <w:jc w:val="center"/>
            </w:pPr>
            <w:r>
              <w:rPr>
                <w:rFonts w:ascii="仿宋_GB2312" w:hAnsi="仿宋_GB2312" w:eastAsia="仿宋_GB2312" w:cs="仿宋_GB2312"/>
              </w:rPr>
              <w:t>6</w:t>
            </w:r>
          </w:p>
        </w:tc>
        <w:tc>
          <w:tcPr>
            <w:tcW w:w="581" w:type="dxa"/>
          </w:tcPr>
          <w:p w14:paraId="4F18F036"/>
        </w:tc>
        <w:tc>
          <w:tcPr>
            <w:tcW w:w="1495" w:type="dxa"/>
          </w:tcPr>
          <w:p w14:paraId="35051E19">
            <w:pPr>
              <w:pStyle w:val="4"/>
              <w:jc w:val="left"/>
            </w:pPr>
            <w:r>
              <w:rPr>
                <w:rFonts w:ascii="仿宋_GB2312" w:hAnsi="仿宋_GB2312" w:eastAsia="仿宋_GB2312" w:cs="仿宋_GB2312"/>
              </w:rPr>
              <w:t>质量保修范围和保修期</w:t>
            </w:r>
          </w:p>
        </w:tc>
        <w:tc>
          <w:tcPr>
            <w:tcW w:w="5814" w:type="dxa"/>
          </w:tcPr>
          <w:p w14:paraId="45C2C1C9">
            <w:pPr>
              <w:pStyle w:val="4"/>
              <w:jc w:val="left"/>
            </w:pPr>
            <w:r>
              <w:rPr>
                <w:rFonts w:ascii="仿宋_GB2312" w:hAnsi="仿宋_GB2312" w:eastAsia="仿宋_GB2312" w:cs="仿宋_GB2312"/>
              </w:rPr>
              <w:t>1.质保期：验收合格后一年，质保期内出现质量问题，投标人在接到通知后 8 小时内响应到场，24 小时内完成维修或更换，并承担修理调换的费用；如货物经投标人 2 次维修仍不能达到本合同约定的质量标准，视作投标人未能按时交货，招标人有权退货并追究投标人的违约责任。货到现场后由于招标人保管不当造成的问题，投标人亦应负责修复，但费用由招标人负担。 2、投标人须指派专人负责与招标人联系售后服务事宜。 3、按国家、行业标准及合同约定。</w:t>
            </w:r>
          </w:p>
        </w:tc>
      </w:tr>
      <w:tr w14:paraId="1F62301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697D6986">
            <w:pPr>
              <w:pStyle w:val="4"/>
              <w:jc w:val="center"/>
            </w:pPr>
            <w:r>
              <w:rPr>
                <w:rFonts w:ascii="仿宋_GB2312" w:hAnsi="仿宋_GB2312" w:eastAsia="仿宋_GB2312" w:cs="仿宋_GB2312"/>
              </w:rPr>
              <w:t>7</w:t>
            </w:r>
          </w:p>
        </w:tc>
        <w:tc>
          <w:tcPr>
            <w:tcW w:w="581" w:type="dxa"/>
          </w:tcPr>
          <w:p w14:paraId="5330B8D7"/>
        </w:tc>
        <w:tc>
          <w:tcPr>
            <w:tcW w:w="1495" w:type="dxa"/>
          </w:tcPr>
          <w:p w14:paraId="1516642E">
            <w:pPr>
              <w:pStyle w:val="4"/>
              <w:jc w:val="left"/>
            </w:pPr>
            <w:r>
              <w:rPr>
                <w:rFonts w:ascii="仿宋_GB2312" w:hAnsi="仿宋_GB2312" w:eastAsia="仿宋_GB2312" w:cs="仿宋_GB2312"/>
              </w:rPr>
              <w:t>违约责任与解决争议的方法</w:t>
            </w:r>
          </w:p>
        </w:tc>
        <w:tc>
          <w:tcPr>
            <w:tcW w:w="5814" w:type="dxa"/>
          </w:tcPr>
          <w:p w14:paraId="66668EE1">
            <w:pPr>
              <w:pStyle w:val="4"/>
              <w:jc w:val="left"/>
            </w:pPr>
            <w:r>
              <w:rPr>
                <w:rFonts w:ascii="仿宋_GB2312" w:hAnsi="仿宋_GB2312" w:eastAsia="仿宋_GB2312" w:cs="仿宋_GB2312"/>
              </w:rPr>
              <w:t>招标人违约： 1.招标人应遵守本合同并执行合同中的各项规定，保证本合同的正常履行； 2.如有延期支付合同款项，或因招标人原因导致变更、中止或终止政府采购合同的，应依照合同约定对投标人受到的损失予以赔偿或补偿。 投标人违约： 1.投标人必须遵守采购合同并执行合同中的各项规定，保证采购合同的正常履行。 2.如因投标人工作人员在履行职务过程中的疏忽、失职、过错等故意或者过失原因给招标人造成损失或侵害，包括但不限于招标人本身的财产损失、由此而导致的招标人对任何第三方的法律责任等，投标人对此均应承担全部的赔偿责任。 （二）争议解决办法： （1）因服务的质量问题发生争议，由投标人所在地质量技术监督部门或其指定的质量鉴定机构进行质量鉴定。服务符合标准的，鉴定费由投标人承担；服务不符合质量标准的，鉴定费由投标人承担。</w:t>
            </w:r>
          </w:p>
        </w:tc>
      </w:tr>
      <w:tr w14:paraId="4547BDC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15B0F8F9">
            <w:pPr>
              <w:pStyle w:val="4"/>
              <w:jc w:val="center"/>
            </w:pPr>
            <w:r>
              <w:rPr>
                <w:rFonts w:ascii="仿宋_GB2312" w:hAnsi="仿宋_GB2312" w:eastAsia="仿宋_GB2312" w:cs="仿宋_GB2312"/>
              </w:rPr>
              <w:t>8</w:t>
            </w:r>
          </w:p>
        </w:tc>
        <w:tc>
          <w:tcPr>
            <w:tcW w:w="581" w:type="dxa"/>
          </w:tcPr>
          <w:p w14:paraId="73CA597B"/>
        </w:tc>
        <w:tc>
          <w:tcPr>
            <w:tcW w:w="1495" w:type="dxa"/>
          </w:tcPr>
          <w:p w14:paraId="082368AB">
            <w:pPr>
              <w:pStyle w:val="4"/>
              <w:jc w:val="left"/>
            </w:pPr>
            <w:r>
              <w:rPr>
                <w:rFonts w:ascii="仿宋_GB2312" w:hAnsi="仿宋_GB2312" w:eastAsia="仿宋_GB2312" w:cs="仿宋_GB2312"/>
              </w:rPr>
              <w:t>包装方式及运输</w:t>
            </w:r>
          </w:p>
        </w:tc>
        <w:tc>
          <w:tcPr>
            <w:tcW w:w="5814" w:type="dxa"/>
          </w:tcPr>
          <w:p w14:paraId="47F7552C">
            <w:pPr>
              <w:pStyle w:val="4"/>
              <w:jc w:val="left"/>
            </w:pPr>
            <w:r>
              <w:rPr>
                <w:rFonts w:ascii="仿宋_GB2312" w:hAnsi="仿宋_GB2312" w:eastAsia="仿宋_GB2312" w:cs="仿宋_GB2312"/>
              </w:rPr>
              <w:t>涉及的商品包装和快递包装，均应符合《商品包装政府采购需求标准（试行）》《快递包装政府采购需求标准（试行）》的要求，包装应适应于远距离运输、防潮、防震、防锈和防野蛮装卸，以确保货物安全无损运抵指定地点。</w:t>
            </w:r>
          </w:p>
        </w:tc>
      </w:tr>
    </w:tbl>
    <w:p w14:paraId="039E1B95">
      <w:pPr>
        <w:pStyle w:val="4"/>
        <w:jc w:val="left"/>
        <w:outlineLvl w:val="2"/>
      </w:pPr>
      <w:r>
        <w:rPr>
          <w:rFonts w:ascii="仿宋_GB2312" w:hAnsi="仿宋_GB2312" w:eastAsia="仿宋_GB2312" w:cs="仿宋_GB2312"/>
          <w:b/>
          <w:sz w:val="28"/>
        </w:rPr>
        <w:t>3.4.其他要求</w:t>
      </w:r>
    </w:p>
    <w:p w14:paraId="5AC75726">
      <w:pPr>
        <w:pStyle w:val="4"/>
        <w:jc w:val="left"/>
      </w:pPr>
      <w:r>
        <w:rPr>
          <w:rFonts w:ascii="仿宋_GB2312" w:hAnsi="仿宋_GB2312" w:eastAsia="仿宋_GB2312" w:cs="仿宋_GB2312"/>
        </w:rPr>
        <w:t>无</w:t>
      </w:r>
    </w:p>
    <w:p w14:paraId="20C20BFD">
      <w:r>
        <w:rPr>
          <w:rFonts w:ascii="仿宋_GB2312" w:hAnsi="仿宋_GB2312" w:eastAsia="仿宋_GB2312" w:cs="仿宋_GB2312"/>
        </w:rPr>
        <w:t xml:space="preserve"> </w:t>
      </w:r>
      <w:r>
        <w:rPr>
          <w:rFonts w:ascii="仿宋_GB2312" w:hAnsi="仿宋_GB2312" w:eastAsia="仿宋_GB2312" w:cs="仿宋_GB2312"/>
        </w:rPr>
        <w:br w:type="textWrapping"/>
      </w: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53208E"/>
    <w:multiLevelType w:val="singleLevel"/>
    <w:tmpl w:val="0053208E"/>
    <w:lvl w:ilvl="0" w:tentative="0">
      <w:start w:val="1"/>
      <w:numFmt w:val="decimal"/>
      <w:lvlText w:val="%1."/>
      <w:lvlJc w:val="left"/>
      <w:pPr>
        <w:ind w:left="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681735D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 w:type="paragraph" w:customStyle="1" w:styleId="4">
    <w:name w:val="null3"/>
    <w:hidden/>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29</Pages>
  <Words>0</Words>
  <Characters>0</Characters>
  <Lines>0</Lines>
  <Paragraphs>0</Paragraphs>
  <TotalTime>0</TotalTime>
  <ScaleCrop>false</ScaleCrop>
  <LinksUpToDate>false</LinksUpToDate>
  <CharactersWithSpaces>0</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2026-06-04T09:54:33Z</dcterms:created>
  <dc:creator>Administrator</dc:creator>
  <cp:lastModifiedBy>pear_r</cp:lastModifiedBy>
  <dcterms:modified xsi:type="dcterms:W3CDTF">2026-06-04T09:54:38Z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KSOTemplateDocerSaveRecord">
    <vt:lpwstr>eyJoZGlkIjoiM2U5YjVkZjQwN2I2YzQzM2RjNGY4YzkzZmU2ZDNmNzgiLCJ1c2VySWQiOiI1MDQ0NDE5MTIifQ==</vt:lpwstr>
  </property>
  <property fmtid="{D5CDD505-2E9C-101B-9397-08002B2CF9AE}" pid="4" name="ICV">
    <vt:lpwstr>FD8338963AE441E4A508063619ABDAF7_12</vt:lpwstr>
  </property>
</Properties>
</file>