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rPr>
          <w:rFonts w:hint="eastAsia"/>
        </w:rPr>
      </w:pPr>
      <w:r>
        <w:rPr>
          <w:rFonts w:hint="eastAsia"/>
          <w:highlight w:val="white"/>
        </w:rPr>
        <w:t>采购内容与</w:t>
      </w:r>
      <w:r>
        <w:rPr>
          <w:highlight w:val="white"/>
        </w:rPr>
        <w:t>要求</w:t>
      </w:r>
    </w:p>
    <w:p>
      <w:pPr>
        <w:rPr>
          <w:rFonts w:hint="eastAsia"/>
          <w:highlight w:val="red"/>
        </w:rPr>
      </w:pPr>
    </w:p>
    <w:p>
      <w:pPr>
        <w:pStyle w:val="5"/>
        <w:widowControl/>
        <w:jc w:val="center"/>
        <w:rPr>
          <w:rStyle w:val="4"/>
          <w:rFonts w:ascii="Times New Roman" w:hAnsi="Times New Roman" w:eastAsia="Times New Roman" w:cs="Times New Roman"/>
          <w:b/>
          <w:bCs/>
          <w:kern w:val="0"/>
          <w:sz w:val="30"/>
          <w:szCs w:val="30"/>
        </w:rPr>
      </w:pPr>
      <w:r>
        <w:rPr>
          <w:rStyle w:val="4"/>
          <w:rFonts w:ascii="宋体" w:hAnsi="宋体" w:eastAsia="宋体" w:cs="宋体"/>
          <w:b/>
          <w:bCs/>
          <w:spacing w:val="30"/>
          <w:kern w:val="0"/>
          <w:sz w:val="30"/>
          <w:szCs w:val="30"/>
        </w:rPr>
        <w:t>第一节 技</w:t>
      </w:r>
      <w:bookmarkStart w:id="1" w:name="_GoBack"/>
      <w:bookmarkEnd w:id="1"/>
      <w:r>
        <w:rPr>
          <w:rStyle w:val="4"/>
          <w:rFonts w:ascii="宋体" w:hAnsi="宋体" w:eastAsia="宋体" w:cs="宋体"/>
          <w:b/>
          <w:bCs/>
          <w:spacing w:val="30"/>
          <w:kern w:val="0"/>
          <w:sz w:val="30"/>
          <w:szCs w:val="30"/>
        </w:rPr>
        <w:t>术要求</w:t>
      </w:r>
    </w:p>
    <w:p>
      <w:pPr>
        <w:pStyle w:val="5"/>
        <w:widowControl/>
        <w:jc w:val="left"/>
        <w:rPr>
          <w:rStyle w:val="4"/>
          <w:rFonts w:ascii="Times New Roman" w:hAnsi="Times New Roman" w:eastAsia="Times New Roman" w:cs="Times New Roman"/>
          <w:kern w:val="0"/>
          <w:sz w:val="24"/>
          <w:szCs w:val="24"/>
        </w:rPr>
      </w:pPr>
    </w:p>
    <w:p>
      <w:pPr>
        <w:pStyle w:val="5"/>
        <w:spacing w:before="23" w:line="212" w:lineRule="auto"/>
        <w:ind w:left="250"/>
        <w:rPr>
          <w:rStyle w:val="4"/>
          <w:rFonts w:ascii="宋体" w:hAnsi="宋体" w:eastAsia="宋体" w:cs="宋体"/>
          <w:spacing w:val="-2"/>
          <w:sz w:val="24"/>
          <w:szCs w:val="24"/>
        </w:rPr>
      </w:pPr>
      <w:r>
        <w:rPr>
          <w:rStyle w:val="4"/>
          <w:rFonts w:ascii="宋体" w:hAnsi="宋体" w:eastAsia="宋体" w:cs="宋体"/>
          <w:spacing w:val="-2"/>
          <w:sz w:val="24"/>
          <w:szCs w:val="24"/>
        </w:rPr>
        <w:t>一</w:t>
      </w:r>
      <w:r>
        <w:rPr>
          <w:rStyle w:val="4"/>
          <w:rFonts w:hint="eastAsia" w:ascii="宋体" w:hAnsi="宋体" w:eastAsia="宋体" w:cs="宋体"/>
          <w:spacing w:val="-2"/>
          <w:sz w:val="24"/>
          <w:szCs w:val="24"/>
          <w:lang w:eastAsia="zh-CN"/>
        </w:rPr>
        <w:t>、</w:t>
      </w:r>
      <w:r>
        <w:rPr>
          <w:rStyle w:val="4"/>
          <w:rFonts w:ascii="宋体" w:hAnsi="宋体" w:eastAsia="宋体" w:cs="宋体"/>
          <w:spacing w:val="-2"/>
          <w:sz w:val="24"/>
          <w:szCs w:val="24"/>
        </w:rPr>
        <w:t>采购内容及数量</w:t>
      </w:r>
    </w:p>
    <w:tbl>
      <w:tblPr>
        <w:tblStyle w:val="3"/>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2457"/>
        <w:gridCol w:w="1050"/>
        <w:gridCol w:w="877"/>
        <w:gridCol w:w="1152"/>
        <w:gridCol w:w="1151"/>
        <w:gridCol w:w="11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blHeader/>
          <w:jc w:val="center"/>
        </w:trPr>
        <w:tc>
          <w:tcPr>
            <w:tcW w:w="683" w:type="dxa"/>
            <w:noWrap w:val="0"/>
            <w:vAlign w:val="center"/>
          </w:tcPr>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rPr>
            </w:pPr>
            <w:r>
              <w:rPr>
                <w:rStyle w:val="4"/>
                <w:rFonts w:hint="eastAsia" w:ascii="仿宋_GB2312" w:hAnsi="仿宋_GB2312" w:eastAsia="仿宋_GB2312" w:cs="仿宋_GB2312"/>
                <w:b/>
                <w:color w:val="auto"/>
                <w:sz w:val="28"/>
                <w:szCs w:val="28"/>
                <w:highlight w:val="none"/>
              </w:rPr>
              <w:t>序号</w:t>
            </w:r>
          </w:p>
        </w:tc>
        <w:tc>
          <w:tcPr>
            <w:tcW w:w="2457" w:type="dxa"/>
            <w:noWrap w:val="0"/>
            <w:vAlign w:val="center"/>
          </w:tcPr>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lang w:eastAsia="zh-CN"/>
              </w:rPr>
            </w:pPr>
            <w:r>
              <w:rPr>
                <w:rStyle w:val="4"/>
                <w:rFonts w:hint="eastAsia" w:ascii="仿宋_GB2312" w:hAnsi="仿宋_GB2312" w:eastAsia="仿宋_GB2312" w:cs="仿宋_GB2312"/>
                <w:b/>
                <w:color w:val="auto"/>
                <w:sz w:val="28"/>
                <w:szCs w:val="28"/>
                <w:highlight w:val="none"/>
              </w:rPr>
              <w:t>标的</w:t>
            </w:r>
            <w:r>
              <w:rPr>
                <w:rStyle w:val="4"/>
                <w:rFonts w:hint="eastAsia" w:ascii="仿宋_GB2312" w:hAnsi="仿宋_GB2312" w:eastAsia="仿宋_GB2312" w:cs="仿宋_GB2312"/>
                <w:b/>
                <w:color w:val="auto"/>
                <w:sz w:val="28"/>
                <w:szCs w:val="28"/>
                <w:highlight w:val="none"/>
                <w:lang w:eastAsia="zh-CN"/>
              </w:rPr>
              <w:t>（</w:t>
            </w:r>
            <w:r>
              <w:rPr>
                <w:rStyle w:val="4"/>
                <w:rFonts w:hint="eastAsia" w:ascii="仿宋_GB2312" w:hAnsi="仿宋_GB2312" w:eastAsia="仿宋_GB2312" w:cs="仿宋_GB2312"/>
                <w:b/>
                <w:color w:val="auto"/>
                <w:sz w:val="28"/>
                <w:szCs w:val="28"/>
                <w:highlight w:val="none"/>
                <w:lang w:val="en-US" w:eastAsia="zh-CN"/>
              </w:rPr>
              <w:t>产品</w:t>
            </w:r>
            <w:r>
              <w:rPr>
                <w:rStyle w:val="4"/>
                <w:rFonts w:hint="eastAsia" w:ascii="仿宋_GB2312" w:hAnsi="仿宋_GB2312" w:eastAsia="仿宋_GB2312" w:cs="仿宋_GB2312"/>
                <w:b/>
                <w:color w:val="auto"/>
                <w:sz w:val="28"/>
                <w:szCs w:val="28"/>
                <w:highlight w:val="none"/>
                <w:lang w:eastAsia="zh-CN"/>
              </w:rPr>
              <w:t>）</w:t>
            </w:r>
          </w:p>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lang w:eastAsia="zh-CN"/>
              </w:rPr>
            </w:pPr>
            <w:r>
              <w:rPr>
                <w:rStyle w:val="4"/>
                <w:rFonts w:hint="eastAsia" w:ascii="仿宋_GB2312" w:hAnsi="仿宋_GB2312" w:eastAsia="仿宋_GB2312" w:cs="仿宋_GB2312"/>
                <w:b/>
                <w:color w:val="auto"/>
                <w:sz w:val="28"/>
                <w:szCs w:val="28"/>
                <w:highlight w:val="none"/>
                <w:lang w:val="en-US" w:eastAsia="zh-CN"/>
              </w:rPr>
              <w:t>品目</w:t>
            </w:r>
          </w:p>
        </w:tc>
        <w:tc>
          <w:tcPr>
            <w:tcW w:w="1050" w:type="dxa"/>
            <w:noWrap w:val="0"/>
            <w:vAlign w:val="center"/>
          </w:tcPr>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rPr>
            </w:pPr>
            <w:r>
              <w:rPr>
                <w:rStyle w:val="4"/>
                <w:rFonts w:hint="eastAsia" w:ascii="仿宋_GB2312" w:hAnsi="仿宋_GB2312" w:eastAsia="仿宋_GB2312" w:cs="仿宋_GB2312"/>
                <w:b/>
                <w:color w:val="auto"/>
                <w:sz w:val="28"/>
                <w:szCs w:val="28"/>
                <w:highlight w:val="none"/>
              </w:rPr>
              <w:t>计量</w:t>
            </w:r>
          </w:p>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rPr>
            </w:pPr>
            <w:r>
              <w:rPr>
                <w:rStyle w:val="4"/>
                <w:rFonts w:hint="eastAsia" w:ascii="仿宋_GB2312" w:hAnsi="仿宋_GB2312" w:eastAsia="仿宋_GB2312" w:cs="仿宋_GB2312"/>
                <w:b/>
                <w:color w:val="auto"/>
                <w:sz w:val="28"/>
                <w:szCs w:val="28"/>
                <w:highlight w:val="none"/>
              </w:rPr>
              <w:t>单位</w:t>
            </w:r>
          </w:p>
        </w:tc>
        <w:tc>
          <w:tcPr>
            <w:tcW w:w="877" w:type="dxa"/>
            <w:noWrap w:val="0"/>
            <w:vAlign w:val="center"/>
          </w:tcPr>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rPr>
            </w:pPr>
            <w:r>
              <w:rPr>
                <w:rStyle w:val="4"/>
                <w:rFonts w:hint="eastAsia" w:ascii="仿宋_GB2312" w:hAnsi="仿宋_GB2312" w:eastAsia="仿宋_GB2312" w:cs="仿宋_GB2312"/>
                <w:b/>
                <w:color w:val="auto"/>
                <w:sz w:val="28"/>
                <w:szCs w:val="28"/>
                <w:highlight w:val="none"/>
              </w:rPr>
              <w:t>数量</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lang w:val="en-US" w:eastAsia="zh-CN"/>
              </w:rPr>
            </w:pPr>
            <w:r>
              <w:rPr>
                <w:rStyle w:val="4"/>
                <w:rFonts w:hint="eastAsia" w:ascii="仿宋_GB2312" w:hAnsi="仿宋_GB2312" w:eastAsia="仿宋_GB2312" w:cs="仿宋_GB2312"/>
                <w:b/>
                <w:color w:val="auto"/>
                <w:sz w:val="28"/>
                <w:szCs w:val="28"/>
                <w:highlight w:val="none"/>
                <w:lang w:val="en-US" w:eastAsia="zh-CN"/>
              </w:rPr>
              <w:t>进口/国产</w:t>
            </w:r>
          </w:p>
        </w:tc>
        <w:tc>
          <w:tcPr>
            <w:tcW w:w="1151" w:type="dxa"/>
            <w:noWrap w:val="0"/>
            <w:vAlign w:val="center"/>
          </w:tcPr>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lang w:val="en-US" w:eastAsia="zh-CN"/>
              </w:rPr>
            </w:pPr>
            <w:r>
              <w:rPr>
                <w:rStyle w:val="4"/>
                <w:rFonts w:hint="eastAsia" w:ascii="仿宋_GB2312" w:hAnsi="仿宋_GB2312" w:eastAsia="仿宋_GB2312" w:cs="仿宋_GB2312"/>
                <w:b/>
                <w:color w:val="auto"/>
                <w:sz w:val="28"/>
                <w:szCs w:val="28"/>
                <w:highlight w:val="none"/>
                <w:lang w:val="en-US" w:eastAsia="zh-CN"/>
              </w:rPr>
              <w:t>核心</w:t>
            </w:r>
          </w:p>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lang w:val="en-US" w:eastAsia="zh-CN"/>
              </w:rPr>
            </w:pPr>
            <w:r>
              <w:rPr>
                <w:rStyle w:val="4"/>
                <w:rFonts w:hint="eastAsia" w:ascii="仿宋_GB2312" w:hAnsi="仿宋_GB2312" w:eastAsia="仿宋_GB2312" w:cs="仿宋_GB2312"/>
                <w:b/>
                <w:color w:val="auto"/>
                <w:sz w:val="28"/>
                <w:szCs w:val="28"/>
                <w:highlight w:val="none"/>
                <w:lang w:val="en-US" w:eastAsia="zh-CN"/>
              </w:rPr>
              <w:t>产品</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Style w:val="4"/>
                <w:rFonts w:hint="eastAsia" w:ascii="仿宋_GB2312" w:hAnsi="仿宋_GB2312" w:eastAsia="仿宋_GB2312" w:cs="仿宋_GB2312"/>
                <w:b/>
                <w:color w:val="auto"/>
                <w:sz w:val="28"/>
                <w:szCs w:val="28"/>
                <w:highlight w:val="none"/>
                <w:lang w:val="en-US" w:eastAsia="zh-CN"/>
              </w:rPr>
            </w:pPr>
            <w:r>
              <w:rPr>
                <w:rStyle w:val="4"/>
                <w:rFonts w:hint="eastAsia" w:ascii="仿宋_GB2312" w:hAnsi="仿宋_GB2312" w:eastAsia="仿宋_GB2312" w:cs="仿宋_GB2312"/>
                <w:b/>
                <w:color w:val="auto"/>
                <w:sz w:val="28"/>
                <w:szCs w:val="28"/>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683"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1</w:t>
            </w:r>
          </w:p>
        </w:tc>
        <w:tc>
          <w:tcPr>
            <w:tcW w:w="245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加油机数据采集仪</w:t>
            </w:r>
          </w:p>
        </w:tc>
        <w:tc>
          <w:tcPr>
            <w:tcW w:w="1050"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台</w:t>
            </w:r>
          </w:p>
        </w:tc>
        <w:tc>
          <w:tcPr>
            <w:tcW w:w="87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114</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国产</w:t>
            </w:r>
          </w:p>
        </w:tc>
        <w:tc>
          <w:tcPr>
            <w:tcW w:w="1151"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r>
              <w:rPr>
                <w:rStyle w:val="4"/>
                <w:rFonts w:hint="default" w:ascii="Arial" w:hAnsi="Arial" w:eastAsia="仿宋_GB2312" w:cs="Arial"/>
                <w:color w:val="auto"/>
                <w:sz w:val="28"/>
                <w:szCs w:val="28"/>
                <w:highlight w:val="none"/>
                <w:lang w:val="en-US" w:eastAsia="zh-CN"/>
              </w:rPr>
              <w:t>√</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i/>
                <w:i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683"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2</w:t>
            </w:r>
          </w:p>
        </w:tc>
        <w:tc>
          <w:tcPr>
            <w:tcW w:w="245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油罐液位仪采集器</w:t>
            </w:r>
          </w:p>
        </w:tc>
        <w:tc>
          <w:tcPr>
            <w:tcW w:w="1050"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台</w:t>
            </w:r>
          </w:p>
        </w:tc>
        <w:tc>
          <w:tcPr>
            <w:tcW w:w="87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27</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国产</w:t>
            </w:r>
          </w:p>
        </w:tc>
        <w:tc>
          <w:tcPr>
            <w:tcW w:w="1151"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i/>
                <w:i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683"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3</w:t>
            </w:r>
          </w:p>
        </w:tc>
        <w:tc>
          <w:tcPr>
            <w:tcW w:w="245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物联网卡</w:t>
            </w:r>
          </w:p>
        </w:tc>
        <w:tc>
          <w:tcPr>
            <w:tcW w:w="1050"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张/年</w:t>
            </w:r>
          </w:p>
        </w:tc>
        <w:tc>
          <w:tcPr>
            <w:tcW w:w="87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141</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国产</w:t>
            </w:r>
          </w:p>
        </w:tc>
        <w:tc>
          <w:tcPr>
            <w:tcW w:w="1151"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i/>
                <w:i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683"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4</w:t>
            </w:r>
          </w:p>
        </w:tc>
        <w:tc>
          <w:tcPr>
            <w:tcW w:w="245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AI视频分析监测设备</w:t>
            </w:r>
          </w:p>
        </w:tc>
        <w:tc>
          <w:tcPr>
            <w:tcW w:w="1050"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台</w:t>
            </w:r>
          </w:p>
        </w:tc>
        <w:tc>
          <w:tcPr>
            <w:tcW w:w="87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27</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国产</w:t>
            </w:r>
          </w:p>
        </w:tc>
        <w:tc>
          <w:tcPr>
            <w:tcW w:w="1151"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i/>
                <w:i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683"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5</w:t>
            </w:r>
          </w:p>
        </w:tc>
        <w:tc>
          <w:tcPr>
            <w:tcW w:w="245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辅料</w:t>
            </w:r>
          </w:p>
        </w:tc>
        <w:tc>
          <w:tcPr>
            <w:tcW w:w="1050"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台</w:t>
            </w:r>
          </w:p>
        </w:tc>
        <w:tc>
          <w:tcPr>
            <w:tcW w:w="87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141</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国产</w:t>
            </w:r>
          </w:p>
        </w:tc>
        <w:tc>
          <w:tcPr>
            <w:tcW w:w="1151"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i/>
                <w:i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683"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6</w:t>
            </w:r>
          </w:p>
        </w:tc>
        <w:tc>
          <w:tcPr>
            <w:tcW w:w="245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集成服务</w:t>
            </w:r>
          </w:p>
        </w:tc>
        <w:tc>
          <w:tcPr>
            <w:tcW w:w="1050"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台</w:t>
            </w:r>
          </w:p>
        </w:tc>
        <w:tc>
          <w:tcPr>
            <w:tcW w:w="87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141</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国产</w:t>
            </w:r>
          </w:p>
        </w:tc>
        <w:tc>
          <w:tcPr>
            <w:tcW w:w="1151"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i/>
                <w:i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jc w:val="center"/>
        </w:trPr>
        <w:tc>
          <w:tcPr>
            <w:tcW w:w="683"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7</w:t>
            </w:r>
          </w:p>
        </w:tc>
        <w:tc>
          <w:tcPr>
            <w:tcW w:w="245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运维</w:t>
            </w:r>
          </w:p>
        </w:tc>
        <w:tc>
          <w:tcPr>
            <w:tcW w:w="1050"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项/年</w:t>
            </w:r>
          </w:p>
        </w:tc>
        <w:tc>
          <w:tcPr>
            <w:tcW w:w="877"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141</w:t>
            </w: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b w:val="0"/>
                <w:bCs/>
                <w:color w:val="auto"/>
                <w:sz w:val="28"/>
                <w:szCs w:val="28"/>
                <w:highlight w:val="none"/>
                <w:lang w:val="en-US" w:eastAsia="zh-CN"/>
              </w:rPr>
            </w:pPr>
            <w:r>
              <w:rPr>
                <w:rStyle w:val="4"/>
                <w:rFonts w:hint="eastAsia" w:ascii="仿宋_GB2312" w:hAnsi="仿宋_GB2312" w:eastAsia="仿宋_GB2312" w:cs="仿宋_GB2312"/>
                <w:b w:val="0"/>
                <w:bCs/>
                <w:color w:val="auto"/>
                <w:sz w:val="28"/>
                <w:szCs w:val="28"/>
                <w:highlight w:val="none"/>
                <w:lang w:val="en-US" w:eastAsia="zh-CN"/>
              </w:rPr>
              <w:t>国产</w:t>
            </w:r>
          </w:p>
        </w:tc>
        <w:tc>
          <w:tcPr>
            <w:tcW w:w="1151"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color w:val="auto"/>
                <w:sz w:val="28"/>
                <w:szCs w:val="28"/>
                <w:highlight w:val="none"/>
                <w:lang w:val="en-US" w:eastAsia="zh-CN"/>
              </w:rPr>
            </w:pPr>
          </w:p>
        </w:tc>
        <w:tc>
          <w:tcPr>
            <w:tcW w:w="1152" w:type="dxa"/>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Style w:val="4"/>
                <w:rFonts w:hint="eastAsia" w:ascii="仿宋_GB2312" w:hAnsi="仿宋_GB2312" w:eastAsia="仿宋_GB2312" w:cs="仿宋_GB2312"/>
                <w:i/>
                <w:iCs/>
                <w:color w:val="auto"/>
                <w:sz w:val="28"/>
                <w:szCs w:val="28"/>
                <w:highlight w:val="none"/>
                <w:lang w:val="en-US" w:eastAsia="zh-CN"/>
              </w:rPr>
            </w:pPr>
          </w:p>
        </w:tc>
      </w:tr>
    </w:tbl>
    <w:p>
      <w:pPr>
        <w:pStyle w:val="6"/>
        <w:rPr>
          <w:rStyle w:val="4"/>
          <w:rFonts w:ascii="宋体" w:hAnsi="宋体" w:eastAsia="宋体" w:cs="宋体"/>
          <w:spacing w:val="-2"/>
          <w:sz w:val="24"/>
          <w:szCs w:val="24"/>
        </w:rPr>
      </w:pPr>
    </w:p>
    <w:p>
      <w:pPr>
        <w:pStyle w:val="5"/>
        <w:spacing w:before="23" w:line="212" w:lineRule="auto"/>
        <w:ind w:left="250"/>
        <w:rPr>
          <w:rStyle w:val="4"/>
          <w:rFonts w:hint="default" w:ascii="宋体" w:hAnsi="宋体" w:eastAsia="宋体" w:cs="宋体"/>
          <w:spacing w:val="-2"/>
          <w:sz w:val="24"/>
          <w:szCs w:val="24"/>
          <w:lang w:val="en-US" w:eastAsia="zh-CN"/>
        </w:rPr>
      </w:pPr>
      <w:r>
        <w:rPr>
          <w:rStyle w:val="4"/>
          <w:rFonts w:hint="eastAsia" w:ascii="Times New Roman" w:hAnsi="Times New Roman" w:eastAsia="宋体" w:cs="Times New Roman"/>
          <w:lang w:val="en-US" w:eastAsia="zh-CN"/>
        </w:rPr>
        <w:t>二</w:t>
      </w:r>
      <w:r>
        <w:rPr>
          <w:rStyle w:val="4"/>
          <w:rFonts w:hint="eastAsia" w:ascii="宋体" w:hAnsi="宋体" w:eastAsia="宋体" w:cs="宋体"/>
          <w:spacing w:val="-2"/>
          <w:sz w:val="24"/>
          <w:szCs w:val="24"/>
          <w:lang w:eastAsia="zh-CN"/>
        </w:rPr>
        <w:t>、</w:t>
      </w:r>
      <w:r>
        <w:rPr>
          <w:rStyle w:val="4"/>
          <w:rFonts w:hint="eastAsia" w:ascii="宋体" w:hAnsi="宋体" w:eastAsia="宋体" w:cs="宋体"/>
          <w:spacing w:val="-2"/>
          <w:sz w:val="24"/>
          <w:szCs w:val="24"/>
          <w:lang w:val="en-US" w:eastAsia="zh-CN"/>
        </w:rPr>
        <w:t>主要技术参数</w:t>
      </w:r>
    </w:p>
    <w:tbl>
      <w:tblPr>
        <w:tblStyle w:val="3"/>
        <w:tblW w:w="85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40"/>
        <w:gridCol w:w="957"/>
        <w:gridCol w:w="5325"/>
        <w:gridCol w:w="620"/>
        <w:gridCol w:w="637"/>
        <w:gridCol w:w="4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序号</w:t>
            </w:r>
          </w:p>
        </w:tc>
        <w:tc>
          <w:tcPr>
            <w:tcW w:w="95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产品/服务</w:t>
            </w:r>
          </w:p>
        </w:tc>
        <w:tc>
          <w:tcPr>
            <w:tcW w:w="5325"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参数/性能</w:t>
            </w:r>
          </w:p>
        </w:tc>
        <w:tc>
          <w:tcPr>
            <w:tcW w:w="62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单位</w:t>
            </w:r>
          </w:p>
        </w:tc>
        <w:tc>
          <w:tcPr>
            <w:tcW w:w="63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数量</w:t>
            </w:r>
          </w:p>
        </w:tc>
        <w:tc>
          <w:tcPr>
            <w:tcW w:w="443"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val="0"/>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1</w:t>
            </w:r>
          </w:p>
        </w:tc>
        <w:tc>
          <w:tcPr>
            <w:tcW w:w="957"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加油机数据采集仪</w:t>
            </w:r>
          </w:p>
        </w:tc>
        <w:tc>
          <w:tcPr>
            <w:tcW w:w="5325" w:type="dxa"/>
            <w:tcBorders>
              <w:top w:val="single" w:color="000000" w:sz="4" w:space="0"/>
              <w:left w:val="nil"/>
              <w:bottom w:val="single" w:color="000000" w:sz="4" w:space="0"/>
              <w:right w:val="nil"/>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2"/>
                <w:rFonts w:hint="default" w:ascii="Times New Roman" w:hAnsi="Times New Roman" w:eastAsia="仿宋" w:cs="Times New Roman"/>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▲1、数据接口</w:t>
            </w:r>
            <w:r>
              <w:rPr>
                <w:rStyle w:val="4"/>
                <w:rFonts w:hint="eastAsia" w:ascii="Times New Roman" w:hAnsi="Times New Roman" w:eastAsia="仿宋" w:cs="Times New Roman"/>
                <w:i w:val="0"/>
                <w:iCs w:val="0"/>
                <w:color w:val="000000"/>
                <w:kern w:val="0"/>
                <w:sz w:val="24"/>
                <w:szCs w:val="24"/>
                <w:u w:val="none"/>
                <w:lang w:val="en-US" w:eastAsia="zh-CN" w:bidi="ar"/>
              </w:rPr>
              <w:t>：</w:t>
            </w:r>
            <w:r>
              <w:rPr>
                <w:rStyle w:val="4"/>
                <w:rFonts w:hint="default" w:ascii="Times New Roman" w:hAnsi="Times New Roman" w:eastAsia="仿宋" w:cs="Times New Roman"/>
                <w:i w:val="0"/>
                <w:iCs w:val="0"/>
                <w:color w:val="000000"/>
                <w:kern w:val="0"/>
                <w:sz w:val="24"/>
                <w:szCs w:val="24"/>
                <w:u w:val="none"/>
                <w:lang w:val="en-US" w:eastAsia="zh-CN" w:bidi="ar"/>
              </w:rPr>
              <w:t>1台设备能够同时支持不少于4个报税口数据采集接口、不少于4个编码器信号采集接口、不少于4个油枪提挂枪信号采集接口；</w:t>
            </w:r>
            <w:r>
              <w:rPr>
                <w:rStyle w:val="12"/>
                <w:rFonts w:hint="default" w:ascii="Times New Roman" w:hAnsi="Times New Roman" w:eastAsia="仿宋" w:cs="Times New Roman"/>
                <w:lang w:val="en-US" w:eastAsia="zh-CN" w:bidi="ar"/>
              </w:rPr>
              <w:t>（需提供国家认可的检测机构出具的检测报告扫描件并加盖投标人公章）</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2、环境温度</w:t>
            </w:r>
            <w:r>
              <w:rPr>
                <w:rStyle w:val="13"/>
                <w:rFonts w:hint="eastAsia" w:ascii="Times New Roman" w:hAnsi="Times New Roman" w:eastAsia="仿宋" w:cs="Times New Roman"/>
                <w:lang w:val="en-US" w:eastAsia="zh-CN" w:bidi="ar"/>
              </w:rPr>
              <w:t>：</w:t>
            </w:r>
            <w:r>
              <w:rPr>
                <w:rStyle w:val="13"/>
                <w:rFonts w:hint="default" w:ascii="Times New Roman" w:hAnsi="Times New Roman" w:eastAsia="仿宋" w:cs="Times New Roman"/>
                <w:lang w:val="en-US" w:eastAsia="zh-CN" w:bidi="ar"/>
              </w:rPr>
              <w:t>-30℃≤Ta≤+70℃；</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3、处理器</w:t>
            </w:r>
            <w:r>
              <w:rPr>
                <w:rStyle w:val="13"/>
                <w:rFonts w:hint="eastAsia" w:ascii="Times New Roman" w:hAnsi="Times New Roman" w:eastAsia="仿宋" w:cs="Times New Roman"/>
                <w:lang w:val="en-US" w:eastAsia="zh-CN" w:bidi="ar"/>
              </w:rPr>
              <w:t>：</w:t>
            </w:r>
            <w:r>
              <w:rPr>
                <w:rStyle w:val="13"/>
                <w:rFonts w:hint="default" w:ascii="Times New Roman" w:hAnsi="Times New Roman" w:eastAsia="仿宋" w:cs="Times New Roman"/>
                <w:lang w:val="en-US" w:eastAsia="zh-CN" w:bidi="ar"/>
              </w:rPr>
              <w:t>工业级处理器；</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4、数据传输</w:t>
            </w:r>
            <w:r>
              <w:rPr>
                <w:rStyle w:val="13"/>
                <w:rFonts w:hint="eastAsia" w:ascii="Times New Roman" w:hAnsi="Times New Roman" w:eastAsia="仿宋" w:cs="Times New Roman"/>
                <w:lang w:val="en-US" w:eastAsia="zh-CN" w:bidi="ar"/>
              </w:rPr>
              <w:t>：</w:t>
            </w:r>
            <w:r>
              <w:rPr>
                <w:rStyle w:val="13"/>
                <w:rFonts w:hint="default" w:ascii="Times New Roman" w:hAnsi="Times New Roman" w:eastAsia="仿宋" w:cs="Times New Roman"/>
                <w:lang w:val="en-US" w:eastAsia="zh-CN" w:bidi="ar"/>
              </w:rPr>
              <w:t>采用4G或5G物联网模式，直接将采集的数据端对端直传到云服务器，实现端对端直传，不经过油站中间环节周转；</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5、安全性要求</w:t>
            </w:r>
            <w:r>
              <w:rPr>
                <w:rStyle w:val="13"/>
                <w:rFonts w:hint="eastAsia" w:ascii="Times New Roman" w:hAnsi="Times New Roman" w:eastAsia="仿宋" w:cs="Times New Roman"/>
                <w:lang w:val="en-US" w:eastAsia="zh-CN" w:bidi="ar"/>
              </w:rPr>
              <w:t>：</w:t>
            </w:r>
            <w:r>
              <w:rPr>
                <w:rStyle w:val="13"/>
                <w:rFonts w:hint="default" w:ascii="Times New Roman" w:hAnsi="Times New Roman" w:eastAsia="仿宋" w:cs="Times New Roman"/>
                <w:lang w:val="en-US" w:eastAsia="zh-CN" w:bidi="ar"/>
              </w:rPr>
              <w:t>设备符合防爆要求，并获得检验机构的防爆合格证和检验报告；</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6、设备完成电磁兼容测试，取得电磁兼容测试报告，包括静电放电抗扰度、射频电磁场辐射抗扰度、电快速瞬变脉冲群抗扰度、浪涌（冲击）抗扰度、电压暂降抗扰度。其中静电实验、快速脉冲群实验、电磁场辐射、浪涌实验至少满足等级3；</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7、至少支持4个独立状态指示灯，包括电源状态、网络信号状态、正常运行状态、信号采集状态；</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8、采用数据加密传输，支持国密加密算法；</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2"/>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▲9、具备通过报税口采集加油明细数据功能，采集的数据与加油机屏幕显示数据一致；</w:t>
            </w:r>
            <w:r>
              <w:rPr>
                <w:rStyle w:val="12"/>
                <w:rFonts w:hint="default" w:ascii="Times New Roman" w:hAnsi="Times New Roman" w:eastAsia="仿宋" w:cs="Times New Roman"/>
                <w:lang w:val="en-US" w:eastAsia="zh-CN" w:bidi="ar"/>
              </w:rPr>
              <w:t>（需提供国家认可的检测机构出具的检测报告扫描件并加盖投标人公章）</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10、具备通过编码器采集加油明细数据功能；</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2"/>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▲11、能够采集加油机监控微处理器（税控芯片）序列号信息，并上传到系统平台，系统平台显示的信息与使用专用POS机读取的监控微处理器（税控芯片）序列号信息一致；</w:t>
            </w:r>
            <w:r>
              <w:rPr>
                <w:rStyle w:val="12"/>
                <w:rFonts w:hint="default" w:ascii="Times New Roman" w:hAnsi="Times New Roman" w:eastAsia="仿宋" w:cs="Times New Roman"/>
                <w:lang w:val="en-US" w:eastAsia="zh-CN" w:bidi="ar"/>
              </w:rPr>
              <w:t>（需提供国家认可的检测机构出具的检测报告扫描件并加盖投标人公章）</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12、能够采集加油机编码器序列号信息，并上传到系统平台，系统平台显示的信息与使用专用POS机读取的编码器序列号信息一致；</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13、能够采集加油机“异常记录”信息，并上传到系统平台，系统平台显示的异常记录信息（包括真实数据、显示数据）与使用专用POS机读取的“异常记录”信息一致；</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14、能够监控加油机的在线状态信息，并上传到系统平台，系统平台能显示加油机的在线/离线状态信息；</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15、当采集设备或服务器网络中断期间，加油机新产生的加油明细数据能够存储在采集设备本地存储器中，当网络恢复正常后，采集设备能够将网络中断期间的加油明细数据，自动续传到系统平台中；</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16、制式支持：GSM/TD-SCDMA/WCDMA/cdma2000/TD-LTE/LTEFDD，射频功率：≤2W；</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17、天线接口：标准SMA天线接口；</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18、兼容市面在用的所有厂家加油机，包括2019年后生产的新型加密加油机；</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13"/>
                <w:rFonts w:hint="default" w:ascii="Times New Roman" w:hAnsi="Times New Roman" w:eastAsia="仿宋" w:cs="Times New Roman"/>
                <w:lang w:val="en-US" w:eastAsia="zh-CN" w:bidi="ar"/>
              </w:rPr>
            </w:pPr>
            <w:r>
              <w:rPr>
                <w:rStyle w:val="13"/>
                <w:rFonts w:hint="default" w:ascii="Times New Roman" w:hAnsi="Times New Roman" w:eastAsia="仿宋" w:cs="Times New Roman"/>
                <w:lang w:val="en-US" w:eastAsia="zh-CN" w:bidi="ar"/>
              </w:rPr>
              <w:t>19、供电范围：DC5V-12V；</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sz w:val="24"/>
                <w:szCs w:val="24"/>
                <w:u w:val="none"/>
              </w:rPr>
            </w:pPr>
            <w:r>
              <w:rPr>
                <w:rStyle w:val="13"/>
                <w:rFonts w:hint="default" w:ascii="Times New Roman" w:hAnsi="Times New Roman" w:eastAsia="仿宋" w:cs="Times New Roman"/>
                <w:lang w:val="en-US" w:eastAsia="zh-CN" w:bidi="ar"/>
              </w:rPr>
              <w:t>20、设备升级：支持本地升级和远程在线升级。</w:t>
            </w:r>
          </w:p>
        </w:tc>
        <w:tc>
          <w:tcPr>
            <w:tcW w:w="62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台</w:t>
            </w:r>
          </w:p>
        </w:tc>
        <w:tc>
          <w:tcPr>
            <w:tcW w:w="63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lang w:val="en-US"/>
              </w:rPr>
            </w:pPr>
            <w:r>
              <w:rPr>
                <w:rStyle w:val="4"/>
                <w:rFonts w:hint="default" w:ascii="Times New Roman" w:hAnsi="Times New Roman" w:eastAsia="仿宋" w:cs="Times New Roman"/>
                <w:i w:val="0"/>
                <w:iCs w:val="0"/>
                <w:color w:val="000000"/>
                <w:kern w:val="0"/>
                <w:sz w:val="24"/>
                <w:szCs w:val="24"/>
                <w:u w:val="none"/>
                <w:lang w:val="en-US" w:eastAsia="zh-CN" w:bidi="ar"/>
              </w:rPr>
              <w:t>114</w:t>
            </w:r>
          </w:p>
        </w:tc>
        <w:tc>
          <w:tcPr>
            <w:tcW w:w="443"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kinsoku/>
              <w:wordWrap/>
              <w:overflowPunct/>
              <w:topLinePunct w:val="0"/>
              <w:autoSpaceDE/>
              <w:autoSpaceDN/>
              <w:bidi w:val="0"/>
              <w:adjustRightInd/>
              <w:snapToGrid/>
              <w:ind w:firstLine="0" w:firstLineChars="0"/>
              <w:jc w:val="center"/>
              <w:rPr>
                <w:rStyle w:val="4"/>
                <w:rFonts w:hint="default" w:ascii="Times New Roman" w:hAnsi="Times New Roman" w:eastAsia="仿宋" w:cs="Times New Roman"/>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2</w:t>
            </w:r>
          </w:p>
        </w:tc>
        <w:tc>
          <w:tcPr>
            <w:tcW w:w="95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油罐液位仪采集器</w:t>
            </w:r>
          </w:p>
        </w:tc>
        <w:tc>
          <w:tcPr>
            <w:tcW w:w="5325" w:type="dxa"/>
            <w:tcBorders>
              <w:top w:val="single" w:color="000000" w:sz="4" w:space="0"/>
              <w:left w:val="nil"/>
              <w:bottom w:val="single" w:color="000000" w:sz="4" w:space="0"/>
              <w:right w:val="nil"/>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1、具备多路通信用三线RS-232通信口；</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2、供电方式：额定电压：DC5V-12V，工作温度：-30℃-70℃；</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3、SMA天线接口，支持断网重连，支持安全加密传输，发射功率&lt;=2W，接口数量：4路；</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4、数据传输</w:t>
            </w:r>
            <w:r>
              <w:rPr>
                <w:rStyle w:val="4"/>
                <w:rFonts w:hint="eastAsia" w:ascii="Times New Roman" w:hAnsi="Times New Roman" w:eastAsia="仿宋" w:cs="Times New Roman"/>
                <w:i w:val="0"/>
                <w:iCs w:val="0"/>
                <w:color w:val="000000"/>
                <w:kern w:val="0"/>
                <w:sz w:val="24"/>
                <w:szCs w:val="24"/>
                <w:u w:val="none"/>
                <w:lang w:val="en-US" w:eastAsia="zh-CN" w:bidi="ar"/>
              </w:rPr>
              <w:t>：</w:t>
            </w:r>
            <w:r>
              <w:rPr>
                <w:rStyle w:val="4"/>
                <w:rFonts w:hint="default" w:ascii="Times New Roman" w:hAnsi="Times New Roman" w:eastAsia="仿宋" w:cs="Times New Roman"/>
                <w:i w:val="0"/>
                <w:iCs w:val="0"/>
                <w:color w:val="000000"/>
                <w:kern w:val="0"/>
                <w:sz w:val="24"/>
                <w:szCs w:val="24"/>
                <w:u w:val="none"/>
                <w:lang w:val="en-US" w:eastAsia="zh-CN" w:bidi="ar"/>
              </w:rPr>
              <w:t>采用4G或5G物联网模式，直接将采集的数据端对端直传到云服务器，实现端对端直传，不经过油站中间环节周转；</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5、工业级通信处理器，内置嵌入式操作系统；</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6、接口标准：DB9接口，支持232电平；</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7、支持液位仪通用协议，可扩展支持各液位仪厂家私有协议，支持主流液位仪品牌；</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8、环境温度：-30℃≤Ta≤+70℃；</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9、兼容市面主流型号的液位仪控制台的数据采集；</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10、数据采集：油罐液位数据采集，包括油罐液体高度、液体体积等数据采集；</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11、支持固件远程在线安全升级功能。</w:t>
            </w:r>
          </w:p>
        </w:tc>
        <w:tc>
          <w:tcPr>
            <w:tcW w:w="62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台</w:t>
            </w:r>
          </w:p>
        </w:tc>
        <w:tc>
          <w:tcPr>
            <w:tcW w:w="63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lang w:val="en-US"/>
              </w:rPr>
            </w:pPr>
            <w:r>
              <w:rPr>
                <w:rStyle w:val="4"/>
                <w:rFonts w:hint="default" w:ascii="Times New Roman" w:hAnsi="Times New Roman" w:eastAsia="仿宋" w:cs="Times New Roman"/>
                <w:i w:val="0"/>
                <w:iCs w:val="0"/>
                <w:color w:val="000000"/>
                <w:kern w:val="0"/>
                <w:sz w:val="24"/>
                <w:szCs w:val="24"/>
                <w:u w:val="none"/>
                <w:lang w:val="en-US" w:eastAsia="zh-CN" w:bidi="ar"/>
              </w:rPr>
              <w:t>27</w:t>
            </w:r>
          </w:p>
        </w:tc>
        <w:tc>
          <w:tcPr>
            <w:tcW w:w="443"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kinsoku/>
              <w:wordWrap/>
              <w:overflowPunct/>
              <w:topLinePunct w:val="0"/>
              <w:autoSpaceDE/>
              <w:autoSpaceDN/>
              <w:bidi w:val="0"/>
              <w:adjustRightInd/>
              <w:snapToGrid/>
              <w:ind w:firstLine="0" w:firstLineChars="0"/>
              <w:jc w:val="center"/>
              <w:rPr>
                <w:rStyle w:val="4"/>
                <w:rFonts w:hint="default" w:ascii="Times New Roman" w:hAnsi="Times New Roman" w:eastAsia="仿宋" w:cs="Times New Roman"/>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3</w:t>
            </w:r>
          </w:p>
        </w:tc>
        <w:tc>
          <w:tcPr>
            <w:tcW w:w="95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物联网卡</w:t>
            </w:r>
          </w:p>
        </w:tc>
        <w:tc>
          <w:tcPr>
            <w:tcW w:w="5325"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流量卡</w:t>
            </w:r>
            <w:r>
              <w:rPr>
                <w:rStyle w:val="4"/>
                <w:rFonts w:hint="eastAsia" w:ascii="Times New Roman" w:hAnsi="Times New Roman" w:eastAsia="仿宋" w:cs="Times New Roman"/>
                <w:i w:val="0"/>
                <w:iCs w:val="0"/>
                <w:color w:val="000000"/>
                <w:kern w:val="0"/>
                <w:sz w:val="24"/>
                <w:szCs w:val="24"/>
                <w:u w:val="none"/>
                <w:lang w:val="en-US" w:eastAsia="zh-CN" w:bidi="ar"/>
              </w:rPr>
              <w:t>，</w:t>
            </w:r>
            <w:r>
              <w:rPr>
                <w:rStyle w:val="4"/>
                <w:rFonts w:hint="default" w:ascii="Times New Roman" w:hAnsi="Times New Roman" w:eastAsia="仿宋" w:cs="Times New Roman"/>
                <w:i w:val="0"/>
                <w:iCs w:val="0"/>
                <w:color w:val="000000"/>
                <w:kern w:val="0"/>
                <w:sz w:val="24"/>
                <w:szCs w:val="24"/>
                <w:u w:val="none"/>
                <w:lang w:val="en-US" w:eastAsia="zh-CN" w:bidi="ar"/>
              </w:rPr>
              <w:t>每月300M流量，含3年费用。</w:t>
            </w:r>
          </w:p>
        </w:tc>
        <w:tc>
          <w:tcPr>
            <w:tcW w:w="62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张/年</w:t>
            </w:r>
          </w:p>
        </w:tc>
        <w:tc>
          <w:tcPr>
            <w:tcW w:w="63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lang w:val="en-US"/>
              </w:rPr>
            </w:pPr>
            <w:r>
              <w:rPr>
                <w:rStyle w:val="4"/>
                <w:rFonts w:hint="default" w:ascii="Times New Roman" w:hAnsi="Times New Roman" w:eastAsia="仿宋" w:cs="Times New Roman"/>
                <w:i w:val="0"/>
                <w:iCs w:val="0"/>
                <w:color w:val="000000"/>
                <w:kern w:val="0"/>
                <w:sz w:val="24"/>
                <w:szCs w:val="24"/>
                <w:u w:val="none"/>
                <w:lang w:val="en-US" w:eastAsia="zh-CN" w:bidi="ar"/>
              </w:rPr>
              <w:t>141</w:t>
            </w:r>
          </w:p>
        </w:tc>
        <w:tc>
          <w:tcPr>
            <w:tcW w:w="443"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kinsoku/>
              <w:wordWrap/>
              <w:overflowPunct/>
              <w:topLinePunct w:val="0"/>
              <w:autoSpaceDE/>
              <w:autoSpaceDN/>
              <w:bidi w:val="0"/>
              <w:adjustRightInd/>
              <w:snapToGrid/>
              <w:ind w:firstLine="0" w:firstLineChars="0"/>
              <w:jc w:val="center"/>
              <w:rPr>
                <w:rStyle w:val="4"/>
                <w:rFonts w:hint="default" w:ascii="Times New Roman" w:hAnsi="Times New Roman" w:eastAsia="仿宋" w:cs="Times New Roman"/>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4</w:t>
            </w:r>
          </w:p>
        </w:tc>
        <w:tc>
          <w:tcPr>
            <w:tcW w:w="95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AI视频分析监测设备</w:t>
            </w:r>
          </w:p>
        </w:tc>
        <w:tc>
          <w:tcPr>
            <w:tcW w:w="5325" w:type="dxa"/>
            <w:tcBorders>
              <w:top w:val="single" w:color="000000" w:sz="4" w:space="0"/>
              <w:left w:val="nil"/>
              <w:bottom w:val="single" w:color="000000" w:sz="4" w:space="0"/>
              <w:right w:val="nil"/>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1、智能分析盒子，内置1颗高性能GPU；</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2、1路HDMI输出，1路VGA输出；</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3、支持2个10/100/1000Mbps自适应以太网口；</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4、支持16路H.264/H.265混合接入，网络带宽96Mbps接入、96Mbps存储、96Mbps转发；</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5、支持9个1080p解码显示输出，支持SmartH.265</w:t>
            </w:r>
            <w:r>
              <w:rPr>
                <w:rStyle w:val="4"/>
                <w:rFonts w:hint="eastAsia" w:ascii="Times New Roman" w:hAnsi="Times New Roman" w:eastAsia="仿宋" w:cs="Times New Roman"/>
                <w:i w:val="0"/>
                <w:iCs w:val="0"/>
                <w:color w:val="000000"/>
                <w:kern w:val="0"/>
                <w:sz w:val="24"/>
                <w:szCs w:val="24"/>
                <w:u w:val="none"/>
                <w:lang w:val="en-US" w:eastAsia="zh-CN" w:bidi="ar"/>
              </w:rPr>
              <w:t>；</w:t>
            </w:r>
            <w:r>
              <w:rPr>
                <w:rStyle w:val="4"/>
                <w:rFonts w:hint="default" w:ascii="Times New Roman" w:hAnsi="Times New Roman" w:eastAsia="仿宋" w:cs="Times New Roman"/>
                <w:i w:val="0"/>
                <w:iCs w:val="0"/>
                <w:color w:val="000000"/>
                <w:kern w:val="0"/>
                <w:sz w:val="24"/>
                <w:szCs w:val="24"/>
                <w:u w:val="none"/>
                <w:lang w:val="en-US" w:eastAsia="zh-CN" w:bidi="ar"/>
              </w:rPr>
              <w:t>H.265</w:t>
            </w:r>
            <w:r>
              <w:rPr>
                <w:rStyle w:val="4"/>
                <w:rFonts w:hint="eastAsia" w:ascii="Times New Roman" w:hAnsi="Times New Roman" w:eastAsia="仿宋" w:cs="Times New Roman"/>
                <w:i w:val="0"/>
                <w:iCs w:val="0"/>
                <w:color w:val="000000"/>
                <w:kern w:val="0"/>
                <w:sz w:val="24"/>
                <w:szCs w:val="24"/>
                <w:u w:val="none"/>
                <w:lang w:val="en-US" w:eastAsia="zh-CN" w:bidi="ar"/>
              </w:rPr>
              <w:t>；</w:t>
            </w:r>
            <w:r>
              <w:rPr>
                <w:rStyle w:val="4"/>
                <w:rFonts w:hint="default" w:ascii="Times New Roman" w:hAnsi="Times New Roman" w:eastAsia="仿宋" w:cs="Times New Roman"/>
                <w:i w:val="0"/>
                <w:iCs w:val="0"/>
                <w:color w:val="000000"/>
                <w:kern w:val="0"/>
                <w:sz w:val="24"/>
                <w:szCs w:val="24"/>
                <w:u w:val="none"/>
                <w:lang w:val="en-US" w:eastAsia="zh-CN" w:bidi="ar"/>
              </w:rPr>
              <w:t>SmartH.264</w:t>
            </w:r>
            <w:r>
              <w:rPr>
                <w:rStyle w:val="4"/>
                <w:rFonts w:hint="eastAsia" w:ascii="Times New Roman" w:hAnsi="Times New Roman" w:eastAsia="仿宋" w:cs="Times New Roman"/>
                <w:i w:val="0"/>
                <w:iCs w:val="0"/>
                <w:color w:val="000000"/>
                <w:kern w:val="0"/>
                <w:sz w:val="24"/>
                <w:szCs w:val="24"/>
                <w:u w:val="none"/>
                <w:lang w:val="en-US" w:eastAsia="zh-CN" w:bidi="ar"/>
              </w:rPr>
              <w:t>；</w:t>
            </w:r>
            <w:r>
              <w:rPr>
                <w:rStyle w:val="4"/>
                <w:rFonts w:hint="default" w:ascii="Times New Roman" w:hAnsi="Times New Roman" w:eastAsia="仿宋" w:cs="Times New Roman"/>
                <w:i w:val="0"/>
                <w:iCs w:val="0"/>
                <w:color w:val="000000"/>
                <w:kern w:val="0"/>
                <w:sz w:val="24"/>
                <w:szCs w:val="24"/>
                <w:u w:val="none"/>
                <w:lang w:val="en-US" w:eastAsia="zh-CN" w:bidi="ar"/>
              </w:rPr>
              <w:t>H.264混合解码；</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6、音频输入：1路；音频输出：1路；报警输入：4路；报警输出：2路；</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7、硬盘接口：1个；SATA3.0；单盘最大24TB；</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13"/>
                <w:rFonts w:hint="default" w:ascii="Times New Roman" w:hAnsi="Times New Roman" w:eastAsia="仿宋" w:cs="Times New Roman"/>
                <w:lang w:val="en-US" w:eastAsia="zh-CN" w:bidi="ar"/>
              </w:rPr>
              <w:t>▲</w:t>
            </w:r>
            <w:r>
              <w:rPr>
                <w:rStyle w:val="4"/>
                <w:rFonts w:hint="default" w:ascii="Times New Roman" w:hAnsi="Times New Roman" w:eastAsia="仿宋" w:cs="Times New Roman"/>
                <w:i w:val="0"/>
                <w:iCs w:val="0"/>
                <w:color w:val="000000"/>
                <w:kern w:val="0"/>
                <w:sz w:val="24"/>
                <w:szCs w:val="24"/>
                <w:u w:val="none"/>
                <w:lang w:val="en-US" w:eastAsia="zh-CN" w:bidi="ar"/>
              </w:rPr>
              <w:t>8、支持识别吸烟、打电话、未戴安全帽、未穿工作服等违规操作人员，可联动录像、抓图、蜂鸣报警、邮件、本地报警输出、前端报警输出、门禁、音频以及日志记录；支持按姓名检索违规人员的具体个人信息；支持数据存储和按事件类型检索；支持查看违规操作人员的姓名；</w:t>
            </w:r>
            <w:r>
              <w:rPr>
                <w:rStyle w:val="12"/>
                <w:rFonts w:hint="default" w:ascii="Times New Roman" w:hAnsi="Times New Roman" w:eastAsia="仿宋" w:cs="Times New Roman"/>
                <w:lang w:val="en-US" w:eastAsia="zh-CN" w:bidi="ar"/>
              </w:rPr>
              <w:t>（需提供国家认可的检测机构出具的检测报告扫描件并加盖投标人公章）</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13"/>
                <w:rFonts w:hint="default" w:ascii="Times New Roman" w:hAnsi="Times New Roman" w:eastAsia="仿宋" w:cs="Times New Roman"/>
                <w:lang w:val="en-US" w:eastAsia="zh-CN" w:bidi="ar"/>
              </w:rPr>
              <w:t>▲</w:t>
            </w:r>
            <w:r>
              <w:rPr>
                <w:rStyle w:val="4"/>
                <w:rFonts w:hint="default" w:ascii="Times New Roman" w:hAnsi="Times New Roman" w:eastAsia="仿宋" w:cs="Times New Roman"/>
                <w:i w:val="0"/>
                <w:iCs w:val="0"/>
                <w:color w:val="000000"/>
                <w:kern w:val="0"/>
                <w:sz w:val="24"/>
                <w:szCs w:val="24"/>
                <w:u w:val="none"/>
                <w:lang w:val="en-US" w:eastAsia="zh-CN" w:bidi="ar"/>
              </w:rPr>
              <w:t>9、可配合平台接入多台设备实现智能分析集群化管理，可通过平台上传人脸图片、关联多台设备人脸库，并发进行搜图，展示结果；</w:t>
            </w:r>
            <w:r>
              <w:rPr>
                <w:rStyle w:val="12"/>
                <w:rFonts w:hint="default" w:ascii="Times New Roman" w:hAnsi="Times New Roman" w:eastAsia="仿宋" w:cs="Times New Roman"/>
                <w:lang w:val="en-US" w:eastAsia="zh-CN" w:bidi="ar"/>
              </w:rPr>
              <w:t>（需提供国家认可的检测机构出具的检测报告扫描件并加盖投标人公章）</w:t>
            </w:r>
          </w:p>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10、支持12种检测项：视频遮挡、场景变化、视频抖动、视频噪声、条纹检测、视频丢失、画面冻结、高亮度、视频模糊、视频偏色、低对比度、雪花噪点。</w:t>
            </w:r>
          </w:p>
        </w:tc>
        <w:tc>
          <w:tcPr>
            <w:tcW w:w="62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台</w:t>
            </w:r>
          </w:p>
        </w:tc>
        <w:tc>
          <w:tcPr>
            <w:tcW w:w="63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lang w:val="en-US"/>
              </w:rPr>
            </w:pPr>
            <w:r>
              <w:rPr>
                <w:rStyle w:val="4"/>
                <w:rFonts w:hint="default" w:ascii="Times New Roman" w:hAnsi="Times New Roman" w:eastAsia="仿宋" w:cs="Times New Roman"/>
                <w:i w:val="0"/>
                <w:iCs w:val="0"/>
                <w:color w:val="000000"/>
                <w:kern w:val="0"/>
                <w:sz w:val="24"/>
                <w:szCs w:val="24"/>
                <w:u w:val="none"/>
                <w:lang w:val="en-US" w:eastAsia="zh-CN" w:bidi="ar"/>
              </w:rPr>
              <w:t>27</w:t>
            </w:r>
          </w:p>
        </w:tc>
        <w:tc>
          <w:tcPr>
            <w:tcW w:w="443"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kinsoku/>
              <w:wordWrap/>
              <w:overflowPunct/>
              <w:topLinePunct w:val="0"/>
              <w:autoSpaceDE/>
              <w:autoSpaceDN/>
              <w:bidi w:val="0"/>
              <w:adjustRightInd/>
              <w:snapToGrid/>
              <w:ind w:firstLine="0" w:firstLineChars="0"/>
              <w:jc w:val="center"/>
              <w:rPr>
                <w:rStyle w:val="4"/>
                <w:rFonts w:hint="default" w:ascii="Times New Roman" w:hAnsi="Times New Roman" w:eastAsia="仿宋" w:cs="Times New Roman"/>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5</w:t>
            </w:r>
          </w:p>
        </w:tc>
        <w:tc>
          <w:tcPr>
            <w:tcW w:w="95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辅料</w:t>
            </w:r>
          </w:p>
        </w:tc>
        <w:tc>
          <w:tcPr>
            <w:tcW w:w="5325" w:type="dxa"/>
            <w:tcBorders>
              <w:top w:val="single" w:color="000000" w:sz="4" w:space="0"/>
              <w:left w:val="nil"/>
              <w:bottom w:val="single" w:color="000000" w:sz="4" w:space="0"/>
              <w:right w:val="nil"/>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电源线、PVC管等辅材。</w:t>
            </w:r>
          </w:p>
        </w:tc>
        <w:tc>
          <w:tcPr>
            <w:tcW w:w="62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台</w:t>
            </w:r>
          </w:p>
        </w:tc>
        <w:tc>
          <w:tcPr>
            <w:tcW w:w="63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lang w:val="en-US"/>
              </w:rPr>
            </w:pPr>
            <w:r>
              <w:rPr>
                <w:rStyle w:val="4"/>
                <w:rFonts w:hint="default" w:ascii="Times New Roman" w:hAnsi="Times New Roman" w:eastAsia="仿宋" w:cs="Times New Roman"/>
                <w:i w:val="0"/>
                <w:iCs w:val="0"/>
                <w:color w:val="000000"/>
                <w:kern w:val="0"/>
                <w:sz w:val="24"/>
                <w:szCs w:val="24"/>
                <w:u w:val="none"/>
                <w:lang w:val="en-US" w:eastAsia="zh-CN" w:bidi="ar"/>
              </w:rPr>
              <w:t>141</w:t>
            </w:r>
          </w:p>
        </w:tc>
        <w:tc>
          <w:tcPr>
            <w:tcW w:w="443"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kinsoku/>
              <w:wordWrap/>
              <w:overflowPunct/>
              <w:topLinePunct w:val="0"/>
              <w:autoSpaceDE/>
              <w:autoSpaceDN/>
              <w:bidi w:val="0"/>
              <w:adjustRightInd/>
              <w:snapToGrid/>
              <w:ind w:firstLine="0" w:firstLineChars="0"/>
              <w:rPr>
                <w:rStyle w:val="4"/>
                <w:rFonts w:hint="default" w:ascii="Times New Roman" w:hAnsi="Times New Roman" w:eastAsia="仿宋" w:cs="Times New Roman"/>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6</w:t>
            </w:r>
          </w:p>
        </w:tc>
        <w:tc>
          <w:tcPr>
            <w:tcW w:w="95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sz w:val="24"/>
                <w:szCs w:val="24"/>
                <w:u w:val="none"/>
              </w:rPr>
            </w:pPr>
            <w:r>
              <w:rPr>
                <w:rStyle w:val="4"/>
                <w:rFonts w:hint="default" w:ascii="Times New Roman" w:hAnsi="Times New Roman" w:eastAsia="仿宋" w:cs="Times New Roman"/>
                <w:b/>
                <w:bCs/>
                <w:i w:val="0"/>
                <w:iCs w:val="0"/>
                <w:color w:val="000000"/>
                <w:kern w:val="0"/>
                <w:sz w:val="24"/>
                <w:szCs w:val="24"/>
                <w:u w:val="none"/>
                <w:lang w:val="en-US" w:eastAsia="zh-CN" w:bidi="ar"/>
              </w:rPr>
              <w:t>集成服务</w:t>
            </w:r>
          </w:p>
        </w:tc>
        <w:tc>
          <w:tcPr>
            <w:tcW w:w="5325"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软硬件安装部署、调试等集成服务。</w:t>
            </w:r>
          </w:p>
        </w:tc>
        <w:tc>
          <w:tcPr>
            <w:tcW w:w="62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rPr>
            </w:pPr>
            <w:r>
              <w:rPr>
                <w:rStyle w:val="4"/>
                <w:rFonts w:hint="default" w:ascii="Times New Roman" w:hAnsi="Times New Roman" w:eastAsia="仿宋" w:cs="Times New Roman"/>
                <w:i w:val="0"/>
                <w:iCs w:val="0"/>
                <w:color w:val="000000"/>
                <w:kern w:val="0"/>
                <w:sz w:val="24"/>
                <w:szCs w:val="24"/>
                <w:u w:val="none"/>
                <w:lang w:val="en-US" w:eastAsia="zh-CN" w:bidi="ar"/>
              </w:rPr>
              <w:t>台</w:t>
            </w:r>
          </w:p>
        </w:tc>
        <w:tc>
          <w:tcPr>
            <w:tcW w:w="63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sz w:val="24"/>
                <w:szCs w:val="24"/>
                <w:u w:val="none"/>
                <w:lang w:val="en-US"/>
              </w:rPr>
            </w:pPr>
            <w:r>
              <w:rPr>
                <w:rStyle w:val="4"/>
                <w:rFonts w:hint="default" w:ascii="Times New Roman" w:hAnsi="Times New Roman" w:eastAsia="仿宋" w:cs="Times New Roman"/>
                <w:i w:val="0"/>
                <w:iCs w:val="0"/>
                <w:color w:val="000000"/>
                <w:kern w:val="0"/>
                <w:sz w:val="24"/>
                <w:szCs w:val="24"/>
                <w:u w:val="none"/>
                <w:lang w:val="en-US" w:eastAsia="zh-CN" w:bidi="ar"/>
              </w:rPr>
              <w:t>141</w:t>
            </w:r>
          </w:p>
        </w:tc>
        <w:tc>
          <w:tcPr>
            <w:tcW w:w="443"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kinsoku/>
              <w:wordWrap/>
              <w:overflowPunct/>
              <w:topLinePunct w:val="0"/>
              <w:autoSpaceDE/>
              <w:autoSpaceDN/>
              <w:bidi w:val="0"/>
              <w:adjustRightInd/>
              <w:snapToGrid/>
              <w:ind w:firstLine="0" w:firstLineChars="0"/>
              <w:rPr>
                <w:rStyle w:val="4"/>
                <w:rFonts w:hint="default" w:ascii="Times New Roman" w:hAnsi="Times New Roman" w:eastAsia="仿宋" w:cs="Times New Roman"/>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 w:hRule="atLeast"/>
          <w:jc w:val="center"/>
        </w:trPr>
        <w:tc>
          <w:tcPr>
            <w:tcW w:w="540"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kern w:val="0"/>
                <w:sz w:val="24"/>
                <w:szCs w:val="24"/>
                <w:u w:val="none"/>
                <w:lang w:val="en-US" w:eastAsia="zh-CN" w:bidi="ar"/>
              </w:rPr>
            </w:pPr>
            <w:r>
              <w:rPr>
                <w:rStyle w:val="4"/>
                <w:rFonts w:hint="default" w:ascii="Times New Roman" w:hAnsi="Times New Roman" w:eastAsia="仿宋" w:cs="Times New Roman"/>
                <w:b/>
                <w:bCs/>
                <w:i w:val="0"/>
                <w:iCs w:val="0"/>
                <w:color w:val="000000"/>
                <w:kern w:val="0"/>
                <w:sz w:val="24"/>
                <w:szCs w:val="24"/>
                <w:u w:val="none"/>
                <w:lang w:val="en-US" w:eastAsia="zh-CN" w:bidi="ar"/>
              </w:rPr>
              <w:t>7</w:t>
            </w:r>
          </w:p>
        </w:tc>
        <w:tc>
          <w:tcPr>
            <w:tcW w:w="957"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b/>
                <w:bCs/>
                <w:i w:val="0"/>
                <w:iCs w:val="0"/>
                <w:color w:val="000000"/>
                <w:kern w:val="0"/>
                <w:sz w:val="24"/>
                <w:szCs w:val="24"/>
                <w:u w:val="none"/>
                <w:lang w:val="en-US" w:eastAsia="zh-CN" w:bidi="ar"/>
              </w:rPr>
            </w:pPr>
            <w:r>
              <w:rPr>
                <w:rStyle w:val="4"/>
                <w:rFonts w:hint="default" w:ascii="Times New Roman" w:hAnsi="Times New Roman" w:eastAsia="仿宋" w:cs="Times New Roman"/>
                <w:b/>
                <w:bCs/>
                <w:i w:val="0"/>
                <w:iCs w:val="0"/>
                <w:color w:val="000000"/>
                <w:kern w:val="0"/>
                <w:sz w:val="24"/>
                <w:szCs w:val="24"/>
                <w:u w:val="none"/>
                <w:lang w:val="en-US" w:eastAsia="zh-CN" w:bidi="ar"/>
              </w:rPr>
              <w:t>运维</w:t>
            </w:r>
          </w:p>
        </w:tc>
        <w:tc>
          <w:tcPr>
            <w:tcW w:w="5325"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2年运维。</w:t>
            </w:r>
          </w:p>
        </w:tc>
        <w:tc>
          <w:tcPr>
            <w:tcW w:w="620"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项/年</w:t>
            </w:r>
          </w:p>
        </w:tc>
        <w:tc>
          <w:tcPr>
            <w:tcW w:w="637" w:type="dxa"/>
            <w:tcBorders>
              <w:top w:val="single" w:color="000000" w:sz="4" w:space="0"/>
              <w:left w:val="single" w:color="000000" w:sz="4" w:space="0"/>
              <w:bottom w:val="single" w:color="000000" w:sz="4" w:space="0"/>
              <w:right w:val="single" w:color="000000" w:sz="4" w:space="0"/>
            </w:tcBorders>
            <w:noWrap w:val="0"/>
            <w:vAlign w:val="center"/>
          </w:tcPr>
          <w:p>
            <w:pPr>
              <w:pStyle w:val="5"/>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Style w:val="4"/>
                <w:rFonts w:hint="default" w:ascii="Times New Roman" w:hAnsi="Times New Roman" w:eastAsia="仿宋" w:cs="Times New Roman"/>
                <w:i w:val="0"/>
                <w:iCs w:val="0"/>
                <w:color w:val="000000"/>
                <w:kern w:val="0"/>
                <w:sz w:val="24"/>
                <w:szCs w:val="24"/>
                <w:u w:val="none"/>
                <w:lang w:val="en-US" w:eastAsia="zh-CN" w:bidi="ar"/>
              </w:rPr>
            </w:pPr>
            <w:r>
              <w:rPr>
                <w:rStyle w:val="4"/>
                <w:rFonts w:hint="default" w:ascii="Times New Roman" w:hAnsi="Times New Roman" w:eastAsia="仿宋" w:cs="Times New Roman"/>
                <w:i w:val="0"/>
                <w:iCs w:val="0"/>
                <w:color w:val="000000"/>
                <w:kern w:val="0"/>
                <w:sz w:val="24"/>
                <w:szCs w:val="24"/>
                <w:u w:val="none"/>
                <w:lang w:val="en-US" w:eastAsia="zh-CN" w:bidi="ar"/>
              </w:rPr>
              <w:t>141</w:t>
            </w:r>
          </w:p>
        </w:tc>
        <w:tc>
          <w:tcPr>
            <w:tcW w:w="443" w:type="dxa"/>
            <w:tcBorders>
              <w:top w:val="single" w:color="000000" w:sz="4" w:space="0"/>
              <w:left w:val="single" w:color="000000" w:sz="4" w:space="0"/>
              <w:bottom w:val="single" w:color="000000" w:sz="4" w:space="0"/>
              <w:right w:val="single" w:color="000000" w:sz="4" w:space="0"/>
            </w:tcBorders>
            <w:noWrap/>
            <w:vAlign w:val="center"/>
          </w:tcPr>
          <w:p>
            <w:pPr>
              <w:pStyle w:val="5"/>
              <w:keepNext w:val="0"/>
              <w:keepLines w:val="0"/>
              <w:pageBreakBefore w:val="0"/>
              <w:kinsoku/>
              <w:wordWrap/>
              <w:overflowPunct/>
              <w:topLinePunct w:val="0"/>
              <w:autoSpaceDE/>
              <w:autoSpaceDN/>
              <w:bidi w:val="0"/>
              <w:adjustRightInd/>
              <w:snapToGrid/>
              <w:ind w:firstLine="0" w:firstLineChars="0"/>
              <w:jc w:val="center"/>
              <w:rPr>
                <w:rStyle w:val="4"/>
                <w:rFonts w:hint="default" w:ascii="Times New Roman" w:hAnsi="Times New Roman" w:eastAsia="仿宋" w:cs="Times New Roman"/>
                <w:b/>
                <w:bCs/>
                <w:i w:val="0"/>
                <w:iCs w:val="0"/>
                <w:color w:val="000000"/>
                <w:sz w:val="24"/>
                <w:szCs w:val="24"/>
                <w:u w:val="none"/>
              </w:rPr>
            </w:pPr>
          </w:p>
        </w:tc>
      </w:tr>
    </w:tbl>
    <w:p>
      <w:pPr>
        <w:pStyle w:val="5"/>
        <w:widowControl/>
        <w:jc w:val="center"/>
        <w:rPr>
          <w:rStyle w:val="4"/>
          <w:rFonts w:ascii="宋体" w:hAnsi="宋体" w:eastAsia="宋体" w:cs="宋体"/>
          <w:b/>
          <w:bCs/>
          <w:spacing w:val="30"/>
          <w:kern w:val="0"/>
          <w:sz w:val="30"/>
          <w:szCs w:val="30"/>
        </w:rPr>
      </w:pPr>
      <w:r>
        <w:rPr>
          <w:rStyle w:val="4"/>
          <w:rFonts w:ascii="宋体" w:hAnsi="宋体" w:eastAsia="宋体" w:cs="宋体"/>
          <w:b/>
          <w:bCs/>
          <w:spacing w:val="30"/>
          <w:kern w:val="0"/>
          <w:sz w:val="30"/>
          <w:szCs w:val="30"/>
        </w:rPr>
        <w:br w:type="page"/>
      </w:r>
      <w:r>
        <w:rPr>
          <w:rStyle w:val="4"/>
          <w:rFonts w:ascii="宋体" w:hAnsi="宋体" w:eastAsia="宋体" w:cs="宋体"/>
          <w:b/>
          <w:bCs/>
          <w:spacing w:val="30"/>
          <w:kern w:val="0"/>
          <w:sz w:val="30"/>
          <w:szCs w:val="30"/>
        </w:rPr>
        <w:t>第二节 商务要求</w:t>
      </w:r>
    </w:p>
    <w:p>
      <w:pPr>
        <w:pStyle w:val="5"/>
        <w:widowControl/>
        <w:jc w:val="left"/>
        <w:rPr>
          <w:rStyle w:val="4"/>
          <w:rFonts w:ascii="Times New Roman" w:hAnsi="Times New Roman" w:eastAsia="Times New Roman" w:cs="Times New Roman"/>
          <w:kern w:val="0"/>
          <w:sz w:val="24"/>
          <w:szCs w:val="24"/>
        </w:rPr>
      </w:pPr>
    </w:p>
    <w:p>
      <w:pPr>
        <w:pStyle w:val="5"/>
        <w:keepNext w:val="0"/>
        <w:keepLines w:val="0"/>
        <w:pageBreakBefore w:val="0"/>
        <w:widowControl/>
        <w:kinsoku/>
        <w:wordWrap/>
        <w:overflowPunct/>
        <w:topLinePunct w:val="0"/>
        <w:autoSpaceDE/>
        <w:autoSpaceDN/>
        <w:bidi w:val="0"/>
        <w:adjustRightInd/>
        <w:snapToGrid/>
        <w:spacing w:line="240" w:lineRule="auto"/>
        <w:jc w:val="both"/>
        <w:textAlignment w:val="auto"/>
        <w:rPr>
          <w:rStyle w:val="4"/>
          <w:rFonts w:hint="eastAsia" w:ascii="仿宋_GB2312" w:hAnsi="仿宋_GB2312" w:eastAsia="仿宋_GB2312" w:cs="仿宋_GB2312"/>
          <w:b/>
          <w:bCs/>
          <w:spacing w:val="30"/>
          <w:kern w:val="0"/>
          <w:sz w:val="28"/>
          <w:szCs w:val="28"/>
        </w:rPr>
      </w:pPr>
      <w:r>
        <w:rPr>
          <w:rStyle w:val="4"/>
          <w:rFonts w:hint="eastAsia" w:ascii="仿宋_GB2312" w:hAnsi="仿宋_GB2312" w:eastAsia="仿宋_GB2312" w:cs="仿宋_GB2312"/>
          <w:b/>
          <w:bCs/>
          <w:spacing w:val="30"/>
          <w:kern w:val="0"/>
          <w:sz w:val="28"/>
          <w:szCs w:val="28"/>
        </w:rPr>
        <w:t>一、主要商务要求</w:t>
      </w:r>
    </w:p>
    <w:tbl>
      <w:tblPr>
        <w:tblStyle w:val="3"/>
        <w:tblW w:w="8502" w:type="dxa"/>
        <w:tblInd w:w="1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360"/>
        <w:gridCol w:w="614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rHeight w:val="680" w:hRule="atLeast"/>
        </w:trPr>
        <w:tc>
          <w:tcPr>
            <w:tcW w:w="2360" w:type="dxa"/>
            <w:noWrap w:val="0"/>
            <w:tcMar>
              <w:top w:w="0" w:type="dxa"/>
              <w:left w:w="108" w:type="dxa"/>
              <w:bottom w:w="0" w:type="dxa"/>
              <w:right w:w="108" w:type="dxa"/>
            </w:tcMar>
            <w:vAlign w:val="center"/>
          </w:tcPr>
          <w:p>
            <w:pPr>
              <w:pStyle w:val="5"/>
              <w:jc w:val="center"/>
              <w:rPr>
                <w:rStyle w:val="4"/>
                <w:rFonts w:hint="default" w:ascii="仿宋_GB2312" w:hAnsi="仿宋_GB2312" w:eastAsia="仿宋_GB2312" w:cs="仿宋_GB2312"/>
                <w:b/>
                <w:bCs/>
                <w:color w:val="auto"/>
                <w:sz w:val="28"/>
                <w:szCs w:val="28"/>
                <w:vertAlign w:val="baseline"/>
              </w:rPr>
            </w:pPr>
            <w:r>
              <w:rPr>
                <w:rStyle w:val="4"/>
                <w:rFonts w:hint="default" w:ascii="仿宋_GB2312" w:hAnsi="仿宋_GB2312" w:eastAsia="仿宋_GB2312" w:cs="仿宋_GB2312"/>
                <w:b/>
                <w:bCs/>
                <w:color w:val="auto"/>
                <w:sz w:val="28"/>
                <w:szCs w:val="28"/>
                <w:vertAlign w:val="baseline"/>
              </w:rPr>
              <w:t>履行合同的时间、地点及方式</w:t>
            </w:r>
          </w:p>
        </w:tc>
        <w:tc>
          <w:tcPr>
            <w:tcW w:w="6142" w:type="dxa"/>
            <w:noWrap w:val="0"/>
            <w:tcMar>
              <w:top w:w="0" w:type="dxa"/>
              <w:left w:w="108" w:type="dxa"/>
              <w:bottom w:w="0" w:type="dxa"/>
              <w:right w:w="108" w:type="dxa"/>
            </w:tcMar>
            <w:vAlign w:val="center"/>
          </w:tcPr>
          <w:p>
            <w:pPr>
              <w:pStyle w:val="5"/>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z w:val="28"/>
                <w:szCs w:val="28"/>
              </w:rPr>
              <w:t>合同服务期：运行及维护期共三年（其中自合同签订之日起10个工作日内完成系统安装调试）。</w:t>
            </w:r>
          </w:p>
          <w:p>
            <w:pPr>
              <w:pStyle w:val="5"/>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z w:val="28"/>
                <w:szCs w:val="28"/>
              </w:rPr>
              <w:t>交货地点：采购人指定地点。</w:t>
            </w:r>
          </w:p>
          <w:p>
            <w:pPr>
              <w:pStyle w:val="5"/>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z w:val="28"/>
                <w:szCs w:val="28"/>
              </w:rPr>
              <w:t>交货方式：按合同约定。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rHeight w:val="680" w:hRule="atLeast"/>
        </w:trPr>
        <w:tc>
          <w:tcPr>
            <w:tcW w:w="2360" w:type="dxa"/>
            <w:noWrap w:val="0"/>
            <w:tcMar>
              <w:top w:w="0" w:type="dxa"/>
              <w:left w:w="108" w:type="dxa"/>
              <w:bottom w:w="0" w:type="dxa"/>
              <w:right w:w="108" w:type="dxa"/>
            </w:tcMar>
            <w:vAlign w:val="center"/>
          </w:tcPr>
          <w:p>
            <w:pPr>
              <w:pStyle w:val="5"/>
              <w:jc w:val="center"/>
              <w:rPr>
                <w:rStyle w:val="4"/>
                <w:rFonts w:hint="default" w:ascii="仿宋_GB2312" w:hAnsi="仿宋_GB2312" w:eastAsia="仿宋_GB2312" w:cs="仿宋_GB2312"/>
                <w:b/>
                <w:bCs/>
                <w:color w:val="auto"/>
                <w:sz w:val="28"/>
                <w:szCs w:val="28"/>
                <w:vertAlign w:val="baseline"/>
              </w:rPr>
            </w:pPr>
            <w:r>
              <w:rPr>
                <w:rStyle w:val="4"/>
                <w:rFonts w:hint="default" w:ascii="仿宋_GB2312" w:hAnsi="仿宋_GB2312" w:eastAsia="仿宋_GB2312" w:cs="仿宋_GB2312"/>
                <w:b/>
                <w:bCs/>
                <w:color w:val="auto"/>
                <w:sz w:val="28"/>
                <w:szCs w:val="28"/>
                <w:vertAlign w:val="baseline"/>
              </w:rPr>
              <w:t>质量保证期</w:t>
            </w:r>
          </w:p>
        </w:tc>
        <w:tc>
          <w:tcPr>
            <w:tcW w:w="6142" w:type="dxa"/>
            <w:noWrap w:val="0"/>
            <w:tcMar>
              <w:top w:w="0" w:type="dxa"/>
              <w:left w:w="108" w:type="dxa"/>
              <w:bottom w:w="0" w:type="dxa"/>
              <w:right w:w="108" w:type="dxa"/>
            </w:tcMar>
            <w:vAlign w:val="center"/>
          </w:tcPr>
          <w:p>
            <w:pPr>
              <w:pStyle w:val="5"/>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z w:val="28"/>
                <w:szCs w:val="28"/>
              </w:rPr>
              <w:t>项目验收结束后，提供所有软硬件一年免费质保，包括系统远程维护和升级服务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rHeight w:val="680" w:hRule="atLeast"/>
        </w:trPr>
        <w:tc>
          <w:tcPr>
            <w:tcW w:w="2360" w:type="dxa"/>
            <w:noWrap w:val="0"/>
            <w:tcMar>
              <w:top w:w="0" w:type="dxa"/>
              <w:left w:w="108" w:type="dxa"/>
              <w:bottom w:w="0" w:type="dxa"/>
              <w:right w:w="108" w:type="dxa"/>
            </w:tcMar>
            <w:vAlign w:val="center"/>
          </w:tcPr>
          <w:p>
            <w:pPr>
              <w:pStyle w:val="5"/>
              <w:jc w:val="center"/>
              <w:rPr>
                <w:rStyle w:val="4"/>
                <w:rFonts w:hint="default" w:ascii="仿宋_GB2312" w:hAnsi="仿宋_GB2312" w:eastAsia="仿宋_GB2312" w:cs="仿宋_GB2312"/>
                <w:b/>
                <w:bCs/>
                <w:color w:val="auto"/>
                <w:sz w:val="28"/>
                <w:szCs w:val="28"/>
                <w:vertAlign w:val="baseline"/>
              </w:rPr>
            </w:pPr>
            <w:r>
              <w:rPr>
                <w:rStyle w:val="4"/>
                <w:rFonts w:hint="default" w:ascii="仿宋_GB2312" w:hAnsi="仿宋_GB2312" w:eastAsia="仿宋_GB2312" w:cs="仿宋_GB2312"/>
                <w:b/>
                <w:bCs/>
                <w:color w:val="auto"/>
                <w:sz w:val="28"/>
                <w:szCs w:val="28"/>
                <w:vertAlign w:val="baseline"/>
              </w:rPr>
              <w:t>响应时间</w:t>
            </w:r>
          </w:p>
        </w:tc>
        <w:tc>
          <w:tcPr>
            <w:tcW w:w="6142" w:type="dxa"/>
            <w:noWrap w:val="0"/>
            <w:tcMar>
              <w:top w:w="0" w:type="dxa"/>
              <w:left w:w="108" w:type="dxa"/>
              <w:bottom w:w="0" w:type="dxa"/>
              <w:right w:w="108" w:type="dxa"/>
            </w:tcMar>
            <w:vAlign w:val="center"/>
          </w:tcPr>
          <w:p>
            <w:pPr>
              <w:pStyle w:val="5"/>
              <w:keepNext w:val="0"/>
              <w:keepLines w:val="0"/>
              <w:pageBreakBefore w:val="0"/>
              <w:widowControl w:val="0"/>
              <w:kinsoku/>
              <w:wordWrap/>
              <w:overflowPunct/>
              <w:topLinePunct w:val="0"/>
              <w:autoSpaceDE/>
              <w:autoSpaceDN/>
              <w:bidi w:val="0"/>
              <w:adjustRightInd/>
              <w:snapToGrid w:val="0"/>
              <w:jc w:val="left"/>
              <w:textAlignment w:val="auto"/>
              <w:rPr>
                <w:rStyle w:val="4"/>
                <w:rFonts w:hint="default" w:ascii="仿宋_GB2312" w:hAnsi="仿宋_GB2312" w:eastAsia="仿宋_GB2312" w:cs="仿宋_GB2312"/>
                <w:sz w:val="28"/>
                <w:szCs w:val="28"/>
              </w:rPr>
            </w:pPr>
            <w:r>
              <w:rPr>
                <w:rStyle w:val="4"/>
                <w:rFonts w:hint="default" w:ascii="仿宋_GB2312" w:hAnsi="仿宋_GB2312" w:eastAsia="仿宋_GB2312" w:cs="仿宋_GB2312"/>
                <w:sz w:val="28"/>
                <w:szCs w:val="28"/>
              </w:rPr>
              <w:t>（1）提供7×24小时的</w:t>
            </w:r>
            <w:r>
              <w:rPr>
                <w:rStyle w:val="4"/>
                <w:rFonts w:hint="eastAsia" w:ascii="仿宋_GB2312" w:hAnsi="仿宋_GB2312" w:eastAsia="仿宋_GB2312" w:cs="仿宋_GB2312"/>
                <w:sz w:val="28"/>
                <w:szCs w:val="28"/>
              </w:rPr>
              <w:t>技术咨询、</w:t>
            </w:r>
            <w:r>
              <w:rPr>
                <w:rStyle w:val="4"/>
                <w:rFonts w:hint="default" w:ascii="仿宋_GB2312" w:hAnsi="仿宋_GB2312" w:eastAsia="仿宋_GB2312" w:cs="仿宋_GB2312"/>
                <w:sz w:val="28"/>
                <w:szCs w:val="28"/>
              </w:rPr>
              <w:t>故障服务受理；</w:t>
            </w:r>
          </w:p>
          <w:p>
            <w:pPr>
              <w:pStyle w:val="5"/>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仿宋_GB2312" w:hAnsi="仿宋_GB2312" w:eastAsia="仿宋_GB2312" w:cs="仿宋_GB2312"/>
                <w:sz w:val="28"/>
                <w:szCs w:val="28"/>
              </w:rPr>
            </w:pPr>
            <w:r>
              <w:rPr>
                <w:rStyle w:val="4"/>
                <w:rFonts w:hint="default" w:ascii="仿宋_GB2312" w:hAnsi="仿宋_GB2312" w:eastAsia="仿宋_GB2312" w:cs="仿宋_GB2312"/>
                <w:sz w:val="28"/>
                <w:szCs w:val="28"/>
              </w:rPr>
              <w:t>（2）对重大故障提供7×24小时的现场支援，一般故障提供5×8小时的现场支援；</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rHeight w:val="680" w:hRule="atLeast"/>
        </w:trPr>
        <w:tc>
          <w:tcPr>
            <w:tcW w:w="2360" w:type="dxa"/>
            <w:noWrap w:val="0"/>
            <w:tcMar>
              <w:top w:w="0" w:type="dxa"/>
              <w:left w:w="108" w:type="dxa"/>
              <w:bottom w:w="0" w:type="dxa"/>
              <w:right w:w="108" w:type="dxa"/>
            </w:tcMar>
            <w:vAlign w:val="center"/>
          </w:tcPr>
          <w:p>
            <w:pPr>
              <w:pStyle w:val="5"/>
              <w:jc w:val="center"/>
              <w:rPr>
                <w:rStyle w:val="4"/>
                <w:rFonts w:hint="default" w:ascii="仿宋_GB2312" w:hAnsi="仿宋_GB2312" w:eastAsia="仿宋_GB2312" w:cs="仿宋_GB2312"/>
                <w:b/>
                <w:bCs/>
                <w:color w:val="auto"/>
                <w:sz w:val="28"/>
                <w:szCs w:val="28"/>
                <w:vertAlign w:val="baseline"/>
              </w:rPr>
            </w:pPr>
            <w:r>
              <w:rPr>
                <w:rStyle w:val="4"/>
                <w:rFonts w:hint="default" w:ascii="仿宋_GB2312" w:hAnsi="仿宋_GB2312" w:eastAsia="仿宋_GB2312" w:cs="仿宋_GB2312"/>
                <w:b/>
                <w:bCs/>
                <w:color w:val="auto"/>
                <w:sz w:val="28"/>
                <w:szCs w:val="28"/>
                <w:vertAlign w:val="baseline"/>
              </w:rPr>
              <w:t>合同价款支付方式和条件</w:t>
            </w:r>
          </w:p>
        </w:tc>
        <w:tc>
          <w:tcPr>
            <w:tcW w:w="6142" w:type="dxa"/>
            <w:noWrap w:val="0"/>
            <w:tcMar>
              <w:top w:w="0" w:type="dxa"/>
              <w:left w:w="108" w:type="dxa"/>
              <w:bottom w:w="0" w:type="dxa"/>
              <w:right w:w="108" w:type="dxa"/>
            </w:tcMar>
            <w:vAlign w:val="center"/>
          </w:tcPr>
          <w:p>
            <w:pPr>
              <w:pStyle w:val="5"/>
              <w:keepNext w:val="0"/>
              <w:keepLines w:val="0"/>
              <w:pageBreakBefore w:val="0"/>
              <w:widowControl w:val="0"/>
              <w:kinsoku/>
              <w:wordWrap/>
              <w:overflowPunct/>
              <w:topLinePunct w:val="0"/>
              <w:autoSpaceDE/>
              <w:autoSpaceDN/>
              <w:bidi w:val="0"/>
              <w:adjustRightInd/>
              <w:snapToGrid w:val="0"/>
              <w:jc w:val="left"/>
              <w:textAlignment w:val="auto"/>
              <w:rPr>
                <w:rStyle w:val="4"/>
                <w:rFonts w:hint="eastAsia" w:ascii="仿宋_GB2312" w:hAnsi="仿宋_GB2312" w:eastAsia="仿宋_GB2312" w:cs="仿宋_GB2312"/>
                <w:sz w:val="28"/>
                <w:szCs w:val="28"/>
              </w:rPr>
            </w:pPr>
            <w:r>
              <w:rPr>
                <w:rStyle w:val="4"/>
                <w:rFonts w:hint="default" w:ascii="仿宋_GB2312" w:hAnsi="仿宋_GB2312" w:eastAsia="仿宋_GB2312" w:cs="仿宋_GB2312"/>
                <w:sz w:val="28"/>
                <w:szCs w:val="28"/>
              </w:rPr>
              <w:t>验收合格后运行的第3个月，支付合同总金额的60%</w:t>
            </w:r>
            <w:r>
              <w:rPr>
                <w:rStyle w:val="4"/>
                <w:rFonts w:hint="eastAsia" w:ascii="仿宋_GB2312" w:hAnsi="仿宋_GB2312" w:eastAsia="仿宋_GB2312" w:cs="仿宋_GB2312"/>
                <w:sz w:val="28"/>
                <w:szCs w:val="28"/>
              </w:rPr>
              <w:t>；</w:t>
            </w:r>
            <w:r>
              <w:rPr>
                <w:rStyle w:val="4"/>
                <w:rFonts w:hint="default" w:ascii="仿宋_GB2312" w:hAnsi="仿宋_GB2312" w:eastAsia="仿宋_GB2312" w:cs="仿宋_GB2312"/>
                <w:sz w:val="28"/>
                <w:szCs w:val="28"/>
              </w:rPr>
              <w:t>验收合格后运行的第6个月，支付合同总金额的3</w:t>
            </w:r>
            <w:r>
              <w:rPr>
                <w:rStyle w:val="4"/>
                <w:rFonts w:hint="eastAsia" w:ascii="仿宋_GB2312" w:hAnsi="仿宋_GB2312" w:eastAsia="仿宋_GB2312" w:cs="仿宋_GB2312"/>
                <w:sz w:val="28"/>
                <w:szCs w:val="28"/>
              </w:rPr>
              <w:t>7</w:t>
            </w:r>
            <w:r>
              <w:rPr>
                <w:rStyle w:val="4"/>
                <w:rFonts w:hint="default" w:ascii="仿宋_GB2312" w:hAnsi="仿宋_GB2312" w:eastAsia="仿宋_GB2312" w:cs="仿宋_GB2312"/>
                <w:sz w:val="28"/>
                <w:szCs w:val="28"/>
              </w:rPr>
              <w:t>%</w:t>
            </w:r>
            <w:r>
              <w:rPr>
                <w:rStyle w:val="4"/>
                <w:rFonts w:hint="eastAsia" w:ascii="仿宋_GB2312" w:hAnsi="仿宋_GB2312" w:eastAsia="仿宋_GB2312" w:cs="仿宋_GB2312"/>
                <w:sz w:val="28"/>
                <w:szCs w:val="28"/>
              </w:rPr>
              <w:t>；</w:t>
            </w:r>
            <w:r>
              <w:rPr>
                <w:rStyle w:val="4"/>
                <w:rFonts w:hint="default" w:ascii="仿宋_GB2312" w:hAnsi="仿宋_GB2312" w:eastAsia="仿宋_GB2312" w:cs="仿宋_GB2312"/>
                <w:sz w:val="28"/>
                <w:szCs w:val="28"/>
              </w:rPr>
              <w:t>剩余合同总金额的3%作为质保金，待项目验收合格满1年之后无息支付。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rHeight w:val="680" w:hRule="atLeast"/>
        </w:trPr>
        <w:tc>
          <w:tcPr>
            <w:tcW w:w="2360" w:type="dxa"/>
            <w:noWrap w:val="0"/>
            <w:tcMar>
              <w:top w:w="0" w:type="dxa"/>
              <w:left w:w="108" w:type="dxa"/>
              <w:bottom w:w="0" w:type="dxa"/>
              <w:right w:w="108" w:type="dxa"/>
            </w:tcMar>
            <w:vAlign w:val="center"/>
          </w:tcPr>
          <w:p>
            <w:pPr>
              <w:pStyle w:val="5"/>
              <w:jc w:val="center"/>
              <w:rPr>
                <w:rStyle w:val="4"/>
                <w:rFonts w:hint="default" w:ascii="仿宋_GB2312" w:hAnsi="仿宋_GB2312" w:eastAsia="仿宋_GB2312" w:cs="仿宋_GB2312"/>
                <w:b/>
                <w:bCs/>
                <w:color w:val="auto"/>
                <w:sz w:val="28"/>
                <w:szCs w:val="28"/>
                <w:vertAlign w:val="baseline"/>
              </w:rPr>
            </w:pPr>
            <w:r>
              <w:rPr>
                <w:rStyle w:val="4"/>
                <w:rFonts w:hint="default" w:ascii="仿宋_GB2312" w:hAnsi="仿宋_GB2312" w:eastAsia="仿宋_GB2312" w:cs="仿宋_GB2312"/>
                <w:b/>
                <w:bCs/>
                <w:color w:val="auto"/>
                <w:sz w:val="28"/>
                <w:szCs w:val="28"/>
                <w:vertAlign w:val="baseline"/>
                <w:lang w:val="en-US" w:eastAsia="zh-CN"/>
              </w:rPr>
              <w:t>培训</w:t>
            </w:r>
          </w:p>
        </w:tc>
        <w:tc>
          <w:tcPr>
            <w:tcW w:w="6142" w:type="dxa"/>
            <w:noWrap w:val="0"/>
            <w:tcMar>
              <w:top w:w="0" w:type="dxa"/>
              <w:left w:w="108" w:type="dxa"/>
              <w:bottom w:w="0" w:type="dxa"/>
              <w:right w:w="108" w:type="dxa"/>
            </w:tcMar>
            <w:vAlign w:val="center"/>
          </w:tcPr>
          <w:p>
            <w:pPr>
              <w:pStyle w:val="5"/>
              <w:keepNext w:val="0"/>
              <w:keepLines w:val="0"/>
              <w:pageBreakBefore w:val="0"/>
              <w:widowControl w:val="0"/>
              <w:kinsoku/>
              <w:wordWrap/>
              <w:overflowPunct/>
              <w:topLinePunct w:val="0"/>
              <w:autoSpaceDE/>
              <w:autoSpaceDN/>
              <w:bidi w:val="0"/>
              <w:adjustRightInd/>
              <w:snapToGrid w:val="0"/>
              <w:jc w:val="left"/>
              <w:textAlignment w:val="auto"/>
              <w:rPr>
                <w:rStyle w:val="4"/>
                <w:rFonts w:hint="default" w:ascii="仿宋_GB2312" w:hAnsi="仿宋_GB2312" w:eastAsia="仿宋_GB2312" w:cs="仿宋_GB2312"/>
                <w:sz w:val="28"/>
                <w:szCs w:val="28"/>
              </w:rPr>
            </w:pPr>
            <w:r>
              <w:rPr>
                <w:rStyle w:val="4"/>
                <w:rFonts w:hint="eastAsia" w:ascii="仿宋_GB2312" w:hAnsi="仿宋_GB2312" w:eastAsia="仿宋_GB2312" w:cs="仿宋_GB2312"/>
                <w:sz w:val="28"/>
                <w:szCs w:val="28"/>
                <w:lang w:val="en-US" w:eastAsia="zh-CN"/>
              </w:rPr>
              <w:t>对系统操作员、相关管理人员和负责人进行1次集中培训，培训时长为6小时，培训教材由我司提供，培训场地与配套服务由甲方提供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Ex>
        <w:trPr>
          <w:trHeight w:val="680" w:hRule="atLeast"/>
        </w:trPr>
        <w:tc>
          <w:tcPr>
            <w:tcW w:w="2360" w:type="dxa"/>
            <w:noWrap w:val="0"/>
            <w:tcMar>
              <w:top w:w="0" w:type="dxa"/>
              <w:left w:w="108" w:type="dxa"/>
              <w:bottom w:w="0" w:type="dxa"/>
              <w:right w:w="108" w:type="dxa"/>
            </w:tcMar>
            <w:vAlign w:val="center"/>
          </w:tcPr>
          <w:p>
            <w:pPr>
              <w:pStyle w:val="5"/>
              <w:jc w:val="center"/>
              <w:rPr>
                <w:rStyle w:val="4"/>
                <w:rFonts w:hint="default" w:ascii="仿宋_GB2312" w:hAnsi="仿宋_GB2312" w:eastAsia="仿宋_GB2312" w:cs="仿宋_GB2312"/>
                <w:b/>
                <w:bCs/>
                <w:color w:val="auto"/>
                <w:sz w:val="28"/>
                <w:szCs w:val="28"/>
                <w:vertAlign w:val="baseline"/>
                <w:lang w:val="en-US" w:eastAsia="zh-CN"/>
              </w:rPr>
            </w:pPr>
            <w:r>
              <w:rPr>
                <w:rStyle w:val="4"/>
                <w:rFonts w:hint="eastAsia" w:ascii="仿宋_GB2312" w:hAnsi="仿宋_GB2312" w:eastAsia="仿宋_GB2312" w:cs="仿宋_GB2312"/>
                <w:b/>
                <w:bCs/>
                <w:color w:val="auto"/>
                <w:sz w:val="28"/>
                <w:szCs w:val="28"/>
                <w:vertAlign w:val="baseline"/>
                <w:lang w:val="en-US" w:eastAsia="zh-CN"/>
              </w:rPr>
              <w:t>解决争议的方式</w:t>
            </w:r>
          </w:p>
        </w:tc>
        <w:tc>
          <w:tcPr>
            <w:tcW w:w="6142" w:type="dxa"/>
            <w:noWrap w:val="0"/>
            <w:tcMar>
              <w:top w:w="0" w:type="dxa"/>
              <w:left w:w="108" w:type="dxa"/>
              <w:bottom w:w="0" w:type="dxa"/>
              <w:right w:w="108" w:type="dxa"/>
            </w:tcMar>
            <w:vAlign w:val="center"/>
          </w:tcPr>
          <w:p>
            <w:pPr>
              <w:pStyle w:val="5"/>
              <w:keepNext w:val="0"/>
              <w:keepLines w:val="0"/>
              <w:pageBreakBefore w:val="0"/>
              <w:widowControl w:val="0"/>
              <w:kinsoku/>
              <w:wordWrap/>
              <w:overflowPunct/>
              <w:topLinePunct w:val="0"/>
              <w:autoSpaceDE/>
              <w:autoSpaceDN/>
              <w:bidi w:val="0"/>
              <w:adjustRightInd/>
              <w:snapToGrid w:val="0"/>
              <w:jc w:val="center"/>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z w:val="28"/>
                <w:szCs w:val="28"/>
                <w:lang w:val="en-US" w:eastAsia="zh-CN"/>
              </w:rPr>
              <w:t>■仲裁  □诉讼</w:t>
            </w:r>
          </w:p>
        </w:tc>
      </w:tr>
    </w:tbl>
    <w:p>
      <w:pPr>
        <w:pStyle w:val="5"/>
        <w:widowControl/>
        <w:spacing w:line="360" w:lineRule="auto"/>
        <w:ind w:firstLine="600" w:firstLineChars="200"/>
        <w:jc w:val="left"/>
        <w:rPr>
          <w:rStyle w:val="4"/>
          <w:rFonts w:ascii="宋体" w:hAnsi="宋体" w:eastAsia="宋体" w:cs="宋体"/>
          <w:spacing w:val="30"/>
          <w:kern w:val="0"/>
          <w:sz w:val="24"/>
          <w:szCs w:val="24"/>
        </w:rPr>
      </w:pPr>
    </w:p>
    <w:p>
      <w:pPr>
        <w:pStyle w:val="5"/>
        <w:keepNext w:val="0"/>
        <w:keepLines w:val="0"/>
        <w:pageBreakBefore w:val="0"/>
        <w:widowControl/>
        <w:kinsoku/>
        <w:wordWrap/>
        <w:overflowPunct/>
        <w:topLinePunct w:val="0"/>
        <w:autoSpaceDE/>
        <w:autoSpaceDN/>
        <w:bidi w:val="0"/>
        <w:adjustRightInd/>
        <w:snapToGrid/>
        <w:spacing w:line="240" w:lineRule="auto"/>
        <w:jc w:val="both"/>
        <w:textAlignment w:val="auto"/>
        <w:rPr>
          <w:rStyle w:val="4"/>
          <w:rFonts w:hint="eastAsia" w:ascii="仿宋_GB2312" w:hAnsi="仿宋_GB2312" w:eastAsia="仿宋_GB2312" w:cs="仿宋_GB2312"/>
          <w:b/>
          <w:bCs/>
          <w:spacing w:val="30"/>
          <w:kern w:val="0"/>
          <w:sz w:val="28"/>
          <w:szCs w:val="28"/>
        </w:rPr>
      </w:pPr>
      <w:r>
        <w:rPr>
          <w:rStyle w:val="4"/>
          <w:rFonts w:hint="eastAsia" w:ascii="仿宋_GB2312" w:hAnsi="仿宋_GB2312" w:eastAsia="仿宋_GB2312" w:cs="仿宋_GB2312"/>
          <w:b/>
          <w:bCs/>
          <w:spacing w:val="30"/>
          <w:kern w:val="0"/>
          <w:sz w:val="28"/>
          <w:szCs w:val="28"/>
        </w:rPr>
        <w:t>二、 项目实施要求与说明</w:t>
      </w:r>
    </w:p>
    <w:p>
      <w:pPr>
        <w:pStyle w:val="5"/>
        <w:keepNext w:val="0"/>
        <w:keepLines w:val="0"/>
        <w:pageBreakBefore w:val="0"/>
        <w:widowControl w:val="0"/>
        <w:kinsoku/>
        <w:wordWrap/>
        <w:overflowPunct/>
        <w:topLinePunct w:val="0"/>
        <w:autoSpaceDE/>
        <w:autoSpaceDN/>
        <w:bidi w:val="0"/>
        <w:adjustRightInd/>
        <w:snapToGrid/>
        <w:spacing w:line="240" w:lineRule="auto"/>
        <w:ind w:left="0" w:right="0" w:firstLine="546"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b/>
          <w:bCs/>
          <w:spacing w:val="-4"/>
          <w:sz w:val="28"/>
          <w:szCs w:val="28"/>
        </w:rPr>
        <w:t>1．产品运输、保险及保管</w:t>
      </w:r>
    </w:p>
    <w:p>
      <w:pPr>
        <w:pStyle w:val="5"/>
        <w:keepNext w:val="0"/>
        <w:keepLines w:val="0"/>
        <w:pageBreakBefore w:val="0"/>
        <w:widowControl w:val="0"/>
        <w:kinsoku/>
        <w:wordWrap/>
        <w:overflowPunct/>
        <w:topLinePunct w:val="0"/>
        <w:autoSpaceDE/>
        <w:autoSpaceDN/>
        <w:bidi w:val="0"/>
        <w:adjustRightInd/>
        <w:snapToGrid/>
        <w:spacing w:line="240" w:lineRule="auto"/>
        <w:ind w:left="0" w:right="0" w:firstLine="552" w:firstLineChars="200"/>
        <w:jc w:val="both"/>
        <w:textAlignment w:val="auto"/>
        <w:rPr>
          <w:rStyle w:val="4"/>
          <w:rFonts w:hint="eastAsia" w:ascii="仿宋_GB2312" w:hAnsi="仿宋_GB2312" w:eastAsia="仿宋_GB2312" w:cs="仿宋_GB2312"/>
          <w:spacing w:val="-3"/>
          <w:sz w:val="28"/>
          <w:szCs w:val="28"/>
        </w:rPr>
      </w:pPr>
      <w:r>
        <w:rPr>
          <w:rStyle w:val="4"/>
          <w:rFonts w:hint="eastAsia" w:ascii="仿宋_GB2312" w:hAnsi="仿宋_GB2312" w:eastAsia="仿宋_GB2312" w:cs="仿宋_GB2312"/>
          <w:spacing w:val="-2"/>
          <w:sz w:val="28"/>
          <w:szCs w:val="28"/>
        </w:rPr>
        <w:t>1.1中标人负责产品到实施地点的全部运输，包括装卸及现场</w:t>
      </w:r>
      <w:r>
        <w:rPr>
          <w:rStyle w:val="4"/>
          <w:rFonts w:hint="eastAsia" w:ascii="仿宋_GB2312" w:hAnsi="仿宋_GB2312" w:eastAsia="仿宋_GB2312" w:cs="仿宋_GB2312"/>
          <w:spacing w:val="-3"/>
          <w:sz w:val="28"/>
          <w:szCs w:val="28"/>
        </w:rPr>
        <w:t>搬运等。</w:t>
      </w:r>
    </w:p>
    <w:p>
      <w:pPr>
        <w:pStyle w:val="5"/>
        <w:keepNext w:val="0"/>
        <w:keepLines w:val="0"/>
        <w:pageBreakBefore w:val="0"/>
        <w:widowControl w:val="0"/>
        <w:kinsoku/>
        <w:wordWrap/>
        <w:overflowPunct/>
        <w:topLinePunct w:val="0"/>
        <w:autoSpaceDE/>
        <w:autoSpaceDN/>
        <w:bidi w:val="0"/>
        <w:adjustRightInd/>
        <w:snapToGrid/>
        <w:spacing w:line="240" w:lineRule="auto"/>
        <w:ind w:left="0" w:right="0" w:firstLine="556"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1"/>
          <w:sz w:val="28"/>
          <w:szCs w:val="28"/>
        </w:rPr>
        <w:t>1.2中标人负责产品在实施地点的保管，直至项目验收合格。</w:t>
      </w:r>
    </w:p>
    <w:p>
      <w:pPr>
        <w:pStyle w:val="5"/>
        <w:keepNext w:val="0"/>
        <w:keepLines w:val="0"/>
        <w:pageBreakBefore w:val="0"/>
        <w:widowControl w:val="0"/>
        <w:kinsoku/>
        <w:wordWrap/>
        <w:overflowPunct/>
        <w:topLinePunct w:val="0"/>
        <w:autoSpaceDE/>
        <w:autoSpaceDN/>
        <w:bidi w:val="0"/>
        <w:adjustRightInd/>
        <w:snapToGrid/>
        <w:spacing w:line="240" w:lineRule="auto"/>
        <w:ind w:left="0" w:right="0" w:firstLine="556"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1"/>
          <w:sz w:val="28"/>
          <w:szCs w:val="28"/>
        </w:rPr>
        <w:t>1.3中标人负责其派出的项目实施人员的人身意外</w:t>
      </w:r>
      <w:r>
        <w:rPr>
          <w:rStyle w:val="4"/>
          <w:rFonts w:hint="eastAsia" w:ascii="仿宋_GB2312" w:hAnsi="仿宋_GB2312" w:eastAsia="仿宋_GB2312" w:cs="仿宋_GB2312"/>
          <w:spacing w:val="-2"/>
          <w:sz w:val="28"/>
          <w:szCs w:val="28"/>
        </w:rPr>
        <w:t>保险。</w:t>
      </w:r>
    </w:p>
    <w:p>
      <w:pPr>
        <w:pStyle w:val="5"/>
        <w:keepNext w:val="0"/>
        <w:keepLines w:val="0"/>
        <w:pageBreakBefore w:val="0"/>
        <w:widowControl w:val="0"/>
        <w:kinsoku/>
        <w:wordWrap/>
        <w:overflowPunct/>
        <w:topLinePunct w:val="0"/>
        <w:autoSpaceDE/>
        <w:autoSpaceDN/>
        <w:bidi w:val="0"/>
        <w:adjustRightInd/>
        <w:snapToGrid/>
        <w:spacing w:line="240" w:lineRule="auto"/>
        <w:ind w:left="0" w:right="0" w:firstLine="542"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b/>
          <w:bCs/>
          <w:spacing w:val="-5"/>
          <w:sz w:val="28"/>
          <w:szCs w:val="28"/>
        </w:rPr>
        <w:t>2.安装调试</w:t>
      </w:r>
    </w:p>
    <w:p>
      <w:pPr>
        <w:pStyle w:val="5"/>
        <w:keepNext w:val="0"/>
        <w:keepLines w:val="0"/>
        <w:pageBreakBefore w:val="0"/>
        <w:widowControl w:val="0"/>
        <w:kinsoku/>
        <w:wordWrap/>
        <w:overflowPunct/>
        <w:topLinePunct w:val="0"/>
        <w:autoSpaceDE/>
        <w:autoSpaceDN/>
        <w:bidi w:val="0"/>
        <w:adjustRightInd/>
        <w:snapToGrid/>
        <w:spacing w:line="240" w:lineRule="auto"/>
        <w:ind w:left="0" w:right="0" w:firstLine="568"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2"/>
          <w:sz w:val="28"/>
          <w:szCs w:val="28"/>
        </w:rPr>
        <w:t>2.1中标人须负责所有设备的安装调试，在项目实施过程中须加</w:t>
      </w:r>
      <w:r>
        <w:rPr>
          <w:rStyle w:val="4"/>
          <w:rFonts w:hint="eastAsia" w:ascii="仿宋_GB2312" w:hAnsi="仿宋_GB2312" w:eastAsia="仿宋_GB2312" w:cs="仿宋_GB2312"/>
          <w:spacing w:val="1"/>
          <w:sz w:val="28"/>
          <w:szCs w:val="28"/>
        </w:rPr>
        <w:t>强项目实施的组</w:t>
      </w:r>
      <w:r>
        <w:rPr>
          <w:rStyle w:val="4"/>
          <w:rFonts w:hint="eastAsia" w:ascii="仿宋_GB2312" w:hAnsi="仿宋_GB2312" w:eastAsia="仿宋_GB2312" w:cs="仿宋_GB2312"/>
          <w:spacing w:val="-1"/>
          <w:sz w:val="28"/>
          <w:szCs w:val="28"/>
        </w:rPr>
        <w:t>织管理，所有人员应遵守采购人有关规章制度。</w:t>
      </w:r>
    </w:p>
    <w:p>
      <w:pPr>
        <w:pStyle w:val="5"/>
        <w:keepNext w:val="0"/>
        <w:keepLines w:val="0"/>
        <w:pageBreakBefore w:val="0"/>
        <w:widowControl w:val="0"/>
        <w:kinsoku/>
        <w:wordWrap/>
        <w:overflowPunct/>
        <w:topLinePunct w:val="0"/>
        <w:autoSpaceDE/>
        <w:autoSpaceDN/>
        <w:bidi w:val="0"/>
        <w:adjustRightInd/>
        <w:snapToGrid/>
        <w:spacing w:line="240" w:lineRule="auto"/>
        <w:ind w:left="0" w:right="0" w:firstLine="564"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1"/>
          <w:sz w:val="28"/>
          <w:szCs w:val="28"/>
        </w:rPr>
        <w:t>2.2项目完成后，中标人应将项目有关的全部资料</w:t>
      </w:r>
      <w:r>
        <w:rPr>
          <w:rStyle w:val="4"/>
          <w:rFonts w:hint="eastAsia" w:ascii="仿宋_GB2312" w:hAnsi="仿宋_GB2312" w:eastAsia="仿宋_GB2312" w:cs="仿宋_GB2312"/>
          <w:sz w:val="28"/>
          <w:szCs w:val="28"/>
        </w:rPr>
        <w:t>，包括产品资料、技术文档、</w:t>
      </w:r>
      <w:r>
        <w:rPr>
          <w:rStyle w:val="4"/>
          <w:rFonts w:hint="eastAsia" w:ascii="仿宋_GB2312" w:hAnsi="仿宋_GB2312" w:eastAsia="仿宋_GB2312" w:cs="仿宋_GB2312"/>
          <w:spacing w:val="-1"/>
          <w:sz w:val="28"/>
          <w:szCs w:val="28"/>
        </w:rPr>
        <w:t>运维权限等移交采购人。</w:t>
      </w:r>
    </w:p>
    <w:p>
      <w:pPr>
        <w:pStyle w:val="5"/>
        <w:keepNext w:val="0"/>
        <w:keepLines w:val="0"/>
        <w:pageBreakBefore w:val="0"/>
        <w:widowControl/>
        <w:kinsoku/>
        <w:wordWrap/>
        <w:overflowPunct/>
        <w:topLinePunct w:val="0"/>
        <w:autoSpaceDE/>
        <w:autoSpaceDN/>
        <w:bidi w:val="0"/>
        <w:adjustRightInd/>
        <w:snapToGrid/>
        <w:spacing w:line="240" w:lineRule="auto"/>
        <w:jc w:val="both"/>
        <w:textAlignment w:val="auto"/>
        <w:rPr>
          <w:rStyle w:val="4"/>
          <w:rFonts w:hint="eastAsia" w:ascii="仿宋_GB2312" w:hAnsi="仿宋_GB2312" w:eastAsia="仿宋_GB2312" w:cs="仿宋_GB2312"/>
          <w:b/>
          <w:bCs/>
          <w:spacing w:val="30"/>
          <w:kern w:val="0"/>
          <w:sz w:val="28"/>
          <w:szCs w:val="28"/>
        </w:rPr>
      </w:pPr>
      <w:r>
        <w:rPr>
          <w:rStyle w:val="4"/>
          <w:rFonts w:hint="eastAsia" w:ascii="仿宋_GB2312" w:hAnsi="仿宋_GB2312" w:eastAsia="仿宋_GB2312" w:cs="仿宋_GB2312"/>
          <w:b/>
          <w:bCs/>
          <w:spacing w:val="30"/>
          <w:kern w:val="0"/>
          <w:sz w:val="28"/>
          <w:szCs w:val="28"/>
          <w:lang w:eastAsia="zh-CN"/>
        </w:rPr>
        <w:t>三、</w:t>
      </w:r>
      <w:r>
        <w:rPr>
          <w:rStyle w:val="4"/>
          <w:rFonts w:hint="eastAsia" w:ascii="仿宋_GB2312" w:hAnsi="仿宋_GB2312" w:eastAsia="仿宋_GB2312" w:cs="仿宋_GB2312"/>
          <w:b/>
          <w:bCs/>
          <w:spacing w:val="30"/>
          <w:kern w:val="0"/>
          <w:sz w:val="28"/>
          <w:szCs w:val="28"/>
        </w:rPr>
        <w:t>测试验收</w:t>
      </w:r>
    </w:p>
    <w:p>
      <w:pPr>
        <w:pStyle w:val="5"/>
        <w:keepNext w:val="0"/>
        <w:keepLines w:val="0"/>
        <w:pageBreakBefore w:val="0"/>
        <w:kinsoku/>
        <w:wordWrap/>
        <w:overflowPunct/>
        <w:topLinePunct w:val="0"/>
        <w:autoSpaceDE/>
        <w:autoSpaceDN/>
        <w:bidi w:val="0"/>
        <w:adjustRightInd/>
        <w:snapToGrid/>
        <w:spacing w:line="240" w:lineRule="auto"/>
        <w:ind w:left="494"/>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z w:val="28"/>
          <w:szCs w:val="28"/>
        </w:rPr>
        <w:t>3.1项目验收国家有强制性规定的，按国家</w:t>
      </w:r>
      <w:r>
        <w:rPr>
          <w:rStyle w:val="4"/>
          <w:rFonts w:hint="eastAsia" w:ascii="仿宋_GB2312" w:hAnsi="仿宋_GB2312" w:eastAsia="仿宋_GB2312" w:cs="仿宋_GB2312"/>
          <w:spacing w:val="-1"/>
          <w:sz w:val="28"/>
          <w:szCs w:val="28"/>
        </w:rPr>
        <w:t>规定执行，验收费用由中标人承担。</w:t>
      </w:r>
    </w:p>
    <w:p>
      <w:pPr>
        <w:pStyle w:val="5"/>
        <w:keepNext w:val="0"/>
        <w:keepLines w:val="0"/>
        <w:pageBreakBefore w:val="0"/>
        <w:kinsoku/>
        <w:wordWrap/>
        <w:overflowPunct/>
        <w:topLinePunct w:val="0"/>
        <w:autoSpaceDE/>
        <w:autoSpaceDN/>
        <w:bidi w:val="0"/>
        <w:adjustRightInd/>
        <w:snapToGrid/>
        <w:spacing w:line="240" w:lineRule="auto"/>
        <w:ind w:left="15" w:right="2" w:firstLine="479"/>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5"/>
          <w:sz w:val="28"/>
          <w:szCs w:val="28"/>
        </w:rPr>
        <w:t>3.2验收过程中产生纠纷的，由市场监管部门认定的检测机构检测,如为中标人</w:t>
      </w:r>
      <w:r>
        <w:rPr>
          <w:rStyle w:val="4"/>
          <w:rFonts w:hint="eastAsia" w:ascii="仿宋_GB2312" w:hAnsi="仿宋_GB2312" w:eastAsia="仿宋_GB2312" w:cs="仿宋_GB2312"/>
          <w:spacing w:val="1"/>
          <w:sz w:val="28"/>
          <w:szCs w:val="28"/>
        </w:rPr>
        <w:t xml:space="preserve"> </w:t>
      </w:r>
      <w:r>
        <w:rPr>
          <w:rStyle w:val="4"/>
          <w:rFonts w:hint="eastAsia" w:ascii="仿宋_GB2312" w:hAnsi="仿宋_GB2312" w:eastAsia="仿宋_GB2312" w:cs="仿宋_GB2312"/>
          <w:spacing w:val="-1"/>
          <w:sz w:val="28"/>
          <w:szCs w:val="28"/>
        </w:rPr>
        <w:t>原因造成的，由中标人承担检测费用；否则，由采购人承担。</w:t>
      </w:r>
    </w:p>
    <w:p>
      <w:pPr>
        <w:pStyle w:val="5"/>
        <w:keepNext w:val="0"/>
        <w:keepLines w:val="0"/>
        <w:pageBreakBefore w:val="0"/>
        <w:kinsoku/>
        <w:wordWrap/>
        <w:overflowPunct/>
        <w:topLinePunct w:val="0"/>
        <w:autoSpaceDE/>
        <w:autoSpaceDN/>
        <w:bidi w:val="0"/>
        <w:adjustRightInd/>
        <w:snapToGrid/>
        <w:spacing w:line="240" w:lineRule="auto"/>
        <w:ind w:left="8" w:firstLine="486"/>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2"/>
          <w:sz w:val="28"/>
          <w:szCs w:val="28"/>
        </w:rPr>
        <w:t>3.3项目验收不合格，由中标人返工直至合格，有关返工、</w:t>
      </w:r>
      <w:r>
        <w:rPr>
          <w:rStyle w:val="4"/>
          <w:rFonts w:hint="eastAsia" w:ascii="仿宋_GB2312" w:hAnsi="仿宋_GB2312" w:eastAsia="仿宋_GB2312" w:cs="仿宋_GB2312"/>
          <w:spacing w:val="1"/>
          <w:sz w:val="28"/>
          <w:szCs w:val="28"/>
        </w:rPr>
        <w:t>再行验收，以及给采</w:t>
      </w:r>
      <w:r>
        <w:rPr>
          <w:rStyle w:val="4"/>
          <w:rFonts w:hint="eastAsia" w:ascii="仿宋_GB2312" w:hAnsi="仿宋_GB2312" w:eastAsia="仿宋_GB2312" w:cs="仿宋_GB2312"/>
          <w:sz w:val="28"/>
          <w:szCs w:val="28"/>
        </w:rPr>
        <w:t xml:space="preserve"> </w:t>
      </w:r>
      <w:r>
        <w:rPr>
          <w:rStyle w:val="4"/>
          <w:rFonts w:hint="eastAsia" w:ascii="仿宋_GB2312" w:hAnsi="仿宋_GB2312" w:eastAsia="仿宋_GB2312" w:cs="仿宋_GB2312"/>
          <w:spacing w:val="5"/>
          <w:sz w:val="28"/>
          <w:szCs w:val="28"/>
        </w:rPr>
        <w:t>购人造成的损失等费用由中标人承担。连续两次项目验收不合格的，采购人可终止</w:t>
      </w:r>
      <w:r>
        <w:rPr>
          <w:rStyle w:val="4"/>
          <w:rFonts w:hint="eastAsia" w:ascii="仿宋_GB2312" w:hAnsi="仿宋_GB2312" w:eastAsia="仿宋_GB2312" w:cs="仿宋_GB2312"/>
          <w:spacing w:val="8"/>
          <w:sz w:val="28"/>
          <w:szCs w:val="28"/>
        </w:rPr>
        <w:t xml:space="preserve"> </w:t>
      </w:r>
      <w:r>
        <w:rPr>
          <w:rStyle w:val="4"/>
          <w:rFonts w:hint="eastAsia" w:ascii="仿宋_GB2312" w:hAnsi="仿宋_GB2312" w:eastAsia="仿宋_GB2312" w:cs="仿宋_GB2312"/>
          <w:sz w:val="28"/>
          <w:szCs w:val="28"/>
        </w:rPr>
        <w:t>合同，另行按规定选择其他供应商采购，由此带来的一切</w:t>
      </w:r>
      <w:r>
        <w:rPr>
          <w:rStyle w:val="4"/>
          <w:rFonts w:hint="eastAsia" w:ascii="仿宋_GB2312" w:hAnsi="仿宋_GB2312" w:eastAsia="仿宋_GB2312" w:cs="仿宋_GB2312"/>
          <w:spacing w:val="-1"/>
          <w:sz w:val="28"/>
          <w:szCs w:val="28"/>
        </w:rPr>
        <w:t>损失由中标人承担。</w:t>
      </w:r>
    </w:p>
    <w:p>
      <w:pPr>
        <w:pStyle w:val="5"/>
        <w:keepNext w:val="0"/>
        <w:keepLines w:val="0"/>
        <w:pageBreakBefore w:val="0"/>
        <w:widowControl/>
        <w:kinsoku/>
        <w:wordWrap/>
        <w:overflowPunct/>
        <w:topLinePunct w:val="0"/>
        <w:autoSpaceDE/>
        <w:autoSpaceDN/>
        <w:bidi w:val="0"/>
        <w:adjustRightInd/>
        <w:snapToGrid/>
        <w:spacing w:line="240" w:lineRule="auto"/>
        <w:jc w:val="both"/>
        <w:textAlignment w:val="auto"/>
        <w:rPr>
          <w:rStyle w:val="4"/>
          <w:rFonts w:hint="eastAsia" w:ascii="仿宋_GB2312" w:hAnsi="仿宋_GB2312" w:eastAsia="仿宋_GB2312" w:cs="仿宋_GB2312"/>
          <w:b/>
          <w:bCs/>
          <w:spacing w:val="30"/>
          <w:kern w:val="0"/>
          <w:sz w:val="28"/>
          <w:szCs w:val="28"/>
        </w:rPr>
      </w:pPr>
      <w:r>
        <w:rPr>
          <w:rStyle w:val="4"/>
          <w:rFonts w:hint="eastAsia" w:ascii="仿宋_GB2312" w:hAnsi="仿宋_GB2312" w:eastAsia="仿宋_GB2312" w:cs="仿宋_GB2312"/>
          <w:b/>
          <w:bCs/>
          <w:spacing w:val="30"/>
          <w:kern w:val="0"/>
          <w:sz w:val="28"/>
          <w:szCs w:val="28"/>
          <w:lang w:eastAsia="zh-CN"/>
        </w:rPr>
        <w:t>四、</w:t>
      </w:r>
      <w:r>
        <w:rPr>
          <w:rStyle w:val="4"/>
          <w:rFonts w:hint="eastAsia" w:ascii="仿宋_GB2312" w:hAnsi="仿宋_GB2312" w:eastAsia="仿宋_GB2312" w:cs="仿宋_GB2312"/>
          <w:b/>
          <w:bCs/>
          <w:spacing w:val="30"/>
          <w:kern w:val="0"/>
          <w:sz w:val="28"/>
          <w:szCs w:val="28"/>
        </w:rPr>
        <w:t>质量保证</w:t>
      </w:r>
    </w:p>
    <w:p>
      <w:pPr>
        <w:pStyle w:val="5"/>
        <w:keepNext w:val="0"/>
        <w:keepLines w:val="0"/>
        <w:pageBreakBefore w:val="0"/>
        <w:kinsoku/>
        <w:wordWrap/>
        <w:overflowPunct/>
        <w:topLinePunct w:val="0"/>
        <w:autoSpaceDE/>
        <w:autoSpaceDN/>
        <w:bidi w:val="0"/>
        <w:adjustRightInd/>
        <w:snapToGrid/>
        <w:spacing w:line="240" w:lineRule="auto"/>
        <w:ind w:left="12" w:firstLine="476"/>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2"/>
          <w:sz w:val="28"/>
          <w:szCs w:val="28"/>
        </w:rPr>
        <w:t>4.1中标人提供的产品应是原装正品，符合国家质量检测标准，具有出厂</w:t>
      </w:r>
      <w:r>
        <w:rPr>
          <w:rStyle w:val="4"/>
          <w:rFonts w:hint="eastAsia" w:ascii="仿宋_GB2312" w:hAnsi="仿宋_GB2312" w:eastAsia="仿宋_GB2312" w:cs="仿宋_GB2312"/>
          <w:spacing w:val="1"/>
          <w:sz w:val="28"/>
          <w:szCs w:val="28"/>
        </w:rPr>
        <w:t>合格证</w:t>
      </w:r>
      <w:r>
        <w:rPr>
          <w:rStyle w:val="4"/>
          <w:rFonts w:hint="eastAsia" w:ascii="仿宋_GB2312" w:hAnsi="仿宋_GB2312" w:eastAsia="仿宋_GB2312" w:cs="仿宋_GB2312"/>
          <w:sz w:val="28"/>
          <w:szCs w:val="28"/>
        </w:rPr>
        <w:t xml:space="preserve"> </w:t>
      </w:r>
      <w:r>
        <w:rPr>
          <w:rStyle w:val="4"/>
          <w:rFonts w:hint="eastAsia" w:ascii="仿宋_GB2312" w:hAnsi="仿宋_GB2312" w:eastAsia="仿宋_GB2312" w:cs="仿宋_GB2312"/>
          <w:spacing w:val="-2"/>
          <w:sz w:val="28"/>
          <w:szCs w:val="28"/>
        </w:rPr>
        <w:t>或国家鉴定合格证。</w:t>
      </w:r>
    </w:p>
    <w:p>
      <w:pPr>
        <w:pStyle w:val="5"/>
        <w:keepNext w:val="0"/>
        <w:keepLines w:val="0"/>
        <w:pageBreakBefore w:val="0"/>
        <w:kinsoku/>
        <w:wordWrap/>
        <w:overflowPunct/>
        <w:topLinePunct w:val="0"/>
        <w:autoSpaceDE/>
        <w:autoSpaceDN/>
        <w:bidi w:val="0"/>
        <w:adjustRightInd/>
        <w:snapToGrid/>
        <w:spacing w:line="240" w:lineRule="auto"/>
        <w:ind w:left="10" w:right="2" w:firstLine="478"/>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1"/>
          <w:sz w:val="28"/>
          <w:szCs w:val="28"/>
        </w:rPr>
        <w:t>4.2</w:t>
      </w:r>
      <w:r>
        <w:rPr>
          <w:rStyle w:val="4"/>
          <w:rFonts w:hint="eastAsia" w:ascii="仿宋_GB2312" w:hAnsi="仿宋_GB2312" w:eastAsia="仿宋_GB2312" w:cs="仿宋_GB2312"/>
          <w:spacing w:val="1"/>
          <w:sz w:val="28"/>
          <w:szCs w:val="28"/>
          <w:lang w:val="en-US" w:eastAsia="zh-CN"/>
        </w:rPr>
        <w:t>项目验收结束后，提供所有软硬件一年免费质保，包括系统远程维护和升级服务</w:t>
      </w:r>
      <w:r>
        <w:rPr>
          <w:rStyle w:val="4"/>
          <w:rFonts w:hint="eastAsia" w:ascii="仿宋_GB2312" w:hAnsi="仿宋_GB2312" w:eastAsia="仿宋_GB2312" w:cs="仿宋_GB2312"/>
          <w:spacing w:val="5"/>
          <w:sz w:val="28"/>
          <w:szCs w:val="28"/>
        </w:rPr>
        <w:t>。超出生产厂家正常保修范围的，中标人需向生产</w:t>
      </w:r>
      <w:r>
        <w:rPr>
          <w:rStyle w:val="4"/>
          <w:rFonts w:hint="eastAsia" w:ascii="仿宋_GB2312" w:hAnsi="仿宋_GB2312" w:eastAsia="仿宋_GB2312" w:cs="仿宋_GB2312"/>
          <w:spacing w:val="4"/>
          <w:sz w:val="28"/>
          <w:szCs w:val="28"/>
        </w:rPr>
        <w:t>厂家购买；未在投标报价表中单列其费用的，视为免费提供。</w:t>
      </w:r>
      <w:r>
        <w:rPr>
          <w:rStyle w:val="4"/>
          <w:rFonts w:hint="eastAsia" w:ascii="仿宋_GB2312" w:hAnsi="仿宋_GB2312" w:eastAsia="仿宋_GB2312" w:cs="仿宋_GB2312"/>
          <w:b/>
          <w:bCs/>
          <w:spacing w:val="4"/>
          <w:sz w:val="28"/>
          <w:szCs w:val="28"/>
        </w:rPr>
        <w:t>生产厂家质保期优于</w:t>
      </w:r>
      <w:r>
        <w:rPr>
          <w:rStyle w:val="4"/>
          <w:rFonts w:hint="eastAsia" w:ascii="仿宋_GB2312" w:hAnsi="仿宋_GB2312" w:eastAsia="仿宋_GB2312" w:cs="仿宋_GB2312"/>
          <w:b/>
          <w:bCs/>
          <w:spacing w:val="-2"/>
          <w:sz w:val="28"/>
          <w:szCs w:val="28"/>
        </w:rPr>
        <w:t>招标文件规定的，按生产厂家的质保承诺提供质保</w:t>
      </w:r>
      <w:r>
        <w:rPr>
          <w:rStyle w:val="4"/>
          <w:rFonts w:hint="eastAsia" w:ascii="仿宋_GB2312" w:hAnsi="仿宋_GB2312" w:eastAsia="仿宋_GB2312" w:cs="仿宋_GB2312"/>
          <w:b/>
          <w:bCs/>
          <w:spacing w:val="-3"/>
          <w:sz w:val="28"/>
          <w:szCs w:val="28"/>
        </w:rPr>
        <w:t>服务。</w:t>
      </w:r>
    </w:p>
    <w:p>
      <w:pPr>
        <w:pStyle w:val="5"/>
        <w:keepNext w:val="0"/>
        <w:keepLines w:val="0"/>
        <w:pageBreakBefore w:val="0"/>
        <w:widowControl/>
        <w:kinsoku/>
        <w:wordWrap/>
        <w:overflowPunct/>
        <w:topLinePunct w:val="0"/>
        <w:autoSpaceDE/>
        <w:autoSpaceDN/>
        <w:bidi w:val="0"/>
        <w:adjustRightInd/>
        <w:snapToGrid/>
        <w:spacing w:line="240" w:lineRule="auto"/>
        <w:jc w:val="both"/>
        <w:textAlignment w:val="auto"/>
        <w:rPr>
          <w:rStyle w:val="4"/>
          <w:rFonts w:hint="eastAsia" w:ascii="仿宋_GB2312" w:hAnsi="仿宋_GB2312" w:eastAsia="仿宋_GB2312" w:cs="仿宋_GB2312"/>
          <w:b/>
          <w:bCs/>
          <w:spacing w:val="30"/>
          <w:kern w:val="0"/>
          <w:sz w:val="28"/>
          <w:szCs w:val="28"/>
        </w:rPr>
      </w:pPr>
      <w:r>
        <w:rPr>
          <w:rStyle w:val="4"/>
          <w:rFonts w:hint="eastAsia" w:ascii="仿宋_GB2312" w:hAnsi="仿宋_GB2312" w:eastAsia="仿宋_GB2312" w:cs="仿宋_GB2312"/>
          <w:b/>
          <w:bCs/>
          <w:spacing w:val="30"/>
          <w:kern w:val="0"/>
          <w:sz w:val="28"/>
          <w:szCs w:val="28"/>
          <w:lang w:eastAsia="zh-CN"/>
        </w:rPr>
        <w:t>五、</w:t>
      </w:r>
      <w:r>
        <w:rPr>
          <w:rStyle w:val="4"/>
          <w:rFonts w:hint="eastAsia" w:ascii="仿宋_GB2312" w:hAnsi="仿宋_GB2312" w:eastAsia="仿宋_GB2312" w:cs="仿宋_GB2312"/>
          <w:b/>
          <w:bCs/>
          <w:spacing w:val="30"/>
          <w:kern w:val="0"/>
          <w:sz w:val="28"/>
          <w:szCs w:val="28"/>
        </w:rPr>
        <w:t>售后服务</w:t>
      </w:r>
    </w:p>
    <w:p>
      <w:pPr>
        <w:pStyle w:val="5"/>
        <w:keepNext w:val="0"/>
        <w:keepLines w:val="0"/>
        <w:pageBreakBefore w:val="0"/>
        <w:kinsoku/>
        <w:wordWrap/>
        <w:overflowPunct/>
        <w:topLinePunct w:val="0"/>
        <w:autoSpaceDE/>
        <w:autoSpaceDN/>
        <w:bidi w:val="0"/>
        <w:adjustRightInd/>
        <w:snapToGrid/>
        <w:spacing w:line="240" w:lineRule="auto"/>
        <w:ind w:left="0" w:right="0" w:firstLine="556"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1"/>
          <w:sz w:val="28"/>
          <w:szCs w:val="28"/>
        </w:rPr>
        <w:t>5.1系统维护。要求提交以下内容。</w:t>
      </w:r>
    </w:p>
    <w:p>
      <w:pPr>
        <w:pStyle w:val="5"/>
        <w:keepNext w:val="0"/>
        <w:keepLines w:val="0"/>
        <w:pageBreakBefore w:val="0"/>
        <w:kinsoku/>
        <w:wordWrap/>
        <w:overflowPunct/>
        <w:topLinePunct w:val="0"/>
        <w:autoSpaceDE/>
        <w:autoSpaceDN/>
        <w:bidi w:val="0"/>
        <w:adjustRightInd/>
        <w:snapToGrid/>
        <w:spacing w:line="240" w:lineRule="auto"/>
        <w:ind w:left="0" w:right="0" w:firstLine="544"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4"/>
          <w:sz w:val="28"/>
          <w:szCs w:val="28"/>
        </w:rPr>
        <w:t>1）定期维护计划。</w:t>
      </w:r>
    </w:p>
    <w:p>
      <w:pPr>
        <w:pStyle w:val="5"/>
        <w:keepNext w:val="0"/>
        <w:keepLines w:val="0"/>
        <w:pageBreakBefore w:val="0"/>
        <w:kinsoku/>
        <w:wordWrap/>
        <w:overflowPunct/>
        <w:topLinePunct w:val="0"/>
        <w:autoSpaceDE/>
        <w:autoSpaceDN/>
        <w:bidi w:val="0"/>
        <w:adjustRightInd/>
        <w:snapToGrid/>
        <w:spacing w:line="240" w:lineRule="auto"/>
        <w:ind w:left="0" w:right="0" w:firstLine="556"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1"/>
          <w:sz w:val="28"/>
          <w:szCs w:val="28"/>
        </w:rPr>
        <w:t>2）对采购人不定期维护要求的响应措施。</w:t>
      </w:r>
    </w:p>
    <w:p>
      <w:pPr>
        <w:pStyle w:val="5"/>
        <w:keepNext w:val="0"/>
        <w:keepLines w:val="0"/>
        <w:pageBreakBefore w:val="0"/>
        <w:kinsoku/>
        <w:wordWrap/>
        <w:overflowPunct/>
        <w:topLinePunct w:val="0"/>
        <w:autoSpaceDE/>
        <w:autoSpaceDN/>
        <w:bidi w:val="0"/>
        <w:adjustRightInd/>
        <w:snapToGrid/>
        <w:spacing w:line="240" w:lineRule="auto"/>
        <w:ind w:left="0" w:right="0" w:firstLine="544" w:firstLineChars="200"/>
        <w:jc w:val="both"/>
        <w:textAlignment w:val="auto"/>
        <w:rPr>
          <w:rStyle w:val="4"/>
          <w:rFonts w:hint="eastAsia" w:ascii="仿宋_GB2312" w:hAnsi="仿宋_GB2312" w:eastAsia="仿宋_GB2312" w:cs="仿宋_GB2312"/>
          <w:spacing w:val="-4"/>
          <w:sz w:val="28"/>
          <w:szCs w:val="28"/>
        </w:rPr>
      </w:pPr>
      <w:r>
        <w:rPr>
          <w:rStyle w:val="4"/>
          <w:rFonts w:hint="eastAsia" w:ascii="仿宋_GB2312" w:hAnsi="仿宋_GB2312" w:eastAsia="仿宋_GB2312" w:cs="仿宋_GB2312"/>
          <w:spacing w:val="-4"/>
          <w:sz w:val="28"/>
          <w:szCs w:val="28"/>
        </w:rPr>
        <w:t>3）对用户修改设计要求的响应措施。</w:t>
      </w:r>
    </w:p>
    <w:p>
      <w:pPr>
        <w:pStyle w:val="5"/>
        <w:keepNext w:val="0"/>
        <w:keepLines w:val="0"/>
        <w:pageBreakBefore w:val="0"/>
        <w:kinsoku/>
        <w:wordWrap/>
        <w:overflowPunct/>
        <w:topLinePunct w:val="0"/>
        <w:autoSpaceDE/>
        <w:autoSpaceDN/>
        <w:bidi w:val="0"/>
        <w:adjustRightInd/>
        <w:snapToGrid/>
        <w:spacing w:line="240" w:lineRule="auto"/>
        <w:ind w:left="0" w:right="0" w:firstLine="548"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3"/>
          <w:sz w:val="28"/>
          <w:szCs w:val="28"/>
        </w:rPr>
        <w:t>5.2技术支持</w:t>
      </w:r>
    </w:p>
    <w:p>
      <w:pPr>
        <w:pStyle w:val="5"/>
        <w:keepNext w:val="0"/>
        <w:keepLines w:val="0"/>
        <w:pageBreakBefore w:val="0"/>
        <w:kinsoku/>
        <w:wordWrap/>
        <w:overflowPunct/>
        <w:topLinePunct w:val="0"/>
        <w:autoSpaceDE/>
        <w:autoSpaceDN/>
        <w:bidi w:val="0"/>
        <w:adjustRightInd/>
        <w:snapToGrid/>
        <w:spacing w:line="240" w:lineRule="auto"/>
        <w:ind w:left="0" w:right="0" w:firstLine="552"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2"/>
          <w:sz w:val="28"/>
          <w:szCs w:val="28"/>
        </w:rPr>
        <w:t>1）提供 7×24 小时的技术咨询服务。</w:t>
      </w:r>
    </w:p>
    <w:p>
      <w:pPr>
        <w:pStyle w:val="5"/>
        <w:keepNext w:val="0"/>
        <w:keepLines w:val="0"/>
        <w:pageBreakBefore w:val="0"/>
        <w:kinsoku/>
        <w:wordWrap/>
        <w:overflowPunct/>
        <w:topLinePunct w:val="0"/>
        <w:autoSpaceDE/>
        <w:autoSpaceDN/>
        <w:bidi w:val="0"/>
        <w:adjustRightInd/>
        <w:snapToGrid/>
        <w:spacing w:line="240" w:lineRule="auto"/>
        <w:ind w:left="0" w:right="0" w:firstLine="548" w:firstLineChars="200"/>
        <w:jc w:val="both"/>
        <w:textAlignment w:val="auto"/>
        <w:rPr>
          <w:rStyle w:val="4"/>
          <w:rFonts w:hint="eastAsia" w:ascii="仿宋_GB2312" w:hAnsi="仿宋_GB2312" w:eastAsia="仿宋_GB2312" w:cs="仿宋_GB2312"/>
          <w:spacing w:val="-3"/>
          <w:sz w:val="28"/>
          <w:szCs w:val="28"/>
        </w:rPr>
      </w:pPr>
      <w:r>
        <w:rPr>
          <w:rStyle w:val="4"/>
          <w:rFonts w:hint="eastAsia" w:ascii="仿宋_GB2312" w:hAnsi="仿宋_GB2312" w:eastAsia="仿宋_GB2312" w:cs="仿宋_GB2312"/>
          <w:spacing w:val="-3"/>
          <w:sz w:val="28"/>
          <w:szCs w:val="28"/>
        </w:rPr>
        <w:t>2）提供符合国标标准的系统升级和升级、扩容接口。</w:t>
      </w:r>
    </w:p>
    <w:p>
      <w:pPr>
        <w:pStyle w:val="5"/>
        <w:keepNext w:val="0"/>
        <w:keepLines w:val="0"/>
        <w:pageBreakBefore w:val="0"/>
        <w:kinsoku/>
        <w:wordWrap/>
        <w:overflowPunct/>
        <w:topLinePunct w:val="0"/>
        <w:autoSpaceDE/>
        <w:autoSpaceDN/>
        <w:bidi w:val="0"/>
        <w:adjustRightInd/>
        <w:snapToGrid/>
        <w:spacing w:line="240" w:lineRule="auto"/>
        <w:ind w:left="0" w:right="0" w:firstLine="548"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3"/>
          <w:sz w:val="28"/>
          <w:szCs w:val="28"/>
        </w:rPr>
        <w:t>5.3故障响应</w:t>
      </w:r>
    </w:p>
    <w:p>
      <w:pPr>
        <w:pStyle w:val="5"/>
        <w:keepNext w:val="0"/>
        <w:keepLines w:val="0"/>
        <w:pageBreakBefore w:val="0"/>
        <w:kinsoku/>
        <w:wordWrap/>
        <w:overflowPunct/>
        <w:topLinePunct w:val="0"/>
        <w:autoSpaceDE/>
        <w:autoSpaceDN/>
        <w:bidi w:val="0"/>
        <w:adjustRightInd/>
        <w:snapToGrid/>
        <w:spacing w:line="240" w:lineRule="auto"/>
        <w:ind w:left="0" w:right="0" w:firstLine="552"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pacing w:val="-2"/>
          <w:sz w:val="28"/>
          <w:szCs w:val="28"/>
        </w:rPr>
        <w:t>1）提供 7×24 小时的故障服务受理。</w:t>
      </w:r>
      <w:r>
        <w:rPr>
          <w:rStyle w:val="4"/>
          <w:rFonts w:hint="eastAsia" w:ascii="仿宋_GB2312" w:hAnsi="仿宋_GB2312" w:eastAsia="仿宋_GB2312" w:cs="仿宋_GB2312"/>
          <w:spacing w:val="-2"/>
          <w:sz w:val="28"/>
          <w:szCs w:val="28"/>
          <w:lang w:val="en-US" w:eastAsia="zh-CN"/>
        </w:rPr>
        <w:t>对重大故障提供7×24小时的现场支援，一般故障提供5×8小时的现场支援。</w:t>
      </w:r>
    </w:p>
    <w:p>
      <w:pPr>
        <w:pStyle w:val="5"/>
        <w:keepNext w:val="0"/>
        <w:keepLines w:val="0"/>
        <w:pageBreakBefore w:val="0"/>
        <w:widowControl/>
        <w:kinsoku/>
        <w:wordWrap/>
        <w:overflowPunct/>
        <w:topLinePunct w:val="0"/>
        <w:autoSpaceDE/>
        <w:autoSpaceDN/>
        <w:bidi w:val="0"/>
        <w:adjustRightInd/>
        <w:snapToGrid/>
        <w:spacing w:line="240" w:lineRule="auto"/>
        <w:ind w:left="0" w:right="0" w:firstLine="556" w:firstLineChars="200"/>
        <w:jc w:val="both"/>
        <w:textAlignment w:val="auto"/>
        <w:rPr>
          <w:rStyle w:val="4"/>
          <w:rFonts w:hint="eastAsia" w:ascii="仿宋_GB2312" w:hAnsi="仿宋_GB2312" w:eastAsia="仿宋_GB2312" w:cs="仿宋_GB2312"/>
          <w:spacing w:val="-1"/>
          <w:sz w:val="28"/>
          <w:szCs w:val="28"/>
        </w:rPr>
      </w:pPr>
      <w:r>
        <w:rPr>
          <w:rStyle w:val="4"/>
          <w:rFonts w:hint="eastAsia" w:ascii="仿宋_GB2312" w:hAnsi="仿宋_GB2312" w:eastAsia="仿宋_GB2312" w:cs="仿宋_GB2312"/>
          <w:spacing w:val="-1"/>
          <w:sz w:val="28"/>
          <w:szCs w:val="28"/>
        </w:rPr>
        <w:t>2）备件服务：遇到重大故障，提供系统所需更换的任何备件。</w:t>
      </w:r>
    </w:p>
    <w:p>
      <w:pPr>
        <w:pStyle w:val="5"/>
        <w:keepNext w:val="0"/>
        <w:keepLines w:val="0"/>
        <w:pageBreakBefore w:val="0"/>
        <w:kinsoku/>
        <w:wordWrap/>
        <w:overflowPunct/>
        <w:topLinePunct w:val="0"/>
        <w:autoSpaceDE/>
        <w:autoSpaceDN/>
        <w:bidi w:val="0"/>
        <w:adjustRightInd/>
        <w:snapToGrid/>
        <w:spacing w:line="240" w:lineRule="auto"/>
        <w:ind w:left="0" w:right="0" w:firstLine="560" w:firstLineChars="200"/>
        <w:jc w:val="both"/>
        <w:textAlignment w:val="auto"/>
        <w:rPr>
          <w:rStyle w:val="4"/>
          <w:rFonts w:hint="eastAsia" w:ascii="仿宋_GB2312" w:hAnsi="仿宋_GB2312" w:eastAsia="仿宋_GB2312" w:cs="仿宋_GB2312"/>
          <w:sz w:val="28"/>
          <w:szCs w:val="28"/>
        </w:rPr>
      </w:pPr>
      <w:r>
        <w:rPr>
          <w:rStyle w:val="4"/>
          <w:rFonts w:hint="eastAsia" w:ascii="仿宋_GB2312" w:hAnsi="仿宋_GB2312" w:eastAsia="仿宋_GB2312" w:cs="仿宋_GB2312"/>
          <w:sz w:val="28"/>
          <w:szCs w:val="28"/>
        </w:rPr>
        <w:t>5.4质保期内出现任何质量问题（人为破坏或自然灾害等不可抗力除外</w:t>
      </w:r>
      <w:r>
        <w:rPr>
          <w:rStyle w:val="4"/>
          <w:rFonts w:hint="eastAsia" w:ascii="仿宋_GB2312" w:hAnsi="仿宋_GB2312" w:eastAsia="仿宋_GB2312" w:cs="仿宋_GB2312"/>
          <w:spacing w:val="31"/>
          <w:sz w:val="28"/>
          <w:szCs w:val="28"/>
        </w:rPr>
        <w:t>），</w:t>
      </w:r>
      <w:r>
        <w:rPr>
          <w:rStyle w:val="4"/>
          <w:rFonts w:hint="eastAsia" w:ascii="仿宋_GB2312" w:hAnsi="仿宋_GB2312" w:eastAsia="仿宋_GB2312" w:cs="仿宋_GB2312"/>
          <w:sz w:val="28"/>
          <w:szCs w:val="28"/>
        </w:rPr>
        <w:t>由中</w:t>
      </w:r>
      <w:bookmarkStart w:id="0" w:name="bookmark30"/>
      <w:bookmarkEnd w:id="0"/>
      <w:r>
        <w:rPr>
          <w:rStyle w:val="4"/>
          <w:rFonts w:hint="eastAsia" w:ascii="仿宋_GB2312" w:hAnsi="仿宋_GB2312" w:eastAsia="仿宋_GB2312" w:cs="仿宋_GB2312"/>
          <w:sz w:val="28"/>
          <w:szCs w:val="28"/>
        </w:rPr>
        <w:t>标人负责全免费（免全部工时费、材料费、管理费</w:t>
      </w:r>
      <w:r>
        <w:rPr>
          <w:rStyle w:val="4"/>
          <w:rFonts w:hint="eastAsia" w:ascii="仿宋_GB2312" w:hAnsi="仿宋_GB2312" w:eastAsia="仿宋_GB2312" w:cs="仿宋_GB2312"/>
          <w:spacing w:val="-1"/>
          <w:sz w:val="28"/>
          <w:szCs w:val="28"/>
        </w:rPr>
        <w:t>、财务费等）更换或维修。</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692396"/>
    <w:rsid w:val="286923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spacing w:before="50" w:beforeLines="50" w:after="50" w:afterLines="50" w:line="360" w:lineRule="auto"/>
      <w:jc w:val="center"/>
      <w:outlineLvl w:val="0"/>
    </w:pPr>
    <w:rPr>
      <w:rFonts w:ascii="黑体" w:hAnsi="黑体" w:eastAsia="黑体" w:cs="黑体"/>
      <w:b/>
      <w:bCs/>
      <w:kern w:val="32"/>
      <w:sz w:val="36"/>
      <w:szCs w:val="48"/>
    </w:rPr>
  </w:style>
  <w:style w:type="character" w:default="1" w:styleId="4">
    <w:name w:val="Default Paragraph Font"/>
    <w:semiHidden/>
    <w:qFormat/>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5">
    <w:name w:val="正文_21"/>
    <w:next w:val="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
    <w:name w:val="正文首行缩进 2_0"/>
    <w:basedOn w:val="7"/>
    <w:next w:val="9"/>
    <w:qFormat/>
    <w:uiPriority w:val="0"/>
    <w:pPr>
      <w:ind w:firstLine="420" w:firstLineChars="200"/>
    </w:pPr>
  </w:style>
  <w:style w:type="paragraph" w:customStyle="1" w:styleId="7">
    <w:name w:val="正文文本缩进_0"/>
    <w:basedOn w:val="5"/>
    <w:next w:val="8"/>
    <w:qFormat/>
    <w:uiPriority w:val="0"/>
    <w:pPr>
      <w:ind w:left="420" w:leftChars="200"/>
    </w:pPr>
  </w:style>
  <w:style w:type="paragraph" w:customStyle="1" w:styleId="8">
    <w:name w:val="font5"/>
    <w:basedOn w:val="5"/>
    <w:qFormat/>
    <w:uiPriority w:val="0"/>
    <w:pPr>
      <w:widowControl/>
      <w:spacing w:before="100" w:beforeAutospacing="1" w:after="100" w:afterAutospacing="1"/>
      <w:jc w:val="left"/>
    </w:pPr>
    <w:rPr>
      <w:rFonts w:hint="eastAsia" w:ascii="宋体" w:hAnsi="宋体"/>
      <w:kern w:val="0"/>
      <w:sz w:val="24"/>
      <w:szCs w:val="20"/>
    </w:rPr>
  </w:style>
  <w:style w:type="paragraph" w:customStyle="1" w:styleId="9">
    <w:name w:val="正文缩进_0"/>
    <w:basedOn w:val="5"/>
    <w:next w:val="10"/>
    <w:qFormat/>
    <w:uiPriority w:val="0"/>
    <w:pPr>
      <w:widowControl/>
      <w:ind w:firstLine="420"/>
      <w:jc w:val="left"/>
    </w:pPr>
    <w:rPr>
      <w:kern w:val="0"/>
      <w:sz w:val="20"/>
      <w:szCs w:val="20"/>
    </w:rPr>
  </w:style>
  <w:style w:type="paragraph" w:customStyle="1" w:styleId="10">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11">
    <w:name w:val="正文_2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2">
    <w:name w:val="font11"/>
    <w:basedOn w:val="4"/>
    <w:qFormat/>
    <w:uiPriority w:val="0"/>
    <w:rPr>
      <w:rFonts w:hint="eastAsia" w:ascii="宋体" w:hAnsi="宋体" w:eastAsia="宋体" w:cs="宋体"/>
      <w:b/>
      <w:bCs/>
      <w:color w:val="000000"/>
      <w:sz w:val="24"/>
      <w:szCs w:val="24"/>
      <w:u w:val="none"/>
    </w:rPr>
  </w:style>
  <w:style w:type="character" w:customStyle="1" w:styleId="13">
    <w:name w:val="font01"/>
    <w:basedOn w:val="4"/>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潮州市直及下属单位</Company>
  <Pages>1</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2025-05-12T07:15:00Z</dcterms:created>
  <dc:creator>Administrator</dc:creator>
  <cp:lastModifiedBy>Administrator</cp:lastModifiedBy>
  <dcterms:modified xsi:type="dcterms:W3CDTF">2025-05-12T07:16:51Z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