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600" w:lineRule="exact"/>
        <w:jc w:val="center"/>
        <w:outlineLvl w:val="0"/>
        <w:rPr>
          <w:rFonts w:hint="eastAsia" w:ascii="宋体" w:hAnsi="宋体" w:cs="宋体"/>
          <w:color w:val="auto"/>
          <w:sz w:val="52"/>
          <w:highlight w:val="none"/>
        </w:rPr>
      </w:pPr>
    </w:p>
    <w:p>
      <w:pPr>
        <w:spacing w:line="1600" w:lineRule="exact"/>
        <w:jc w:val="center"/>
        <w:outlineLvl w:val="0"/>
        <w:rPr>
          <w:rFonts w:hint="eastAsia" w:ascii="宋体" w:hAnsi="宋体" w:cs="宋体"/>
          <w:b/>
          <w:color w:val="auto"/>
          <w:sz w:val="100"/>
          <w:highlight w:val="none"/>
        </w:rPr>
      </w:pPr>
      <w:r>
        <w:rPr>
          <w:rFonts w:hint="eastAsia" w:ascii="宋体" w:hAnsi="宋体" w:cs="宋体"/>
          <w:b/>
          <w:color w:val="auto"/>
          <w:sz w:val="100"/>
          <w:highlight w:val="none"/>
        </w:rPr>
        <w:t>政府采购</w:t>
      </w:r>
    </w:p>
    <w:p>
      <w:pPr>
        <w:spacing w:line="1600" w:lineRule="exact"/>
        <w:jc w:val="center"/>
        <w:outlineLvl w:val="0"/>
        <w:rPr>
          <w:rFonts w:hint="eastAsia" w:ascii="宋体" w:hAnsi="宋体" w:cs="宋体"/>
          <w:b/>
          <w:color w:val="auto"/>
          <w:sz w:val="130"/>
          <w:szCs w:val="130"/>
          <w:highlight w:val="none"/>
        </w:rPr>
      </w:pPr>
      <w:r>
        <w:rPr>
          <w:rFonts w:hint="eastAsia" w:ascii="宋体" w:hAnsi="宋体" w:cs="宋体"/>
          <w:b/>
          <w:color w:val="auto"/>
          <w:sz w:val="130"/>
          <w:szCs w:val="130"/>
          <w:highlight w:val="none"/>
        </w:rPr>
        <w:t>招 标 文 件</w:t>
      </w:r>
    </w:p>
    <w:p>
      <w:pPr>
        <w:pStyle w:val="23"/>
        <w:spacing w:line="500" w:lineRule="exact"/>
        <w:ind w:left="0"/>
        <w:jc w:val="center"/>
        <w:rPr>
          <w:rFonts w:hint="eastAsia" w:ascii="宋体" w:hAnsi="宋体" w:cs="宋体"/>
          <w:b/>
          <w:color w:val="auto"/>
          <w:sz w:val="32"/>
          <w:highlight w:val="none"/>
        </w:rPr>
      </w:pPr>
    </w:p>
    <w:p>
      <w:pPr>
        <w:pStyle w:val="23"/>
        <w:spacing w:line="500" w:lineRule="exact"/>
        <w:ind w:left="0"/>
        <w:jc w:val="center"/>
        <w:rPr>
          <w:rFonts w:hint="eastAsia" w:ascii="宋体" w:hAnsi="宋体" w:cs="宋体"/>
          <w:b/>
          <w:color w:val="auto"/>
          <w:sz w:val="32"/>
          <w:highlight w:val="none"/>
        </w:rPr>
      </w:pPr>
    </w:p>
    <w:p>
      <w:pPr>
        <w:pStyle w:val="23"/>
        <w:spacing w:line="500" w:lineRule="exact"/>
        <w:ind w:left="0"/>
        <w:jc w:val="center"/>
        <w:rPr>
          <w:rFonts w:hint="eastAsia" w:ascii="宋体" w:hAnsi="宋体" w:cs="宋体"/>
          <w:b/>
          <w:color w:val="auto"/>
          <w:sz w:val="32"/>
          <w:highlight w:val="none"/>
        </w:rPr>
      </w:pPr>
    </w:p>
    <w:p>
      <w:pPr>
        <w:pStyle w:val="23"/>
        <w:spacing w:line="500" w:lineRule="exact"/>
        <w:ind w:left="0"/>
        <w:jc w:val="center"/>
        <w:rPr>
          <w:rFonts w:hint="eastAsia" w:ascii="宋体" w:hAnsi="宋体" w:cs="宋体"/>
          <w:b/>
          <w:color w:val="auto"/>
          <w:sz w:val="32"/>
          <w:highlight w:val="none"/>
        </w:rPr>
      </w:pPr>
    </w:p>
    <w:p>
      <w:pPr>
        <w:pStyle w:val="23"/>
        <w:spacing w:line="500" w:lineRule="exact"/>
        <w:ind w:left="0"/>
        <w:jc w:val="center"/>
        <w:rPr>
          <w:rFonts w:hint="eastAsia" w:ascii="宋体" w:hAnsi="宋体" w:cs="宋体"/>
          <w:b/>
          <w:color w:val="auto"/>
          <w:sz w:val="32"/>
          <w:highlight w:val="none"/>
        </w:rPr>
      </w:pPr>
    </w:p>
    <w:p>
      <w:pPr>
        <w:spacing w:line="500" w:lineRule="exact"/>
        <w:ind w:firstLine="2168" w:firstLineChars="600"/>
        <w:jc w:val="both"/>
        <w:outlineLvl w:val="0"/>
        <w:rPr>
          <w:rFonts w:hint="eastAsia" w:ascii="宋体" w:hAnsi="宋体" w:cs="宋体"/>
          <w:b/>
          <w:color w:val="auto"/>
          <w:sz w:val="36"/>
          <w:highlight w:val="none"/>
          <w:lang w:val="en-US" w:eastAsia="zh-CN"/>
        </w:rPr>
      </w:pPr>
      <w:r>
        <w:rPr>
          <w:rFonts w:hint="eastAsia" w:ascii="宋体" w:hAnsi="宋体" w:cs="宋体"/>
          <w:b/>
          <w:color w:val="auto"/>
          <w:sz w:val="36"/>
          <w:highlight w:val="none"/>
        </w:rPr>
        <w:t>项目计划编号：WLQ</w:t>
      </w:r>
      <w:r>
        <w:rPr>
          <w:rFonts w:hint="eastAsia" w:ascii="宋体" w:hAnsi="宋体" w:eastAsia="宋体" w:cs="宋体"/>
          <w:b/>
          <w:color w:val="auto"/>
          <w:sz w:val="36"/>
          <w:highlight w:val="none"/>
          <w:lang w:val="en-US" w:eastAsia="zh-CN"/>
        </w:rPr>
        <w:t>25A</w:t>
      </w:r>
      <w:r>
        <w:rPr>
          <w:rFonts w:hint="eastAsia" w:ascii="宋体" w:hAnsi="宋体" w:cs="宋体"/>
          <w:b/>
          <w:color w:val="auto"/>
          <w:sz w:val="36"/>
          <w:highlight w:val="none"/>
        </w:rPr>
        <w:t>00</w:t>
      </w:r>
      <w:r>
        <w:rPr>
          <w:rFonts w:hint="eastAsia" w:ascii="宋体" w:hAnsi="宋体" w:cs="宋体"/>
          <w:b/>
          <w:color w:val="auto"/>
          <w:sz w:val="36"/>
          <w:highlight w:val="none"/>
          <w:lang w:val="en-US" w:eastAsia="zh-CN"/>
        </w:rPr>
        <w:t>4</w:t>
      </w:r>
      <w:r>
        <w:rPr>
          <w:rFonts w:hint="eastAsia" w:ascii="宋体" w:hAnsi="宋体" w:cs="宋体"/>
          <w:b/>
          <w:color w:val="auto"/>
          <w:sz w:val="36"/>
          <w:highlight w:val="none"/>
          <w:lang w:val="en-US" w:eastAsia="zh-CN"/>
        </w:rPr>
        <w:t>19</w:t>
      </w:r>
    </w:p>
    <w:p>
      <w:pPr>
        <w:spacing w:line="500" w:lineRule="exact"/>
        <w:ind w:firstLine="2168" w:firstLineChars="600"/>
        <w:jc w:val="both"/>
        <w:outlineLvl w:val="0"/>
        <w:rPr>
          <w:rFonts w:hint="eastAsia" w:ascii="宋体" w:hAnsi="宋体" w:cs="宋体"/>
          <w:b/>
          <w:color w:val="auto"/>
          <w:sz w:val="36"/>
          <w:highlight w:val="none"/>
        </w:rPr>
      </w:pPr>
      <w:r>
        <w:rPr>
          <w:rFonts w:hint="eastAsia" w:ascii="宋体" w:hAnsi="宋体" w:cs="宋体"/>
          <w:b/>
          <w:color w:val="auto"/>
          <w:sz w:val="36"/>
          <w:highlight w:val="none"/>
          <w:lang w:eastAsia="zh-CN"/>
        </w:rPr>
        <w:t>采购执行</w:t>
      </w:r>
      <w:r>
        <w:rPr>
          <w:rFonts w:hint="eastAsia" w:ascii="宋体" w:hAnsi="宋体" w:cs="宋体"/>
          <w:b/>
          <w:color w:val="auto"/>
          <w:sz w:val="36"/>
          <w:highlight w:val="none"/>
        </w:rPr>
        <w:t>编号：武教技服</w:t>
      </w:r>
      <w:r>
        <w:rPr>
          <w:rFonts w:hint="eastAsia" w:ascii="宋体" w:hAnsi="宋体" w:cs="宋体"/>
          <w:b/>
          <w:color w:val="auto"/>
          <w:sz w:val="36"/>
          <w:highlight w:val="none"/>
          <w:lang w:eastAsia="zh-CN"/>
        </w:rPr>
        <w:t>〔2025〕10号</w:t>
      </w:r>
    </w:p>
    <w:p>
      <w:pPr>
        <w:spacing w:line="500" w:lineRule="exact"/>
        <w:ind w:left="4680" w:leftChars="768" w:hanging="2530" w:hangingChars="700"/>
        <w:jc w:val="left"/>
        <w:outlineLvl w:val="0"/>
        <w:rPr>
          <w:rFonts w:hint="eastAsia" w:ascii="宋体" w:hAnsi="宋体" w:cs="宋体"/>
          <w:b/>
          <w:color w:val="auto"/>
          <w:sz w:val="36"/>
          <w:highlight w:val="none"/>
        </w:rPr>
      </w:pPr>
      <w:r>
        <w:rPr>
          <w:rFonts w:hint="eastAsia" w:ascii="宋体" w:hAnsi="宋体" w:cs="宋体"/>
          <w:b/>
          <w:color w:val="auto"/>
          <w:sz w:val="36"/>
          <w:highlight w:val="none"/>
        </w:rPr>
        <w:t>招标项目名称：武隆区教委202</w:t>
      </w:r>
      <w:r>
        <w:rPr>
          <w:rFonts w:hint="eastAsia" w:ascii="宋体" w:hAnsi="宋体" w:cs="宋体"/>
          <w:b/>
          <w:color w:val="auto"/>
          <w:sz w:val="36"/>
          <w:highlight w:val="none"/>
          <w:lang w:val="en-US" w:eastAsia="zh-CN"/>
        </w:rPr>
        <w:t>5</w:t>
      </w:r>
      <w:r>
        <w:rPr>
          <w:rFonts w:hint="eastAsia" w:ascii="宋体" w:hAnsi="宋体" w:cs="宋体"/>
          <w:b/>
          <w:color w:val="auto"/>
          <w:sz w:val="36"/>
          <w:highlight w:val="none"/>
        </w:rPr>
        <w:t>年</w:t>
      </w:r>
      <w:r>
        <w:rPr>
          <w:rFonts w:hint="eastAsia" w:ascii="宋体" w:hAnsi="宋体" w:cs="宋体"/>
          <w:b/>
          <w:color w:val="auto"/>
          <w:sz w:val="36"/>
          <w:highlight w:val="none"/>
          <w:lang w:eastAsia="zh-CN"/>
        </w:rPr>
        <w:t>午休课桌椅</w:t>
      </w:r>
      <w:r>
        <w:rPr>
          <w:rFonts w:hint="eastAsia" w:ascii="宋体" w:hAnsi="宋体" w:cs="宋体"/>
          <w:b/>
          <w:color w:val="auto"/>
          <w:sz w:val="36"/>
          <w:highlight w:val="none"/>
        </w:rPr>
        <w:t>采购项目</w:t>
      </w:r>
    </w:p>
    <w:p>
      <w:pPr>
        <w:pStyle w:val="23"/>
        <w:spacing w:line="500" w:lineRule="exact"/>
        <w:ind w:left="0"/>
        <w:jc w:val="center"/>
        <w:rPr>
          <w:rFonts w:hint="eastAsia" w:ascii="宋体" w:hAnsi="宋体" w:cs="宋体"/>
          <w:b/>
          <w:color w:val="auto"/>
          <w:sz w:val="32"/>
          <w:highlight w:val="none"/>
        </w:rPr>
      </w:pPr>
    </w:p>
    <w:p>
      <w:pPr>
        <w:pStyle w:val="23"/>
        <w:spacing w:line="500" w:lineRule="exact"/>
        <w:ind w:left="0"/>
        <w:jc w:val="center"/>
        <w:rPr>
          <w:rFonts w:hint="eastAsia" w:ascii="宋体" w:hAnsi="宋体" w:cs="宋体"/>
          <w:b/>
          <w:color w:val="auto"/>
          <w:sz w:val="32"/>
          <w:highlight w:val="none"/>
        </w:rPr>
      </w:pPr>
    </w:p>
    <w:p>
      <w:pPr>
        <w:pStyle w:val="23"/>
        <w:spacing w:line="500" w:lineRule="exact"/>
        <w:ind w:left="0"/>
        <w:jc w:val="center"/>
        <w:rPr>
          <w:rFonts w:hint="eastAsia" w:ascii="宋体" w:hAnsi="宋体" w:cs="宋体"/>
          <w:b/>
          <w:color w:val="auto"/>
          <w:sz w:val="32"/>
          <w:highlight w:val="none"/>
        </w:rPr>
      </w:pPr>
    </w:p>
    <w:p>
      <w:pPr>
        <w:pStyle w:val="23"/>
        <w:spacing w:line="500" w:lineRule="exact"/>
        <w:ind w:left="0"/>
        <w:jc w:val="center"/>
        <w:rPr>
          <w:rFonts w:hint="eastAsia" w:ascii="宋体" w:hAnsi="宋体" w:cs="宋体"/>
          <w:b/>
          <w:color w:val="auto"/>
          <w:sz w:val="32"/>
          <w:highlight w:val="none"/>
        </w:rPr>
      </w:pPr>
    </w:p>
    <w:p>
      <w:pPr>
        <w:spacing w:line="500" w:lineRule="exact"/>
        <w:jc w:val="center"/>
        <w:rPr>
          <w:rFonts w:hint="eastAsia" w:ascii="宋体" w:hAnsi="宋体" w:cs="宋体"/>
          <w:b/>
          <w:color w:val="auto"/>
          <w:sz w:val="32"/>
          <w:highlight w:val="none"/>
        </w:rPr>
      </w:pPr>
    </w:p>
    <w:p>
      <w:pPr>
        <w:spacing w:line="500" w:lineRule="exact"/>
        <w:jc w:val="center"/>
        <w:rPr>
          <w:rFonts w:hint="eastAsia" w:ascii="宋体" w:hAnsi="宋体" w:cs="宋体"/>
          <w:b/>
          <w:color w:val="auto"/>
          <w:sz w:val="32"/>
          <w:highlight w:val="none"/>
        </w:rPr>
      </w:pPr>
    </w:p>
    <w:p>
      <w:pPr>
        <w:spacing w:line="500" w:lineRule="exact"/>
        <w:jc w:val="center"/>
        <w:rPr>
          <w:rFonts w:hint="eastAsia" w:ascii="宋体" w:hAnsi="宋体" w:cs="宋体"/>
          <w:b/>
          <w:color w:val="auto"/>
          <w:sz w:val="32"/>
          <w:highlight w:val="none"/>
        </w:rPr>
      </w:pPr>
    </w:p>
    <w:p>
      <w:pPr>
        <w:spacing w:line="500" w:lineRule="exact"/>
        <w:ind w:firstLine="1626" w:firstLineChars="450"/>
        <w:jc w:val="center"/>
        <w:outlineLvl w:val="0"/>
        <w:rPr>
          <w:rFonts w:hint="eastAsia" w:ascii="宋体" w:hAnsi="宋体" w:cs="宋体"/>
          <w:b/>
          <w:color w:val="auto"/>
          <w:sz w:val="36"/>
          <w:highlight w:val="none"/>
        </w:rPr>
      </w:pPr>
      <w:r>
        <w:rPr>
          <w:rFonts w:hint="eastAsia" w:ascii="宋体" w:hAnsi="宋体" w:cs="宋体"/>
          <w:b/>
          <w:color w:val="auto"/>
          <w:sz w:val="36"/>
          <w:highlight w:val="none"/>
        </w:rPr>
        <w:t>采购人：重庆市武隆区教育委员会</w:t>
      </w:r>
    </w:p>
    <w:p>
      <w:pPr>
        <w:spacing w:line="500" w:lineRule="exact"/>
        <w:ind w:firstLine="1626" w:firstLineChars="450"/>
        <w:jc w:val="both"/>
        <w:outlineLvl w:val="0"/>
        <w:rPr>
          <w:rFonts w:hint="eastAsia" w:ascii="宋体" w:hAnsi="宋体" w:cs="宋体"/>
          <w:b/>
          <w:color w:val="auto"/>
          <w:sz w:val="36"/>
          <w:highlight w:val="none"/>
        </w:rPr>
      </w:pPr>
      <w:r>
        <w:rPr>
          <w:rFonts w:hint="eastAsia" w:ascii="宋体" w:hAnsi="宋体" w:cs="宋体"/>
          <w:b/>
          <w:color w:val="auto"/>
          <w:sz w:val="36"/>
          <w:highlight w:val="none"/>
        </w:rPr>
        <w:t>采购代理机构：重庆市武隆区教育技术与服务中心</w:t>
      </w:r>
    </w:p>
    <w:p>
      <w:pPr>
        <w:snapToGrid w:val="0"/>
        <w:spacing w:line="500" w:lineRule="exact"/>
        <w:jc w:val="both"/>
        <w:rPr>
          <w:rFonts w:hint="eastAsia" w:ascii="宋体" w:hAnsi="宋体" w:cs="宋体"/>
          <w:b/>
          <w:color w:val="auto"/>
          <w:sz w:val="36"/>
          <w:highlight w:val="none"/>
        </w:rPr>
      </w:pPr>
    </w:p>
    <w:p>
      <w:pPr>
        <w:snapToGrid w:val="0"/>
        <w:spacing w:line="500" w:lineRule="exact"/>
        <w:jc w:val="center"/>
        <w:rPr>
          <w:rFonts w:hint="eastAsia" w:ascii="宋体" w:hAnsi="宋体" w:cs="宋体"/>
          <w:color w:val="auto"/>
          <w:sz w:val="44"/>
          <w:highlight w:val="none"/>
        </w:rPr>
      </w:pPr>
      <w:r>
        <w:rPr>
          <w:rFonts w:hint="eastAsia" w:ascii="宋体" w:hAnsi="宋体" w:cs="宋体"/>
          <w:b/>
          <w:color w:val="auto"/>
          <w:sz w:val="44"/>
          <w:highlight w:val="none"/>
          <w:lang w:eastAsia="zh-CN"/>
        </w:rPr>
        <w:t>二〇二五</w:t>
      </w:r>
      <w:r>
        <w:rPr>
          <w:rFonts w:hint="eastAsia" w:ascii="宋体" w:hAnsi="宋体" w:cs="宋体"/>
          <w:b/>
          <w:color w:val="auto"/>
          <w:sz w:val="44"/>
          <w:highlight w:val="none"/>
        </w:rPr>
        <w:t>年</w:t>
      </w:r>
      <w:r>
        <w:rPr>
          <w:rFonts w:hint="eastAsia" w:ascii="宋体" w:hAnsi="宋体" w:cs="宋体"/>
          <w:b/>
          <w:color w:val="auto"/>
          <w:sz w:val="44"/>
          <w:highlight w:val="none"/>
          <w:lang w:eastAsia="zh-CN"/>
        </w:rPr>
        <w:t>七</w:t>
      </w:r>
      <w:r>
        <w:rPr>
          <w:rFonts w:hint="eastAsia" w:ascii="宋体" w:hAnsi="宋体" w:cs="宋体"/>
          <w:b/>
          <w:color w:val="auto"/>
          <w:sz w:val="44"/>
          <w:highlight w:val="none"/>
        </w:rPr>
        <w:t>月</w:t>
      </w:r>
    </w:p>
    <w:p>
      <w:pPr>
        <w:snapToGrid w:val="0"/>
        <w:spacing w:line="500" w:lineRule="exact"/>
        <w:jc w:val="center"/>
        <w:rPr>
          <w:rFonts w:hint="eastAsia" w:ascii="宋体" w:hAnsi="宋体" w:cs="宋体"/>
          <w:color w:val="auto"/>
          <w:sz w:val="44"/>
          <w:highlight w:val="none"/>
        </w:rPr>
        <w:sectPr>
          <w:headerReference r:id="rId4" w:type="first"/>
          <w:headerReference r:id="rId3" w:type="default"/>
          <w:footerReference r:id="rId5" w:type="default"/>
          <w:footerReference r:id="rId6" w:type="even"/>
          <w:pgSz w:w="11907" w:h="16840"/>
          <w:pgMar w:top="1134" w:right="1191" w:bottom="1134" w:left="1304" w:header="964" w:footer="992" w:gutter="0"/>
          <w:pgNumType w:start="1"/>
          <w:cols w:space="720" w:num="1"/>
          <w:titlePg/>
          <w:docGrid w:linePitch="312" w:charSpace="0"/>
        </w:sect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pPr>
    </w:p>
    <w:p>
      <w:pPr>
        <w:snapToGrid w:val="0"/>
        <w:spacing w:line="500" w:lineRule="exact"/>
        <w:jc w:val="center"/>
        <w:rPr>
          <w:rFonts w:hint="eastAsia" w:ascii="方正仿宋_GBK" w:eastAsia="方正仿宋_GBK"/>
          <w:color w:val="auto"/>
          <w:sz w:val="44"/>
          <w:highlight w:val="none"/>
        </w:rPr>
        <w:sectPr>
          <w:footerReference r:id="rId7" w:type="default"/>
          <w:pgSz w:w="11907" w:h="16840"/>
          <w:pgMar w:top="1134" w:right="1191" w:bottom="1134" w:left="1304" w:header="964" w:footer="992" w:gutter="0"/>
          <w:pgNumType w:fmt="numberInDash" w:start="1"/>
          <w:cols w:space="720" w:num="1"/>
          <w:docGrid w:linePitch="312" w:charSpace="0"/>
        </w:sectPr>
      </w:pPr>
    </w:p>
    <w:p>
      <w:pPr>
        <w:snapToGrid w:val="0"/>
        <w:spacing w:line="500" w:lineRule="exact"/>
        <w:jc w:val="center"/>
        <w:rPr>
          <w:rFonts w:hint="eastAsia" w:ascii="方正仿宋_GBK" w:eastAsia="方正仿宋_GBK"/>
          <w:b/>
          <w:bCs/>
          <w:color w:val="auto"/>
          <w:sz w:val="44"/>
          <w:highlight w:val="none"/>
        </w:rPr>
      </w:pPr>
      <w:r>
        <w:rPr>
          <w:rFonts w:hint="eastAsia" w:ascii="方正仿宋_GBK" w:eastAsia="方正仿宋_GBK"/>
          <w:b/>
          <w:bCs/>
          <w:color w:val="auto"/>
          <w:sz w:val="44"/>
          <w:highlight w:val="none"/>
        </w:rPr>
        <w:t>目  录</w:t>
      </w:r>
    </w:p>
    <w:p>
      <w:pPr>
        <w:pStyle w:val="40"/>
        <w:tabs>
          <w:tab w:val="right" w:leader="dot" w:pos="9412"/>
          <w:tab w:val="clear" w:pos="1260"/>
          <w:tab w:val="clear" w:pos="1685"/>
          <w:tab w:val="clear" w:pos="8400"/>
        </w:tabs>
      </w:pPr>
      <w:r>
        <w:rPr>
          <w:rFonts w:hint="eastAsia" w:ascii="方正仿宋_GBK" w:hAnsi="宋体" w:eastAsia="方正仿宋_GBK"/>
          <w:color w:val="auto"/>
          <w:sz w:val="21"/>
          <w:szCs w:val="21"/>
          <w:highlight w:val="none"/>
        </w:rPr>
        <w:fldChar w:fldCharType="begin"/>
      </w:r>
      <w:r>
        <w:rPr>
          <w:rFonts w:hint="eastAsia" w:ascii="方正仿宋_GBK" w:hAnsi="宋体" w:eastAsia="方正仿宋_GBK"/>
          <w:color w:val="auto"/>
          <w:sz w:val="21"/>
          <w:szCs w:val="21"/>
          <w:highlight w:val="none"/>
        </w:rPr>
        <w:instrText xml:space="preserve"> TOC \o "1-2" \h \z </w:instrText>
      </w:r>
      <w:r>
        <w:rPr>
          <w:rFonts w:hint="eastAsia" w:ascii="方正仿宋_GBK" w:hAnsi="宋体" w:eastAsia="方正仿宋_GBK"/>
          <w:color w:val="auto"/>
          <w:sz w:val="21"/>
          <w:szCs w:val="21"/>
          <w:highlight w:val="none"/>
        </w:rPr>
        <w:fldChar w:fldCharType="separate"/>
      </w: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_Toc32283 </w:instrText>
      </w:r>
      <w:r>
        <w:rPr>
          <w:rFonts w:hint="eastAsia" w:ascii="方正仿宋_GBK" w:hAnsi="宋体" w:eastAsia="方正仿宋_GBK"/>
          <w:szCs w:val="21"/>
          <w:highlight w:val="none"/>
        </w:rPr>
        <w:fldChar w:fldCharType="separate"/>
      </w:r>
      <w:r>
        <w:rPr>
          <w:rFonts w:hint="eastAsia" w:ascii="方正小标宋_GBK" w:hAnsi="宋体" w:eastAsia="方正小标宋_GBK" w:cs="宋体"/>
          <w:szCs w:val="32"/>
          <w:highlight w:val="none"/>
        </w:rPr>
        <w:t>第一篇 投标邀请书</w:t>
      </w:r>
      <w:r>
        <w:tab/>
      </w:r>
      <w:r>
        <w:fldChar w:fldCharType="begin"/>
      </w:r>
      <w:r>
        <w:instrText xml:space="preserve"> PAGEREF _Toc32283 \h </w:instrText>
      </w:r>
      <w:r>
        <w:fldChar w:fldCharType="separate"/>
      </w:r>
      <w:r>
        <w:t>- 3 -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_Toc16555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rPr>
        <w:t xml:space="preserve">一、 </w:t>
      </w:r>
      <w:r>
        <w:rPr>
          <w:rFonts w:hint="eastAsia" w:ascii="方正黑体_GBK" w:eastAsia="方正黑体_GBK" w:cs="宋体"/>
          <w:szCs w:val="28"/>
          <w:highlight w:val="none"/>
        </w:rPr>
        <w:t>招标项目内容</w:t>
      </w:r>
      <w:r>
        <w:tab/>
      </w:r>
      <w:r>
        <w:fldChar w:fldCharType="begin"/>
      </w:r>
      <w:r>
        <w:instrText xml:space="preserve"> PAGEREF _Toc16555 \h </w:instrText>
      </w:r>
      <w:r>
        <w:fldChar w:fldCharType="separate"/>
      </w:r>
      <w:r>
        <w:t>- 3 -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_Toc17095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二、资金来源</w:t>
      </w:r>
      <w:r>
        <w:tab/>
      </w:r>
      <w:r>
        <w:fldChar w:fldCharType="begin"/>
      </w:r>
      <w:r>
        <w:instrText xml:space="preserve"> PAGEREF _Toc17095 \h </w:instrText>
      </w:r>
      <w:r>
        <w:fldChar w:fldCharType="separate"/>
      </w:r>
      <w:r>
        <w:t>- 3 -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_Toc11900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三、投标人资格要求</w:t>
      </w:r>
      <w:r>
        <w:tab/>
      </w:r>
      <w:r>
        <w:fldChar w:fldCharType="begin"/>
      </w:r>
      <w:r>
        <w:instrText xml:space="preserve"> PAGEREF _Toc11900 \h </w:instrText>
      </w:r>
      <w:r>
        <w:fldChar w:fldCharType="separate"/>
      </w:r>
      <w:r>
        <w:t>- 3 -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_Toc26354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（一）基本资格条件</w:t>
      </w:r>
      <w:r>
        <w:tab/>
      </w:r>
      <w:r>
        <w:fldChar w:fldCharType="begin"/>
      </w:r>
      <w:r>
        <w:instrText xml:space="preserve"> PAGEREF _Toc26354 \h </w:instrText>
      </w:r>
      <w:r>
        <w:fldChar w:fldCharType="separate"/>
      </w:r>
      <w:r>
        <w:t>- 3 -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_Toc5568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（二）落实政府采购政策需满足的资格要求：</w:t>
      </w:r>
      <w:r>
        <w:tab/>
      </w:r>
      <w:r>
        <w:fldChar w:fldCharType="begin"/>
      </w:r>
      <w:r>
        <w:instrText xml:space="preserve"> PAGEREF _Toc5568 \h </w:instrText>
      </w:r>
      <w:r>
        <w:fldChar w:fldCharType="separate"/>
      </w:r>
      <w:r>
        <w:t>- 3 -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_Toc24571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（三）特定资格条件:</w:t>
      </w:r>
      <w:r>
        <w:tab/>
      </w:r>
      <w:r>
        <w:fldChar w:fldCharType="begin"/>
      </w:r>
      <w:r>
        <w:instrText xml:space="preserve"> PAGEREF _Toc24571 \h </w:instrText>
      </w:r>
      <w:r>
        <w:fldChar w:fldCharType="separate"/>
      </w:r>
      <w:r>
        <w:t>- 4 -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_Toc8137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四、投标、开标有关说明</w:t>
      </w:r>
      <w:r>
        <w:tab/>
      </w:r>
      <w:r>
        <w:fldChar w:fldCharType="begin"/>
      </w:r>
      <w:r>
        <w:instrText xml:space="preserve"> PAGEREF _Toc8137 \h </w:instrText>
      </w:r>
      <w:r>
        <w:fldChar w:fldCharType="separate"/>
      </w:r>
      <w:r>
        <w:t>- 4 -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_Toc23956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五、投标保证金</w:t>
      </w:r>
      <w:r>
        <w:tab/>
      </w:r>
      <w:r>
        <w:fldChar w:fldCharType="begin"/>
      </w:r>
      <w:r>
        <w:instrText xml:space="preserve"> PAGEREF _Toc23956 \h </w:instrText>
      </w:r>
      <w:r>
        <w:fldChar w:fldCharType="separate"/>
      </w:r>
      <w:r>
        <w:t>- 6 -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_Toc25221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（一）投标保证金缴纳</w:t>
      </w:r>
      <w:r>
        <w:tab/>
      </w:r>
      <w:r>
        <w:fldChar w:fldCharType="begin"/>
      </w:r>
      <w:r>
        <w:instrText xml:space="preserve"> PAGEREF _Toc25221 \h </w:instrText>
      </w:r>
      <w:r>
        <w:fldChar w:fldCharType="separate"/>
      </w:r>
      <w:r>
        <w:t>- 6 -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_Toc14060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（二）如有下列情况之一，作无效投标处理：</w:t>
      </w:r>
      <w:r>
        <w:tab/>
      </w:r>
      <w:r>
        <w:fldChar w:fldCharType="begin"/>
      </w:r>
      <w:r>
        <w:instrText xml:space="preserve"> PAGEREF _Toc14060 \h </w:instrText>
      </w:r>
      <w:r>
        <w:fldChar w:fldCharType="separate"/>
      </w:r>
      <w:r>
        <w:t>- 9 -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_Toc30069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（四）保证金退还方式</w:t>
      </w:r>
      <w:r>
        <w:tab/>
      </w:r>
      <w:r>
        <w:fldChar w:fldCharType="begin"/>
      </w:r>
      <w:r>
        <w:instrText xml:space="preserve"> PAGEREF _Toc30069 \h </w:instrText>
      </w:r>
      <w:r>
        <w:fldChar w:fldCharType="separate"/>
      </w:r>
      <w:r>
        <w:t>- 9 -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_Toc5706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六、采购项目需落实的政府采购政策</w:t>
      </w:r>
      <w:r>
        <w:tab/>
      </w:r>
      <w:r>
        <w:fldChar w:fldCharType="begin"/>
      </w:r>
      <w:r>
        <w:instrText xml:space="preserve"> PAGEREF _Toc5706 \h </w:instrText>
      </w:r>
      <w:r>
        <w:fldChar w:fldCharType="separate"/>
      </w:r>
      <w:r>
        <w:t>- 9 -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_Toc12142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七、投标有关规定</w:t>
      </w:r>
      <w:r>
        <w:tab/>
      </w:r>
      <w:r>
        <w:fldChar w:fldCharType="begin"/>
      </w:r>
      <w:r>
        <w:instrText xml:space="preserve"> PAGEREF _Toc12142 \h </w:instrText>
      </w:r>
      <w:r>
        <w:fldChar w:fldCharType="separate"/>
      </w:r>
      <w:r>
        <w:t>- 10 -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_Toc32333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八、联系方式</w:t>
      </w:r>
      <w:r>
        <w:tab/>
      </w:r>
      <w:r>
        <w:fldChar w:fldCharType="begin"/>
      </w:r>
      <w:r>
        <w:instrText xml:space="preserve"> PAGEREF _Toc32333 \h </w:instrText>
      </w:r>
      <w:r>
        <w:fldChar w:fldCharType="separate"/>
      </w:r>
      <w:r>
        <w:t>- 10 -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_Toc23357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（一）采购人：重庆市武隆区教育委员会</w:t>
      </w:r>
      <w:r>
        <w:tab/>
      </w:r>
      <w:r>
        <w:fldChar w:fldCharType="begin"/>
      </w:r>
      <w:r>
        <w:instrText xml:space="preserve"> PAGEREF _Toc23357 \h </w:instrText>
      </w:r>
      <w:r>
        <w:fldChar w:fldCharType="separate"/>
      </w:r>
      <w:r>
        <w:t>- 10 -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_Toc24179 </w:instrText>
      </w:r>
      <w:r>
        <w:rPr>
          <w:rFonts w:hint="eastAsia" w:ascii="方正仿宋_GBK" w:hAnsi="宋体" w:eastAsia="方正仿宋_GBK"/>
          <w:szCs w:val="21"/>
          <w:highlight w:val="none"/>
        </w:rPr>
        <w:fldChar w:fldCharType="separate"/>
      </w:r>
      <w:r>
        <w:rPr>
          <w:rFonts w:hint="eastAsia" w:ascii="方正楷体_GBK" w:eastAsia="方正楷体_GBK" w:cs="宋体"/>
          <w:szCs w:val="28"/>
          <w:highlight w:val="none"/>
        </w:rPr>
        <w:t>（二）采购代理机构：</w:t>
      </w:r>
      <w:r>
        <w:tab/>
      </w:r>
      <w:r>
        <w:fldChar w:fldCharType="begin"/>
      </w:r>
      <w:r>
        <w:instrText xml:space="preserve"> PAGEREF _Toc24179 \h </w:instrText>
      </w:r>
      <w:r>
        <w:fldChar w:fldCharType="separate"/>
      </w:r>
      <w:r>
        <w:t>- 10 -</w:t>
      </w:r>
      <w:r>
        <w:fldChar w:fldCharType="end"/>
      </w:r>
      <w:r>
        <w:rPr>
          <w:rFonts w:hint="eastAsia" w:ascii="方正仿宋_GBK" w:hAnsi="宋体" w:eastAsia="方正仿宋_GBK"/>
          <w:color w:val="auto"/>
          <w:szCs w:val="21"/>
          <w:highlight w:val="none"/>
        </w:rPr>
        <w:fldChar w:fldCharType="end"/>
      </w:r>
    </w:p>
    <w:p>
      <w:pPr>
        <w:pStyle w:val="40"/>
        <w:tabs>
          <w:tab w:val="right" w:leader="dot" w:pos="9412"/>
          <w:tab w:val="clear" w:pos="1260"/>
          <w:tab w:val="clear" w:pos="1685"/>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_Toc25262 </w:instrText>
      </w:r>
      <w:r>
        <w:rPr>
          <w:rFonts w:hint="eastAsia" w:ascii="方正仿宋_GBK" w:hAnsi="宋体" w:eastAsia="方正仿宋_GBK"/>
          <w:szCs w:val="21"/>
          <w:highlight w:val="none"/>
        </w:rPr>
        <w:fldChar w:fldCharType="separate"/>
      </w:r>
      <w:r>
        <w:rPr>
          <w:rFonts w:hint="eastAsia" w:ascii="方正小标宋_GBK" w:hAnsi="宋体" w:eastAsia="方正小标宋_GBK" w:cs="宋体"/>
          <w:szCs w:val="32"/>
          <w:highlight w:val="none"/>
        </w:rPr>
        <w:t>第二篇 项目技术（质量）需求</w:t>
      </w:r>
      <w:r>
        <w:tab/>
      </w:r>
      <w:r>
        <w:fldChar w:fldCharType="begin"/>
      </w:r>
      <w:r>
        <w:instrText xml:space="preserve"> PAGEREF _Toc25262 \h </w:instrText>
      </w:r>
      <w:r>
        <w:fldChar w:fldCharType="separate"/>
      </w:r>
      <w:r>
        <w:t>- 12 -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_Toc22679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一、招标项目一览表</w:t>
      </w:r>
      <w:r>
        <w:rPr>
          <w:rFonts w:hint="eastAsia" w:ascii="方正黑体_GBK" w:eastAsia="方正黑体_GBK" w:cs="宋体"/>
          <w:szCs w:val="28"/>
          <w:highlight w:val="none"/>
          <w:lang w:eastAsia="zh-CN"/>
        </w:rPr>
        <w:t>：</w:t>
      </w:r>
      <w:r>
        <w:tab/>
      </w:r>
      <w:r>
        <w:fldChar w:fldCharType="begin"/>
      </w:r>
      <w:r>
        <w:instrText xml:space="preserve"> PAGEREF _Toc22679 \h </w:instrText>
      </w:r>
      <w:r>
        <w:fldChar w:fldCharType="separate"/>
      </w:r>
      <w:r>
        <w:t>- 12 -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_Toc10882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二、招标项目技术需求</w:t>
      </w:r>
      <w:r>
        <w:tab/>
      </w:r>
      <w:r>
        <w:fldChar w:fldCharType="begin"/>
      </w:r>
      <w:r>
        <w:instrText xml:space="preserve"> PAGEREF _Toc10882 \h </w:instrText>
      </w:r>
      <w:r>
        <w:fldChar w:fldCharType="separate"/>
      </w:r>
      <w:r>
        <w:t>- 12 -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rPr>
          <w:rFonts w:hint="eastAsia" w:ascii="方正仿宋_GBK" w:hAnsi="宋体" w:eastAsia="方正仿宋_GBK"/>
          <w:color w:val="auto"/>
          <w:szCs w:val="21"/>
          <w:highlight w:val="none"/>
          <w:lang w:val="en-US" w:eastAsia="zh-CN"/>
        </w:rPr>
      </w:pPr>
      <w:r>
        <w:rPr>
          <w:rFonts w:hint="eastAsia" w:ascii="方正仿宋_GBK" w:hAnsi="宋体" w:eastAsia="方正仿宋_GBK"/>
          <w:color w:val="auto"/>
          <w:szCs w:val="21"/>
          <w:highlight w:val="none"/>
          <w:lang w:eastAsia="zh-CN"/>
        </w:rPr>
        <w:t>第三篇</w:t>
      </w:r>
      <w:r>
        <w:rPr>
          <w:rFonts w:hint="eastAsia" w:ascii="方正仿宋_GBK" w:hAnsi="宋体" w:eastAsia="方正仿宋_GBK"/>
          <w:color w:val="auto"/>
          <w:szCs w:val="21"/>
          <w:highlight w:val="none"/>
          <w:lang w:val="en-US" w:eastAsia="zh-CN"/>
        </w:rPr>
        <w:t xml:space="preserve"> 项目商务需求</w:t>
      </w:r>
      <w:r>
        <w:tab/>
      </w:r>
      <w:r>
        <w:fldChar w:fldCharType="begin"/>
      </w:r>
      <w:r>
        <w:instrText xml:space="preserve"> PAGEREF _Toc25262 \h </w:instrText>
      </w:r>
      <w:r>
        <w:fldChar w:fldCharType="separate"/>
      </w:r>
      <w:r>
        <w:t>- 12 -</w:t>
      </w:r>
      <w: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_Toc10106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一、交货期（或为实施时间）、交货地点（或为实施地点）及验收方式</w:t>
      </w:r>
      <w:r>
        <w:tab/>
      </w:r>
      <w:r>
        <w:fldChar w:fldCharType="begin"/>
      </w:r>
      <w:r>
        <w:instrText xml:space="preserve"> PAGEREF _Toc10106 \h </w:instrText>
      </w:r>
      <w:r>
        <w:fldChar w:fldCharType="separate"/>
      </w:r>
      <w:r>
        <w:t>- 14 -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_Toc28503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二、报价要求</w:t>
      </w:r>
      <w:r>
        <w:tab/>
      </w:r>
      <w:r>
        <w:fldChar w:fldCharType="begin"/>
      </w:r>
      <w:r>
        <w:instrText xml:space="preserve"> PAGEREF _Toc28503 \h </w:instrText>
      </w:r>
      <w:r>
        <w:fldChar w:fldCharType="separate"/>
      </w:r>
      <w:r>
        <w:t>- 14 -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_Toc22177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三、质量保证及售后服务</w:t>
      </w:r>
      <w:r>
        <w:tab/>
      </w:r>
      <w:r>
        <w:fldChar w:fldCharType="begin"/>
      </w:r>
      <w:r>
        <w:instrText xml:space="preserve"> PAGEREF _Toc22177 \h </w:instrText>
      </w:r>
      <w:r>
        <w:fldChar w:fldCharType="separate"/>
      </w:r>
      <w:r>
        <w:t>- 15 -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_Toc12946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四、付款方式</w:t>
      </w:r>
      <w:r>
        <w:tab/>
      </w:r>
      <w:r>
        <w:fldChar w:fldCharType="begin"/>
      </w:r>
      <w:r>
        <w:instrText xml:space="preserve"> PAGEREF _Toc12946 \h </w:instrText>
      </w:r>
      <w:r>
        <w:fldChar w:fldCharType="separate"/>
      </w:r>
      <w:r>
        <w:t>- 15 -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_Toc32707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五、知识产权</w:t>
      </w:r>
      <w:r>
        <w:tab/>
      </w:r>
      <w:r>
        <w:fldChar w:fldCharType="begin"/>
      </w:r>
      <w:r>
        <w:instrText xml:space="preserve"> PAGEREF _Toc32707 \h </w:instrText>
      </w:r>
      <w:r>
        <w:fldChar w:fldCharType="separate"/>
      </w:r>
      <w:r>
        <w:t>- 16 -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_Toc2160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六、培训</w:t>
      </w:r>
      <w:r>
        <w:tab/>
      </w:r>
      <w:r>
        <w:fldChar w:fldCharType="begin"/>
      </w:r>
      <w:r>
        <w:instrText xml:space="preserve"> PAGEREF _Toc2160 \h </w:instrText>
      </w:r>
      <w:r>
        <w:fldChar w:fldCharType="separate"/>
      </w:r>
      <w:r>
        <w:t>- 16 -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_Toc22057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七、附件、图纸及包装要求</w:t>
      </w:r>
      <w:r>
        <w:tab/>
      </w:r>
      <w:r>
        <w:fldChar w:fldCharType="begin"/>
      </w:r>
      <w:r>
        <w:instrText xml:space="preserve"> PAGEREF _Toc22057 \h </w:instrText>
      </w:r>
      <w:r>
        <w:fldChar w:fldCharType="separate"/>
      </w:r>
      <w:r>
        <w:t>- 16 -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rPr>
          <w:rFonts w:hint="eastAsia" w:ascii="方正仿宋_GBK" w:hAnsi="宋体" w:eastAsia="方正仿宋_GBK"/>
          <w:color w:val="auto"/>
          <w:szCs w:val="21"/>
          <w:highlight w:val="none"/>
        </w:rPr>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_Toc368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八、其他要求内容</w:t>
      </w:r>
      <w:r>
        <w:tab/>
      </w:r>
      <w:r>
        <w:fldChar w:fldCharType="begin"/>
      </w:r>
      <w:r>
        <w:instrText xml:space="preserve"> PAGEREF _Toc368 \h </w:instrText>
      </w:r>
      <w:r>
        <w:fldChar w:fldCharType="separate"/>
      </w:r>
      <w:r>
        <w:t>- 16 -</w:t>
      </w:r>
      <w:r>
        <w:fldChar w:fldCharType="end"/>
      </w:r>
      <w:r>
        <w:rPr>
          <w:rFonts w:hint="eastAsia" w:ascii="方正仿宋_GBK" w:hAnsi="宋体" w:eastAsia="方正仿宋_GBK"/>
          <w:color w:val="auto"/>
          <w:szCs w:val="21"/>
          <w:highlight w:val="none"/>
        </w:rPr>
        <w:fldChar w:fldCharType="end"/>
      </w:r>
    </w:p>
    <w:p>
      <w:pPr>
        <w:ind w:firstLine="280" w:firstLineChars="100"/>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_Toc25262 </w:instrText>
      </w:r>
      <w:r>
        <w:rPr>
          <w:rFonts w:hint="eastAsia" w:ascii="方正仿宋_GBK" w:hAnsi="宋体" w:eastAsia="方正仿宋_GBK"/>
          <w:szCs w:val="21"/>
          <w:highlight w:val="none"/>
        </w:rPr>
        <w:fldChar w:fldCharType="separate"/>
      </w:r>
      <w:r>
        <w:rPr>
          <w:rFonts w:hint="eastAsia" w:ascii="方正小标宋_GBK" w:hAnsi="宋体" w:eastAsia="方正小标宋_GBK" w:cs="宋体"/>
          <w:szCs w:val="32"/>
          <w:highlight w:val="none"/>
        </w:rPr>
        <w:t>第</w:t>
      </w:r>
      <w:r>
        <w:rPr>
          <w:rFonts w:hint="eastAsia" w:ascii="方正小标宋_GBK" w:hAnsi="宋体" w:eastAsia="方正小标宋_GBK" w:cs="宋体"/>
          <w:szCs w:val="32"/>
          <w:highlight w:val="none"/>
          <w:lang w:eastAsia="zh-CN"/>
        </w:rPr>
        <w:t>四</w:t>
      </w:r>
      <w:r>
        <w:rPr>
          <w:rFonts w:hint="eastAsia" w:ascii="方正小标宋_GBK" w:hAnsi="宋体" w:eastAsia="方正小标宋_GBK" w:cs="宋体"/>
          <w:szCs w:val="32"/>
          <w:highlight w:val="none"/>
        </w:rPr>
        <w:t xml:space="preserve">篇 </w:t>
      </w:r>
      <w:r>
        <w:rPr>
          <w:rFonts w:hint="eastAsia" w:ascii="方正小标宋_GBK" w:hAnsi="宋体" w:eastAsia="方正小标宋_GBK" w:cs="宋体"/>
          <w:szCs w:val="32"/>
          <w:highlight w:val="none"/>
          <w:lang w:val="en-US" w:eastAsia="zh-CN"/>
        </w:rPr>
        <w:t xml:space="preserve"> 资格审核及评标办法</w:t>
      </w:r>
      <w:r>
        <w:rPr>
          <w:rFonts w:hint="eastAsia" w:ascii="方正小标宋_GBK" w:hAnsi="宋体" w:eastAsia="方正小标宋_GBK" w:cs="宋体"/>
          <w:szCs w:val="32"/>
          <w:highlight w:val="none"/>
          <w:lang w:eastAsia="zh-CN"/>
        </w:rPr>
        <w:t>……………………………………………</w:t>
      </w:r>
      <w:r>
        <w:fldChar w:fldCharType="begin"/>
      </w:r>
      <w:r>
        <w:instrText xml:space="preserve"> PAGEREF _Toc25262 \h </w:instrText>
      </w:r>
      <w:r>
        <w:fldChar w:fldCharType="separate"/>
      </w:r>
      <w:r>
        <w:t>- 12 -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_Toc7988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一、资格审查及符合性审查</w:t>
      </w:r>
      <w:r>
        <w:tab/>
      </w:r>
      <w:r>
        <w:fldChar w:fldCharType="begin"/>
      </w:r>
      <w:r>
        <w:instrText xml:space="preserve"> PAGEREF _Toc7988 \h </w:instrText>
      </w:r>
      <w:r>
        <w:fldChar w:fldCharType="separate"/>
      </w:r>
      <w:r>
        <w:t>- 17 -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_Toc4176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二、评标方法</w:t>
      </w:r>
      <w:r>
        <w:tab/>
      </w:r>
      <w:r>
        <w:fldChar w:fldCharType="begin"/>
      </w:r>
      <w:r>
        <w:instrText xml:space="preserve"> PAGEREF _Toc4176 \h </w:instrText>
      </w:r>
      <w:r>
        <w:fldChar w:fldCharType="separate"/>
      </w:r>
      <w:r>
        <w:t>- 19 -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_Toc8760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三、评标标准</w:t>
      </w:r>
      <w:r>
        <w:tab/>
      </w:r>
      <w:r>
        <w:fldChar w:fldCharType="begin"/>
      </w:r>
      <w:r>
        <w:instrText xml:space="preserve"> PAGEREF _Toc8760 \h </w:instrText>
      </w:r>
      <w:r>
        <w:fldChar w:fldCharType="separate"/>
      </w:r>
      <w:r>
        <w:t>- 20 -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_Toc12154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四、无效投标条款</w:t>
      </w:r>
      <w:r>
        <w:tab/>
      </w:r>
      <w:r>
        <w:fldChar w:fldCharType="begin"/>
      </w:r>
      <w:r>
        <w:instrText xml:space="preserve"> PAGEREF _Toc12154 \h </w:instrText>
      </w:r>
      <w:r>
        <w:fldChar w:fldCharType="separate"/>
      </w:r>
      <w:r>
        <w:t>- 23 -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_Toc9911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五、废标条款</w:t>
      </w:r>
      <w:r>
        <w:tab/>
      </w:r>
      <w:r>
        <w:fldChar w:fldCharType="begin"/>
      </w:r>
      <w:r>
        <w:instrText xml:space="preserve"> PAGEREF _Toc9911 \h </w:instrText>
      </w:r>
      <w:r>
        <w:fldChar w:fldCharType="separate"/>
      </w:r>
      <w:r>
        <w:t>- 24 -</w:t>
      </w:r>
      <w:r>
        <w:fldChar w:fldCharType="end"/>
      </w:r>
      <w:r>
        <w:rPr>
          <w:rFonts w:hint="eastAsia" w:ascii="方正仿宋_GBK" w:hAnsi="宋体" w:eastAsia="方正仿宋_GBK"/>
          <w:color w:val="auto"/>
          <w:szCs w:val="21"/>
          <w:highlight w:val="none"/>
        </w:rPr>
        <w:fldChar w:fldCharType="end"/>
      </w:r>
    </w:p>
    <w:p>
      <w:pPr>
        <w:pStyle w:val="40"/>
        <w:tabs>
          <w:tab w:val="right" w:leader="dot" w:pos="9412"/>
          <w:tab w:val="clear" w:pos="1260"/>
          <w:tab w:val="clear" w:pos="1685"/>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_Toc27683 </w:instrText>
      </w:r>
      <w:r>
        <w:rPr>
          <w:rFonts w:hint="eastAsia" w:ascii="方正仿宋_GBK" w:hAnsi="宋体" w:eastAsia="方正仿宋_GBK"/>
          <w:szCs w:val="21"/>
          <w:highlight w:val="none"/>
        </w:rPr>
        <w:fldChar w:fldCharType="separate"/>
      </w:r>
      <w:r>
        <w:rPr>
          <w:rFonts w:hint="eastAsia" w:ascii="方正小标宋_GBK" w:hAnsi="宋体" w:eastAsia="方正小标宋_GBK" w:cs="宋体"/>
          <w:szCs w:val="32"/>
          <w:highlight w:val="none"/>
        </w:rPr>
        <w:t>第五篇  投标人须知</w:t>
      </w:r>
      <w:r>
        <w:tab/>
      </w:r>
      <w:r>
        <w:fldChar w:fldCharType="begin"/>
      </w:r>
      <w:r>
        <w:instrText xml:space="preserve"> PAGEREF _Toc27683 \h </w:instrText>
      </w:r>
      <w:r>
        <w:fldChar w:fldCharType="separate"/>
      </w:r>
      <w:r>
        <w:t>- 25 -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_Toc16868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一、投标人</w:t>
      </w:r>
      <w:r>
        <w:tab/>
      </w:r>
      <w:r>
        <w:fldChar w:fldCharType="begin"/>
      </w:r>
      <w:r>
        <w:instrText xml:space="preserve"> PAGEREF _Toc16868 \h </w:instrText>
      </w:r>
      <w:r>
        <w:fldChar w:fldCharType="separate"/>
      </w:r>
      <w:r>
        <w:t>- 25 -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_Toc6206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二、招标文件</w:t>
      </w:r>
      <w:r>
        <w:tab/>
      </w:r>
      <w:r>
        <w:fldChar w:fldCharType="begin"/>
      </w:r>
      <w:r>
        <w:instrText xml:space="preserve"> PAGEREF _Toc6206 \h </w:instrText>
      </w:r>
      <w:r>
        <w:fldChar w:fldCharType="separate"/>
      </w:r>
      <w:r>
        <w:t>- 25 -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_Toc29006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三、电子投标文件</w:t>
      </w:r>
      <w:r>
        <w:tab/>
      </w:r>
      <w:r>
        <w:fldChar w:fldCharType="begin"/>
      </w:r>
      <w:r>
        <w:instrText xml:space="preserve"> PAGEREF _Toc29006 \h </w:instrText>
      </w:r>
      <w:r>
        <w:fldChar w:fldCharType="separate"/>
      </w:r>
      <w:r>
        <w:t>- 25 -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_Toc26874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四、开标</w:t>
      </w:r>
      <w:r>
        <w:tab/>
      </w:r>
      <w:r>
        <w:fldChar w:fldCharType="begin"/>
      </w:r>
      <w:r>
        <w:instrText xml:space="preserve"> PAGEREF _Toc26874 \h </w:instrText>
      </w:r>
      <w:r>
        <w:fldChar w:fldCharType="separate"/>
      </w:r>
      <w:r>
        <w:t>- 29 -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_Toc29650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五、评标</w:t>
      </w:r>
      <w:r>
        <w:tab/>
      </w:r>
      <w:r>
        <w:fldChar w:fldCharType="begin"/>
      </w:r>
      <w:r>
        <w:instrText xml:space="preserve"> PAGEREF _Toc29650 \h </w:instrText>
      </w:r>
      <w:r>
        <w:fldChar w:fldCharType="separate"/>
      </w:r>
      <w:r>
        <w:t>- 29 -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_Toc20068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六、定标</w:t>
      </w:r>
      <w:r>
        <w:tab/>
      </w:r>
      <w:r>
        <w:fldChar w:fldCharType="begin"/>
      </w:r>
      <w:r>
        <w:instrText xml:space="preserve"> PAGEREF _Toc20068 \h </w:instrText>
      </w:r>
      <w:r>
        <w:fldChar w:fldCharType="separate"/>
      </w:r>
      <w:r>
        <w:t>- 29 -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_Toc6989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七、中标</w:t>
      </w:r>
      <w:r>
        <w:tab/>
      </w:r>
      <w:r>
        <w:fldChar w:fldCharType="begin"/>
      </w:r>
      <w:r>
        <w:instrText xml:space="preserve"> PAGEREF _Toc6989 \h </w:instrText>
      </w:r>
      <w:r>
        <w:fldChar w:fldCharType="separate"/>
      </w:r>
      <w:r>
        <w:t>- 30 -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_Toc29922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八、询问、质疑和投诉</w:t>
      </w:r>
      <w:r>
        <w:tab/>
      </w:r>
      <w:r>
        <w:fldChar w:fldCharType="begin"/>
      </w:r>
      <w:r>
        <w:instrText xml:space="preserve"> PAGEREF _Toc29922 \h </w:instrText>
      </w:r>
      <w:r>
        <w:fldChar w:fldCharType="separate"/>
      </w:r>
      <w:r>
        <w:t>- 30 -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_Toc25762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九、签订合同</w:t>
      </w:r>
      <w:r>
        <w:tab/>
      </w:r>
      <w:r>
        <w:fldChar w:fldCharType="begin"/>
      </w:r>
      <w:r>
        <w:instrText xml:space="preserve"> PAGEREF _Toc25762 \h </w:instrText>
      </w:r>
      <w:r>
        <w:fldChar w:fldCharType="separate"/>
      </w:r>
      <w:r>
        <w:t>- 32 -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_Toc10136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十、项目验收</w:t>
      </w:r>
      <w:r>
        <w:tab/>
      </w:r>
      <w:r>
        <w:fldChar w:fldCharType="begin"/>
      </w:r>
      <w:r>
        <w:instrText xml:space="preserve"> PAGEREF _Toc10136 \h </w:instrText>
      </w:r>
      <w:r>
        <w:fldChar w:fldCharType="separate"/>
      </w:r>
      <w:r>
        <w:t>- 32 -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_Toc20741 </w:instrText>
      </w:r>
      <w:r>
        <w:rPr>
          <w:rFonts w:hint="eastAsia" w:ascii="方正仿宋_GBK" w:hAnsi="宋体" w:eastAsia="方正仿宋_GBK"/>
          <w:szCs w:val="21"/>
          <w:highlight w:val="none"/>
        </w:rPr>
        <w:fldChar w:fldCharType="separate"/>
      </w:r>
      <w:r>
        <w:rPr>
          <w:rFonts w:hint="eastAsia" w:ascii="方正黑体_GBK" w:eastAsia="方正黑体_GBK" w:cs="宋体"/>
          <w:szCs w:val="28"/>
          <w:highlight w:val="none"/>
        </w:rPr>
        <w:t>十一、政府采购信用融资</w:t>
      </w:r>
      <w:r>
        <w:tab/>
      </w:r>
      <w:r>
        <w:fldChar w:fldCharType="begin"/>
      </w:r>
      <w:r>
        <w:instrText xml:space="preserve"> PAGEREF _Toc20741 \h </w:instrText>
      </w:r>
      <w:r>
        <w:fldChar w:fldCharType="separate"/>
      </w:r>
      <w:r>
        <w:t>- 32 -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_Toc17153 </w:instrText>
      </w:r>
      <w:r>
        <w:rPr>
          <w:rFonts w:hint="eastAsia" w:ascii="方正仿宋_GBK" w:hAnsi="宋体" w:eastAsia="方正仿宋_GBK"/>
          <w:szCs w:val="21"/>
          <w:highlight w:val="none"/>
        </w:rPr>
        <w:fldChar w:fldCharType="separate"/>
      </w:r>
      <w:r>
        <w:rPr>
          <w:rFonts w:hint="eastAsia" w:ascii="方正黑体_GBK" w:hAnsi="宋体" w:eastAsia="方正黑体_GBK" w:cs="宋体"/>
          <w:szCs w:val="28"/>
          <w:highlight w:val="none"/>
          <w:lang w:eastAsia="zh-CN"/>
        </w:rPr>
        <w:t>十二</w:t>
      </w:r>
      <w:r>
        <w:rPr>
          <w:rFonts w:hint="eastAsia" w:ascii="方正黑体_GBK" w:hAnsi="宋体" w:eastAsia="方正黑体_GBK" w:cs="宋体"/>
          <w:szCs w:val="28"/>
          <w:highlight w:val="none"/>
        </w:rPr>
        <w:t>、</w:t>
      </w:r>
      <w:r>
        <w:rPr>
          <w:rFonts w:hint="eastAsia" w:ascii="方正黑体_GBK" w:hAnsi="宋体" w:eastAsia="方正黑体_GBK" w:cs="宋体"/>
          <w:szCs w:val="28"/>
          <w:highlight w:val="none"/>
          <w:lang w:eastAsia="zh-CN"/>
        </w:rPr>
        <w:t>缴纳交易服务费</w:t>
      </w:r>
      <w:r>
        <w:tab/>
      </w:r>
      <w:r>
        <w:fldChar w:fldCharType="begin"/>
      </w:r>
      <w:r>
        <w:instrText xml:space="preserve"> PAGEREF _Toc17153 \h </w:instrText>
      </w:r>
      <w:r>
        <w:fldChar w:fldCharType="separate"/>
      </w:r>
      <w:r>
        <w:t>- 32 -</w:t>
      </w:r>
      <w:r>
        <w:fldChar w:fldCharType="end"/>
      </w:r>
      <w:r>
        <w:rPr>
          <w:rFonts w:hint="eastAsia" w:ascii="方正仿宋_GBK" w:hAnsi="宋体" w:eastAsia="方正仿宋_GBK"/>
          <w:color w:val="auto"/>
          <w:szCs w:val="21"/>
          <w:highlight w:val="none"/>
        </w:rPr>
        <w:fldChar w:fldCharType="end"/>
      </w:r>
    </w:p>
    <w:p>
      <w:pPr>
        <w:pStyle w:val="40"/>
        <w:tabs>
          <w:tab w:val="right" w:leader="dot" w:pos="9412"/>
          <w:tab w:val="clear" w:pos="1260"/>
          <w:tab w:val="clear" w:pos="1685"/>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_Toc28832 </w:instrText>
      </w:r>
      <w:r>
        <w:rPr>
          <w:rFonts w:hint="eastAsia" w:ascii="方正仿宋_GBK" w:hAnsi="宋体" w:eastAsia="方正仿宋_GBK"/>
          <w:szCs w:val="21"/>
          <w:highlight w:val="none"/>
        </w:rPr>
        <w:fldChar w:fldCharType="separate"/>
      </w:r>
      <w:r>
        <w:rPr>
          <w:rFonts w:hint="eastAsia" w:ascii="方正小标宋_GBK" w:eastAsia="方正小标宋_GBK"/>
          <w:szCs w:val="32"/>
          <w:highlight w:val="none"/>
        </w:rPr>
        <w:t>第六篇 合同草案条款和采购</w:t>
      </w:r>
      <w:r>
        <w:rPr>
          <w:rFonts w:hint="eastAsia" w:ascii="方正小标宋_GBK" w:hAnsi="Times New Roman" w:eastAsia="方正小标宋_GBK" w:cs="Times New Roman"/>
          <w:szCs w:val="32"/>
          <w:highlight w:val="none"/>
        </w:rPr>
        <w:t>合同</w:t>
      </w:r>
      <w:r>
        <w:rPr>
          <w:rFonts w:hint="eastAsia" w:ascii="方正小标宋_GBK" w:eastAsia="方正小标宋_GBK"/>
          <w:szCs w:val="32"/>
          <w:highlight w:val="none"/>
        </w:rPr>
        <w:t>范本（格式）</w:t>
      </w:r>
      <w:r>
        <w:tab/>
      </w:r>
      <w:r>
        <w:fldChar w:fldCharType="begin"/>
      </w:r>
      <w:r>
        <w:instrText xml:space="preserve"> PAGEREF _Toc28832 \h </w:instrText>
      </w:r>
      <w:r>
        <w:fldChar w:fldCharType="separate"/>
      </w:r>
      <w:r>
        <w:t>- 33 -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_Toc30177 </w:instrText>
      </w:r>
      <w:r>
        <w:rPr>
          <w:rFonts w:hint="eastAsia" w:ascii="方正仿宋_GBK" w:hAnsi="宋体" w:eastAsia="方正仿宋_GBK"/>
          <w:szCs w:val="21"/>
          <w:highlight w:val="none"/>
        </w:rPr>
        <w:fldChar w:fldCharType="separate"/>
      </w:r>
      <w:r>
        <w:rPr>
          <w:rFonts w:hint="eastAsia" w:ascii="方正仿宋_GBK" w:eastAsia="方正仿宋_GBK" w:cs="宋体"/>
          <w:bCs/>
          <w:szCs w:val="28"/>
          <w:highlight w:val="none"/>
        </w:rPr>
        <w:t>一、合同草案条款</w:t>
      </w:r>
      <w:r>
        <w:tab/>
      </w:r>
      <w:r>
        <w:fldChar w:fldCharType="begin"/>
      </w:r>
      <w:r>
        <w:instrText xml:space="preserve"> PAGEREF _Toc30177 \h </w:instrText>
      </w:r>
      <w:r>
        <w:fldChar w:fldCharType="separate"/>
      </w:r>
      <w:r>
        <w:t>- 33 -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_Toc8004 </w:instrText>
      </w:r>
      <w:r>
        <w:rPr>
          <w:rFonts w:hint="eastAsia" w:ascii="方正仿宋_GBK" w:hAnsi="宋体" w:eastAsia="方正仿宋_GBK"/>
          <w:szCs w:val="21"/>
          <w:highlight w:val="none"/>
        </w:rPr>
        <w:fldChar w:fldCharType="separate"/>
      </w:r>
      <w:r>
        <w:rPr>
          <w:rFonts w:hint="eastAsia" w:cs="宋体"/>
          <w:bCs/>
          <w:szCs w:val="24"/>
          <w:highlight w:val="none"/>
        </w:rPr>
        <w:t>二、政府采购合同（格式）</w:t>
      </w:r>
      <w:r>
        <w:tab/>
      </w:r>
      <w:r>
        <w:fldChar w:fldCharType="begin"/>
      </w:r>
      <w:r>
        <w:instrText xml:space="preserve"> PAGEREF _Toc8004 \h </w:instrText>
      </w:r>
      <w:r>
        <w:fldChar w:fldCharType="separate"/>
      </w:r>
      <w:r>
        <w:t>- 36 -</w:t>
      </w:r>
      <w:r>
        <w:fldChar w:fldCharType="end"/>
      </w:r>
      <w:r>
        <w:rPr>
          <w:rFonts w:hint="eastAsia" w:ascii="方正仿宋_GBK" w:hAnsi="宋体" w:eastAsia="方正仿宋_GBK"/>
          <w:color w:val="auto"/>
          <w:szCs w:val="21"/>
          <w:highlight w:val="none"/>
        </w:rPr>
        <w:fldChar w:fldCharType="end"/>
      </w:r>
    </w:p>
    <w:p>
      <w:pPr>
        <w:pStyle w:val="40"/>
        <w:tabs>
          <w:tab w:val="right" w:leader="dot" w:pos="9412"/>
          <w:tab w:val="clear" w:pos="1260"/>
          <w:tab w:val="clear" w:pos="1685"/>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_Toc32089 </w:instrText>
      </w:r>
      <w:r>
        <w:rPr>
          <w:rFonts w:hint="eastAsia" w:ascii="方正仿宋_GBK" w:hAnsi="宋体" w:eastAsia="方正仿宋_GBK"/>
          <w:szCs w:val="21"/>
          <w:highlight w:val="none"/>
        </w:rPr>
        <w:fldChar w:fldCharType="separate"/>
      </w:r>
      <w:r>
        <w:rPr>
          <w:rFonts w:hint="eastAsia" w:ascii="方正小标宋_GBK" w:hAnsi="Times New Roman" w:eastAsia="方正小标宋_GBK" w:cs="Times New Roman"/>
          <w:szCs w:val="32"/>
          <w:highlight w:val="none"/>
        </w:rPr>
        <w:t>第七篇  电子投标文件格式</w:t>
      </w:r>
      <w:r>
        <w:tab/>
      </w:r>
      <w:r>
        <w:fldChar w:fldCharType="begin"/>
      </w:r>
      <w:r>
        <w:instrText xml:space="preserve"> PAGEREF _Toc32089 \h </w:instrText>
      </w:r>
      <w:r>
        <w:fldChar w:fldCharType="separate"/>
      </w:r>
      <w:r>
        <w:t>- 38 -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_Toc844 </w:instrText>
      </w:r>
      <w:r>
        <w:rPr>
          <w:rFonts w:hint="eastAsia" w:ascii="方正仿宋_GBK" w:hAnsi="宋体" w:eastAsia="方正仿宋_GBK"/>
          <w:szCs w:val="21"/>
          <w:highlight w:val="none"/>
        </w:rPr>
        <w:fldChar w:fldCharType="separate"/>
      </w:r>
      <w:r>
        <w:rPr>
          <w:rFonts w:hint="eastAsia" w:cs="宋体"/>
          <w:bCs/>
          <w:highlight w:val="none"/>
        </w:rPr>
        <w:t>一、经济文件</w:t>
      </w:r>
      <w:r>
        <w:tab/>
      </w:r>
      <w:r>
        <w:fldChar w:fldCharType="begin"/>
      </w:r>
      <w:r>
        <w:instrText xml:space="preserve"> PAGEREF _Toc844 \h </w:instrText>
      </w:r>
      <w:r>
        <w:fldChar w:fldCharType="separate"/>
      </w:r>
      <w:r>
        <w:t>- 38 -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_Toc17419 </w:instrText>
      </w:r>
      <w:r>
        <w:rPr>
          <w:rFonts w:hint="eastAsia" w:ascii="方正仿宋_GBK" w:hAnsi="宋体" w:eastAsia="方正仿宋_GBK"/>
          <w:szCs w:val="21"/>
          <w:highlight w:val="none"/>
        </w:rPr>
        <w:fldChar w:fldCharType="separate"/>
      </w:r>
      <w:r>
        <w:rPr>
          <w:rFonts w:hint="eastAsia"/>
          <w:bCs/>
          <w:szCs w:val="28"/>
          <w:highlight w:val="none"/>
        </w:rPr>
        <w:t>二、技术（质量）文件</w:t>
      </w:r>
      <w:r>
        <w:tab/>
      </w:r>
      <w:r>
        <w:fldChar w:fldCharType="begin"/>
      </w:r>
      <w:r>
        <w:instrText xml:space="preserve"> PAGEREF _Toc17419 \h </w:instrText>
      </w:r>
      <w:r>
        <w:fldChar w:fldCharType="separate"/>
      </w:r>
      <w:r>
        <w:t>- 38 -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_Toc12409 </w:instrText>
      </w:r>
      <w:r>
        <w:rPr>
          <w:rFonts w:hint="eastAsia" w:ascii="方正仿宋_GBK" w:hAnsi="宋体" w:eastAsia="方正仿宋_GBK"/>
          <w:szCs w:val="21"/>
          <w:highlight w:val="none"/>
        </w:rPr>
        <w:fldChar w:fldCharType="separate"/>
      </w:r>
      <w:r>
        <w:rPr>
          <w:rFonts w:hint="eastAsia"/>
          <w:bCs/>
          <w:highlight w:val="none"/>
        </w:rPr>
        <w:t>三、商务文件</w:t>
      </w:r>
      <w:r>
        <w:tab/>
      </w:r>
      <w:r>
        <w:fldChar w:fldCharType="begin"/>
      </w:r>
      <w:r>
        <w:instrText xml:space="preserve"> PAGEREF _Toc12409 \h </w:instrText>
      </w:r>
      <w:r>
        <w:fldChar w:fldCharType="separate"/>
      </w:r>
      <w:r>
        <w:t>- 38 -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_Toc11228 </w:instrText>
      </w:r>
      <w:r>
        <w:rPr>
          <w:rFonts w:hint="eastAsia" w:ascii="方正仿宋_GBK" w:hAnsi="宋体" w:eastAsia="方正仿宋_GBK"/>
          <w:szCs w:val="21"/>
          <w:highlight w:val="none"/>
        </w:rPr>
        <w:fldChar w:fldCharType="separate"/>
      </w:r>
      <w:r>
        <w:rPr>
          <w:rFonts w:hint="eastAsia"/>
          <w:bCs/>
          <w:highlight w:val="none"/>
        </w:rPr>
        <w:t>四、其他</w:t>
      </w:r>
      <w:r>
        <w:tab/>
      </w:r>
      <w:r>
        <w:fldChar w:fldCharType="begin"/>
      </w:r>
      <w:r>
        <w:instrText xml:space="preserve"> PAGEREF _Toc11228 \h </w:instrText>
      </w:r>
      <w:r>
        <w:fldChar w:fldCharType="separate"/>
      </w:r>
      <w:r>
        <w:t>- 38 -</w:t>
      </w:r>
      <w:r>
        <w:fldChar w:fldCharType="end"/>
      </w:r>
      <w:r>
        <w:rPr>
          <w:rFonts w:hint="eastAsia" w:ascii="方正仿宋_GBK" w:hAnsi="宋体" w:eastAsia="方正仿宋_GBK"/>
          <w:color w:val="auto"/>
          <w:szCs w:val="21"/>
          <w:highlight w:val="none"/>
        </w:rPr>
        <w:fldChar w:fldCharType="end"/>
      </w:r>
    </w:p>
    <w:p>
      <w:pPr>
        <w:pStyle w:val="48"/>
        <w:tabs>
          <w:tab w:val="right" w:leader="dot" w:pos="9412"/>
          <w:tab w:val="clear" w:pos="8400"/>
        </w:tabs>
      </w:pPr>
      <w:r>
        <w:rPr>
          <w:rFonts w:hint="eastAsia" w:ascii="方正仿宋_GBK" w:hAnsi="宋体" w:eastAsia="方正仿宋_GBK"/>
          <w:color w:val="auto"/>
          <w:szCs w:val="21"/>
          <w:highlight w:val="none"/>
        </w:rPr>
        <w:fldChar w:fldCharType="begin"/>
      </w:r>
      <w:r>
        <w:rPr>
          <w:rFonts w:hint="eastAsia" w:ascii="方正仿宋_GBK" w:hAnsi="宋体" w:eastAsia="方正仿宋_GBK"/>
          <w:szCs w:val="21"/>
          <w:highlight w:val="none"/>
        </w:rPr>
        <w:instrText xml:space="preserve"> HYPERLINK \l _Toc20892 </w:instrText>
      </w:r>
      <w:r>
        <w:rPr>
          <w:rFonts w:hint="eastAsia" w:ascii="方正仿宋_GBK" w:hAnsi="宋体" w:eastAsia="方正仿宋_GBK"/>
          <w:szCs w:val="21"/>
          <w:highlight w:val="none"/>
        </w:rPr>
        <w:fldChar w:fldCharType="separate"/>
      </w:r>
      <w:r>
        <w:rPr>
          <w:rFonts w:hint="eastAsia"/>
          <w:bCs/>
          <w:highlight w:val="none"/>
        </w:rPr>
        <w:t>五、资格文件</w:t>
      </w:r>
      <w:r>
        <w:tab/>
      </w:r>
      <w:r>
        <w:fldChar w:fldCharType="begin"/>
      </w:r>
      <w:r>
        <w:instrText xml:space="preserve"> PAGEREF _Toc20892 \h </w:instrText>
      </w:r>
      <w:r>
        <w:fldChar w:fldCharType="separate"/>
      </w:r>
      <w:r>
        <w:t>- 38 -</w:t>
      </w:r>
      <w:r>
        <w:fldChar w:fldCharType="end"/>
      </w:r>
      <w:r>
        <w:rPr>
          <w:rFonts w:hint="eastAsia" w:ascii="方正仿宋_GBK" w:hAnsi="宋体" w:eastAsia="方正仿宋_GBK"/>
          <w:color w:val="auto"/>
          <w:szCs w:val="21"/>
          <w:highlight w:val="none"/>
        </w:rPr>
        <w:fldChar w:fldCharType="end"/>
      </w:r>
    </w:p>
    <w:p>
      <w:pPr>
        <w:pStyle w:val="121"/>
        <w:rPr>
          <w:rFonts w:hint="eastAsia"/>
          <w:color w:val="auto"/>
          <w:highlight w:val="none"/>
        </w:rPr>
      </w:pPr>
      <w:r>
        <w:rPr>
          <w:rFonts w:hint="eastAsia" w:ascii="方正仿宋_GBK" w:hAnsi="宋体" w:eastAsia="方正仿宋_GBK"/>
          <w:color w:val="auto"/>
          <w:szCs w:val="21"/>
          <w:highlight w:val="none"/>
        </w:rPr>
        <w:fldChar w:fldCharType="end"/>
      </w:r>
    </w:p>
    <w:p>
      <w:pPr>
        <w:pStyle w:val="40"/>
        <w:ind w:firstLine="211"/>
        <w:rPr>
          <w:rFonts w:ascii="Calibri" w:hAnsi="Calibri"/>
          <w:color w:val="auto"/>
          <w:sz w:val="21"/>
          <w:szCs w:val="22"/>
          <w:highlight w:val="none"/>
          <w:lang/>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TOC \o "1-2" \h \z </w:instrText>
      </w:r>
      <w:r>
        <w:rPr>
          <w:rFonts w:hint="eastAsia" w:ascii="宋体" w:hAnsi="宋体" w:cs="宋体"/>
          <w:color w:val="auto"/>
          <w:sz w:val="21"/>
          <w:szCs w:val="21"/>
          <w:highlight w:val="none"/>
        </w:rPr>
        <w:fldChar w:fldCharType="separate"/>
      </w:r>
    </w:p>
    <w:p>
      <w:pPr>
        <w:pStyle w:val="40"/>
        <w:ind w:firstLine="0" w:firstLineChars="0"/>
        <w:rPr>
          <w:rFonts w:hint="eastAsia" w:ascii="宋体" w:hAnsi="宋体" w:cs="宋体"/>
          <w:color w:val="auto"/>
          <w:sz w:val="32"/>
          <w:highlight w:val="none"/>
        </w:rPr>
        <w:sectPr>
          <w:footerReference r:id="rId8" w:type="default"/>
          <w:pgSz w:w="11907" w:h="16840"/>
          <w:pgMar w:top="1134" w:right="1191" w:bottom="1134" w:left="1304" w:header="964" w:footer="992" w:gutter="0"/>
          <w:pgNumType w:fmt="numberInDash" w:start="1"/>
          <w:cols w:space="720" w:num="1"/>
          <w:docGrid w:linePitch="312" w:charSpace="0"/>
        </w:sectPr>
      </w:pPr>
      <w:r>
        <w:rPr>
          <w:rFonts w:hint="eastAsia" w:ascii="宋体" w:hAnsi="宋体" w:cs="宋体"/>
          <w:color w:val="auto"/>
          <w:szCs w:val="21"/>
          <w:highlight w:val="none"/>
        </w:rPr>
        <w:fldChar w:fldCharType="end"/>
      </w:r>
    </w:p>
    <w:p>
      <w:pPr>
        <w:pStyle w:val="2"/>
        <w:spacing w:before="0" w:beforeLines="0" w:after="0" w:afterLines="0" w:line="720" w:lineRule="exact"/>
        <w:rPr>
          <w:rFonts w:hint="eastAsia" w:ascii="方正小标宋_GBK" w:hAnsi="宋体" w:eastAsia="方正小标宋_GBK" w:cs="宋体"/>
          <w:b/>
          <w:color w:val="auto"/>
          <w:sz w:val="32"/>
          <w:szCs w:val="32"/>
          <w:highlight w:val="none"/>
        </w:rPr>
      </w:pPr>
      <w:bookmarkStart w:id="0" w:name="_Toc23530"/>
      <w:bookmarkStart w:id="1" w:name="_Toc169703165"/>
      <w:bookmarkStart w:id="2" w:name="_Toc20769"/>
      <w:bookmarkStart w:id="3" w:name="_Toc32283"/>
      <w:r>
        <w:rPr>
          <w:rFonts w:hint="eastAsia" w:ascii="方正小标宋_GBK" w:hAnsi="宋体" w:eastAsia="方正小标宋_GBK" w:cs="宋体"/>
          <w:b/>
          <w:color w:val="auto"/>
          <w:sz w:val="32"/>
          <w:szCs w:val="32"/>
          <w:highlight w:val="none"/>
        </w:rPr>
        <w:t>第一篇 投标邀请书</w:t>
      </w:r>
      <w:bookmarkEnd w:id="0"/>
      <w:bookmarkEnd w:id="1"/>
      <w:bookmarkEnd w:id="2"/>
      <w:bookmarkEnd w:id="3"/>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重庆市教育信息技术与服务中心</w:t>
      </w:r>
      <w:r>
        <w:rPr>
          <w:rFonts w:hint="eastAsia" w:ascii="方正仿宋_GBK" w:hAnsi="宋体" w:eastAsia="方正仿宋_GBK" w:cs="宋体"/>
          <w:color w:val="auto"/>
          <w:szCs w:val="28"/>
          <w:highlight w:val="none"/>
          <w:lang w:eastAsia="zh-CN"/>
        </w:rPr>
        <w:t>（以下简称：采购代理机构）</w:t>
      </w:r>
      <w:r>
        <w:rPr>
          <w:rFonts w:hint="eastAsia" w:ascii="方正仿宋_GBK" w:hAnsi="宋体" w:eastAsia="方正仿宋_GBK" w:cs="宋体"/>
          <w:color w:val="auto"/>
          <w:szCs w:val="28"/>
          <w:highlight w:val="none"/>
        </w:rPr>
        <w:t>按照重庆市武隆区财政局下达的采购计划并受重庆市武隆区教育委员会</w:t>
      </w:r>
      <w:r>
        <w:rPr>
          <w:rFonts w:hint="eastAsia" w:ascii="方正仿宋_GBK" w:hAnsi="宋体" w:eastAsia="方正仿宋_GBK" w:cs="宋体"/>
          <w:color w:val="auto"/>
          <w:szCs w:val="28"/>
          <w:highlight w:val="none"/>
          <w:lang w:eastAsia="zh-CN"/>
        </w:rPr>
        <w:t>（以下简称：采购人）</w:t>
      </w:r>
      <w:r>
        <w:rPr>
          <w:rFonts w:hint="eastAsia" w:ascii="方正仿宋_GBK" w:hAnsi="宋体" w:eastAsia="方正仿宋_GBK" w:cs="宋体"/>
          <w:color w:val="auto"/>
          <w:szCs w:val="28"/>
          <w:highlight w:val="none"/>
        </w:rPr>
        <w:t>的委托，对武隆区教委202</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年</w:t>
      </w:r>
      <w:r>
        <w:rPr>
          <w:rFonts w:hint="eastAsia" w:ascii="方正仿宋_GBK" w:hAnsi="宋体" w:eastAsia="方正仿宋_GBK" w:cs="宋体"/>
          <w:color w:val="auto"/>
          <w:szCs w:val="28"/>
          <w:highlight w:val="none"/>
          <w:lang w:eastAsia="zh-CN"/>
        </w:rPr>
        <w:t>午休课桌椅</w:t>
      </w:r>
      <w:r>
        <w:rPr>
          <w:rFonts w:hint="eastAsia" w:ascii="方正仿宋_GBK" w:hAnsi="宋体" w:eastAsia="方正仿宋_GBK" w:cs="宋体"/>
          <w:color w:val="auto"/>
          <w:szCs w:val="28"/>
          <w:highlight w:val="none"/>
        </w:rPr>
        <w:t>采购项目进行公开招标，欢迎有资格的</w:t>
      </w:r>
      <w:r>
        <w:rPr>
          <w:rFonts w:hint="eastAsia" w:ascii="方正仿宋_GBK" w:hAnsi="宋体" w:eastAsia="方正仿宋_GBK" w:cs="宋体"/>
          <w:color w:val="auto"/>
          <w:szCs w:val="28"/>
          <w:highlight w:val="none"/>
          <w:lang w:eastAsia="zh-CN"/>
        </w:rPr>
        <w:t>投标人</w:t>
      </w:r>
      <w:r>
        <w:rPr>
          <w:rFonts w:hint="eastAsia" w:ascii="方正仿宋_GBK" w:hAnsi="宋体" w:eastAsia="方正仿宋_GBK" w:cs="宋体"/>
          <w:color w:val="auto"/>
          <w:szCs w:val="28"/>
          <w:highlight w:val="none"/>
        </w:rPr>
        <w:t>参加投标。</w:t>
      </w:r>
      <w:bookmarkStart w:id="4" w:name="_Toc15215"/>
      <w:bookmarkStart w:id="5" w:name="_Toc11116"/>
    </w:p>
    <w:p>
      <w:pPr>
        <w:pStyle w:val="3"/>
        <w:numPr>
          <w:ilvl w:val="0"/>
          <w:numId w:val="17"/>
        </w:numPr>
        <w:spacing w:line="440" w:lineRule="exact"/>
        <w:ind w:firstLine="562" w:firstLineChars="200"/>
        <w:rPr>
          <w:rFonts w:hint="eastAsia" w:ascii="方正黑体_GBK" w:eastAsia="方正黑体_GBK" w:cs="宋体"/>
          <w:b/>
          <w:color w:val="auto"/>
          <w:szCs w:val="28"/>
          <w:highlight w:val="none"/>
        </w:rPr>
      </w:pPr>
      <w:bookmarkStart w:id="6" w:name="_Toc16555"/>
      <w:bookmarkStart w:id="7" w:name="_Toc169703166"/>
      <w:r>
        <w:rPr>
          <w:rFonts w:hint="eastAsia" w:ascii="方正黑体_GBK" w:eastAsia="方正黑体_GBK" w:cs="宋体"/>
          <w:b/>
          <w:color w:val="auto"/>
          <w:szCs w:val="28"/>
          <w:highlight w:val="none"/>
        </w:rPr>
        <w:t>招标项目内容</w:t>
      </w:r>
      <w:bookmarkEnd w:id="4"/>
      <w:bookmarkEnd w:id="5"/>
      <w:bookmarkEnd w:id="6"/>
      <w:bookmarkEnd w:id="7"/>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3"/>
        <w:gridCol w:w="1446"/>
        <w:gridCol w:w="1770"/>
        <w:gridCol w:w="1473"/>
        <w:gridCol w:w="25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3" w:type="dxa"/>
            <w:noWrap w:val="0"/>
            <w:vAlign w:val="center"/>
          </w:tcPr>
          <w:p>
            <w:pPr>
              <w:pStyle w:val="23"/>
              <w:spacing w:line="240" w:lineRule="auto"/>
              <w:ind w:left="0"/>
              <w:jc w:val="center"/>
              <w:outlineLvl w:val="0"/>
              <w:rPr>
                <w:rFonts w:hint="eastAsia" w:ascii="方正仿宋_GBK" w:hAnsi="宋体" w:eastAsia="方正仿宋_GBK" w:cs="宋体"/>
                <w:b/>
                <w:bCs/>
                <w:color w:val="auto"/>
                <w:kern w:val="2"/>
                <w:sz w:val="28"/>
                <w:szCs w:val="28"/>
                <w:highlight w:val="none"/>
                <w:lang w:val="en-US" w:eastAsia="zh-CN" w:bidi="ar-SA"/>
              </w:rPr>
            </w:pPr>
            <w:r>
              <w:rPr>
                <w:rFonts w:hint="eastAsia" w:ascii="方正仿宋_GBK" w:hAnsi="宋体" w:eastAsia="方正仿宋_GBK" w:cs="宋体"/>
                <w:b/>
                <w:bCs/>
                <w:color w:val="auto"/>
                <w:kern w:val="2"/>
                <w:sz w:val="28"/>
                <w:szCs w:val="28"/>
                <w:highlight w:val="none"/>
                <w:lang w:val="en-US" w:eastAsia="zh-CN" w:bidi="ar-SA"/>
              </w:rPr>
              <w:t>包号及名称</w:t>
            </w:r>
          </w:p>
        </w:tc>
        <w:tc>
          <w:tcPr>
            <w:tcW w:w="1446" w:type="dxa"/>
            <w:noWrap w:val="0"/>
            <w:vAlign w:val="center"/>
          </w:tcPr>
          <w:p>
            <w:pPr>
              <w:pStyle w:val="23"/>
              <w:spacing w:line="240" w:lineRule="auto"/>
              <w:ind w:left="0"/>
              <w:jc w:val="center"/>
              <w:outlineLvl w:val="0"/>
              <w:rPr>
                <w:rFonts w:hint="eastAsia" w:ascii="方正仿宋_GBK" w:hAnsi="宋体" w:eastAsia="方正仿宋_GBK" w:cs="宋体"/>
                <w:b/>
                <w:bCs/>
                <w:color w:val="auto"/>
                <w:kern w:val="2"/>
                <w:sz w:val="28"/>
                <w:szCs w:val="28"/>
                <w:highlight w:val="none"/>
                <w:lang w:val="en-US" w:eastAsia="zh-CN" w:bidi="ar-SA"/>
              </w:rPr>
            </w:pPr>
            <w:r>
              <w:rPr>
                <w:rFonts w:hint="eastAsia" w:ascii="方正仿宋_GBK" w:hAnsi="宋体" w:eastAsia="方正仿宋_GBK" w:cs="宋体"/>
                <w:b/>
                <w:bCs/>
                <w:color w:val="auto"/>
                <w:kern w:val="2"/>
                <w:sz w:val="28"/>
                <w:szCs w:val="28"/>
                <w:highlight w:val="none"/>
                <w:lang w:val="en-US" w:eastAsia="zh-CN" w:bidi="ar-SA"/>
              </w:rPr>
              <w:t>最高限价</w:t>
            </w:r>
          </w:p>
          <w:p>
            <w:pPr>
              <w:pStyle w:val="23"/>
              <w:spacing w:line="240" w:lineRule="auto"/>
              <w:ind w:left="0"/>
              <w:jc w:val="center"/>
              <w:outlineLvl w:val="0"/>
              <w:rPr>
                <w:rFonts w:hint="eastAsia" w:ascii="方正仿宋_GBK" w:hAnsi="宋体" w:eastAsia="方正仿宋_GBK" w:cs="宋体"/>
                <w:b/>
                <w:bCs/>
                <w:color w:val="auto"/>
                <w:kern w:val="2"/>
                <w:sz w:val="28"/>
                <w:szCs w:val="28"/>
                <w:highlight w:val="none"/>
                <w:lang w:val="en-US" w:eastAsia="zh-CN" w:bidi="ar-SA"/>
              </w:rPr>
            </w:pPr>
            <w:r>
              <w:rPr>
                <w:rFonts w:hint="eastAsia" w:ascii="方正仿宋_GBK" w:hAnsi="宋体" w:eastAsia="方正仿宋_GBK" w:cs="宋体"/>
                <w:b/>
                <w:bCs/>
                <w:color w:val="auto"/>
                <w:kern w:val="2"/>
                <w:sz w:val="28"/>
                <w:szCs w:val="28"/>
                <w:highlight w:val="none"/>
                <w:lang w:val="en-US" w:eastAsia="zh-CN" w:bidi="ar-SA"/>
              </w:rPr>
              <w:t>（万元）</w:t>
            </w:r>
          </w:p>
        </w:tc>
        <w:tc>
          <w:tcPr>
            <w:tcW w:w="1770" w:type="dxa"/>
            <w:noWrap w:val="0"/>
            <w:vAlign w:val="center"/>
          </w:tcPr>
          <w:p>
            <w:pPr>
              <w:pStyle w:val="23"/>
              <w:spacing w:line="240" w:lineRule="auto"/>
              <w:ind w:left="0"/>
              <w:jc w:val="center"/>
              <w:outlineLvl w:val="0"/>
              <w:rPr>
                <w:rFonts w:hint="eastAsia" w:ascii="方正仿宋_GBK" w:hAnsi="宋体" w:eastAsia="方正仿宋_GBK" w:cs="宋体"/>
                <w:b/>
                <w:bCs/>
                <w:color w:val="auto"/>
                <w:kern w:val="2"/>
                <w:sz w:val="28"/>
                <w:szCs w:val="28"/>
                <w:highlight w:val="none"/>
                <w:lang w:val="en-US" w:eastAsia="zh-CN" w:bidi="ar-SA"/>
              </w:rPr>
            </w:pPr>
            <w:r>
              <w:rPr>
                <w:rFonts w:hint="eastAsia" w:ascii="方正仿宋_GBK" w:hAnsi="宋体" w:eastAsia="方正仿宋_GBK" w:cs="宋体"/>
                <w:b/>
                <w:bCs/>
                <w:color w:val="auto"/>
                <w:kern w:val="2"/>
                <w:sz w:val="28"/>
                <w:szCs w:val="28"/>
                <w:highlight w:val="none"/>
                <w:lang w:val="en-US" w:eastAsia="zh-CN" w:bidi="ar-SA"/>
              </w:rPr>
              <w:t>投标保证金</w:t>
            </w:r>
          </w:p>
          <w:p>
            <w:pPr>
              <w:pStyle w:val="23"/>
              <w:spacing w:line="240" w:lineRule="auto"/>
              <w:ind w:left="0"/>
              <w:jc w:val="center"/>
              <w:outlineLvl w:val="0"/>
              <w:rPr>
                <w:rFonts w:hint="eastAsia" w:ascii="方正仿宋_GBK" w:hAnsi="宋体" w:eastAsia="方正仿宋_GBK" w:cs="宋体"/>
                <w:b/>
                <w:bCs/>
                <w:color w:val="auto"/>
                <w:kern w:val="2"/>
                <w:sz w:val="28"/>
                <w:szCs w:val="28"/>
                <w:highlight w:val="none"/>
                <w:lang w:val="en-US" w:eastAsia="zh-CN" w:bidi="ar-SA"/>
              </w:rPr>
            </w:pPr>
            <w:r>
              <w:rPr>
                <w:rFonts w:hint="eastAsia" w:ascii="方正仿宋_GBK" w:hAnsi="宋体" w:eastAsia="方正仿宋_GBK" w:cs="宋体"/>
                <w:b/>
                <w:bCs/>
                <w:color w:val="auto"/>
                <w:kern w:val="2"/>
                <w:sz w:val="28"/>
                <w:szCs w:val="28"/>
                <w:highlight w:val="none"/>
                <w:lang w:val="en-US" w:eastAsia="zh-CN" w:bidi="ar-SA"/>
              </w:rPr>
              <w:t>（万元）</w:t>
            </w:r>
          </w:p>
        </w:tc>
        <w:tc>
          <w:tcPr>
            <w:tcW w:w="1473" w:type="dxa"/>
            <w:noWrap w:val="0"/>
            <w:vAlign w:val="center"/>
          </w:tcPr>
          <w:p>
            <w:pPr>
              <w:pStyle w:val="23"/>
              <w:spacing w:line="240" w:lineRule="auto"/>
              <w:ind w:left="0"/>
              <w:jc w:val="center"/>
              <w:outlineLvl w:val="0"/>
              <w:rPr>
                <w:rFonts w:hint="eastAsia" w:ascii="方正仿宋_GBK" w:hAnsi="宋体" w:eastAsia="方正仿宋_GBK" w:cs="宋体"/>
                <w:b/>
                <w:bCs/>
                <w:color w:val="auto"/>
                <w:kern w:val="2"/>
                <w:sz w:val="28"/>
                <w:szCs w:val="28"/>
                <w:highlight w:val="none"/>
                <w:lang w:val="en-US" w:eastAsia="zh-CN" w:bidi="ar-SA"/>
              </w:rPr>
            </w:pPr>
            <w:r>
              <w:rPr>
                <w:rFonts w:hint="eastAsia" w:ascii="方正仿宋_GBK" w:hAnsi="宋体" w:eastAsia="方正仿宋_GBK" w:cs="宋体"/>
                <w:b/>
                <w:bCs/>
                <w:color w:val="auto"/>
                <w:kern w:val="2"/>
                <w:sz w:val="28"/>
                <w:szCs w:val="28"/>
                <w:highlight w:val="none"/>
                <w:lang w:val="en-US" w:eastAsia="zh-CN" w:bidi="ar-SA"/>
              </w:rPr>
              <w:t>中标人数量（名）</w:t>
            </w:r>
          </w:p>
        </w:tc>
        <w:tc>
          <w:tcPr>
            <w:tcW w:w="2534" w:type="dxa"/>
            <w:noWrap w:val="0"/>
            <w:vAlign w:val="center"/>
          </w:tcPr>
          <w:p>
            <w:pPr>
              <w:pStyle w:val="23"/>
              <w:spacing w:line="240" w:lineRule="auto"/>
              <w:ind w:left="0"/>
              <w:jc w:val="center"/>
              <w:outlineLvl w:val="0"/>
              <w:rPr>
                <w:rFonts w:hint="eastAsia" w:ascii="方正仿宋_GBK" w:hAnsi="宋体" w:eastAsia="方正仿宋_GBK" w:cs="宋体"/>
                <w:b/>
                <w:bCs/>
                <w:color w:val="auto"/>
                <w:kern w:val="2"/>
                <w:sz w:val="28"/>
                <w:szCs w:val="28"/>
                <w:highlight w:val="none"/>
                <w:lang w:val="en-US" w:eastAsia="zh-CN" w:bidi="ar-SA"/>
              </w:rPr>
            </w:pPr>
            <w:bookmarkStart w:id="8" w:name="OLE_LINK2"/>
            <w:r>
              <w:rPr>
                <w:rFonts w:hint="eastAsia" w:ascii="方正仿宋_GBK" w:hAnsi="宋体" w:eastAsia="方正仿宋_GBK" w:cs="宋体"/>
                <w:b/>
                <w:bCs/>
                <w:color w:val="auto"/>
                <w:kern w:val="2"/>
                <w:sz w:val="28"/>
                <w:szCs w:val="28"/>
                <w:highlight w:val="none"/>
                <w:lang w:val="en-US" w:eastAsia="zh-CN" w:bidi="ar-SA"/>
              </w:rPr>
              <w:t>采购标的对应的中小企业划分标准所属行业</w:t>
            </w:r>
            <w:bookmarkEnd w:id="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43" w:type="dxa"/>
            <w:noWrap w:val="0"/>
            <w:vAlign w:val="center"/>
          </w:tcPr>
          <w:p>
            <w:pPr>
              <w:pStyle w:val="15"/>
              <w:spacing w:line="240" w:lineRule="auto"/>
              <w:ind w:firstLine="0"/>
              <w:outlineLvl w:val="0"/>
              <w:rPr>
                <w:rFonts w:hint="eastAsia" w:ascii="方正仿宋_GBK" w:hAnsi="宋体" w:eastAsia="方正仿宋_GBK" w:cs="宋体"/>
                <w:color w:val="auto"/>
                <w:kern w:val="2"/>
                <w:sz w:val="28"/>
                <w:szCs w:val="28"/>
                <w:highlight w:val="none"/>
                <w:lang w:val="en-US" w:eastAsia="zh-CN" w:bidi="ar-SA"/>
              </w:rPr>
            </w:pPr>
            <w:r>
              <w:rPr>
                <w:rFonts w:hint="eastAsia" w:ascii="方正仿宋_GBK" w:hAnsi="宋体" w:eastAsia="方正仿宋_GBK" w:cs="宋体"/>
                <w:color w:val="auto"/>
                <w:kern w:val="2"/>
                <w:sz w:val="28"/>
                <w:szCs w:val="28"/>
                <w:highlight w:val="none"/>
                <w:lang w:val="en-US" w:eastAsia="zh-CN" w:bidi="ar-SA"/>
              </w:rPr>
              <w:t>包1：午休课桌椅</w:t>
            </w:r>
          </w:p>
        </w:tc>
        <w:tc>
          <w:tcPr>
            <w:tcW w:w="1446" w:type="dxa"/>
            <w:noWrap w:val="0"/>
            <w:vAlign w:val="center"/>
          </w:tcPr>
          <w:p>
            <w:pPr>
              <w:pStyle w:val="23"/>
              <w:spacing w:line="240" w:lineRule="auto"/>
              <w:ind w:left="0"/>
              <w:jc w:val="center"/>
              <w:outlineLvl w:val="0"/>
              <w:rPr>
                <w:rFonts w:hint="default" w:ascii="方正仿宋_GBK" w:hAnsi="宋体" w:eastAsia="方正仿宋_GBK" w:cs="宋体"/>
                <w:color w:val="auto"/>
                <w:kern w:val="2"/>
                <w:sz w:val="28"/>
                <w:szCs w:val="28"/>
                <w:highlight w:val="none"/>
                <w:lang w:val="en-US" w:eastAsia="zh-CN" w:bidi="ar-SA"/>
              </w:rPr>
            </w:pPr>
            <w:r>
              <w:rPr>
                <w:rFonts w:hint="eastAsia" w:ascii="方正仿宋_GBK" w:hAnsi="宋体" w:eastAsia="方正仿宋_GBK" w:cs="宋体"/>
                <w:color w:val="auto"/>
                <w:kern w:val="2"/>
                <w:sz w:val="28"/>
                <w:szCs w:val="28"/>
                <w:highlight w:val="none"/>
                <w:lang w:val="en-US" w:eastAsia="zh-CN" w:bidi="ar-SA"/>
              </w:rPr>
              <w:t>232.00</w:t>
            </w:r>
          </w:p>
        </w:tc>
        <w:tc>
          <w:tcPr>
            <w:tcW w:w="1770" w:type="dxa"/>
            <w:noWrap w:val="0"/>
            <w:vAlign w:val="center"/>
          </w:tcPr>
          <w:p>
            <w:pPr>
              <w:pStyle w:val="15"/>
              <w:spacing w:line="240" w:lineRule="auto"/>
              <w:ind w:firstLine="0"/>
              <w:jc w:val="center"/>
              <w:outlineLvl w:val="0"/>
              <w:rPr>
                <w:rFonts w:hint="eastAsia" w:ascii="方正仿宋_GBK" w:hAnsi="宋体" w:eastAsia="方正仿宋_GBK" w:cs="宋体"/>
                <w:color w:val="auto"/>
                <w:kern w:val="2"/>
                <w:sz w:val="28"/>
                <w:szCs w:val="28"/>
                <w:highlight w:val="none"/>
                <w:lang w:val="en-US" w:eastAsia="zh-CN" w:bidi="ar-SA"/>
              </w:rPr>
            </w:pPr>
            <w:r>
              <w:rPr>
                <w:rFonts w:hint="eastAsia" w:ascii="方正仿宋_GBK" w:hAnsi="宋体" w:eastAsia="方正仿宋_GBK" w:cs="宋体"/>
                <w:color w:val="auto"/>
                <w:kern w:val="2"/>
                <w:sz w:val="28"/>
                <w:szCs w:val="28"/>
                <w:highlight w:val="none"/>
                <w:lang w:val="en-US" w:eastAsia="zh-CN" w:bidi="ar-SA"/>
              </w:rPr>
              <w:t>2</w:t>
            </w:r>
          </w:p>
        </w:tc>
        <w:tc>
          <w:tcPr>
            <w:tcW w:w="1473" w:type="dxa"/>
            <w:noWrap w:val="0"/>
            <w:vAlign w:val="center"/>
          </w:tcPr>
          <w:p>
            <w:pPr>
              <w:pStyle w:val="15"/>
              <w:spacing w:line="240" w:lineRule="auto"/>
              <w:ind w:firstLine="0"/>
              <w:jc w:val="center"/>
              <w:outlineLvl w:val="0"/>
              <w:rPr>
                <w:rFonts w:hint="eastAsia" w:ascii="方正仿宋_GBK" w:hAnsi="宋体" w:eastAsia="方正仿宋_GBK" w:cs="宋体"/>
                <w:color w:val="auto"/>
                <w:kern w:val="2"/>
                <w:sz w:val="28"/>
                <w:szCs w:val="28"/>
                <w:highlight w:val="none"/>
                <w:lang w:val="en-US" w:eastAsia="zh-CN" w:bidi="ar-SA"/>
              </w:rPr>
            </w:pPr>
            <w:r>
              <w:rPr>
                <w:rFonts w:hint="eastAsia" w:ascii="方正仿宋_GBK" w:hAnsi="宋体" w:eastAsia="方正仿宋_GBK" w:cs="宋体"/>
                <w:color w:val="auto"/>
                <w:kern w:val="2"/>
                <w:sz w:val="28"/>
                <w:szCs w:val="28"/>
                <w:highlight w:val="none"/>
                <w:lang w:val="en-US" w:eastAsia="zh-CN" w:bidi="ar-SA"/>
              </w:rPr>
              <w:t>1</w:t>
            </w:r>
          </w:p>
        </w:tc>
        <w:tc>
          <w:tcPr>
            <w:tcW w:w="2534" w:type="dxa"/>
            <w:noWrap w:val="0"/>
            <w:vAlign w:val="center"/>
          </w:tcPr>
          <w:p>
            <w:pPr>
              <w:pStyle w:val="15"/>
              <w:spacing w:line="240" w:lineRule="auto"/>
              <w:ind w:firstLine="0"/>
              <w:jc w:val="center"/>
              <w:outlineLvl w:val="0"/>
              <w:rPr>
                <w:rFonts w:hint="eastAsia" w:ascii="方正仿宋_GBK" w:hAnsi="宋体" w:eastAsia="方正仿宋_GBK" w:cs="宋体"/>
                <w:color w:val="auto"/>
                <w:kern w:val="2"/>
                <w:sz w:val="28"/>
                <w:szCs w:val="28"/>
                <w:highlight w:val="none"/>
                <w:lang w:val="en-US" w:eastAsia="zh-CN" w:bidi="ar-SA"/>
              </w:rPr>
            </w:pPr>
            <w:r>
              <w:rPr>
                <w:rFonts w:hint="eastAsia" w:ascii="方正仿宋_GBK" w:hAnsi="宋体" w:eastAsia="方正仿宋_GBK" w:cs="宋体"/>
                <w:color w:val="auto"/>
                <w:kern w:val="2"/>
                <w:sz w:val="28"/>
                <w:szCs w:val="28"/>
                <w:highlight w:val="none"/>
                <w:lang w:val="en-US" w:eastAsia="zh-CN" w:bidi="ar-SA"/>
              </w:rPr>
              <w:t>工业</w:t>
            </w:r>
          </w:p>
        </w:tc>
      </w:tr>
    </w:tbl>
    <w:p>
      <w:pPr>
        <w:pStyle w:val="3"/>
        <w:spacing w:line="440" w:lineRule="exact"/>
        <w:ind w:firstLine="562" w:firstLineChars="200"/>
        <w:rPr>
          <w:rFonts w:hint="eastAsia" w:ascii="方正楷体_GBK" w:eastAsia="方正楷体_GBK" w:cs="宋体"/>
          <w:b/>
          <w:color w:val="auto"/>
          <w:szCs w:val="28"/>
          <w:highlight w:val="none"/>
        </w:rPr>
      </w:pPr>
      <w:bookmarkStart w:id="9" w:name="_Toc17095"/>
      <w:bookmarkStart w:id="10" w:name="_Toc4674"/>
      <w:bookmarkStart w:id="11" w:name="_Toc3328"/>
      <w:bookmarkStart w:id="12" w:name="_Toc169703167"/>
      <w:r>
        <w:rPr>
          <w:rFonts w:hint="eastAsia" w:ascii="方正黑体_GBK" w:eastAsia="方正黑体_GBK" w:cs="宋体"/>
          <w:b/>
          <w:color w:val="auto"/>
          <w:szCs w:val="28"/>
          <w:highlight w:val="none"/>
        </w:rPr>
        <w:t>二、资金来源</w:t>
      </w:r>
      <w:bookmarkEnd w:id="9"/>
      <w:bookmarkEnd w:id="10"/>
      <w:bookmarkEnd w:id="11"/>
      <w:bookmarkEnd w:id="12"/>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财政预算资金</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预算金额为</w:t>
      </w:r>
      <w:r>
        <w:rPr>
          <w:rFonts w:hint="eastAsia" w:ascii="方正仿宋_GBK" w:hAnsi="宋体" w:eastAsia="方正仿宋_GBK" w:cs="宋体"/>
          <w:color w:val="auto"/>
          <w:szCs w:val="28"/>
          <w:highlight w:val="none"/>
          <w:u w:val="none"/>
          <w:lang w:val="en-US" w:eastAsia="zh-CN"/>
        </w:rPr>
        <w:t>232.00万</w:t>
      </w:r>
      <w:r>
        <w:rPr>
          <w:rFonts w:hint="eastAsia" w:ascii="方正仿宋_GBK" w:hAnsi="宋体" w:eastAsia="方正仿宋_GBK" w:cs="宋体"/>
          <w:color w:val="auto"/>
          <w:szCs w:val="28"/>
          <w:highlight w:val="none"/>
        </w:rPr>
        <w:t>元。</w:t>
      </w:r>
    </w:p>
    <w:p>
      <w:pPr>
        <w:pStyle w:val="3"/>
        <w:spacing w:line="440" w:lineRule="exact"/>
        <w:ind w:firstLine="562" w:firstLineChars="200"/>
        <w:rPr>
          <w:rFonts w:hint="eastAsia" w:ascii="方正黑体_GBK" w:eastAsia="方正黑体_GBK" w:cs="宋体"/>
          <w:b/>
          <w:color w:val="auto"/>
          <w:szCs w:val="28"/>
          <w:highlight w:val="none"/>
        </w:rPr>
      </w:pPr>
      <w:bookmarkStart w:id="13" w:name="_Toc11900"/>
      <w:bookmarkStart w:id="14" w:name="_Toc169703168"/>
      <w:bookmarkStart w:id="15" w:name="_Toc15071"/>
      <w:bookmarkStart w:id="16" w:name="_Toc24336"/>
      <w:r>
        <w:rPr>
          <w:rFonts w:hint="eastAsia" w:ascii="方正黑体_GBK" w:eastAsia="方正黑体_GBK" w:cs="宋体"/>
          <w:b/>
          <w:color w:val="auto"/>
          <w:szCs w:val="28"/>
          <w:highlight w:val="none"/>
        </w:rPr>
        <w:t>三、投标人资格要求</w:t>
      </w:r>
      <w:bookmarkEnd w:id="13"/>
      <w:bookmarkEnd w:id="14"/>
      <w:bookmarkEnd w:id="15"/>
      <w:bookmarkEnd w:id="16"/>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合格投标人应首先符合政府采购法第二十二条规定的基本条件，同时符合根据该项目特点设置的特定资格条件、落实政府采购政策需满足的资格要求（如果有）。</w:t>
      </w:r>
    </w:p>
    <w:p>
      <w:pPr>
        <w:pStyle w:val="3"/>
        <w:spacing w:line="440" w:lineRule="exact"/>
        <w:ind w:firstLine="562" w:firstLineChars="200"/>
        <w:rPr>
          <w:rFonts w:hint="eastAsia" w:ascii="方正楷体_GBK" w:eastAsia="方正楷体_GBK" w:cs="宋体"/>
          <w:b/>
          <w:color w:val="auto"/>
          <w:szCs w:val="28"/>
          <w:highlight w:val="none"/>
        </w:rPr>
      </w:pPr>
      <w:bookmarkStart w:id="17" w:name="_Toc26354"/>
      <w:bookmarkStart w:id="18" w:name="_Toc169703169"/>
      <w:r>
        <w:rPr>
          <w:rFonts w:hint="eastAsia" w:ascii="方正楷体_GBK" w:eastAsia="方正楷体_GBK" w:cs="宋体"/>
          <w:b/>
          <w:color w:val="auto"/>
          <w:szCs w:val="28"/>
          <w:highlight w:val="none"/>
        </w:rPr>
        <w:t>（一）基本资格条件</w:t>
      </w:r>
      <w:bookmarkEnd w:id="17"/>
      <w:bookmarkEnd w:id="18"/>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 1</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具有独立承担民事责任的能力；</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 2</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具有良好的商业信誉和健全的财务会计制度；</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 3</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具有履行合同所必需的设备和专业技术能力；</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 4</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 xml:space="preserve">有依法缴纳税收和社会保障资金的良好记录； </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 5</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参加政府采购活动前三年内，在经营活动中没有重大违法记录；</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 6</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法律、行政法规规定的其他条件。</w:t>
      </w:r>
    </w:p>
    <w:p>
      <w:pPr>
        <w:pStyle w:val="3"/>
        <w:spacing w:line="440" w:lineRule="exact"/>
        <w:ind w:firstLine="562" w:firstLineChars="200"/>
        <w:rPr>
          <w:rFonts w:hint="eastAsia" w:ascii="方正楷体_GBK" w:eastAsia="方正楷体_GBK" w:cs="宋体"/>
          <w:b/>
          <w:color w:val="auto"/>
          <w:szCs w:val="28"/>
          <w:highlight w:val="none"/>
        </w:rPr>
      </w:pPr>
      <w:bookmarkStart w:id="19" w:name="_Toc169703170"/>
      <w:bookmarkStart w:id="20" w:name="_Toc5568"/>
      <w:r>
        <w:rPr>
          <w:rFonts w:hint="eastAsia" w:ascii="方正楷体_GBK" w:eastAsia="方正楷体_GBK" w:cs="宋体"/>
          <w:b/>
          <w:color w:val="auto"/>
          <w:szCs w:val="28"/>
          <w:highlight w:val="none"/>
        </w:rPr>
        <w:t>（二）落实政府采购政策需满足的资格要求：</w:t>
      </w:r>
      <w:bookmarkEnd w:id="19"/>
      <w:bookmarkEnd w:id="20"/>
    </w:p>
    <w:p>
      <w:pPr>
        <w:spacing w:line="440" w:lineRule="exact"/>
        <w:ind w:firstLine="560" w:firstLineChars="200"/>
        <w:rPr>
          <w:rFonts w:hint="eastAsia" w:ascii="方正仿宋_GBK" w:hAnsi="宋体" w:eastAsia="方正仿宋_GBK" w:cs="宋体"/>
          <w:color w:val="auto"/>
          <w:szCs w:val="28"/>
          <w:highlight w:val="none"/>
        </w:rPr>
      </w:pPr>
      <w:bookmarkStart w:id="21" w:name="OLE_LINK14"/>
      <w:bookmarkStart w:id="22" w:name="_Toc169703171"/>
      <w:r>
        <w:rPr>
          <w:rFonts w:hint="eastAsia" w:ascii="方正仿宋_GBK" w:hAnsi="宋体" w:eastAsia="方正仿宋_GBK" w:cs="宋体"/>
          <w:color w:val="auto"/>
          <w:szCs w:val="28"/>
          <w:highlight w:val="none"/>
        </w:rPr>
        <w:t>本项目预留采购项目预算总额的30%专门面向中小企业采购（其中预留给小微企业的比例为60%）。投标人应满足以下1-3项条款中的任意一项：</w:t>
      </w:r>
    </w:p>
    <w:bookmarkEnd w:id="21"/>
    <w:p>
      <w:pPr>
        <w:spacing w:line="440" w:lineRule="exact"/>
        <w:ind w:firstLine="560" w:firstLineChars="200"/>
        <w:rPr>
          <w:rFonts w:hint="eastAsia" w:ascii="方正仿宋_GBK" w:hAnsi="宋体" w:eastAsia="方正仿宋_GBK" w:cs="宋体"/>
          <w:color w:val="auto"/>
          <w:szCs w:val="28"/>
          <w:highlight w:val="none"/>
        </w:rPr>
      </w:pPr>
      <w:bookmarkStart w:id="23" w:name="OLE_LINK15"/>
      <w:r>
        <w:rPr>
          <w:rFonts w:hint="eastAsia" w:ascii="方正仿宋_GBK" w:hAnsi="宋体" w:eastAsia="方正仿宋_GBK" w:cs="宋体"/>
          <w:color w:val="auto"/>
          <w:szCs w:val="28"/>
          <w:highlight w:val="none"/>
        </w:rPr>
        <w:t>1.投标人若为小微企业的，投标人应出具小微企业声明函或监狱企业证明文件或残疾人福利性单位声明函；</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2.投标人若为大型企业的，应将合同总份额的30%分包给中小企业</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其中将合同总份额的18%分包给小微企业</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投标人应出具分包企业的中小企业声明函或监狱企业证明文件或残疾人福利性单位声明函，并提供分包协议（分包协议中应明确分包企业承担的工作内容，协议中应明确中小企业和小微企业的合同份额占合同总金额的比例）；</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投标人若为中型企业的，应将合同总份额的18%分包给小微企业，投标人应出具自身及分包企业的中小企业声明函或监狱企业证明文件或残疾人福利性单位声明函，并提供分包意向协议（分包意向协议中应明确分包企业承担的工作内容，协议中应明确小微企业的合同份额占合同总金额的比例）。</w:t>
      </w:r>
    </w:p>
    <w:bookmarkEnd w:id="23"/>
    <w:p>
      <w:pPr>
        <w:pStyle w:val="3"/>
        <w:spacing w:line="440" w:lineRule="exact"/>
        <w:ind w:firstLine="562" w:firstLineChars="200"/>
        <w:rPr>
          <w:rFonts w:hint="eastAsia" w:ascii="方正楷体_GBK" w:eastAsia="方正楷体_GBK" w:cs="宋体"/>
          <w:b/>
          <w:color w:val="auto"/>
          <w:szCs w:val="28"/>
          <w:highlight w:val="none"/>
        </w:rPr>
      </w:pPr>
      <w:bookmarkStart w:id="24" w:name="_Toc24571"/>
      <w:r>
        <w:rPr>
          <w:rFonts w:hint="eastAsia" w:ascii="方正楷体_GBK" w:eastAsia="方正楷体_GBK" w:cs="宋体"/>
          <w:b/>
          <w:color w:val="auto"/>
          <w:szCs w:val="28"/>
          <w:highlight w:val="none"/>
        </w:rPr>
        <w:t>（三）特定资格条件</w:t>
      </w:r>
      <w:r>
        <w:rPr>
          <w:rFonts w:hint="eastAsia" w:ascii="方正楷体_GBK" w:eastAsia="方正楷体_GBK" w:cs="宋体"/>
          <w:b/>
          <w:color w:val="auto"/>
          <w:szCs w:val="28"/>
          <w:highlight w:val="none"/>
          <w:lang w:eastAsia="zh-CN"/>
        </w:rPr>
        <w:t>：</w:t>
      </w:r>
      <w:bookmarkEnd w:id="22"/>
      <w:bookmarkEnd w:id="24"/>
      <w:bookmarkStart w:id="25" w:name="_Toc12482"/>
      <w:bookmarkStart w:id="26" w:name="_Toc3433"/>
    </w:p>
    <w:p>
      <w:pPr>
        <w:spacing w:line="440" w:lineRule="exact"/>
        <w:ind w:firstLine="562" w:firstLineChars="200"/>
        <w:rPr>
          <w:rFonts w:hint="eastAsia" w:ascii="方正仿宋_GBK" w:eastAsia="方正仿宋_GBK" w:cs="宋体"/>
          <w:b/>
          <w:color w:val="auto"/>
          <w:szCs w:val="28"/>
          <w:highlight w:val="none"/>
        </w:rPr>
      </w:pPr>
      <w:r>
        <w:rPr>
          <w:rFonts w:hint="eastAsia" w:ascii="方正仿宋_GBK" w:eastAsia="方正仿宋_GBK" w:cs="宋体"/>
          <w:b/>
          <w:color w:val="auto"/>
          <w:szCs w:val="28"/>
          <w:highlight w:val="none"/>
        </w:rPr>
        <w:t>无</w:t>
      </w:r>
    </w:p>
    <w:p>
      <w:pPr>
        <w:pStyle w:val="3"/>
        <w:spacing w:line="440" w:lineRule="exact"/>
        <w:ind w:firstLine="562" w:firstLineChars="200"/>
        <w:rPr>
          <w:rFonts w:hint="eastAsia" w:ascii="方正黑体_GBK" w:eastAsia="方正黑体_GBK" w:cs="宋体"/>
          <w:b/>
          <w:color w:val="auto"/>
          <w:szCs w:val="28"/>
          <w:highlight w:val="none"/>
        </w:rPr>
      </w:pPr>
      <w:bookmarkStart w:id="27" w:name="_Toc8137"/>
      <w:bookmarkStart w:id="28" w:name="_Toc169703172"/>
      <w:r>
        <w:rPr>
          <w:rFonts w:hint="eastAsia" w:ascii="方正黑体_GBK" w:eastAsia="方正黑体_GBK" w:cs="宋体"/>
          <w:b/>
          <w:color w:val="auto"/>
          <w:szCs w:val="28"/>
          <w:highlight w:val="none"/>
        </w:rPr>
        <w:t>四、投标、开标有关说明</w:t>
      </w:r>
      <w:bookmarkEnd w:id="25"/>
      <w:bookmarkEnd w:id="26"/>
      <w:bookmarkEnd w:id="27"/>
      <w:bookmarkEnd w:id="28"/>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（一）投标人应通过重庆市政府采购网（www.ccgp-chongqing.gov.cn）登记加入“重庆市政府采购供应商库”。</w:t>
      </w:r>
    </w:p>
    <w:p>
      <w:pPr>
        <w:spacing w:line="440" w:lineRule="exact"/>
        <w:ind w:firstLine="560" w:firstLineChars="200"/>
        <w:rPr>
          <w:rFonts w:hint="eastAsia" w:ascii="方正仿宋_GBK" w:hAnsi="宋体" w:eastAsia="方正仿宋_GBK" w:cs="宋体"/>
          <w:color w:val="auto"/>
          <w:szCs w:val="28"/>
          <w:highlight w:val="none"/>
        </w:rPr>
      </w:pPr>
      <w:bookmarkStart w:id="29" w:name="_Hlk148295165"/>
      <w:r>
        <w:rPr>
          <w:rFonts w:hint="eastAsia" w:ascii="方正仿宋_GBK" w:hAnsi="宋体" w:eastAsia="方正仿宋_GBK" w:cs="宋体"/>
          <w:color w:val="auto"/>
          <w:szCs w:val="28"/>
          <w:highlight w:val="none"/>
        </w:rPr>
        <w:t>（二）</w:t>
      </w:r>
      <w:bookmarkStart w:id="30" w:name="_Hlk148289061"/>
      <w:r>
        <w:rPr>
          <w:rFonts w:hint="eastAsia" w:ascii="方正仿宋_GBK" w:hAnsi="宋体" w:eastAsia="方正仿宋_GBK" w:cs="宋体"/>
          <w:color w:val="auto"/>
          <w:szCs w:val="28"/>
          <w:highlight w:val="none"/>
        </w:rPr>
        <w:t>凡有意参加投标的投标人，请在规定的采购文件提供期限内登陆“重庆市政府采购网”→进入“个人中心”→“在线开评标”→“电子标书在线获取”处→搜索该项目，并在项目信息右侧点击“在线获取”按钮。完成本项目招标文件以及图纸、</w:t>
      </w:r>
      <w:bookmarkStart w:id="31" w:name="_Hlk148295145"/>
      <w:r>
        <w:rPr>
          <w:rFonts w:hint="eastAsia" w:ascii="方正仿宋_GBK" w:hAnsi="宋体" w:eastAsia="方正仿宋_GBK" w:cs="宋体"/>
          <w:color w:val="auto"/>
          <w:szCs w:val="28"/>
          <w:highlight w:val="none"/>
        </w:rPr>
        <w:t>澄清等开标前公布的所有项目资料（本次招标不提供纸质版招标文件）的获取和下载，无论投标人下载或获取与否，均视为已知晓所有招标内容。</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注：</w:t>
      </w:r>
      <w:r>
        <w:rPr>
          <w:rFonts w:hint="eastAsia" w:ascii="方正仿宋_GBK" w:hAnsi="宋体" w:eastAsia="方正仿宋_GBK" w:cs="宋体"/>
          <w:color w:val="auto"/>
          <w:szCs w:val="28"/>
          <w:highlight w:val="none"/>
          <w:lang w:eastAsia="zh-CN"/>
        </w:rPr>
        <w:t>登录</w:t>
      </w:r>
      <w:r>
        <w:rPr>
          <w:rFonts w:hint="eastAsia" w:ascii="方正仿宋_GBK" w:hAnsi="宋体" w:eastAsia="方正仿宋_GBK" w:cs="宋体"/>
          <w:color w:val="auto"/>
          <w:szCs w:val="28"/>
          <w:highlight w:val="none"/>
        </w:rPr>
        <w:t>“重庆市政府采购网”获取电子标书无须CA证书，CA证书仅用于制作电子投标文件、开标解密。</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（三）招标公告所附招标文件仅供阅览使用，投标人只有在规定的采购文件提供期限内</w:t>
      </w:r>
      <w:r>
        <w:rPr>
          <w:rFonts w:hint="eastAsia" w:ascii="方正仿宋_GBK" w:hAnsi="宋体" w:eastAsia="方正仿宋_GBK" w:cs="宋体"/>
          <w:color w:val="auto"/>
          <w:szCs w:val="28"/>
          <w:highlight w:val="none"/>
          <w:lang w:eastAsia="zh-CN"/>
        </w:rPr>
        <w:t>登录</w:t>
      </w:r>
      <w:r>
        <w:rPr>
          <w:rFonts w:hint="eastAsia" w:ascii="方正仿宋_GBK" w:hAnsi="宋体" w:eastAsia="方正仿宋_GBK" w:cs="宋体"/>
          <w:color w:val="auto"/>
          <w:szCs w:val="28"/>
          <w:highlight w:val="none"/>
        </w:rPr>
        <w:t>“重庆市政府采购网”→进入“个人中心”→“在线开评标”→“电子标书在线获取”处→搜索该项目，并在项目信息右侧点击“在线获取”按钮完成网上获取采购文件，投标人才被视为合法获取了采购文件，否则其投标将被拒绝。</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即：若投标人未通过以上获取采购文件流程完成采购文件的下载、获取，投标人将无法在电子招投标系统中上传电子投标文件。</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注意事项：本项目为重庆市政府采购电子招投标项目，首次参与电子招投标的投标人须申请重庆市政府采购网账号密码、办理CA证书（</w:t>
      </w:r>
      <w:r>
        <w:rPr>
          <w:rFonts w:hint="eastAsia" w:ascii="方正仿宋_GBK" w:hAnsi="宋体" w:eastAsia="方正仿宋_GBK" w:cs="宋体"/>
          <w:b/>
          <w:bCs/>
          <w:color w:val="auto"/>
          <w:szCs w:val="28"/>
          <w:highlight w:val="none"/>
        </w:rPr>
        <w:t>办理CA证书费用由供应商自行承担</w:t>
      </w:r>
      <w:r>
        <w:rPr>
          <w:rFonts w:hint="eastAsia" w:ascii="方正仿宋_GBK" w:hAnsi="宋体" w:eastAsia="方正仿宋_GBK" w:cs="宋体"/>
          <w:color w:val="auto"/>
          <w:szCs w:val="28"/>
          <w:highlight w:val="none"/>
        </w:rPr>
        <w:t>）并下载电子投标文件制作系统，制作电子投标文件进行互联网在线投标，具体操作流程请下载项目公告附件《采购公告附件（投标人必看手册）24-4版》进行查看。因未注册重庆市政府采购网账号、未办理CA证书、操作不当等原因造成无法投标或投标失败的后果由投标人自行承担。</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CA证书的办理流程：登录“重庆市政府采购网”→“个人中心”→“在线开评标”→“电子招投标中心”→“相关下载”栏目，下载附件《重庆市全流程电子招投标项目投标人办理正式CA签章流程手册》，并按照其中要求操作。</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2.电子投标文件制作：登录“重庆市政府采购网”→“个人中心”→“在线开评标”→“电子招投标中心”→“相关下载”栏目，下载“投标文件制作工具下载_64</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含32位</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统一签章客户端（正式版）” 安装包，并按照《政府采购全程电子化采购系统供应商操作手册（CA证书签章版）</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【供应商必看】政府采购（CA版）供应商投标前软件安装手册》要求操作</w:t>
      </w:r>
      <w:bookmarkEnd w:id="31"/>
      <w:r>
        <w:rPr>
          <w:rFonts w:hint="eastAsia" w:ascii="方正仿宋_GBK" w:hAnsi="宋体" w:eastAsia="方正仿宋_GBK" w:cs="宋体"/>
          <w:color w:val="auto"/>
          <w:szCs w:val="28"/>
          <w:highlight w:val="none"/>
        </w:rPr>
        <w:t>。</w:t>
      </w:r>
    </w:p>
    <w:bookmarkEnd w:id="29"/>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（四）招标文件公告期限：自采购公告发布之日起五个工作日。</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（五）招标文件获取期限及招标文件售价</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1.招标文件获取期限：202</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年</w:t>
      </w:r>
      <w:r>
        <w:rPr>
          <w:rFonts w:hint="eastAsia" w:ascii="方正仿宋_GBK" w:hAnsi="宋体" w:eastAsia="方正仿宋_GBK" w:cs="宋体"/>
          <w:color w:val="auto"/>
          <w:szCs w:val="28"/>
          <w:highlight w:val="none"/>
          <w:lang w:val="en-US" w:eastAsia="zh-CN"/>
        </w:rPr>
        <w:t>7</w:t>
      </w:r>
      <w:r>
        <w:rPr>
          <w:rFonts w:hint="eastAsia" w:ascii="方正仿宋_GBK" w:hAnsi="宋体" w:eastAsia="方正仿宋_GBK" w:cs="宋体"/>
          <w:color w:val="auto"/>
          <w:szCs w:val="28"/>
          <w:highlight w:val="none"/>
        </w:rPr>
        <w:t>月</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日至202</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年</w:t>
      </w:r>
      <w:r>
        <w:rPr>
          <w:rFonts w:hint="eastAsia" w:ascii="方正仿宋_GBK" w:hAnsi="宋体" w:eastAsia="方正仿宋_GBK" w:cs="宋体"/>
          <w:color w:val="auto"/>
          <w:szCs w:val="28"/>
          <w:highlight w:val="none"/>
          <w:lang w:val="en-US" w:eastAsia="zh-CN"/>
        </w:rPr>
        <w:t>7</w:t>
      </w:r>
      <w:r>
        <w:rPr>
          <w:rFonts w:hint="eastAsia" w:ascii="方正仿宋_GBK" w:hAnsi="宋体" w:eastAsia="方正仿宋_GBK" w:cs="宋体"/>
          <w:color w:val="auto"/>
          <w:szCs w:val="28"/>
          <w:highlight w:val="none"/>
        </w:rPr>
        <w:t>月</w:t>
      </w:r>
      <w:r>
        <w:rPr>
          <w:rFonts w:hint="eastAsia" w:ascii="方正仿宋_GBK" w:hAnsi="宋体" w:eastAsia="方正仿宋_GBK" w:cs="宋体"/>
          <w:color w:val="auto"/>
          <w:szCs w:val="28"/>
          <w:highlight w:val="none"/>
          <w:lang w:val="en-US" w:eastAsia="zh-CN"/>
        </w:rPr>
        <w:t>11</w:t>
      </w:r>
      <w:r>
        <w:rPr>
          <w:rFonts w:hint="eastAsia" w:ascii="方正仿宋_GBK" w:hAnsi="宋体" w:eastAsia="方正仿宋_GBK" w:cs="宋体"/>
          <w:color w:val="auto"/>
          <w:szCs w:val="28"/>
          <w:highlight w:val="none"/>
        </w:rPr>
        <w:t>日。</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2.招标文件阅览：详见本项目招标公告的附件。</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3.招标文件售价：人民币0.00元/包。</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（六）电子投标文件递交</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电子投标文件递交方式：本项目采用网上递交方式，投标人于电子投标文件递交截止时间前，登录“重庆市政府采购网”，进入“在线开评标”栏目，在“我的投标项目”→“在线投标”板块内找到对应投标项目，进行电子投标文件递交。</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 电子投标文件递交开始时间、截止时间：202</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年7月</w:t>
      </w:r>
      <w:r>
        <w:rPr>
          <w:rFonts w:hint="eastAsia" w:ascii="方正仿宋_GBK" w:hAnsi="宋体" w:eastAsia="方正仿宋_GBK" w:cs="宋体"/>
          <w:color w:val="auto"/>
          <w:szCs w:val="28"/>
          <w:highlight w:val="none"/>
          <w:lang w:val="en-US" w:eastAsia="zh-CN"/>
        </w:rPr>
        <w:t>24</w:t>
      </w:r>
      <w:r>
        <w:rPr>
          <w:rFonts w:hint="eastAsia" w:ascii="方正仿宋_GBK" w:hAnsi="宋体" w:eastAsia="方正仿宋_GBK" w:cs="宋体"/>
          <w:color w:val="auto"/>
          <w:szCs w:val="28"/>
          <w:highlight w:val="none"/>
        </w:rPr>
        <w:t>日北京时间9:00—202</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年7月</w:t>
      </w:r>
      <w:r>
        <w:rPr>
          <w:rFonts w:hint="eastAsia" w:ascii="方正仿宋_GBK" w:hAnsi="宋体" w:eastAsia="方正仿宋_GBK" w:cs="宋体"/>
          <w:color w:val="auto"/>
          <w:szCs w:val="28"/>
          <w:highlight w:val="none"/>
          <w:lang w:val="en-US" w:eastAsia="zh-CN"/>
        </w:rPr>
        <w:t>25</w:t>
      </w:r>
      <w:r>
        <w:rPr>
          <w:rFonts w:hint="eastAsia" w:ascii="方正仿宋_GBK" w:hAnsi="宋体" w:eastAsia="方正仿宋_GBK" w:cs="宋体"/>
          <w:color w:val="auto"/>
          <w:szCs w:val="28"/>
          <w:highlight w:val="none"/>
        </w:rPr>
        <w:t>日北京时间9:</w:t>
      </w:r>
      <w:r>
        <w:rPr>
          <w:rFonts w:hint="eastAsia" w:ascii="方正仿宋_GBK" w:hAnsi="宋体" w:eastAsia="方正仿宋_GBK" w:cs="宋体"/>
          <w:color w:val="auto"/>
          <w:szCs w:val="28"/>
          <w:highlight w:val="none"/>
          <w:lang w:val="en-US" w:eastAsia="zh-CN"/>
        </w:rPr>
        <w:t>1</w:t>
      </w:r>
      <w:r>
        <w:rPr>
          <w:rFonts w:hint="eastAsia" w:ascii="方正仿宋_GBK" w:hAnsi="宋体" w:eastAsia="方正仿宋_GBK" w:cs="宋体"/>
          <w:color w:val="auto"/>
          <w:szCs w:val="28"/>
          <w:highlight w:val="none"/>
        </w:rPr>
        <w:t>0（以电子招投标平台显示的时间为准，其他时间不接受任何形式的送达）。</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（七）开标信息</w:t>
      </w:r>
    </w:p>
    <w:p>
      <w:pPr>
        <w:spacing w:line="440" w:lineRule="exact"/>
        <w:ind w:firstLine="560" w:firstLineChars="200"/>
        <w:rPr>
          <w:rFonts w:hint="default" w:ascii="方正仿宋_GBK" w:hAnsi="宋体" w:eastAsia="方正仿宋_GBK" w:cs="宋体"/>
          <w:color w:val="auto"/>
          <w:szCs w:val="28"/>
          <w:highlight w:val="none"/>
          <w:lang w:val="en-US" w:eastAsia="zh-CN"/>
        </w:rPr>
      </w:pPr>
      <w:r>
        <w:rPr>
          <w:rFonts w:hint="eastAsia" w:ascii="方正仿宋_GBK" w:hAnsi="宋体" w:eastAsia="方正仿宋_GBK" w:cs="宋体"/>
          <w:color w:val="auto"/>
          <w:szCs w:val="28"/>
          <w:highlight w:val="none"/>
        </w:rPr>
        <w:t>1.开标时间：202</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年7月</w:t>
      </w:r>
      <w:r>
        <w:rPr>
          <w:rFonts w:hint="eastAsia" w:ascii="方正仿宋_GBK" w:hAnsi="宋体" w:eastAsia="方正仿宋_GBK" w:cs="宋体"/>
          <w:color w:val="auto"/>
          <w:szCs w:val="28"/>
          <w:highlight w:val="none"/>
          <w:lang w:val="en-US" w:eastAsia="zh-CN"/>
        </w:rPr>
        <w:t>25</w:t>
      </w:r>
      <w:r>
        <w:rPr>
          <w:rFonts w:hint="eastAsia" w:ascii="方正仿宋_GBK" w:hAnsi="宋体" w:eastAsia="方正仿宋_GBK" w:cs="宋体"/>
          <w:color w:val="auto"/>
          <w:szCs w:val="28"/>
          <w:highlight w:val="none"/>
        </w:rPr>
        <w:t>日北京时间</w:t>
      </w:r>
      <w:r>
        <w:rPr>
          <w:rFonts w:hint="eastAsia" w:ascii="方正仿宋_GBK" w:hAnsi="宋体" w:eastAsia="方正仿宋_GBK" w:cs="宋体"/>
          <w:color w:val="auto"/>
          <w:szCs w:val="28"/>
          <w:highlight w:val="none"/>
        </w:rPr>
        <w:t>9:</w:t>
      </w:r>
      <w:r>
        <w:rPr>
          <w:rFonts w:hint="eastAsia" w:ascii="方正仿宋_GBK" w:hAnsi="宋体" w:eastAsia="方正仿宋_GBK" w:cs="宋体"/>
          <w:color w:val="auto"/>
          <w:szCs w:val="28"/>
          <w:highlight w:val="none"/>
          <w:lang w:val="en-US" w:eastAsia="zh-CN"/>
        </w:rPr>
        <w:t>1</w:t>
      </w:r>
      <w:bookmarkStart w:id="317" w:name="_GoBack"/>
      <w:bookmarkEnd w:id="317"/>
      <w:r>
        <w:rPr>
          <w:rFonts w:hint="eastAsia" w:ascii="方正仿宋_GBK" w:hAnsi="宋体" w:eastAsia="方正仿宋_GBK" w:cs="宋体"/>
          <w:color w:val="auto"/>
          <w:szCs w:val="28"/>
          <w:highlight w:val="none"/>
        </w:rPr>
        <w:t>0</w:t>
      </w:r>
    </w:p>
    <w:p>
      <w:pPr>
        <w:spacing w:line="440" w:lineRule="exact"/>
        <w:ind w:firstLine="560" w:firstLineChars="200"/>
        <w:rPr>
          <w:rFonts w:hint="eastAsia" w:ascii="方正仿宋_GBK" w:hAnsi="宋体" w:eastAsia="方正仿宋_GBK" w:cs="宋体"/>
          <w:color w:val="auto"/>
          <w:szCs w:val="28"/>
          <w:highlight w:val="none"/>
        </w:rPr>
      </w:pPr>
      <w:bookmarkStart w:id="32" w:name="_Hlk148296032"/>
      <w:r>
        <w:rPr>
          <w:rFonts w:hint="eastAsia" w:ascii="方正仿宋_GBK" w:hAnsi="宋体" w:eastAsia="方正仿宋_GBK" w:cs="宋体"/>
          <w:color w:val="auto"/>
          <w:szCs w:val="28"/>
          <w:highlight w:val="none"/>
        </w:rPr>
        <w:t>2.开标方式：</w:t>
      </w:r>
      <w:r>
        <w:rPr>
          <w:rFonts w:hint="eastAsia" w:ascii="方正仿宋_GBK" w:hAnsi="宋体" w:eastAsia="方正仿宋_GBK" w:cs="宋体"/>
          <w:b/>
          <w:bCs/>
          <w:color w:val="auto"/>
          <w:szCs w:val="28"/>
          <w:highlight w:val="none"/>
        </w:rPr>
        <w:t>本项目采用网上在线开标方式</w:t>
      </w:r>
      <w:r>
        <w:rPr>
          <w:rFonts w:hint="eastAsia" w:ascii="方正仿宋_GBK" w:hAnsi="宋体" w:eastAsia="方正仿宋_GBK" w:cs="宋体"/>
          <w:color w:val="auto"/>
          <w:szCs w:val="28"/>
          <w:highlight w:val="none"/>
        </w:rPr>
        <w:t>，投标人的法定代表人或其授权代表须持CA证书和可以上网的电脑（用于在线开标的电脑必须带有摄像头和麦克风、声卡等功能），于规定的开标时间前30分钟登录“重庆市政府采购网”→“个人中心”→“在线开评标”→“ 开评标大厅”，进入电子开标室完成在线准备。开标开始后投标人须根据采购代理机构引导在电子开标室完成电子投标文件解密、查看开标一览汇总表等工作。</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因投标人自身原因导致未能在规定时间内解密电子投标文件或参与在线开标的，其后果由投标人自行承担。</w:t>
      </w:r>
    </w:p>
    <w:bookmarkEnd w:id="32"/>
    <w:p>
      <w:pPr>
        <w:spacing w:line="440" w:lineRule="exact"/>
        <w:ind w:firstLine="560" w:firstLineChars="200"/>
        <w:rPr>
          <w:rFonts w:hint="eastAsia" w:ascii="方正仿宋_GBK" w:hAnsi="宋体" w:eastAsia="方正仿宋_GBK" w:cs="宋体"/>
          <w:color w:val="auto"/>
          <w:szCs w:val="28"/>
          <w:highlight w:val="none"/>
        </w:rPr>
      </w:pPr>
      <w:bookmarkStart w:id="33" w:name="_Hlk148296471"/>
      <w:r>
        <w:rPr>
          <w:rFonts w:hint="eastAsia" w:ascii="方正仿宋_GBK" w:hAnsi="宋体" w:eastAsia="方正仿宋_GBK" w:cs="宋体"/>
          <w:color w:val="auto"/>
          <w:szCs w:val="28"/>
          <w:highlight w:val="none"/>
        </w:rPr>
        <w:t>注：电子招投标系统开标时间前30分钟是供应商自主在线准备环节时间（是否在线准备由供应商主观决定，在线准备环节意义在于提前测试CA证书与当前电脑设备运行环境是否正常），在线准备环节不具备签到意义，特此声明。</w:t>
      </w:r>
    </w:p>
    <w:bookmarkEnd w:id="33"/>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（八）其他补充事宜</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 投标人如未在规定解密时长（系统默认30分钟解密时长，采购人/采购代理机构可根据现场投标情况进行延长/变更解密时长）内解密电子投标文件的情形约定：</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因政府采购全程电子化系统客观原因影响解密时长的，采购人/采购代理机构可根据现场实际情况延长解密时长。投标人在仍不能正常解密的情况下，投标人可向采购人/采购代理机构申请，启用上传不加密的电子备份投标文件的方法作为补救措施；在规定的解密时长内，投标人既不解密，也未提供不加密的电子备份投标文件作为补救措施的，视为投标人主动放弃对该项目的投标资格。</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因投标人主观原因未在规定解密时长内完成解密工作的，且未在规定解密时长内向采购人/采购代理机构申请启用上传不加密的电子备份投标文件的方法作为补救措施或者已申请启用电子备份投标文件后仍不在规定解密时长内提供有效不加密的电子备份投标文件的情况，都视为投标人在递交电子投标文件截止时间后撤销电子投标文件，投标无效且投标人不得再参与本项目后续采购活动。</w:t>
      </w:r>
    </w:p>
    <w:p>
      <w:pPr>
        <w:spacing w:line="440" w:lineRule="exact"/>
        <w:ind w:firstLine="560" w:firstLineChars="200"/>
        <w:rPr>
          <w:rFonts w:hint="eastAsia" w:ascii="方正仿宋_GBK" w:hAnsi="宋体" w:eastAsia="方正仿宋_GBK" w:cs="宋体"/>
          <w:color w:val="auto"/>
          <w:szCs w:val="28"/>
          <w:highlight w:val="none"/>
        </w:rPr>
      </w:pPr>
      <w:bookmarkStart w:id="34" w:name="_Hlk148296567"/>
      <w:r>
        <w:rPr>
          <w:rFonts w:hint="eastAsia" w:ascii="方正仿宋_GBK" w:hAnsi="宋体" w:eastAsia="方正仿宋_GBK" w:cs="宋体"/>
          <w:color w:val="auto"/>
          <w:szCs w:val="28"/>
          <w:highlight w:val="none"/>
        </w:rPr>
        <w:t>2.本项目采用全流程电子招投标。各投标人需熟悉了解整个政府采购电子化开评标全过程。具体电子化采购规则以及操作指南请下载项目公告附件《采购公告附件（投标人必看手册）24-4版》（《重庆市全流程电子招投标项目投标人办理正式CA签章流程手册》和《政府采购全程电子化采购系统供应商操作手册（CA证书签章版）</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【供应商必看】政府采购（CA版）供应商投标前软件安装手册》），并按其对应手册要求完成操作。</w:t>
      </w:r>
    </w:p>
    <w:bookmarkEnd w:id="30"/>
    <w:bookmarkEnd w:id="34"/>
    <w:p>
      <w:pPr>
        <w:pStyle w:val="3"/>
        <w:spacing w:line="440" w:lineRule="exact"/>
        <w:ind w:firstLine="562" w:firstLineChars="200"/>
        <w:rPr>
          <w:rFonts w:hint="eastAsia" w:ascii="方正黑体_GBK" w:eastAsia="方正黑体_GBK" w:cs="宋体"/>
          <w:b/>
          <w:color w:val="auto"/>
          <w:szCs w:val="28"/>
          <w:highlight w:val="none"/>
        </w:rPr>
      </w:pPr>
      <w:bookmarkStart w:id="35" w:name="_Toc169703173"/>
      <w:bookmarkStart w:id="36" w:name="_Toc23304"/>
      <w:bookmarkStart w:id="37" w:name="_Toc23956"/>
      <w:bookmarkStart w:id="38" w:name="_Toc14848"/>
      <w:r>
        <w:rPr>
          <w:rFonts w:hint="eastAsia" w:ascii="方正黑体_GBK" w:eastAsia="方正黑体_GBK" w:cs="宋体"/>
          <w:b/>
          <w:color w:val="auto"/>
          <w:szCs w:val="28"/>
          <w:highlight w:val="none"/>
        </w:rPr>
        <w:t>五、投标保证金</w:t>
      </w:r>
      <w:bookmarkEnd w:id="35"/>
      <w:bookmarkEnd w:id="36"/>
      <w:bookmarkEnd w:id="37"/>
      <w:bookmarkEnd w:id="38"/>
    </w:p>
    <w:p>
      <w:pPr>
        <w:pStyle w:val="3"/>
        <w:spacing w:line="440" w:lineRule="exact"/>
        <w:ind w:firstLine="562" w:firstLineChars="200"/>
        <w:rPr>
          <w:rFonts w:hint="eastAsia" w:ascii="方正楷体_GBK" w:eastAsia="方正楷体_GBK" w:cs="宋体"/>
          <w:b/>
          <w:color w:val="auto"/>
          <w:szCs w:val="28"/>
          <w:highlight w:val="none"/>
        </w:rPr>
      </w:pPr>
      <w:bookmarkStart w:id="39" w:name="_Toc25221"/>
      <w:bookmarkStart w:id="40" w:name="_Toc169703174"/>
      <w:r>
        <w:rPr>
          <w:rFonts w:hint="eastAsia" w:ascii="方正楷体_GBK" w:eastAsia="方正楷体_GBK" w:cs="宋体"/>
          <w:b/>
          <w:color w:val="auto"/>
          <w:szCs w:val="28"/>
          <w:highlight w:val="none"/>
        </w:rPr>
        <w:t>（一）投标保证金缴纳</w:t>
      </w:r>
      <w:bookmarkEnd w:id="39"/>
      <w:bookmarkEnd w:id="40"/>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本项目投标保证金应当以支票、汇票、本票或者金融机构、担保机构出具的保函等非现金形式提交。</w:t>
      </w:r>
    </w:p>
    <w:p>
      <w:pPr>
        <w:spacing w:line="440" w:lineRule="exact"/>
        <w:ind w:firstLine="562"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b/>
          <w:bCs/>
          <w:color w:val="auto"/>
          <w:szCs w:val="28"/>
          <w:highlight w:val="none"/>
        </w:rPr>
        <w:t>方式一：以银行转账</w:t>
      </w:r>
      <w:r>
        <w:rPr>
          <w:rFonts w:hint="eastAsia" w:ascii="方正仿宋_GBK" w:hAnsi="仿宋" w:eastAsia="方正仿宋_GBK" w:cs="仿宋"/>
          <w:b/>
          <w:bCs/>
          <w:color w:val="auto"/>
          <w:kern w:val="0"/>
          <w:szCs w:val="28"/>
          <w:highlight w:val="none"/>
        </w:rPr>
        <w:t>形式缴纳投标保证金</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投标人应足额缴纳投标保证金（投标保证金金额详见本篇，一、招标项目内容），并汇至所投分包对应的重庆市武隆区教育信息技术与服务中心的账号上，投标保证金的到账截止时间同电子投标文件递交截止时间。</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投标人应按照项目（或各分包）账户递交保证金。</w:t>
      </w:r>
    </w:p>
    <w:p>
      <w:pPr>
        <w:snapToGrid w:val="0"/>
        <w:spacing w:line="440" w:lineRule="exact"/>
        <w:ind w:firstLine="560" w:firstLineChars="200"/>
        <w:rPr>
          <w:rFonts w:hint="eastAsia" w:ascii="方正仿宋_GBK" w:hAnsi="宋体" w:eastAsia="方正仿宋_GBK" w:cs="方正仿宋_GBK"/>
          <w:color w:val="auto"/>
          <w:szCs w:val="28"/>
          <w:highlight w:val="none"/>
        </w:rPr>
      </w:pPr>
      <w:r>
        <w:rPr>
          <w:rFonts w:hint="eastAsia" w:ascii="方正仿宋_GBK" w:hAnsi="宋体" w:eastAsia="方正仿宋_GBK" w:cs="方正仿宋_GBK"/>
          <w:color w:val="auto"/>
          <w:szCs w:val="28"/>
          <w:highlight w:val="none"/>
          <w:lang w:bidi="ar"/>
        </w:rPr>
        <w:t>单位名称：重庆市武隆区教育信息技术与服务中心</w:t>
      </w:r>
    </w:p>
    <w:p>
      <w:pPr>
        <w:snapToGrid w:val="0"/>
        <w:spacing w:line="440" w:lineRule="exact"/>
        <w:ind w:firstLine="560" w:firstLineChars="200"/>
        <w:rPr>
          <w:rFonts w:hint="eastAsia" w:ascii="方正仿宋_GBK" w:hAnsi="宋体" w:eastAsia="方正仿宋_GBK" w:cs="方正仿宋_GBK"/>
          <w:color w:val="auto"/>
          <w:szCs w:val="28"/>
          <w:highlight w:val="none"/>
        </w:rPr>
      </w:pPr>
      <w:r>
        <w:rPr>
          <w:rFonts w:hint="eastAsia" w:ascii="方正仿宋_GBK" w:hAnsi="宋体" w:eastAsia="方正仿宋_GBK" w:cs="方正仿宋_GBK"/>
          <w:color w:val="auto"/>
          <w:szCs w:val="28"/>
          <w:highlight w:val="none"/>
          <w:lang w:bidi="ar"/>
        </w:rPr>
        <w:t>银行账号：50050128360000001074</w:t>
      </w:r>
    </w:p>
    <w:p>
      <w:pPr>
        <w:snapToGrid w:val="0"/>
        <w:spacing w:line="440" w:lineRule="exact"/>
        <w:ind w:firstLine="560" w:firstLineChars="200"/>
        <w:rPr>
          <w:rFonts w:hint="eastAsia" w:ascii="方正仿宋_GBK" w:hAnsi="宋体" w:eastAsia="方正仿宋_GBK" w:cs="方正仿宋_GBK"/>
          <w:color w:val="auto"/>
          <w:szCs w:val="28"/>
          <w:highlight w:val="none"/>
        </w:rPr>
      </w:pPr>
      <w:r>
        <w:rPr>
          <w:rFonts w:hint="eastAsia" w:ascii="方正仿宋_GBK" w:hAnsi="宋体" w:eastAsia="方正仿宋_GBK" w:cs="方正仿宋_GBK"/>
          <w:color w:val="auto"/>
          <w:szCs w:val="28"/>
          <w:highlight w:val="none"/>
          <w:lang w:bidi="ar"/>
        </w:rPr>
        <w:t>开户银行：中国建设银行股份有限公司重庆武隆支行</w:t>
      </w:r>
    </w:p>
    <w:p>
      <w:pPr>
        <w:spacing w:line="440" w:lineRule="exact"/>
        <w:ind w:firstLine="560" w:firstLineChars="200"/>
        <w:rPr>
          <w:rFonts w:hint="eastAsia" w:ascii="方正仿宋_GBK" w:hAnsi="宋体" w:eastAsia="方正仿宋_GBK" w:cs="方正仿宋_GBK"/>
          <w:color w:val="auto"/>
          <w:szCs w:val="28"/>
          <w:highlight w:val="none"/>
          <w:lang w:bidi="ar"/>
        </w:rPr>
      </w:pPr>
      <w:r>
        <w:rPr>
          <w:rFonts w:hint="eastAsia" w:ascii="方正仿宋_GBK" w:hAnsi="宋体" w:eastAsia="方正仿宋_GBK" w:cs="方正仿宋_GBK"/>
          <w:color w:val="auto"/>
          <w:szCs w:val="28"/>
          <w:highlight w:val="none"/>
          <w:lang w:bidi="ar"/>
        </w:rPr>
        <w:t>注：请在汇款备注栏内注明“</w:t>
      </w:r>
      <w:r>
        <w:rPr>
          <w:rFonts w:hint="eastAsia" w:ascii="方正仿宋_GBK" w:hAnsi="宋体" w:eastAsia="方正仿宋_GBK" w:cs="方正仿宋_GBK"/>
          <w:color w:val="auto"/>
          <w:szCs w:val="28"/>
          <w:highlight w:val="none"/>
          <w:lang w:eastAsia="zh-CN" w:bidi="ar"/>
        </w:rPr>
        <w:t>午休课桌椅</w:t>
      </w:r>
      <w:r>
        <w:rPr>
          <w:rFonts w:hint="eastAsia" w:ascii="方正仿宋_GBK" w:hAnsi="宋体" w:eastAsia="方正仿宋_GBK" w:cs="方正仿宋_GBK"/>
          <w:color w:val="auto"/>
          <w:szCs w:val="28"/>
          <w:highlight w:val="none"/>
          <w:lang w:bidi="ar"/>
        </w:rPr>
        <w:t>投标保证金”，以便查阅</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（1）投标人在银行转账（电汇）时，须充分考虑银行转账（电汇）的时间差风险，如同城转账、异地转账或汇款、跨行转账或电汇的时间要求。</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（2）投标人在缴纳投标保证金时，到款账户为上述指定的投标保证金专用账户。</w:t>
      </w:r>
    </w:p>
    <w:p>
      <w:pPr>
        <w:spacing w:line="440" w:lineRule="exact"/>
        <w:ind w:firstLine="562" w:firstLineChars="200"/>
        <w:rPr>
          <w:rFonts w:hint="eastAsia" w:ascii="方正仿宋_GBK" w:hAnsi="仿宋" w:eastAsia="方正仿宋_GBK" w:cs="仿宋"/>
          <w:b/>
          <w:bCs/>
          <w:color w:val="auto"/>
          <w:kern w:val="0"/>
          <w:szCs w:val="28"/>
          <w:highlight w:val="none"/>
        </w:rPr>
      </w:pPr>
      <w:r>
        <w:rPr>
          <w:rFonts w:hint="eastAsia" w:ascii="方正仿宋_GBK" w:hAnsi="宋体" w:eastAsia="方正仿宋_GBK" w:cs="宋体"/>
          <w:b/>
          <w:bCs/>
          <w:color w:val="auto"/>
          <w:szCs w:val="28"/>
          <w:highlight w:val="none"/>
        </w:rPr>
        <w:t>方式二：</w:t>
      </w:r>
      <w:r>
        <w:rPr>
          <w:rFonts w:hint="eastAsia" w:ascii="方正仿宋_GBK" w:hAnsi="仿宋" w:eastAsia="方正仿宋_GBK" w:cs="仿宋"/>
          <w:b/>
          <w:bCs/>
          <w:color w:val="auto"/>
          <w:kern w:val="0"/>
          <w:szCs w:val="28"/>
          <w:highlight w:val="none"/>
        </w:rPr>
        <w:t>以纸质保函形式缴纳投标保证金</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1.纸质投标保函缴纳形式及要求：</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（1）缴纳形式：投标人提供不可撤销且见索即付的金融机构或担保机构纸质保函。</w:t>
      </w:r>
    </w:p>
    <w:p>
      <w:pPr>
        <w:snapToGrid w:val="0"/>
        <w:spacing w:line="440" w:lineRule="exact"/>
        <w:ind w:firstLine="560" w:firstLineChars="200"/>
        <w:rPr>
          <w:rFonts w:hint="eastAsia" w:ascii="方正仿宋_GBK" w:hAnsi="宋体" w:eastAsia="方正仿宋_GBK" w:cs="宋体"/>
          <w:b w:val="0"/>
          <w:bCs/>
          <w:color w:val="auto"/>
          <w:szCs w:val="28"/>
          <w:highlight w:val="none"/>
        </w:rPr>
      </w:pPr>
      <w:r>
        <w:rPr>
          <w:rFonts w:hint="eastAsia" w:ascii="方正仿宋_GBK" w:hAnsi="宋体" w:eastAsia="方正仿宋_GBK" w:cs="宋体"/>
          <w:b w:val="0"/>
          <w:bCs/>
          <w:color w:val="auto"/>
          <w:szCs w:val="28"/>
          <w:highlight w:val="none"/>
        </w:rPr>
        <w:t>（2）具体要求：投标人须提供一份纸质投标保函正本和一份</w:t>
      </w:r>
      <w:bookmarkStart w:id="41" w:name="OLE_LINK1"/>
      <w:r>
        <w:rPr>
          <w:rFonts w:hint="eastAsia" w:ascii="方正仿宋_GBK" w:hAnsi="宋体" w:eastAsia="方正仿宋_GBK" w:cs="宋体"/>
          <w:b w:val="0"/>
          <w:bCs/>
          <w:color w:val="auto"/>
          <w:szCs w:val="28"/>
          <w:highlight w:val="none"/>
        </w:rPr>
        <w:t>纸质投标保函正本</w:t>
      </w:r>
      <w:bookmarkEnd w:id="41"/>
      <w:r>
        <w:rPr>
          <w:rFonts w:hint="eastAsia" w:ascii="方正仿宋_GBK" w:hAnsi="宋体" w:eastAsia="方正仿宋_GBK" w:cs="宋体"/>
          <w:b w:val="0"/>
          <w:bCs/>
          <w:color w:val="auto"/>
          <w:szCs w:val="28"/>
          <w:highlight w:val="none"/>
        </w:rPr>
        <w:t>纸质复制件、一份纸质投标保函正本电子复制件并加盖投标人单位鲜章。一份电子复制件须装在“第七篇  电子投标文件格式”规定的“四、其他（二）其他与项目有关的资料（自附）”的电子投标文件中，另一份纸质复印件和纸质投标保函正本原件单独密封装订，并于电子投标文件递交截止时间前在开标前的现场递交给采购人审查、保管。纸质投标保函应至少体现如下内容：</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①担保项目必须为本项目；</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②受益人必须为本项目采购人；</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③保函担保金额与招标文件规定的投标保证金金额一致；</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④保函生效时间必须在</w:t>
      </w:r>
      <w:bookmarkStart w:id="42" w:name="_Hlk148216127"/>
      <w:r>
        <w:rPr>
          <w:rFonts w:hint="eastAsia" w:ascii="方正仿宋_GBK" w:hAnsi="宋体" w:eastAsia="方正仿宋_GBK" w:cs="宋体"/>
          <w:color w:val="auto"/>
          <w:szCs w:val="28"/>
          <w:highlight w:val="none"/>
        </w:rPr>
        <w:t>电子投标文件递交截止时间</w:t>
      </w:r>
      <w:bookmarkEnd w:id="42"/>
      <w:r>
        <w:rPr>
          <w:rFonts w:hint="eastAsia" w:ascii="方正仿宋_GBK" w:hAnsi="宋体" w:eastAsia="方正仿宋_GBK" w:cs="宋体"/>
          <w:color w:val="auto"/>
          <w:szCs w:val="28"/>
          <w:highlight w:val="none"/>
        </w:rPr>
        <w:t>前，有效期限必须至少包含整个投标有效期；</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⑤保函须不可撤销且见索即付。</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注：</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w:t>
      </w:r>
      <w:bookmarkStart w:id="43" w:name="_Hlk148216153"/>
      <w:r>
        <w:rPr>
          <w:rFonts w:hint="eastAsia" w:ascii="方正仿宋_GBK" w:hAnsi="宋体" w:eastAsia="方正仿宋_GBK" w:cs="宋体"/>
          <w:color w:val="auto"/>
          <w:szCs w:val="28"/>
          <w:highlight w:val="none"/>
        </w:rPr>
        <w:t>若电子投标文件递交截止时间延期，则纸质投标保函递交的截止时间和电子投标文件递交截止时间保持一致。</w:t>
      </w:r>
    </w:p>
    <w:bookmarkEnd w:id="43"/>
    <w:p>
      <w:pPr>
        <w:snapToGrid w:val="0"/>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（2）采购人负责对纸质保函正本内容进行形式审查，不满足上述要求的纸质投标保函无效。纸质保函正本原件由采购人负责保管。</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2.以纸质投标保函形式提供投标保证金的金额：详见本篇“一、招标项目内容”。</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3.投标人对其递交的纸质投标保函的真实性、合法性负责。</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4.</w:t>
      </w:r>
      <w:bookmarkStart w:id="44" w:name="_Hlk148216181"/>
      <w:r>
        <w:rPr>
          <w:rFonts w:hint="eastAsia" w:ascii="方正仿宋_GBK" w:hAnsi="宋体" w:eastAsia="方正仿宋_GBK" w:cs="宋体"/>
          <w:color w:val="auto"/>
          <w:szCs w:val="28"/>
          <w:highlight w:val="none"/>
        </w:rPr>
        <w:t>投标人在开标前，现场递交的纸质投标保函原件应与电子投标文件中提供的纸质投标保函正本电子复制件一致，不一致的以正本原件为准。</w:t>
      </w:r>
      <w:bookmarkEnd w:id="44"/>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5.如果发现投标人递交的纸质投标保函存在弄虚作假的，采购人或采购代理机构应当报行政主管部门依法处理。</w:t>
      </w:r>
    </w:p>
    <w:p>
      <w:pPr>
        <w:spacing w:line="440" w:lineRule="exact"/>
        <w:ind w:firstLine="562" w:firstLineChars="200"/>
        <w:rPr>
          <w:rFonts w:hint="eastAsia" w:ascii="方正仿宋_GBK" w:hAnsi="仿宋" w:eastAsia="方正仿宋_GBK" w:cs="仿宋"/>
          <w:b/>
          <w:bCs/>
          <w:color w:val="auto"/>
          <w:kern w:val="0"/>
          <w:szCs w:val="28"/>
          <w:highlight w:val="none"/>
        </w:rPr>
      </w:pPr>
      <w:r>
        <w:rPr>
          <w:rFonts w:hint="eastAsia" w:ascii="方正仿宋_GBK" w:hAnsi="仿宋" w:eastAsia="方正仿宋_GBK" w:cs="仿宋"/>
          <w:b/>
          <w:bCs/>
          <w:color w:val="auto"/>
          <w:kern w:val="0"/>
          <w:szCs w:val="28"/>
          <w:highlight w:val="none"/>
        </w:rPr>
        <w:t>方式三：以电子保函形式缴纳投标保证金</w:t>
      </w:r>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电子投标保函交纳形式及要求：投标人在电子投标文件递交截止时间前进入重庆政府采购网（www.ccgp-chongqing.gov.cn）→选择专题栏目→选择采购金融服务→在线申请投标保函。具体操作请下载项目招标公告附件《采购公告附件（投标人必看手册）24-4版》</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b/>
          <w:bCs/>
          <w:color w:val="auto"/>
          <w:szCs w:val="28"/>
          <w:highlight w:val="none"/>
        </w:rPr>
        <w:t>（</w:t>
      </w:r>
      <w:r>
        <w:rPr>
          <w:rFonts w:hint="eastAsia" w:ascii="方正仿宋_GBK" w:hAnsi="宋体" w:eastAsia="方正仿宋_GBK" w:cs="宋体"/>
          <w:color w:val="auto"/>
          <w:szCs w:val="28"/>
          <w:highlight w:val="none"/>
        </w:rPr>
        <w:t>《重庆政府采购网电子投标保函操作手册》</w:t>
      </w:r>
      <w:r>
        <w:rPr>
          <w:rFonts w:hint="eastAsia" w:ascii="方正仿宋_GBK" w:hAnsi="宋体" w:eastAsia="方正仿宋_GBK" w:cs="宋体"/>
          <w:b/>
          <w:bCs/>
          <w:color w:val="auto"/>
          <w:szCs w:val="28"/>
          <w:highlight w:val="none"/>
        </w:rPr>
        <w:t>）</w:t>
      </w:r>
      <w:r>
        <w:rPr>
          <w:rFonts w:hint="eastAsia" w:ascii="方正仿宋_GBK" w:hAnsi="宋体" w:eastAsia="方正仿宋_GBK" w:cs="宋体"/>
          <w:color w:val="auto"/>
          <w:szCs w:val="28"/>
          <w:highlight w:val="none"/>
        </w:rPr>
        <w:t>，若当前电子保函功能不能满足区域性选择时，投标人需提供纸质投标保函或其他缴纳保证</w:t>
      </w:r>
      <w:r>
        <w:rPr>
          <w:rFonts w:hint="eastAsia" w:ascii="方正仿宋_GBK" w:hAnsi="宋体" w:eastAsia="方正仿宋_GBK" w:cs="宋体"/>
          <w:color w:val="auto"/>
          <w:szCs w:val="28"/>
          <w:highlight w:val="none"/>
          <w:lang w:eastAsia="zh-CN"/>
        </w:rPr>
        <w:t>金的</w:t>
      </w:r>
      <w:r>
        <w:rPr>
          <w:rFonts w:hint="eastAsia" w:ascii="方正仿宋_GBK" w:hAnsi="宋体" w:eastAsia="方正仿宋_GBK" w:cs="宋体"/>
          <w:color w:val="auto"/>
          <w:szCs w:val="28"/>
          <w:highlight w:val="none"/>
        </w:rPr>
        <w:t>方式。</w:t>
      </w:r>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2.电子投标保函应至少体现如下内容：</w:t>
      </w:r>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①担保项目必须为本项目；</w:t>
      </w:r>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②受益人必须为本项目招标人；</w:t>
      </w:r>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③保函担保金额必须满足本项目要求；</w:t>
      </w:r>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④保函生效时间必须在电子投标文件递交截止时间前，有效期限必须至少包含整个投标有效期；</w:t>
      </w:r>
    </w:p>
    <w:p>
      <w:p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⑤保函须不可撤销且见索即付。</w:t>
      </w:r>
    </w:p>
    <w:p>
      <w:pPr>
        <w:numPr>
          <w:ilvl w:val="0"/>
          <w:numId w:val="18"/>
        </w:num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若电子投标文件递交截止时间延期，则电子投标保函提交的截止时间和电子投标文件递交截止时间应当保持一致。不满足上述要求的电子投标保函无效。</w:t>
      </w:r>
    </w:p>
    <w:p>
      <w:pPr>
        <w:numPr>
          <w:ilvl w:val="0"/>
          <w:numId w:val="18"/>
        </w:num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以电子投标保函形式担保的投标保证金的金额：（详见本篇，一、招标项目内容）。</w:t>
      </w:r>
    </w:p>
    <w:p>
      <w:pPr>
        <w:numPr>
          <w:ilvl w:val="0"/>
          <w:numId w:val="18"/>
        </w:num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电子投标保函以重庆市武隆区教育信息技术与服务中心开标现场展示的电子投标保函交纳情况为准，投标人在投标时无须再提供电子投标保函的相关资料。</w:t>
      </w:r>
    </w:p>
    <w:p>
      <w:pPr>
        <w:numPr>
          <w:ilvl w:val="0"/>
          <w:numId w:val="18"/>
        </w:num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若投标人为联合体，则由联合主办方（主体）提供电子投标保函。</w:t>
      </w:r>
    </w:p>
    <w:p>
      <w:pPr>
        <w:numPr>
          <w:ilvl w:val="0"/>
          <w:numId w:val="18"/>
        </w:numPr>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电子投标保函的注销：具体注销事宜由投标人自行与保函出具机构咨询协商。</w:t>
      </w:r>
    </w:p>
    <w:p>
      <w:pPr>
        <w:pStyle w:val="3"/>
        <w:spacing w:line="440" w:lineRule="exact"/>
        <w:ind w:firstLine="562" w:firstLineChars="200"/>
        <w:rPr>
          <w:rFonts w:hint="eastAsia" w:ascii="方正楷体_GBK" w:eastAsia="方正楷体_GBK" w:cs="宋体"/>
          <w:b/>
          <w:color w:val="auto"/>
          <w:szCs w:val="28"/>
          <w:highlight w:val="none"/>
        </w:rPr>
      </w:pPr>
      <w:bookmarkStart w:id="45" w:name="_Toc14060"/>
      <w:bookmarkStart w:id="46" w:name="_Toc169703175"/>
      <w:r>
        <w:rPr>
          <w:rFonts w:hint="eastAsia" w:ascii="方正楷体_GBK" w:eastAsia="方正楷体_GBK" w:cs="宋体"/>
          <w:b/>
          <w:color w:val="auto"/>
          <w:szCs w:val="28"/>
          <w:highlight w:val="none"/>
        </w:rPr>
        <w:t>（二）如有下列情况之一，作无效投标处理：</w:t>
      </w:r>
      <w:bookmarkEnd w:id="45"/>
      <w:bookmarkEnd w:id="46"/>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（1）投标人没有在投标保证金提交截止时间前缴纳投标保证金的；</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（2）投标保证金无法进行认定的；</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（3）所缴纳的投标保证金金额与招标文件规定的金额不相符的。</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以银行转账方式缴纳的投标保证金是否有效，由重庆市武隆区教育技术与服务中心将各投标人缴纳保证金到账时间、到账账户、到账金额的资料提交给评标委员会认定；以纸质投标保函形式缴纳的投标保证金是否有效；以电子保函形式缴</w:t>
      </w:r>
      <w:r>
        <w:rPr>
          <w:rFonts w:hint="eastAsia" w:ascii="方正仿宋_GBK" w:hAnsi="宋体" w:eastAsia="方正仿宋_GBK" w:cs="宋体"/>
          <w:color w:val="auto"/>
          <w:szCs w:val="28"/>
          <w:highlight w:val="none"/>
          <w:lang w:eastAsia="zh-CN"/>
        </w:rPr>
        <w:t>纳的</w:t>
      </w:r>
      <w:r>
        <w:rPr>
          <w:rFonts w:hint="eastAsia" w:ascii="方正仿宋_GBK" w:hAnsi="宋体" w:eastAsia="方正仿宋_GBK" w:cs="宋体"/>
          <w:color w:val="auto"/>
          <w:szCs w:val="28"/>
          <w:highlight w:val="none"/>
        </w:rPr>
        <w:t>投标保证金是否有效，由评标委员会认定。</w:t>
      </w:r>
    </w:p>
    <w:p>
      <w:pPr>
        <w:pStyle w:val="3"/>
        <w:spacing w:line="440" w:lineRule="exact"/>
        <w:ind w:firstLine="562" w:firstLineChars="200"/>
        <w:rPr>
          <w:rFonts w:hint="eastAsia" w:ascii="方正楷体_GBK" w:eastAsia="方正楷体_GBK" w:cs="宋体"/>
          <w:b/>
          <w:color w:val="auto"/>
          <w:szCs w:val="28"/>
          <w:highlight w:val="none"/>
        </w:rPr>
      </w:pPr>
      <w:bookmarkStart w:id="47" w:name="_Toc30069"/>
      <w:bookmarkStart w:id="48" w:name="_Toc169703176"/>
      <w:r>
        <w:rPr>
          <w:rFonts w:hint="eastAsia" w:ascii="方正楷体_GBK" w:eastAsia="方正楷体_GBK" w:cs="宋体"/>
          <w:b/>
          <w:color w:val="auto"/>
          <w:szCs w:val="28"/>
          <w:highlight w:val="none"/>
        </w:rPr>
        <w:t>（四）保证金退还方式</w:t>
      </w:r>
      <w:bookmarkEnd w:id="47"/>
      <w:bookmarkEnd w:id="48"/>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1.未中标投标人的投标保证金，自中标通知书发出之日起5个工作日内，重庆市武隆区教育信息技术与服务中心按资金来款渠道直接退还。</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2.中标人的投标保证金，自采购合同签订之日起5个工作日内，重庆市武隆区教育信息技术与服务中心按资金来款渠道直接退还。</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注：</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若因投标人自身原因导致投标保证金无法及时退还，后果由投标人自负。</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采购人应当自采购合同签订之日起2个工作日内将采购合同原件交武隆区教育委员会项目承办人处备案，若逾期未提交的，造成中标人的投标保证金不能按时退还的，责任由采购人承担；若采购人自中标通知书发出之日起8个日历日内未将采购合同交采购人备案的，代理机构将在中标通知书发出之日起第9个日历日按中标人投标保证金来款渠道原路退回中标供应商的投标保证金，因此产生的所有法律责任由采购人承担。</w:t>
      </w:r>
    </w:p>
    <w:p>
      <w:pPr>
        <w:pStyle w:val="3"/>
        <w:spacing w:line="440" w:lineRule="exact"/>
        <w:ind w:firstLine="562" w:firstLineChars="200"/>
        <w:rPr>
          <w:rFonts w:hint="eastAsia" w:ascii="方正黑体_GBK" w:eastAsia="方正黑体_GBK" w:cs="宋体"/>
          <w:b/>
          <w:color w:val="auto"/>
          <w:szCs w:val="28"/>
          <w:highlight w:val="none"/>
        </w:rPr>
      </w:pPr>
      <w:bookmarkStart w:id="49" w:name="_Toc5706"/>
      <w:bookmarkStart w:id="50" w:name="_Toc27526"/>
      <w:bookmarkStart w:id="51" w:name="_Toc169703177"/>
      <w:bookmarkStart w:id="52" w:name="_Toc22805"/>
      <w:r>
        <w:rPr>
          <w:rFonts w:hint="eastAsia" w:ascii="方正黑体_GBK" w:eastAsia="方正黑体_GBK" w:cs="宋体"/>
          <w:b/>
          <w:color w:val="auto"/>
          <w:szCs w:val="28"/>
          <w:highlight w:val="none"/>
        </w:rPr>
        <w:t>六、采购项目需落实的政府采购政策</w:t>
      </w:r>
      <w:bookmarkEnd w:id="49"/>
      <w:bookmarkEnd w:id="50"/>
      <w:bookmarkEnd w:id="51"/>
      <w:bookmarkEnd w:id="52"/>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（一）按照《财政部 生态环境部关于印发环境标志产品政府采购品目清单的通知》（财库〔2019〕18号）和《财政部 发展改革委关于印发节能产品政府采购品目清单的通知》（财库〔2019〕19号）的规定，落实国家节能环保政策。</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（二）按照财政部、工业和信息化部关于印发《政府采购促进中小企业发展管理办法》的通知（财库〔2020〕46号）的规定，落实促进中小企业发展政策。</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（三）按照《财政部、司法部关于政府采购支持监狱企业发展有关问题的通知》（财库〔2014〕68号）的规定，落实支持监狱企业发展政策。</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（四）按照《三部门联合发布关于促进残疾人就业政府采购政策的通知》（财库</w:t>
      </w:r>
      <w:r>
        <w:rPr>
          <w:rFonts w:hint="eastAsia" w:ascii="方正仿宋_GBK" w:hAnsi="宋体" w:eastAsia="方正仿宋_GBK" w:cs="宋体"/>
          <w:color w:val="auto"/>
          <w:szCs w:val="28"/>
          <w:highlight w:val="none"/>
          <w:lang w:eastAsia="zh-CN"/>
        </w:rPr>
        <w:t>〔2017〕141号</w:t>
      </w:r>
      <w:r>
        <w:rPr>
          <w:rFonts w:hint="eastAsia" w:ascii="方正仿宋_GBK" w:hAnsi="宋体" w:eastAsia="方正仿宋_GBK" w:cs="宋体"/>
          <w:color w:val="auto"/>
          <w:szCs w:val="28"/>
          <w:highlight w:val="none"/>
        </w:rPr>
        <w:t>）的规定，落实支持残疾人福利性单位发展政策。</w:t>
      </w:r>
    </w:p>
    <w:p>
      <w:pPr>
        <w:pStyle w:val="3"/>
        <w:spacing w:line="440" w:lineRule="exact"/>
        <w:ind w:firstLine="562" w:firstLineChars="200"/>
        <w:rPr>
          <w:rFonts w:hint="eastAsia" w:ascii="方正黑体_GBK" w:eastAsia="方正黑体_GBK" w:cs="宋体"/>
          <w:b/>
          <w:color w:val="auto"/>
          <w:szCs w:val="28"/>
          <w:highlight w:val="none"/>
        </w:rPr>
      </w:pPr>
      <w:bookmarkStart w:id="53" w:name="_Toc12142"/>
      <w:bookmarkStart w:id="54" w:name="_Toc17985"/>
      <w:bookmarkStart w:id="55" w:name="_Toc169703178"/>
      <w:bookmarkStart w:id="56" w:name="_Toc22147"/>
      <w:r>
        <w:rPr>
          <w:rFonts w:hint="eastAsia" w:ascii="方正黑体_GBK" w:eastAsia="方正黑体_GBK" w:cs="宋体"/>
          <w:b/>
          <w:color w:val="auto"/>
          <w:szCs w:val="28"/>
          <w:highlight w:val="none"/>
        </w:rPr>
        <w:t>七、投标有关规定</w:t>
      </w:r>
      <w:bookmarkEnd w:id="53"/>
      <w:bookmarkEnd w:id="54"/>
      <w:bookmarkEnd w:id="55"/>
      <w:bookmarkEnd w:id="56"/>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（一）单位负责人为同一人或者存在直接控股、管理关系的不同投标人，不得参加同一合同项（包）下的政府采购活动。</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（二）为采购项目提供整体设计、规范编制或者项目管理、监理、检测等服务的投标人，不得再参加该采购项目的其他采购活动。</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本项目若有澄清文件一律在重庆市政府采购网（www.ccgp-chongqing.gov.cn）、重庆市公共资源交易网（武隆区）（www.cqggzy.com/jiangbeiweb）网站上发布，请各投标人注意下载；无论投标人下载与否，均视同投标人已知晓本项目澄清文件的内容。</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（四）</w:t>
      </w:r>
      <w:bookmarkStart w:id="57" w:name="_Hlk148216246"/>
      <w:r>
        <w:rPr>
          <w:rFonts w:hint="eastAsia" w:ascii="方正仿宋_GBK" w:hAnsi="宋体" w:eastAsia="方正仿宋_GBK" w:cs="宋体"/>
          <w:color w:val="auto"/>
          <w:szCs w:val="28"/>
          <w:highlight w:val="none"/>
        </w:rPr>
        <w:t>超过电子投标文件递交截止时间递交的电子投标文件，恕不接收。</w:t>
      </w:r>
      <w:bookmarkEnd w:id="57"/>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（五）投标费用：无论投标结果如何，投标人参与本项目投标的所有费用均应由投标人自行承担。</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（六）本项目接受联合体参与投标（或本项目不接受联合体参与投标，否则按无效投标处理）。</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（七）本项目接受合同分包（或本项目不接受合同分包，否则按无效投标处理）。</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八）按照《财政部关于在政府采购活动中查询及使用信用记录有关问题的通知》财库〔2016〕125号，投标人列入失信被执行人、重大税收违法案件当事人名单、政府采购严重违法失信行为记录名单及其他不符合《中华人民共和国政府采购法》第二十二条规定条件的投标人，将拒绝其参与政府采购活动。</w:t>
      </w:r>
    </w:p>
    <w:p>
      <w:pPr>
        <w:pStyle w:val="3"/>
        <w:spacing w:line="440" w:lineRule="exact"/>
        <w:ind w:firstLine="562" w:firstLineChars="200"/>
        <w:rPr>
          <w:rFonts w:hint="eastAsia" w:ascii="方正楷体_GBK" w:eastAsia="方正楷体_GBK" w:cs="宋体"/>
          <w:b/>
          <w:color w:val="auto"/>
          <w:szCs w:val="28"/>
          <w:highlight w:val="none"/>
        </w:rPr>
      </w:pPr>
      <w:bookmarkStart w:id="58" w:name="_Toc32333"/>
      <w:bookmarkStart w:id="59" w:name="_Toc28402"/>
      <w:bookmarkStart w:id="60" w:name="_Toc169703179"/>
      <w:bookmarkStart w:id="61" w:name="_Toc26252"/>
      <w:r>
        <w:rPr>
          <w:rFonts w:hint="eastAsia" w:ascii="方正楷体_GBK" w:eastAsia="方正楷体_GBK" w:cs="宋体"/>
          <w:b/>
          <w:color w:val="auto"/>
          <w:szCs w:val="28"/>
          <w:highlight w:val="none"/>
        </w:rPr>
        <w:t>八、联系方式</w:t>
      </w:r>
      <w:bookmarkEnd w:id="58"/>
      <w:bookmarkEnd w:id="59"/>
      <w:bookmarkEnd w:id="60"/>
      <w:bookmarkEnd w:id="61"/>
    </w:p>
    <w:p>
      <w:pPr>
        <w:pStyle w:val="3"/>
        <w:spacing w:line="440" w:lineRule="exact"/>
        <w:ind w:firstLine="562" w:firstLineChars="200"/>
        <w:rPr>
          <w:rFonts w:hint="eastAsia" w:ascii="方正楷体_GBK" w:eastAsia="方正楷体_GBK" w:cs="宋体"/>
          <w:b/>
          <w:color w:val="auto"/>
          <w:szCs w:val="28"/>
          <w:highlight w:val="none"/>
        </w:rPr>
      </w:pPr>
      <w:bookmarkStart w:id="62" w:name="_Toc23357"/>
      <w:bookmarkStart w:id="63" w:name="_Toc169703180"/>
      <w:r>
        <w:rPr>
          <w:rFonts w:hint="eastAsia" w:ascii="方正楷体_GBK" w:eastAsia="方正楷体_GBK" w:cs="宋体"/>
          <w:b/>
          <w:color w:val="auto"/>
          <w:szCs w:val="28"/>
          <w:highlight w:val="none"/>
        </w:rPr>
        <w:t>（一）采购人：重庆市武隆区教育委员会</w:t>
      </w:r>
      <w:bookmarkEnd w:id="62"/>
      <w:bookmarkEnd w:id="63"/>
      <w:r>
        <w:rPr>
          <w:rFonts w:hint="eastAsia" w:ascii="方正楷体_GBK" w:eastAsia="方正楷体_GBK" w:cs="宋体"/>
          <w:b/>
          <w:color w:val="auto"/>
          <w:szCs w:val="28"/>
          <w:highlight w:val="none"/>
        </w:rPr>
        <w:t xml:space="preserve"> </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联系人：</w:t>
      </w:r>
      <w:r>
        <w:rPr>
          <w:rFonts w:hint="eastAsia" w:ascii="方正仿宋_GBK" w:hAnsi="宋体" w:eastAsia="方正仿宋_GBK" w:cs="宋体"/>
          <w:color w:val="auto"/>
          <w:szCs w:val="28"/>
          <w:highlight w:val="none"/>
          <w:lang w:eastAsia="zh-CN"/>
        </w:rPr>
        <w:t>张</w:t>
      </w:r>
      <w:r>
        <w:rPr>
          <w:rFonts w:hint="eastAsia" w:ascii="方正仿宋_GBK" w:hAnsi="宋体" w:eastAsia="方正仿宋_GBK" w:cs="宋体"/>
          <w:color w:val="auto"/>
          <w:szCs w:val="28"/>
          <w:highlight w:val="none"/>
        </w:rPr>
        <w:t xml:space="preserve">老师 </w:t>
      </w:r>
    </w:p>
    <w:p>
      <w:pPr>
        <w:snapToGrid w:val="0"/>
        <w:spacing w:line="440" w:lineRule="exact"/>
        <w:ind w:firstLine="560" w:firstLineChars="200"/>
        <w:rPr>
          <w:rFonts w:hint="default" w:ascii="方正仿宋_GBK" w:hAnsi="宋体" w:eastAsia="方正仿宋_GBK" w:cs="宋体"/>
          <w:color w:val="auto"/>
          <w:szCs w:val="28"/>
          <w:highlight w:val="none"/>
          <w:lang w:val="en-US" w:eastAsia="zh-CN"/>
        </w:rPr>
      </w:pPr>
      <w:r>
        <w:rPr>
          <w:rFonts w:hint="eastAsia" w:ascii="方正仿宋_GBK" w:hAnsi="宋体" w:eastAsia="方正仿宋_GBK" w:cs="宋体"/>
          <w:color w:val="auto"/>
          <w:szCs w:val="28"/>
          <w:highlight w:val="none"/>
        </w:rPr>
        <w:t>电  话：</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方正仿宋_GBK"/>
          <w:color w:val="auto"/>
          <w:szCs w:val="28"/>
          <w:highlight w:val="none"/>
          <w:lang w:bidi="ar"/>
        </w:rPr>
        <w:t>023</w:t>
      </w:r>
      <w:r>
        <w:rPr>
          <w:rFonts w:hint="eastAsia" w:ascii="方正仿宋_GBK" w:hAnsi="宋体" w:eastAsia="方正仿宋_GBK" w:cs="方正仿宋_GBK"/>
          <w:color w:val="auto"/>
          <w:szCs w:val="28"/>
          <w:highlight w:val="none"/>
          <w:lang w:eastAsia="zh-CN" w:bidi="ar"/>
        </w:rPr>
        <w:t>）</w:t>
      </w:r>
      <w:r>
        <w:rPr>
          <w:rFonts w:hint="eastAsia" w:ascii="方正仿宋_GBK" w:hAnsi="宋体" w:eastAsia="方正仿宋_GBK" w:cs="方正仿宋_GBK"/>
          <w:color w:val="auto"/>
          <w:szCs w:val="28"/>
          <w:highlight w:val="none"/>
          <w:lang w:bidi="ar"/>
        </w:rPr>
        <w:t>7772</w:t>
      </w:r>
      <w:r>
        <w:rPr>
          <w:rFonts w:hint="eastAsia" w:ascii="方正仿宋_GBK" w:hAnsi="宋体" w:eastAsia="方正仿宋_GBK" w:cs="方正仿宋_GBK"/>
          <w:color w:val="auto"/>
          <w:szCs w:val="28"/>
          <w:highlight w:val="none"/>
          <w:lang w:val="en-US" w:eastAsia="zh-CN" w:bidi="ar"/>
        </w:rPr>
        <w:t>2741</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地  址：</w:t>
      </w:r>
      <w:r>
        <w:rPr>
          <w:rFonts w:hint="eastAsia" w:ascii="方正仿宋_GBK" w:hAnsi="宋体" w:eastAsia="方正仿宋_GBK" w:cs="方正仿宋_GBK"/>
          <w:color w:val="auto"/>
          <w:szCs w:val="28"/>
          <w:highlight w:val="none"/>
          <w:lang w:bidi="ar"/>
        </w:rPr>
        <w:t>重庆市武隆区芙蓉街道芙蓉中路50号</w:t>
      </w:r>
    </w:p>
    <w:p>
      <w:pPr>
        <w:pStyle w:val="3"/>
        <w:spacing w:line="440" w:lineRule="exact"/>
        <w:ind w:firstLine="562" w:firstLineChars="200"/>
        <w:rPr>
          <w:rFonts w:hint="eastAsia" w:ascii="方正楷体_GBK" w:eastAsia="方正楷体_GBK" w:cs="宋体"/>
          <w:b/>
          <w:color w:val="auto"/>
          <w:szCs w:val="28"/>
          <w:highlight w:val="none"/>
        </w:rPr>
      </w:pPr>
      <w:bookmarkStart w:id="64" w:name="_Toc169703181"/>
      <w:bookmarkStart w:id="65" w:name="_Toc24179"/>
      <w:r>
        <w:rPr>
          <w:rFonts w:hint="eastAsia" w:ascii="方正楷体_GBK" w:eastAsia="方正楷体_GBK" w:cs="宋体"/>
          <w:b/>
          <w:color w:val="auto"/>
          <w:szCs w:val="28"/>
          <w:highlight w:val="none"/>
        </w:rPr>
        <w:t>（二）采购代理机构：</w:t>
      </w:r>
      <w:bookmarkEnd w:id="64"/>
      <w:bookmarkEnd w:id="65"/>
      <w:r>
        <w:rPr>
          <w:rFonts w:hint="eastAsia" w:ascii="方正楷体_GBK" w:eastAsia="方正楷体_GBK" w:cs="宋体"/>
          <w:b/>
          <w:color w:val="auto"/>
          <w:szCs w:val="28"/>
          <w:highlight w:val="none"/>
        </w:rPr>
        <w:t xml:space="preserve"> </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w:t>
      </w:r>
      <w:r>
        <w:rPr>
          <w:rFonts w:hint="eastAsia" w:ascii="方正仿宋_GBK" w:hAnsi="宋体" w:eastAsia="方正仿宋_GBK" w:cs="宋体"/>
          <w:color w:val="auto"/>
          <w:szCs w:val="28"/>
          <w:highlight w:val="none"/>
          <w:lang w:val="en-US" w:eastAsia="zh-CN"/>
        </w:rPr>
        <w:t>.</w:t>
      </w:r>
      <w:r>
        <w:rPr>
          <w:rFonts w:hint="eastAsia" w:ascii="方正仿宋_GBK" w:hAnsi="宋体" w:eastAsia="方正仿宋_GBK" w:cs="宋体"/>
          <w:color w:val="auto"/>
          <w:szCs w:val="28"/>
          <w:highlight w:val="none"/>
        </w:rPr>
        <w:t>联系人：</w:t>
      </w:r>
      <w:r>
        <w:rPr>
          <w:rFonts w:hint="eastAsia" w:ascii="方正仿宋_GBK" w:hAnsi="宋体" w:eastAsia="方正仿宋_GBK" w:cs="宋体"/>
          <w:color w:val="auto"/>
          <w:szCs w:val="28"/>
          <w:highlight w:val="none"/>
          <w:lang w:eastAsia="zh-CN"/>
        </w:rPr>
        <w:t>张</w:t>
      </w:r>
      <w:r>
        <w:rPr>
          <w:rFonts w:hint="eastAsia" w:ascii="方正仿宋_GBK" w:hAnsi="宋体" w:eastAsia="方正仿宋_GBK" w:cs="宋体"/>
          <w:color w:val="auto"/>
          <w:szCs w:val="28"/>
          <w:highlight w:val="none"/>
        </w:rPr>
        <w:t xml:space="preserve">老师 </w:t>
      </w:r>
    </w:p>
    <w:p>
      <w:pPr>
        <w:snapToGrid w:val="0"/>
        <w:spacing w:line="440" w:lineRule="exact"/>
        <w:ind w:firstLine="560" w:firstLineChars="200"/>
        <w:rPr>
          <w:rFonts w:hint="eastAsia" w:ascii="方正仿宋_GBK" w:hAnsi="宋体" w:eastAsia="方正仿宋_GBK" w:cs="方正仿宋_GBK"/>
          <w:color w:val="auto"/>
          <w:szCs w:val="28"/>
          <w:highlight w:val="none"/>
          <w:lang w:val="en-US" w:eastAsia="zh-CN" w:bidi="ar"/>
        </w:rPr>
      </w:pPr>
      <w:r>
        <w:rPr>
          <w:rFonts w:hint="eastAsia" w:ascii="方正仿宋_GBK" w:hAnsi="宋体" w:eastAsia="方正仿宋_GBK" w:cs="宋体"/>
          <w:color w:val="auto"/>
          <w:szCs w:val="28"/>
          <w:highlight w:val="none"/>
        </w:rPr>
        <w:t>电  话：</w:t>
      </w:r>
      <w:r>
        <w:rPr>
          <w:rFonts w:hint="eastAsia" w:ascii="方正仿宋_GBK" w:hAnsi="宋体" w:eastAsia="方正仿宋_GBK" w:cs="方正仿宋_GBK"/>
          <w:color w:val="auto"/>
          <w:szCs w:val="28"/>
          <w:highlight w:val="none"/>
          <w:lang w:val="en-US" w:eastAsia="zh-CN" w:bidi="ar"/>
        </w:rPr>
        <w:t>18996795011</w:t>
      </w:r>
    </w:p>
    <w:p>
      <w:pPr>
        <w:snapToGrid w:val="0"/>
        <w:spacing w:line="440" w:lineRule="exact"/>
        <w:ind w:firstLine="560" w:firstLineChars="200"/>
        <w:rPr>
          <w:rFonts w:hint="default" w:ascii="方正仿宋_GBK" w:hAnsi="宋体" w:eastAsia="方正仿宋_GBK" w:cs="宋体"/>
          <w:color w:val="auto"/>
          <w:szCs w:val="28"/>
          <w:highlight w:val="none"/>
          <w:lang w:val="en-US" w:eastAsia="zh-CN"/>
        </w:rPr>
      </w:pPr>
      <w:r>
        <w:rPr>
          <w:rFonts w:hint="eastAsia" w:ascii="方正仿宋_GBK" w:hAnsi="宋体" w:eastAsia="方正仿宋_GBK" w:cs="宋体"/>
          <w:color w:val="auto"/>
          <w:szCs w:val="28"/>
          <w:highlight w:val="none"/>
        </w:rPr>
        <w:t>邮  编：</w:t>
      </w:r>
      <w:r>
        <w:rPr>
          <w:rFonts w:hint="eastAsia" w:ascii="方正仿宋_GBK" w:hAnsi="宋体" w:eastAsia="方正仿宋_GBK" w:cs="宋体"/>
          <w:color w:val="auto"/>
          <w:szCs w:val="28"/>
          <w:highlight w:val="none"/>
          <w:lang w:val="en-US" w:eastAsia="zh-CN"/>
        </w:rPr>
        <w:t>408500</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地  址：重庆市武隆区芙蓉中路50号</w:t>
      </w:r>
    </w:p>
    <w:p>
      <w:pPr>
        <w:snapToGrid w:val="0"/>
        <w:spacing w:line="440" w:lineRule="exact"/>
        <w:ind w:firstLine="560" w:firstLineChars="200"/>
        <w:rPr>
          <w:rFonts w:hint="eastAsia" w:ascii="方正仿宋_GBK" w:hAnsi="宋体" w:eastAsia="方正仿宋_GBK"/>
          <w:color w:val="auto"/>
          <w:szCs w:val="28"/>
          <w:highlight w:val="none"/>
        </w:rPr>
      </w:pPr>
      <w:r>
        <w:rPr>
          <w:rFonts w:hint="eastAsia" w:ascii="方正仿宋_GBK" w:hAnsi="宋体" w:eastAsia="方正仿宋_GBK"/>
          <w:color w:val="auto"/>
          <w:szCs w:val="28"/>
          <w:highlight w:val="none"/>
          <w:lang w:val="en-US" w:eastAsia="zh-CN"/>
        </w:rPr>
        <w:t>2.</w:t>
      </w:r>
      <w:r>
        <w:rPr>
          <w:rFonts w:hint="eastAsia" w:ascii="方正仿宋_GBK" w:hAnsi="宋体" w:eastAsia="方正仿宋_GBK"/>
          <w:color w:val="auto"/>
          <w:szCs w:val="28"/>
          <w:highlight w:val="none"/>
        </w:rPr>
        <w:t>投诉渠道</w:t>
      </w:r>
    </w:p>
    <w:p>
      <w:pPr>
        <w:snapToGrid w:val="0"/>
        <w:spacing w:line="440" w:lineRule="exact"/>
        <w:ind w:firstLine="560" w:firstLineChars="200"/>
        <w:rPr>
          <w:rFonts w:hint="eastAsia" w:ascii="方正仿宋_GBK" w:hAnsi="宋体" w:eastAsia="方正仿宋_GBK"/>
          <w:color w:val="auto"/>
          <w:szCs w:val="28"/>
          <w:highlight w:val="none"/>
        </w:rPr>
      </w:pPr>
      <w:r>
        <w:rPr>
          <w:rFonts w:hint="eastAsia" w:ascii="方正仿宋_GBK" w:hAnsi="宋体" w:eastAsia="方正仿宋_GBK"/>
          <w:color w:val="auto"/>
          <w:szCs w:val="28"/>
          <w:highlight w:val="none"/>
        </w:rPr>
        <w:t>重庆市武隆区财政局510室（重庆市武隆区芙蓉街道芙蓉西路117号）</w:t>
      </w:r>
    </w:p>
    <w:p>
      <w:pPr>
        <w:snapToGrid w:val="0"/>
        <w:spacing w:line="440" w:lineRule="exact"/>
        <w:ind w:firstLine="560" w:firstLineChars="200"/>
        <w:rPr>
          <w:rFonts w:hint="eastAsia" w:ascii="方正仿宋_GBK" w:hAnsi="宋体" w:eastAsia="方正仿宋_GBK"/>
          <w:color w:val="auto"/>
          <w:szCs w:val="28"/>
          <w:highlight w:val="none"/>
        </w:rPr>
      </w:pPr>
      <w:r>
        <w:rPr>
          <w:rFonts w:hint="eastAsia" w:ascii="方正仿宋_GBK" w:hAnsi="宋体" w:eastAsia="方正仿宋_GBK"/>
          <w:color w:val="auto"/>
          <w:szCs w:val="28"/>
          <w:highlight w:val="none"/>
        </w:rPr>
        <w:t>邮政编码：408500</w:t>
      </w:r>
    </w:p>
    <w:p>
      <w:pPr>
        <w:snapToGrid w:val="0"/>
        <w:spacing w:line="440" w:lineRule="exact"/>
        <w:ind w:firstLine="560" w:firstLineChars="200"/>
        <w:rPr>
          <w:rFonts w:hint="eastAsia" w:ascii="方正仿宋_GBK" w:hAnsi="宋体" w:eastAsia="方正仿宋_GBK"/>
          <w:color w:val="auto"/>
          <w:szCs w:val="28"/>
          <w:highlight w:val="none"/>
        </w:rPr>
      </w:pPr>
      <w:r>
        <w:rPr>
          <w:rFonts w:hint="eastAsia" w:ascii="方正仿宋_GBK" w:hAnsi="宋体" w:eastAsia="方正仿宋_GBK"/>
          <w:color w:val="auto"/>
          <w:szCs w:val="28"/>
          <w:highlight w:val="none"/>
        </w:rPr>
        <w:t>联系电话：（023）77705510</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lang w:val="en-US" w:eastAsia="zh-CN"/>
        </w:rPr>
        <w:t>3.</w:t>
      </w:r>
      <w:r>
        <w:rPr>
          <w:rFonts w:hint="eastAsia" w:ascii="方正仿宋_GBK" w:hAnsi="宋体" w:eastAsia="方正仿宋_GBK" w:cs="宋体"/>
          <w:color w:val="auto"/>
          <w:szCs w:val="28"/>
          <w:highlight w:val="none"/>
        </w:rPr>
        <w:t>（保证金）联系人：郑老师</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电  话：（023）77718366</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地  址：重庆市武隆区芙蓉中路50号</w:t>
      </w:r>
    </w:p>
    <w:p>
      <w:pPr>
        <w:snapToGrid w:val="0"/>
        <w:spacing w:line="440" w:lineRule="exact"/>
        <w:ind w:firstLine="480"/>
        <w:jc w:val="left"/>
        <w:rPr>
          <w:rFonts w:hint="eastAsia" w:ascii="方正仿宋_GBK" w:hAnsi="宋体" w:eastAsia="方正仿宋_GBK" w:cs="宋体"/>
          <w:color w:val="auto"/>
          <w:szCs w:val="28"/>
          <w:highlight w:val="none"/>
        </w:rPr>
      </w:pPr>
      <w:bookmarkStart w:id="66" w:name="_Hlk148216267"/>
      <w:r>
        <w:rPr>
          <w:rFonts w:hint="eastAsia" w:ascii="方正仿宋_GBK" w:hAnsi="宋体" w:eastAsia="方正仿宋_GBK" w:cs="宋体"/>
          <w:color w:val="auto"/>
          <w:szCs w:val="28"/>
          <w:highlight w:val="none"/>
          <w:lang w:val="en-US" w:eastAsia="zh-CN"/>
        </w:rPr>
        <w:t>4.</w:t>
      </w:r>
      <w:r>
        <w:rPr>
          <w:rFonts w:hint="eastAsia" w:ascii="方正仿宋_GBK" w:hAnsi="宋体" w:eastAsia="方正仿宋_GBK" w:cs="宋体"/>
          <w:color w:val="auto"/>
          <w:szCs w:val="28"/>
          <w:highlight w:val="none"/>
        </w:rPr>
        <w:t>电子招投标系统技术指导：重庆港澳大家软件产业有限公司</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联系人：谭老师</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电话：023-88158029（工作日）15823413234（节假日）</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（三）CA数字证书办理服务平台：</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1.CA数字证书：网证通</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联系人：刘娟</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电话：023-63010240  18996084960</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2.CA数字证书：东方中讯数字证书认证有限公司</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联系人：何晓伦</w:t>
      </w:r>
    </w:p>
    <w:p>
      <w:pPr>
        <w:snapToGrid w:val="0"/>
        <w:spacing w:line="440" w:lineRule="exact"/>
        <w:ind w:firstLine="480"/>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电话：023-88257082  023-63153662</w:t>
      </w:r>
    </w:p>
    <w:bookmarkEnd w:id="66"/>
    <w:p>
      <w:pPr>
        <w:snapToGrid w:val="0"/>
        <w:spacing w:line="440" w:lineRule="exact"/>
        <w:ind w:firstLine="480"/>
        <w:jc w:val="left"/>
        <w:rPr>
          <w:rFonts w:hint="eastAsia" w:ascii="方正仿宋_GBK" w:hAnsi="宋体" w:eastAsia="方正仿宋_GBK" w:cs="宋体"/>
          <w:color w:val="auto"/>
          <w:szCs w:val="28"/>
          <w:highlight w:val="none"/>
        </w:rPr>
      </w:pPr>
    </w:p>
    <w:p>
      <w:pPr>
        <w:snapToGrid w:val="0"/>
        <w:spacing w:line="440" w:lineRule="exact"/>
        <w:ind w:firstLine="480"/>
        <w:jc w:val="left"/>
        <w:rPr>
          <w:rFonts w:hint="eastAsia" w:ascii="方正仿宋_GBK" w:hAnsi="宋体" w:eastAsia="方正仿宋_GBK" w:cs="宋体"/>
          <w:color w:val="auto"/>
          <w:szCs w:val="28"/>
          <w:highlight w:val="none"/>
        </w:rPr>
      </w:pPr>
    </w:p>
    <w:p>
      <w:pPr>
        <w:snapToGrid w:val="0"/>
        <w:spacing w:line="440" w:lineRule="exact"/>
        <w:ind w:firstLine="480"/>
        <w:jc w:val="left"/>
        <w:rPr>
          <w:rFonts w:hint="eastAsia" w:ascii="方正仿宋_GBK" w:hAnsi="宋体" w:eastAsia="方正仿宋_GBK" w:cs="宋体"/>
          <w:color w:val="auto"/>
          <w:szCs w:val="28"/>
          <w:highlight w:val="none"/>
        </w:rPr>
      </w:pPr>
    </w:p>
    <w:p>
      <w:pPr>
        <w:snapToGrid w:val="0"/>
        <w:spacing w:line="440" w:lineRule="exact"/>
        <w:ind w:firstLine="480"/>
        <w:jc w:val="left"/>
        <w:rPr>
          <w:rFonts w:hint="eastAsia" w:ascii="方正仿宋_GBK" w:hAnsi="宋体" w:eastAsia="方正仿宋_GBK" w:cs="宋体"/>
          <w:color w:val="auto"/>
          <w:szCs w:val="28"/>
          <w:highlight w:val="none"/>
        </w:rPr>
      </w:pPr>
    </w:p>
    <w:p>
      <w:pPr>
        <w:snapToGrid w:val="0"/>
        <w:spacing w:line="440" w:lineRule="exact"/>
        <w:ind w:firstLine="480"/>
        <w:jc w:val="left"/>
        <w:rPr>
          <w:rFonts w:hint="eastAsia" w:ascii="方正仿宋_GBK" w:hAnsi="宋体" w:eastAsia="方正仿宋_GBK" w:cs="宋体"/>
          <w:color w:val="auto"/>
          <w:szCs w:val="28"/>
          <w:highlight w:val="none"/>
        </w:rPr>
      </w:pPr>
    </w:p>
    <w:p>
      <w:pPr>
        <w:snapToGrid w:val="0"/>
        <w:spacing w:line="440" w:lineRule="exact"/>
        <w:ind w:firstLine="480"/>
        <w:jc w:val="left"/>
        <w:rPr>
          <w:rFonts w:hint="eastAsia" w:ascii="方正仿宋_GBK" w:hAnsi="宋体" w:eastAsia="方正仿宋_GBK" w:cs="宋体"/>
          <w:color w:val="auto"/>
          <w:szCs w:val="28"/>
          <w:highlight w:val="none"/>
        </w:rPr>
      </w:pPr>
    </w:p>
    <w:p>
      <w:pPr>
        <w:pStyle w:val="2"/>
        <w:spacing w:before="0" w:beforeLines="0" w:after="0" w:afterLines="0" w:line="720" w:lineRule="exact"/>
        <w:rPr>
          <w:rFonts w:hint="eastAsia" w:ascii="方正小标宋_GBK" w:hAnsi="宋体" w:eastAsia="方正小标宋_GBK" w:cs="宋体"/>
          <w:b/>
          <w:color w:val="auto"/>
          <w:sz w:val="32"/>
          <w:szCs w:val="32"/>
          <w:highlight w:val="none"/>
        </w:rPr>
      </w:pPr>
      <w:bookmarkStart w:id="67" w:name="_Toc29106"/>
      <w:bookmarkStart w:id="68" w:name="_Toc5219"/>
      <w:bookmarkStart w:id="69" w:name="_Toc169703182"/>
      <w:r>
        <w:rPr>
          <w:rFonts w:hint="eastAsia" w:ascii="方正小标宋_GBK" w:hAnsi="宋体" w:eastAsia="方正小标宋_GBK" w:cs="宋体"/>
          <w:b/>
          <w:color w:val="auto"/>
          <w:sz w:val="32"/>
          <w:szCs w:val="32"/>
          <w:highlight w:val="none"/>
        </w:rPr>
        <w:br w:type="page"/>
      </w:r>
      <w:bookmarkStart w:id="70" w:name="_Toc25262"/>
      <w:r>
        <w:rPr>
          <w:rFonts w:hint="eastAsia" w:ascii="方正小标宋_GBK" w:hAnsi="宋体" w:eastAsia="方正小标宋_GBK" w:cs="宋体"/>
          <w:b/>
          <w:color w:val="auto"/>
          <w:sz w:val="32"/>
          <w:szCs w:val="32"/>
          <w:highlight w:val="none"/>
        </w:rPr>
        <w:t>第二篇 项目技术（质量）</w:t>
      </w:r>
      <w:bookmarkEnd w:id="67"/>
      <w:bookmarkEnd w:id="68"/>
      <w:r>
        <w:rPr>
          <w:rFonts w:hint="eastAsia" w:ascii="方正小标宋_GBK" w:hAnsi="宋体" w:eastAsia="方正小标宋_GBK" w:cs="宋体"/>
          <w:b/>
          <w:color w:val="auto"/>
          <w:sz w:val="32"/>
          <w:szCs w:val="32"/>
          <w:highlight w:val="none"/>
        </w:rPr>
        <w:t>需求</w:t>
      </w:r>
      <w:bookmarkEnd w:id="69"/>
      <w:bookmarkEnd w:id="70"/>
    </w:p>
    <w:p>
      <w:pPr>
        <w:pStyle w:val="3"/>
        <w:spacing w:line="440" w:lineRule="exact"/>
        <w:ind w:firstLine="562" w:firstLineChars="200"/>
        <w:rPr>
          <w:rFonts w:hint="eastAsia" w:ascii="方正黑体_GBK" w:eastAsia="方正黑体_GBK" w:cs="宋体"/>
          <w:b/>
          <w:color w:val="auto"/>
          <w:szCs w:val="28"/>
          <w:highlight w:val="none"/>
          <w:lang w:eastAsia="zh-CN"/>
        </w:rPr>
      </w:pPr>
      <w:bookmarkStart w:id="71" w:name="_Toc19116"/>
      <w:bookmarkStart w:id="72" w:name="_Toc169703183"/>
      <w:bookmarkStart w:id="73" w:name="_Toc15929"/>
      <w:bookmarkStart w:id="74" w:name="_Toc22679"/>
      <w:r>
        <w:rPr>
          <w:rFonts w:hint="eastAsia" w:ascii="方正黑体_GBK" w:eastAsia="方正黑体_GBK" w:cs="宋体"/>
          <w:b/>
          <w:color w:val="auto"/>
          <w:szCs w:val="28"/>
          <w:highlight w:val="none"/>
        </w:rPr>
        <w:t>一、招标项目一览表</w:t>
      </w:r>
      <w:bookmarkEnd w:id="71"/>
      <w:bookmarkEnd w:id="72"/>
      <w:bookmarkEnd w:id="73"/>
      <w:r>
        <w:rPr>
          <w:rFonts w:hint="eastAsia" w:ascii="方正黑体_GBK" w:eastAsia="方正黑体_GBK" w:cs="宋体"/>
          <w:b/>
          <w:color w:val="auto"/>
          <w:szCs w:val="28"/>
          <w:highlight w:val="none"/>
          <w:lang w:eastAsia="zh-CN"/>
        </w:rPr>
        <w:t>：</w:t>
      </w:r>
      <w:bookmarkEnd w:id="74"/>
    </w:p>
    <w:p>
      <w:pPr>
        <w:rPr>
          <w:rFonts w:hint="default"/>
          <w:lang w:val="en-US" w:eastAsia="zh-CN"/>
        </w:rPr>
      </w:pPr>
      <w:r>
        <w:rPr>
          <w:rFonts w:hint="eastAsia" w:ascii="方正黑体_GBK" w:eastAsia="方正黑体_GBK" w:cs="宋体"/>
          <w:b/>
          <w:color w:val="auto"/>
          <w:szCs w:val="28"/>
          <w:highlight w:val="none"/>
          <w:lang w:eastAsia="zh-CN"/>
        </w:rPr>
        <w:t>包</w:t>
      </w:r>
      <w:r>
        <w:rPr>
          <w:rFonts w:hint="eastAsia" w:ascii="方正黑体_GBK" w:eastAsia="方正黑体_GBK" w:cs="宋体"/>
          <w:b/>
          <w:color w:val="auto"/>
          <w:szCs w:val="28"/>
          <w:highlight w:val="none"/>
          <w:lang w:val="en-US" w:eastAsia="zh-CN"/>
        </w:rPr>
        <w:t>1：</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1"/>
        <w:gridCol w:w="5110"/>
        <w:gridCol w:w="1452"/>
        <w:gridCol w:w="2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11" w:type="dxa"/>
            <w:noWrap w:val="0"/>
            <w:vAlign w:val="center"/>
          </w:tcPr>
          <w:p>
            <w:pPr>
              <w:spacing w:line="440" w:lineRule="exact"/>
              <w:jc w:val="center"/>
              <w:rPr>
                <w:rFonts w:hint="eastAsia" w:ascii="方正仿宋_GBK" w:hAnsi="宋体" w:eastAsia="方正仿宋_GBK" w:cs="宋体"/>
                <w:b/>
                <w:color w:val="auto"/>
                <w:szCs w:val="28"/>
                <w:highlight w:val="none"/>
              </w:rPr>
            </w:pPr>
            <w:r>
              <w:rPr>
                <w:rFonts w:hint="eastAsia" w:ascii="方正仿宋_GBK" w:hAnsi="宋体" w:eastAsia="方正仿宋_GBK" w:cs="宋体"/>
                <w:b/>
                <w:color w:val="auto"/>
                <w:szCs w:val="28"/>
                <w:highlight w:val="none"/>
              </w:rPr>
              <w:t>序号</w:t>
            </w:r>
          </w:p>
        </w:tc>
        <w:tc>
          <w:tcPr>
            <w:tcW w:w="5110" w:type="dxa"/>
            <w:noWrap w:val="0"/>
            <w:vAlign w:val="center"/>
          </w:tcPr>
          <w:p>
            <w:pPr>
              <w:spacing w:line="440" w:lineRule="exact"/>
              <w:jc w:val="center"/>
              <w:rPr>
                <w:rFonts w:hint="eastAsia" w:ascii="方正仿宋_GBK" w:hAnsi="宋体" w:eastAsia="方正仿宋_GBK" w:cs="宋体"/>
                <w:b/>
                <w:color w:val="auto"/>
                <w:szCs w:val="28"/>
                <w:highlight w:val="none"/>
              </w:rPr>
            </w:pPr>
            <w:r>
              <w:rPr>
                <w:rFonts w:hint="eastAsia" w:ascii="方正仿宋_GBK" w:hAnsi="宋体" w:eastAsia="方正仿宋_GBK" w:cs="宋体"/>
                <w:b/>
                <w:color w:val="auto"/>
                <w:szCs w:val="28"/>
                <w:highlight w:val="none"/>
              </w:rPr>
              <w:t>产品名称（设备名称）</w:t>
            </w:r>
          </w:p>
        </w:tc>
        <w:tc>
          <w:tcPr>
            <w:tcW w:w="1452" w:type="dxa"/>
            <w:noWrap w:val="0"/>
            <w:vAlign w:val="center"/>
          </w:tcPr>
          <w:p>
            <w:pPr>
              <w:spacing w:line="440" w:lineRule="exact"/>
              <w:jc w:val="center"/>
              <w:rPr>
                <w:rFonts w:hint="eastAsia" w:ascii="方正仿宋_GBK" w:hAnsi="宋体" w:eastAsia="方正仿宋_GBK" w:cs="宋体"/>
                <w:b/>
                <w:color w:val="auto"/>
                <w:szCs w:val="28"/>
                <w:highlight w:val="none"/>
              </w:rPr>
            </w:pPr>
            <w:r>
              <w:rPr>
                <w:rFonts w:hint="eastAsia" w:ascii="方正仿宋_GBK" w:hAnsi="宋体" w:eastAsia="方正仿宋_GBK" w:cs="宋体"/>
                <w:b/>
                <w:color w:val="auto"/>
                <w:szCs w:val="28"/>
                <w:highlight w:val="none"/>
              </w:rPr>
              <w:t>数量/单位</w:t>
            </w:r>
          </w:p>
        </w:tc>
        <w:tc>
          <w:tcPr>
            <w:tcW w:w="2024" w:type="dxa"/>
            <w:noWrap w:val="0"/>
            <w:vAlign w:val="center"/>
          </w:tcPr>
          <w:p>
            <w:pPr>
              <w:spacing w:line="440" w:lineRule="exact"/>
              <w:jc w:val="center"/>
              <w:rPr>
                <w:rFonts w:hint="eastAsia" w:ascii="方正仿宋_GBK" w:hAnsi="宋体" w:eastAsia="方正仿宋_GBK" w:cs="宋体"/>
                <w:b/>
                <w:color w:val="auto"/>
                <w:szCs w:val="28"/>
                <w:highlight w:val="none"/>
              </w:rPr>
            </w:pPr>
            <w:r>
              <w:rPr>
                <w:rFonts w:hint="eastAsia" w:ascii="方正仿宋_GBK" w:hAnsi="宋体" w:eastAsia="方正仿宋_GBK" w:cs="宋体"/>
                <w:b/>
                <w:color w:val="auto"/>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11" w:type="dxa"/>
            <w:noWrap w:val="0"/>
            <w:vAlign w:val="center"/>
          </w:tcPr>
          <w:p>
            <w:pPr>
              <w:pStyle w:val="23"/>
              <w:spacing w:line="440" w:lineRule="exact"/>
              <w:ind w:left="0"/>
              <w:jc w:val="center"/>
              <w:outlineLvl w:val="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1</w:t>
            </w:r>
          </w:p>
        </w:tc>
        <w:tc>
          <w:tcPr>
            <w:tcW w:w="5110" w:type="dxa"/>
            <w:noWrap w:val="0"/>
            <w:vAlign w:val="center"/>
          </w:tcPr>
          <w:p>
            <w:pPr>
              <w:spacing w:line="440" w:lineRule="exact"/>
              <w:jc w:val="center"/>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武隆区教委202</w:t>
            </w:r>
            <w:r>
              <w:rPr>
                <w:rFonts w:hint="eastAsia" w:ascii="方正仿宋_GBK" w:hAnsi="宋体" w:eastAsia="方正仿宋_GBK" w:cs="宋体"/>
                <w:color w:val="auto"/>
                <w:szCs w:val="28"/>
                <w:highlight w:val="none"/>
                <w:lang w:val="en-US" w:eastAsia="zh-CN"/>
              </w:rPr>
              <w:t>5</w:t>
            </w:r>
            <w:r>
              <w:rPr>
                <w:rFonts w:hint="eastAsia" w:ascii="方正仿宋_GBK" w:hAnsi="宋体" w:eastAsia="方正仿宋_GBK" w:cs="宋体"/>
                <w:color w:val="auto"/>
                <w:szCs w:val="28"/>
                <w:highlight w:val="none"/>
              </w:rPr>
              <w:t>年</w:t>
            </w:r>
            <w:r>
              <w:rPr>
                <w:rFonts w:hint="eastAsia" w:ascii="方正仿宋_GBK" w:hAnsi="宋体" w:eastAsia="方正仿宋_GBK" w:cs="宋体"/>
                <w:color w:val="auto"/>
                <w:szCs w:val="28"/>
                <w:highlight w:val="none"/>
                <w:lang w:eastAsia="zh-CN"/>
              </w:rPr>
              <w:t>午休课桌椅采购项目</w:t>
            </w:r>
          </w:p>
        </w:tc>
        <w:tc>
          <w:tcPr>
            <w:tcW w:w="1452" w:type="dxa"/>
            <w:noWrap w:val="0"/>
            <w:vAlign w:val="top"/>
          </w:tcPr>
          <w:p>
            <w:pPr>
              <w:spacing w:line="440" w:lineRule="exact"/>
              <w:jc w:val="both"/>
              <w:rPr>
                <w:rFonts w:hint="eastAsia" w:ascii="方正仿宋_GBK" w:hAnsi="宋体" w:eastAsia="方正仿宋_GBK" w:cs="宋体"/>
                <w:color w:val="auto"/>
                <w:szCs w:val="28"/>
                <w:highlight w:val="none"/>
                <w:lang w:val="en-US" w:eastAsia="zh-CN"/>
              </w:rPr>
            </w:pPr>
          </w:p>
          <w:p>
            <w:pPr>
              <w:spacing w:line="440" w:lineRule="exact"/>
              <w:jc w:val="both"/>
              <w:rPr>
                <w:rFonts w:hint="eastAsia" w:ascii="方正仿宋_GBK" w:hAnsi="宋体" w:eastAsia="方正仿宋_GBK" w:cs="宋体"/>
                <w:color w:val="auto"/>
                <w:szCs w:val="28"/>
                <w:highlight w:val="none"/>
                <w:lang w:val="en-US" w:eastAsia="zh-CN"/>
              </w:rPr>
            </w:pPr>
          </w:p>
          <w:p>
            <w:pPr>
              <w:spacing w:line="440" w:lineRule="exact"/>
              <w:ind w:firstLine="280" w:firstLineChars="100"/>
              <w:jc w:val="both"/>
              <w:rPr>
                <w:rFonts w:hint="eastAsia" w:ascii="方正仿宋_GBK" w:hAnsi="宋体" w:eastAsia="方正仿宋_GBK" w:cs="宋体"/>
                <w:color w:val="auto"/>
                <w:szCs w:val="28"/>
                <w:highlight w:val="none"/>
                <w:lang w:val="en-US" w:eastAsia="zh-CN"/>
              </w:rPr>
            </w:pPr>
            <w:r>
              <w:rPr>
                <w:rFonts w:hint="eastAsia" w:ascii="方正仿宋_GBK" w:hAnsi="宋体" w:eastAsia="方正仿宋_GBK" w:cs="宋体"/>
                <w:color w:val="auto"/>
                <w:szCs w:val="28"/>
                <w:highlight w:val="none"/>
                <w:lang w:val="en-US" w:eastAsia="zh-CN"/>
              </w:rPr>
              <w:t>4800套</w:t>
            </w:r>
          </w:p>
        </w:tc>
        <w:tc>
          <w:tcPr>
            <w:tcW w:w="2024" w:type="dxa"/>
            <w:noWrap w:val="0"/>
            <w:vAlign w:val="center"/>
          </w:tcPr>
          <w:p>
            <w:pPr>
              <w:spacing w:line="440" w:lineRule="exact"/>
              <w:jc w:val="lef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投标产品必须为中国关境内生产，若为进口产品将按无效投标处理。</w:t>
            </w:r>
          </w:p>
        </w:tc>
      </w:tr>
    </w:tbl>
    <w:p>
      <w:pPr>
        <w:pStyle w:val="3"/>
        <w:spacing w:line="440" w:lineRule="exact"/>
        <w:ind w:firstLine="562" w:firstLineChars="200"/>
        <w:rPr>
          <w:rFonts w:hint="eastAsia" w:ascii="方正黑体_GBK" w:eastAsia="方正黑体_GBK" w:cs="宋体"/>
          <w:b/>
          <w:color w:val="auto"/>
          <w:szCs w:val="28"/>
          <w:highlight w:val="none"/>
        </w:rPr>
      </w:pPr>
      <w:bookmarkStart w:id="75" w:name="_Toc169703184"/>
      <w:bookmarkStart w:id="76" w:name="_Toc21760"/>
      <w:bookmarkStart w:id="77" w:name="_Toc32532"/>
    </w:p>
    <w:p>
      <w:pPr>
        <w:pStyle w:val="3"/>
        <w:numPr>
          <w:ilvl w:val="0"/>
          <w:numId w:val="17"/>
        </w:numPr>
        <w:spacing w:line="440" w:lineRule="exact"/>
        <w:ind w:left="0" w:leftChars="0" w:firstLine="562" w:firstLineChars="200"/>
        <w:rPr>
          <w:rFonts w:hint="eastAsia" w:ascii="方正黑体_GBK" w:eastAsia="方正黑体_GBK" w:cs="宋体"/>
          <w:b/>
          <w:color w:val="auto"/>
          <w:szCs w:val="28"/>
          <w:highlight w:val="none"/>
        </w:rPr>
      </w:pPr>
      <w:bookmarkStart w:id="78" w:name="_Toc10882"/>
      <w:r>
        <w:rPr>
          <w:rFonts w:hint="eastAsia" w:ascii="方正黑体_GBK" w:eastAsia="方正黑体_GBK" w:cs="宋体"/>
          <w:b/>
          <w:color w:val="auto"/>
          <w:szCs w:val="28"/>
          <w:highlight w:val="none"/>
        </w:rPr>
        <w:t>招标项目技术需求</w:t>
      </w:r>
      <w:bookmarkEnd w:id="75"/>
      <w:bookmarkEnd w:id="76"/>
      <w:bookmarkEnd w:id="77"/>
      <w:bookmarkEnd w:id="78"/>
    </w:p>
    <w:p>
      <w:pPr>
        <w:spacing w:line="440" w:lineRule="exact"/>
        <w:ind w:firstLine="560" w:firstLineChars="200"/>
        <w:jc w:val="left"/>
        <w:rPr>
          <w:rFonts w:hint="default" w:ascii="方正仿宋_GBK" w:hAnsi="宋体" w:eastAsia="方正仿宋_GBK" w:cs="宋体"/>
          <w:color w:val="auto"/>
          <w:szCs w:val="28"/>
          <w:highlight w:val="none"/>
          <w:lang w:val="en-US" w:eastAsia="zh-CN"/>
        </w:rPr>
      </w:pPr>
      <w:r>
        <w:rPr>
          <w:rFonts w:hint="eastAsia" w:ascii="方正仿宋_GBK" w:hAnsi="宋体" w:eastAsia="方正仿宋_GBK" w:cs="宋体"/>
          <w:color w:val="auto"/>
          <w:szCs w:val="28"/>
          <w:highlight w:val="none"/>
          <w:lang w:eastAsia="zh-CN"/>
        </w:rPr>
        <w:t>“※”标注（若有）的技术需求为符合性审查中的实质性要求，若不满足按无效投标处理。</w:t>
      </w:r>
      <w:r>
        <w:rPr>
          <w:rFonts w:hint="eastAsia" w:ascii="方正仿宋_GBK" w:hAnsi="宋体" w:eastAsia="方正仿宋_GBK" w:cs="宋体"/>
          <w:color w:val="auto"/>
          <w:szCs w:val="28"/>
          <w:highlight w:val="none"/>
          <w:lang w:eastAsia="zh-CN"/>
        </w:rPr>
        <w:br w:type="textWrapping"/>
      </w:r>
      <w:r>
        <w:rPr>
          <w:rFonts w:hint="eastAsia" w:ascii="方正仿宋_GBK" w:hAnsi="宋体" w:eastAsia="方正仿宋_GBK" w:cs="宋体"/>
          <w:color w:val="auto"/>
          <w:szCs w:val="28"/>
          <w:highlight w:val="none"/>
          <w:lang w:val="en-US" w:eastAsia="zh-CN"/>
        </w:rPr>
        <w:t xml:space="preserve">    “</w:t>
      </w:r>
      <w:r>
        <w:rPr>
          <w:rFonts w:hint="eastAsia" w:ascii="宋体" w:hAnsi="宋体" w:eastAsia="宋体" w:cs="宋体"/>
          <w:color w:val="auto"/>
          <w:sz w:val="24"/>
          <w:szCs w:val="36"/>
        </w:rPr>
        <w:t>★</w:t>
      </w:r>
      <w:r>
        <w:rPr>
          <w:rFonts w:hint="eastAsia" w:ascii="方正仿宋_GBK" w:hAnsi="宋体" w:eastAsia="方正仿宋_GBK" w:cs="宋体"/>
          <w:color w:val="auto"/>
          <w:szCs w:val="28"/>
          <w:highlight w:val="none"/>
          <w:lang w:val="en-US" w:eastAsia="zh-CN"/>
        </w:rPr>
        <w:t>”标注的技术需求为重要技术需求，若不满足将按照评标因素中相关规定处理。</w:t>
      </w:r>
    </w:p>
    <w:p>
      <w:pPr>
        <w:spacing w:line="400" w:lineRule="exact"/>
        <w:ind w:firstLine="281" w:firstLineChars="100"/>
        <w:outlineLvl w:val="2"/>
        <w:rPr>
          <w:rFonts w:hint="eastAsia" w:ascii="方正仿宋_GBK" w:hAnsi="宋体" w:eastAsia="方正仿宋_GBK"/>
          <w:color w:val="auto"/>
          <w:sz w:val="24"/>
          <w:szCs w:val="24"/>
          <w:highlight w:val="none"/>
        </w:rPr>
      </w:pPr>
      <w:r>
        <w:rPr>
          <w:rFonts w:hint="eastAsia" w:ascii="方正仿宋_GBK" w:hAnsi="宋体" w:eastAsia="方正仿宋_GBK"/>
          <w:b/>
          <w:bCs/>
          <w:color w:val="auto"/>
          <w:sz w:val="28"/>
          <w:szCs w:val="28"/>
          <w:highlight w:val="none"/>
          <w:lang w:val="en-US" w:eastAsia="zh-CN"/>
        </w:rPr>
        <w:t>1.技术参数：</w:t>
      </w:r>
    </w:p>
    <w:tbl>
      <w:tblPr>
        <w:tblStyle w:val="60"/>
        <w:tblW w:w="9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715"/>
        <w:gridCol w:w="8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62" w:type="dxa"/>
            <w:noWrap/>
            <w:vAlign w:val="center"/>
          </w:tcPr>
          <w:p>
            <w:pPr>
              <w:jc w:val="center"/>
              <w:rPr>
                <w:rFonts w:hint="eastAsia" w:ascii="宋体" w:hAnsi="宋体" w:eastAsia="宋体" w:cs="宋体"/>
                <w:b/>
                <w:bCs/>
                <w:sz w:val="24"/>
                <w:szCs w:val="24"/>
              </w:rPr>
            </w:pPr>
            <w:bookmarkStart w:id="79" w:name="_Toc14361"/>
            <w:bookmarkStart w:id="80" w:name="_Toc2921"/>
            <w:bookmarkStart w:id="81" w:name="_Toc169703185"/>
            <w:r>
              <w:rPr>
                <w:rFonts w:hint="eastAsia" w:ascii="宋体" w:hAnsi="宋体" w:eastAsia="宋体" w:cs="宋体"/>
                <w:b/>
                <w:bCs/>
                <w:sz w:val="24"/>
                <w:szCs w:val="24"/>
              </w:rPr>
              <w:t>序号</w:t>
            </w:r>
          </w:p>
        </w:tc>
        <w:tc>
          <w:tcPr>
            <w:tcW w:w="715" w:type="dxa"/>
            <w:noWrap/>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设备名称</w:t>
            </w:r>
          </w:p>
        </w:tc>
        <w:tc>
          <w:tcPr>
            <w:tcW w:w="8303" w:type="dxa"/>
            <w:noWrap/>
            <w:vAlign w:val="center"/>
          </w:tcPr>
          <w:p>
            <w:pPr>
              <w:jc w:val="center"/>
              <w:rPr>
                <w:rFonts w:hint="eastAsia" w:ascii="宋体" w:hAnsi="宋体" w:eastAsia="宋体" w:cs="宋体"/>
                <w:b/>
                <w:bCs/>
                <w:sz w:val="24"/>
                <w:szCs w:val="24"/>
              </w:rPr>
            </w:pPr>
            <w:r>
              <w:rPr>
                <w:rFonts w:hint="eastAsia" w:ascii="宋体" w:hAnsi="宋体" w:eastAsia="宋体" w:cs="宋体"/>
                <w:b/>
                <w:bCs/>
                <w:sz w:val="24"/>
                <w:szCs w:val="24"/>
              </w:rPr>
              <w:t>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1" w:hRule="atLeast"/>
        </w:trPr>
        <w:tc>
          <w:tcPr>
            <w:tcW w:w="462" w:type="dxa"/>
            <w:noWrap/>
            <w:vAlign w:val="center"/>
          </w:tcPr>
          <w:p>
            <w:pPr>
              <w:keepNext w:val="0"/>
              <w:keepLines w:val="0"/>
              <w:pageBreakBefore w:val="0"/>
              <w:widowControl w:val="0"/>
              <w:kinsoku/>
              <w:wordWrap/>
              <w:overflowPunct/>
              <w:topLinePunct w:val="0"/>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715" w:type="dxa"/>
            <w:noWrap/>
            <w:vAlign w:val="center"/>
          </w:tcPr>
          <w:p>
            <w:pPr>
              <w:keepNext w:val="0"/>
              <w:keepLines w:val="0"/>
              <w:pageBreakBefore w:val="0"/>
              <w:widowControl w:val="0"/>
              <w:kinsoku/>
              <w:wordWrap/>
              <w:overflowPunct/>
              <w:topLinePunct w:val="0"/>
              <w:autoSpaceDN/>
              <w:bidi w:val="0"/>
              <w:adjustRightInd/>
              <w:snapToGrid/>
              <w:spacing w:line="40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rPr>
              <w:t>课桌</w:t>
            </w:r>
            <w:r>
              <w:rPr>
                <w:rFonts w:hint="eastAsia" w:ascii="宋体" w:hAnsi="宋体" w:eastAsia="宋体" w:cs="宋体"/>
                <w:sz w:val="24"/>
                <w:szCs w:val="24"/>
                <w:lang w:eastAsia="zh-CN"/>
              </w:rPr>
              <w:t>课椅</w:t>
            </w:r>
          </w:p>
        </w:tc>
        <w:tc>
          <w:tcPr>
            <w:tcW w:w="8303" w:type="dxa"/>
            <w:noWrap/>
            <w:vAlign w:val="center"/>
          </w:tcPr>
          <w:p>
            <w:pPr>
              <w:spacing w:beforeLines="0" w:afterLines="0"/>
              <w:jc w:val="both"/>
              <w:rPr>
                <w:rFonts w:hint="eastAsia" w:ascii="宋体" w:hAnsi="宋体" w:eastAsia="宋体" w:cs="宋体"/>
                <w:b/>
                <w:bCs/>
                <w:color w:val="auto"/>
                <w:sz w:val="24"/>
                <w:szCs w:val="36"/>
              </w:rPr>
            </w:pPr>
            <w:r>
              <w:rPr>
                <w:rFonts w:hint="eastAsia" w:ascii="宋体" w:hAnsi="宋体" w:eastAsia="宋体" w:cs="宋体"/>
                <w:b/>
                <w:bCs/>
                <w:color w:val="000000"/>
                <w:kern w:val="0"/>
                <w:sz w:val="24"/>
                <w:szCs w:val="24"/>
                <w:u w:val="none"/>
              </w:rPr>
              <w:t>一、</w:t>
            </w:r>
            <w:r>
              <w:rPr>
                <w:rFonts w:hint="eastAsia" w:ascii="宋体" w:hAnsi="宋体" w:eastAsia="宋体" w:cs="宋体"/>
                <w:b/>
                <w:bCs/>
                <w:color w:val="auto"/>
                <w:sz w:val="24"/>
                <w:szCs w:val="36"/>
              </w:rPr>
              <w:t>课桌</w:t>
            </w:r>
          </w:p>
          <w:p>
            <w:pPr>
              <w:spacing w:beforeLines="0" w:afterLines="0"/>
              <w:jc w:val="both"/>
              <w:rPr>
                <w:rFonts w:hint="eastAsia" w:ascii="宋体" w:hAnsi="宋体" w:eastAsia="宋体" w:cs="宋体"/>
                <w:b/>
                <w:bCs/>
                <w:color w:val="auto"/>
                <w:sz w:val="24"/>
                <w:szCs w:val="36"/>
              </w:rPr>
            </w:pPr>
            <w:r>
              <w:rPr>
                <w:rFonts w:hint="eastAsia" w:ascii="宋体" w:hAnsi="宋体" w:eastAsia="宋体" w:cs="宋体"/>
                <w:b/>
                <w:bCs/>
                <w:color w:val="auto"/>
                <w:sz w:val="24"/>
                <w:szCs w:val="36"/>
              </w:rPr>
              <w:t>1.桌面：</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（1）尺寸规格：（600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650mm）*（400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450mm）*</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650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780mm)；</w:t>
            </w:r>
          </w:p>
          <w:p>
            <w:pPr>
              <w:spacing w:beforeLines="0" w:afterLines="0"/>
              <w:jc w:val="both"/>
              <w:rPr>
                <w:rFonts w:hint="eastAsia" w:ascii="宋体" w:hAnsi="宋体" w:eastAsia="宋体" w:cs="宋体"/>
                <w:color w:val="auto"/>
                <w:sz w:val="24"/>
                <w:szCs w:val="36"/>
                <w:lang w:eastAsia="zh-CN"/>
              </w:rPr>
            </w:pPr>
            <w:r>
              <w:rPr>
                <w:rFonts w:hint="eastAsia" w:ascii="宋体" w:hAnsi="宋体" w:eastAsia="宋体" w:cs="宋体"/>
                <w:color w:val="auto"/>
                <w:sz w:val="24"/>
                <w:szCs w:val="36"/>
              </w:rPr>
              <w:t>★（2）面板材质：基材采用≥18mm多层实木面板，环保无异味，面板材质达到 E0级环保要求</w:t>
            </w:r>
            <w:r>
              <w:rPr>
                <w:rFonts w:hint="eastAsia" w:ascii="宋体" w:hAnsi="宋体" w:eastAsia="宋体" w:cs="宋体"/>
                <w:color w:val="auto"/>
                <w:sz w:val="24"/>
                <w:szCs w:val="36"/>
                <w:lang w:eastAsia="zh-CN"/>
              </w:rPr>
              <w:t>；</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（3）封边条：采用PP材质注塑包边一次成型，封边条厚度为≥0.4mm；</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★（4）工艺及功能：整体采用注塑包边工艺设计，抗菌耐磨，便于书写；桌面前方及两侧部分设计≥1mm</w:t>
            </w:r>
            <w:r>
              <w:rPr>
                <w:rFonts w:hint="eastAsia" w:ascii="宋体" w:hAnsi="宋体" w:eastAsia="宋体" w:cs="宋体"/>
                <w:color w:val="auto"/>
                <w:sz w:val="24"/>
                <w:szCs w:val="36"/>
                <w:lang w:eastAsia="zh-CN"/>
              </w:rPr>
              <w:t>挡</w:t>
            </w:r>
            <w:r>
              <w:rPr>
                <w:rFonts w:hint="eastAsia" w:ascii="宋体" w:hAnsi="宋体" w:eastAsia="宋体" w:cs="宋体"/>
                <w:color w:val="auto"/>
                <w:sz w:val="24"/>
                <w:szCs w:val="36"/>
              </w:rPr>
              <w:t>沿，面板设计凹形笔槽，桌面四角为圆角。</w:t>
            </w:r>
          </w:p>
          <w:p>
            <w:pPr>
              <w:spacing w:beforeLines="0" w:afterLines="0"/>
              <w:jc w:val="both"/>
              <w:rPr>
                <w:rFonts w:hint="eastAsia" w:ascii="宋体" w:hAnsi="宋体" w:eastAsia="宋体" w:cs="宋体"/>
                <w:b/>
                <w:bCs/>
                <w:color w:val="auto"/>
                <w:sz w:val="24"/>
                <w:szCs w:val="36"/>
              </w:rPr>
            </w:pPr>
            <w:r>
              <w:rPr>
                <w:rFonts w:hint="eastAsia" w:ascii="宋体" w:hAnsi="宋体" w:eastAsia="宋体" w:cs="宋体"/>
                <w:b/>
                <w:bCs/>
                <w:color w:val="auto"/>
                <w:sz w:val="24"/>
                <w:szCs w:val="36"/>
              </w:rPr>
              <w:t>2.课斗：</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（1）尺寸规格：</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525</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560mm</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*(350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370mm)*(124</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155mm)；</w:t>
            </w:r>
          </w:p>
          <w:p>
            <w:pPr>
              <w:spacing w:beforeLines="0" w:afterLines="0"/>
              <w:jc w:val="both"/>
              <w:rPr>
                <w:rFonts w:hint="eastAsia" w:ascii="宋体" w:hAnsi="宋体" w:eastAsia="宋体" w:cs="宋体"/>
                <w:color w:val="auto"/>
                <w:sz w:val="24"/>
                <w:szCs w:val="36"/>
                <w:lang w:eastAsia="zh-CN"/>
              </w:rPr>
            </w:pPr>
            <w:r>
              <w:rPr>
                <w:rFonts w:hint="eastAsia" w:ascii="宋体" w:hAnsi="宋体" w:eastAsia="宋体" w:cs="宋体"/>
                <w:color w:val="auto"/>
                <w:sz w:val="24"/>
                <w:szCs w:val="36"/>
              </w:rPr>
              <w:t>★（2）材质：采用</w:t>
            </w:r>
            <w:r>
              <w:rPr>
                <w:rFonts w:hint="eastAsia" w:ascii="宋体" w:hAnsi="宋体" w:eastAsia="宋体" w:cs="宋体"/>
                <w:color w:val="auto"/>
                <w:sz w:val="24"/>
                <w:szCs w:val="36"/>
                <w:lang w:eastAsia="zh-CN"/>
              </w:rPr>
              <w:t>全新环保</w:t>
            </w:r>
            <w:r>
              <w:rPr>
                <w:rFonts w:hint="eastAsia" w:ascii="宋体" w:hAnsi="宋体" w:eastAsia="宋体" w:cs="宋体"/>
                <w:color w:val="auto"/>
                <w:sz w:val="24"/>
                <w:szCs w:val="36"/>
              </w:rPr>
              <w:t>抗菌耐磨PP塑料，环保无异味，具有耐冲击、耐抗压、耐磨和透气的性能</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lang w:val="en-US"/>
              </w:rPr>
              <w:t>不可采用回收料生产</w:t>
            </w:r>
            <w:r>
              <w:rPr>
                <w:rFonts w:hint="eastAsia" w:ascii="宋体" w:hAnsi="宋体" w:eastAsia="宋体" w:cs="宋体"/>
                <w:color w:val="auto"/>
                <w:sz w:val="24"/>
                <w:szCs w:val="36"/>
                <w:lang w:val="en-US" w:eastAsia="zh-CN"/>
              </w:rPr>
              <w:t>。</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★（3）工艺及功能：一体注塑制作而成并带镂空设计，具有翻转功能，控制翻转的扳手或开关设计合理，省力易操作，防止夹手，翻转后课桌收纳规整更省空间。</w:t>
            </w:r>
          </w:p>
          <w:p>
            <w:pPr>
              <w:spacing w:beforeLines="0" w:afterLines="0"/>
              <w:jc w:val="both"/>
              <w:rPr>
                <w:rFonts w:hint="eastAsia" w:ascii="宋体" w:hAnsi="宋体" w:eastAsia="宋体" w:cs="宋体"/>
                <w:b/>
                <w:bCs/>
                <w:color w:val="auto"/>
                <w:sz w:val="24"/>
                <w:szCs w:val="36"/>
              </w:rPr>
            </w:pPr>
            <w:r>
              <w:rPr>
                <w:rFonts w:hint="eastAsia" w:ascii="宋体" w:hAnsi="宋体" w:eastAsia="宋体" w:cs="宋体"/>
                <w:b/>
                <w:bCs/>
                <w:color w:val="auto"/>
                <w:sz w:val="24"/>
                <w:szCs w:val="36"/>
              </w:rPr>
              <w:t>3.桌</w:t>
            </w:r>
            <w:r>
              <w:rPr>
                <w:rFonts w:hint="eastAsia" w:ascii="宋体" w:hAnsi="宋体" w:eastAsia="宋体" w:cs="宋体"/>
                <w:b/>
                <w:bCs/>
                <w:color w:val="auto"/>
                <w:sz w:val="24"/>
                <w:szCs w:val="36"/>
                <w:lang w:eastAsia="zh-CN"/>
              </w:rPr>
              <w:t>钢</w:t>
            </w:r>
            <w:r>
              <w:rPr>
                <w:rFonts w:hint="eastAsia" w:ascii="宋体" w:hAnsi="宋体" w:eastAsia="宋体" w:cs="宋体"/>
                <w:b/>
                <w:bCs/>
                <w:color w:val="auto"/>
                <w:sz w:val="24"/>
                <w:szCs w:val="36"/>
              </w:rPr>
              <w:t>架：</w:t>
            </w:r>
          </w:p>
          <w:p>
            <w:pPr>
              <w:spacing w:beforeLines="0" w:afterLines="0"/>
              <w:jc w:val="both"/>
              <w:rPr>
                <w:rFonts w:hint="eastAsia" w:ascii="宋体" w:hAnsi="宋体" w:eastAsia="宋体" w:cs="宋体"/>
                <w:color w:val="auto"/>
                <w:sz w:val="24"/>
                <w:szCs w:val="36"/>
                <w:lang w:eastAsia="zh-CN"/>
              </w:rPr>
            </w:pPr>
            <w:r>
              <w:rPr>
                <w:rFonts w:hint="eastAsia" w:ascii="宋体" w:hAnsi="宋体" w:eastAsia="宋体" w:cs="宋体"/>
                <w:color w:val="auto"/>
                <w:sz w:val="24"/>
                <w:szCs w:val="36"/>
              </w:rPr>
              <w:t>（1）材质：管材为优质钢材，厚度≥1.3mm</w:t>
            </w:r>
            <w:r>
              <w:rPr>
                <w:rFonts w:hint="eastAsia" w:ascii="宋体" w:hAnsi="宋体" w:eastAsia="宋体" w:cs="宋体"/>
                <w:color w:val="auto"/>
                <w:sz w:val="24"/>
                <w:szCs w:val="36"/>
                <w:lang w:eastAsia="zh-CN"/>
              </w:rPr>
              <w:t>；</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（2）工艺要求：金属部分经过酸洗、除油、除锈、 清水、磷化</w:t>
            </w:r>
            <w:r>
              <w:rPr>
                <w:rFonts w:hint="eastAsia" w:ascii="宋体" w:hAnsi="宋体" w:eastAsia="宋体" w:cs="宋体"/>
                <w:color w:val="auto"/>
                <w:sz w:val="24"/>
                <w:szCs w:val="36"/>
                <w:lang w:eastAsia="zh-CN"/>
              </w:rPr>
              <w:t>等流程</w:t>
            </w:r>
            <w:r>
              <w:rPr>
                <w:rFonts w:hint="eastAsia" w:ascii="宋体" w:hAnsi="宋体" w:eastAsia="宋体" w:cs="宋体"/>
                <w:color w:val="auto"/>
                <w:sz w:val="24"/>
                <w:szCs w:val="36"/>
              </w:rPr>
              <w:t>处理后，采用“喷塑”或“烤漆”进行高温固化。</w:t>
            </w:r>
          </w:p>
          <w:p>
            <w:pPr>
              <w:spacing w:beforeLines="0" w:afterLines="0"/>
              <w:jc w:val="both"/>
              <w:rPr>
                <w:rFonts w:hint="eastAsia" w:ascii="宋体" w:hAnsi="宋体" w:eastAsia="宋体" w:cs="宋体"/>
                <w:b/>
                <w:bCs/>
                <w:color w:val="auto"/>
                <w:sz w:val="24"/>
                <w:szCs w:val="36"/>
                <w:lang w:val="en-US"/>
              </w:rPr>
            </w:pPr>
            <w:r>
              <w:rPr>
                <w:rFonts w:hint="eastAsia" w:ascii="宋体" w:hAnsi="宋体" w:eastAsia="宋体" w:cs="宋体"/>
                <w:b/>
                <w:bCs/>
                <w:color w:val="auto"/>
                <w:sz w:val="24"/>
                <w:szCs w:val="36"/>
                <w:lang w:val="en-US"/>
              </w:rPr>
              <w:t>4.</w:t>
            </w:r>
            <w:r>
              <w:rPr>
                <w:rFonts w:hint="eastAsia" w:ascii="宋体" w:hAnsi="宋体" w:eastAsia="宋体" w:cs="宋体"/>
                <w:b/>
                <w:bCs/>
                <w:color w:val="auto"/>
                <w:sz w:val="24"/>
                <w:szCs w:val="36"/>
              </w:rPr>
              <w:t>脚套</w:t>
            </w:r>
            <w:r>
              <w:rPr>
                <w:rFonts w:hint="eastAsia" w:ascii="宋体" w:hAnsi="宋体" w:eastAsia="宋体" w:cs="宋体"/>
                <w:b/>
                <w:bCs/>
                <w:color w:val="auto"/>
                <w:sz w:val="24"/>
                <w:szCs w:val="36"/>
                <w:lang w:eastAsia="zh-CN"/>
              </w:rPr>
              <w:t>和</w:t>
            </w:r>
            <w:r>
              <w:rPr>
                <w:rFonts w:hint="eastAsia" w:ascii="宋体" w:hAnsi="宋体" w:eastAsia="宋体" w:cs="宋体"/>
                <w:b/>
                <w:bCs/>
                <w:color w:val="auto"/>
                <w:sz w:val="24"/>
                <w:szCs w:val="36"/>
              </w:rPr>
              <w:t>立柱中间装饰套</w:t>
            </w:r>
            <w:r>
              <w:rPr>
                <w:rFonts w:hint="eastAsia" w:ascii="宋体" w:hAnsi="宋体" w:eastAsia="宋体" w:cs="宋体"/>
                <w:b/>
                <w:bCs/>
                <w:color w:val="auto"/>
                <w:sz w:val="24"/>
                <w:szCs w:val="36"/>
                <w:lang w:val="en-US"/>
              </w:rPr>
              <w:t>：</w:t>
            </w:r>
          </w:p>
          <w:p>
            <w:pPr>
              <w:spacing w:beforeLines="0" w:afterLines="0"/>
              <w:jc w:val="both"/>
              <w:rPr>
                <w:rFonts w:hint="eastAsia" w:ascii="宋体" w:hAnsi="宋体" w:eastAsia="宋体" w:cs="宋体"/>
                <w:color w:val="auto"/>
                <w:sz w:val="24"/>
                <w:szCs w:val="36"/>
                <w:lang w:val="en-US"/>
              </w:rPr>
            </w:pPr>
            <w:r>
              <w:rPr>
                <w:rFonts w:hint="eastAsia" w:ascii="宋体" w:hAnsi="宋体" w:eastAsia="宋体" w:cs="宋体"/>
                <w:color w:val="auto"/>
                <w:sz w:val="24"/>
                <w:szCs w:val="36"/>
                <w:lang w:val="en-US"/>
              </w:rPr>
              <w:t>（1）材质：</w:t>
            </w:r>
            <w:r>
              <w:rPr>
                <w:rFonts w:hint="eastAsia" w:ascii="宋体" w:hAnsi="宋体" w:eastAsia="宋体" w:cs="宋体"/>
                <w:color w:val="auto"/>
                <w:sz w:val="24"/>
                <w:szCs w:val="36"/>
              </w:rPr>
              <w:t>采用</w:t>
            </w:r>
            <w:r>
              <w:rPr>
                <w:rFonts w:hint="eastAsia" w:ascii="宋体" w:hAnsi="宋体" w:eastAsia="宋体" w:cs="宋体"/>
                <w:color w:val="auto"/>
                <w:sz w:val="24"/>
                <w:szCs w:val="36"/>
                <w:lang w:eastAsia="zh-CN"/>
              </w:rPr>
              <w:t>全新环保</w:t>
            </w:r>
            <w:r>
              <w:rPr>
                <w:rFonts w:hint="eastAsia" w:ascii="宋体" w:hAnsi="宋体" w:eastAsia="宋体" w:cs="宋体"/>
                <w:color w:val="auto"/>
                <w:sz w:val="24"/>
                <w:szCs w:val="36"/>
              </w:rPr>
              <w:t>抗菌耐磨PP塑料，</w:t>
            </w:r>
            <w:r>
              <w:rPr>
                <w:rFonts w:hint="eastAsia" w:ascii="宋体" w:hAnsi="宋体" w:eastAsia="宋体" w:cs="宋体"/>
                <w:color w:val="auto"/>
                <w:sz w:val="24"/>
                <w:szCs w:val="36"/>
                <w:lang w:val="en-US"/>
              </w:rPr>
              <w:t>不可采用回收料生产；</w:t>
            </w:r>
          </w:p>
          <w:p>
            <w:pPr>
              <w:spacing w:beforeLines="0" w:afterLines="0"/>
              <w:jc w:val="both"/>
              <w:rPr>
                <w:rFonts w:hint="eastAsia" w:ascii="宋体" w:hAnsi="宋体" w:eastAsia="宋体" w:cs="宋体"/>
                <w:color w:val="auto"/>
                <w:sz w:val="24"/>
                <w:szCs w:val="36"/>
                <w:lang w:val="en-US"/>
              </w:rPr>
            </w:pPr>
            <w:r>
              <w:rPr>
                <w:rFonts w:hint="eastAsia" w:ascii="宋体" w:hAnsi="宋体" w:eastAsia="宋体" w:cs="宋体"/>
                <w:color w:val="auto"/>
                <w:sz w:val="24"/>
                <w:szCs w:val="36"/>
                <w:lang w:val="en-US"/>
              </w:rPr>
              <w:t>（2）工艺及功能：一次成型静音脚垫，</w:t>
            </w:r>
            <w:r>
              <w:rPr>
                <w:rFonts w:hint="eastAsia" w:ascii="宋体" w:hAnsi="宋体" w:eastAsia="宋体" w:cs="宋体"/>
                <w:color w:val="auto"/>
                <w:sz w:val="24"/>
                <w:szCs w:val="36"/>
                <w:lang w:val="en-US" w:eastAsia="zh-CN"/>
              </w:rPr>
              <w:t>有防脱落设计，</w:t>
            </w:r>
            <w:r>
              <w:rPr>
                <w:rFonts w:hint="eastAsia" w:ascii="宋体" w:hAnsi="宋体" w:eastAsia="宋体" w:cs="宋体"/>
                <w:color w:val="auto"/>
                <w:sz w:val="24"/>
                <w:szCs w:val="36"/>
                <w:lang w:val="en-US"/>
              </w:rPr>
              <w:t>包裹严密不易脱落。</w:t>
            </w:r>
          </w:p>
          <w:p>
            <w:pPr>
              <w:spacing w:beforeLines="0" w:afterLines="0"/>
              <w:jc w:val="both"/>
              <w:rPr>
                <w:rFonts w:hint="eastAsia" w:ascii="宋体" w:hAnsi="宋体" w:eastAsia="宋体" w:cs="宋体"/>
                <w:color w:val="auto"/>
                <w:sz w:val="24"/>
                <w:szCs w:val="36"/>
                <w:lang w:val="en-US"/>
              </w:rPr>
            </w:pPr>
            <w:r>
              <w:rPr>
                <w:rFonts w:hint="eastAsia" w:ascii="宋体" w:hAnsi="宋体" w:eastAsia="宋体" w:cs="宋体"/>
                <w:b/>
                <w:bCs/>
                <w:color w:val="auto"/>
                <w:sz w:val="24"/>
                <w:szCs w:val="36"/>
                <w:lang w:val="en-US"/>
              </w:rPr>
              <w:t>5.挂钩：</w:t>
            </w:r>
            <w:r>
              <w:rPr>
                <w:rFonts w:hint="eastAsia" w:ascii="宋体" w:hAnsi="宋体" w:eastAsia="宋体" w:cs="宋体"/>
                <w:color w:val="auto"/>
                <w:sz w:val="24"/>
                <w:szCs w:val="36"/>
                <w:lang w:val="en-US"/>
              </w:rPr>
              <w:t>课斗</w:t>
            </w:r>
            <w:r>
              <w:rPr>
                <w:rFonts w:hint="eastAsia" w:ascii="宋体" w:hAnsi="宋体" w:eastAsia="宋体" w:cs="宋体"/>
                <w:color w:val="auto"/>
                <w:sz w:val="24"/>
                <w:szCs w:val="36"/>
                <w:lang w:val="en-US" w:eastAsia="zh-CN"/>
              </w:rPr>
              <w:t>两</w:t>
            </w:r>
            <w:r>
              <w:rPr>
                <w:rFonts w:hint="eastAsia" w:ascii="宋体" w:hAnsi="宋体" w:eastAsia="宋体" w:cs="宋体"/>
                <w:color w:val="auto"/>
                <w:sz w:val="24"/>
                <w:szCs w:val="36"/>
                <w:lang w:val="en-US"/>
              </w:rPr>
              <w:t>侧各有一个书包挂钩，</w:t>
            </w:r>
            <w:r>
              <w:rPr>
                <w:rFonts w:hint="eastAsia" w:ascii="宋体" w:hAnsi="宋体" w:eastAsia="宋体" w:cs="宋体"/>
                <w:color w:val="auto"/>
                <w:sz w:val="24"/>
                <w:szCs w:val="36"/>
                <w:lang w:val="en-US" w:eastAsia="zh-CN"/>
              </w:rPr>
              <w:t>方便实用、</w:t>
            </w:r>
            <w:r>
              <w:rPr>
                <w:rFonts w:hint="eastAsia" w:ascii="宋体" w:hAnsi="宋体" w:eastAsia="宋体" w:cs="宋体"/>
                <w:color w:val="auto"/>
                <w:sz w:val="24"/>
                <w:szCs w:val="36"/>
                <w:lang w:val="en-US"/>
              </w:rPr>
              <w:t>牢固不易变形、脱落。</w:t>
            </w:r>
          </w:p>
          <w:p>
            <w:pPr>
              <w:spacing w:beforeLines="0" w:afterLines="0"/>
              <w:jc w:val="both"/>
              <w:rPr>
                <w:rFonts w:hint="eastAsia" w:ascii="宋体" w:hAnsi="宋体" w:eastAsia="宋体" w:cs="宋体"/>
                <w:color w:val="auto"/>
                <w:sz w:val="24"/>
                <w:szCs w:val="36"/>
                <w:lang w:val="en-US"/>
              </w:rPr>
            </w:pPr>
            <w:r>
              <w:rPr>
                <w:rFonts w:hint="eastAsia" w:ascii="宋体" w:hAnsi="宋体" w:eastAsia="宋体" w:cs="宋体"/>
                <w:b/>
                <w:bCs/>
                <w:color w:val="auto"/>
                <w:sz w:val="24"/>
                <w:szCs w:val="36"/>
                <w:lang w:val="en-US"/>
              </w:rPr>
              <w:t>6.升降结构：</w:t>
            </w:r>
            <w:r>
              <w:rPr>
                <w:rFonts w:hint="eastAsia" w:ascii="宋体" w:hAnsi="宋体" w:eastAsia="宋体" w:cs="宋体"/>
                <w:color w:val="auto"/>
                <w:sz w:val="24"/>
                <w:szCs w:val="36"/>
                <w:lang w:val="en-US"/>
              </w:rPr>
              <w:t>可通过</w:t>
            </w:r>
            <w:r>
              <w:rPr>
                <w:rFonts w:hint="eastAsia" w:ascii="宋体" w:hAnsi="宋体" w:eastAsia="宋体" w:cs="宋体"/>
                <w:color w:val="auto"/>
                <w:sz w:val="24"/>
                <w:szCs w:val="36"/>
                <w:lang w:val="en-US" w:eastAsia="zh-CN"/>
              </w:rPr>
              <w:t>无级</w:t>
            </w:r>
            <w:r>
              <w:rPr>
                <w:rFonts w:hint="eastAsia" w:ascii="宋体" w:hAnsi="宋体" w:eastAsia="宋体" w:cs="宋体"/>
                <w:color w:val="auto"/>
                <w:sz w:val="24"/>
                <w:szCs w:val="36"/>
                <w:lang w:val="en-US"/>
              </w:rPr>
              <w:t>升降</w:t>
            </w:r>
            <w:r>
              <w:rPr>
                <w:rFonts w:hint="eastAsia" w:ascii="宋体" w:hAnsi="宋体" w:eastAsia="宋体" w:cs="宋体"/>
                <w:color w:val="auto"/>
                <w:sz w:val="24"/>
                <w:szCs w:val="36"/>
                <w:lang w:val="en-US" w:eastAsia="zh-CN"/>
              </w:rPr>
              <w:t>或挡位</w:t>
            </w:r>
            <w:r>
              <w:rPr>
                <w:rFonts w:hint="eastAsia" w:ascii="宋体" w:hAnsi="宋体" w:eastAsia="宋体" w:cs="宋体"/>
                <w:color w:val="auto"/>
                <w:sz w:val="24"/>
                <w:szCs w:val="36"/>
                <w:lang w:val="en-US"/>
              </w:rPr>
              <w:t>调节课桌高度。</w:t>
            </w:r>
          </w:p>
          <w:p>
            <w:pPr>
              <w:spacing w:beforeLines="0" w:afterLines="0"/>
              <w:jc w:val="both"/>
              <w:rPr>
                <w:rFonts w:hint="eastAsia" w:ascii="宋体" w:hAnsi="宋体" w:eastAsia="宋体" w:cs="宋体"/>
                <w:color w:val="auto"/>
                <w:sz w:val="24"/>
                <w:szCs w:val="36"/>
                <w:lang w:val="en-US" w:eastAsia="zh-CN"/>
              </w:rPr>
            </w:pPr>
            <w:r>
              <w:rPr>
                <w:rFonts w:hint="eastAsia" w:ascii="宋体" w:hAnsi="宋体" w:eastAsia="宋体" w:cs="宋体"/>
                <w:b/>
                <w:bCs/>
                <w:color w:val="auto"/>
                <w:sz w:val="24"/>
                <w:szCs w:val="36"/>
                <w:lang w:val="en-US"/>
              </w:rPr>
              <w:t>7.五金</w:t>
            </w:r>
            <w:r>
              <w:rPr>
                <w:rFonts w:hint="eastAsia" w:ascii="宋体" w:hAnsi="宋体" w:eastAsia="宋体" w:cs="宋体"/>
                <w:b/>
                <w:bCs/>
                <w:color w:val="auto"/>
                <w:sz w:val="24"/>
                <w:szCs w:val="36"/>
                <w:lang w:val="en-US" w:eastAsia="zh-CN"/>
              </w:rPr>
              <w:t>连接</w:t>
            </w:r>
            <w:r>
              <w:rPr>
                <w:rFonts w:hint="eastAsia" w:ascii="宋体" w:hAnsi="宋体" w:eastAsia="宋体" w:cs="宋体"/>
                <w:b/>
                <w:bCs/>
                <w:color w:val="auto"/>
                <w:sz w:val="24"/>
                <w:szCs w:val="36"/>
                <w:lang w:val="en-US"/>
              </w:rPr>
              <w:t>件</w:t>
            </w:r>
            <w:r>
              <w:rPr>
                <w:rFonts w:hint="eastAsia" w:ascii="宋体" w:hAnsi="宋体" w:eastAsia="宋体" w:cs="宋体"/>
                <w:b/>
                <w:bCs/>
                <w:color w:val="auto"/>
                <w:sz w:val="24"/>
                <w:szCs w:val="36"/>
                <w:lang w:val="en-US" w:eastAsia="zh-CN"/>
              </w:rPr>
              <w:t>及零部件</w:t>
            </w:r>
            <w:r>
              <w:rPr>
                <w:rFonts w:hint="eastAsia" w:ascii="宋体" w:hAnsi="宋体" w:eastAsia="宋体" w:cs="宋体"/>
                <w:b/>
                <w:bCs/>
                <w:color w:val="auto"/>
                <w:sz w:val="24"/>
                <w:szCs w:val="36"/>
                <w:lang w:val="en-US"/>
              </w:rPr>
              <w:t>：</w:t>
            </w:r>
            <w:r>
              <w:rPr>
                <w:rFonts w:hint="eastAsia" w:ascii="宋体" w:hAnsi="宋体" w:eastAsia="宋体" w:cs="宋体"/>
                <w:color w:val="auto"/>
                <w:sz w:val="24"/>
                <w:szCs w:val="36"/>
                <w:lang w:val="en-US" w:eastAsia="zh-CN"/>
              </w:rPr>
              <w:t>五金件采用优质钢材制作，各种零部件安装严密、平整、牢固，各结合处紧密、平整，无明显缝隙。</w:t>
            </w:r>
          </w:p>
          <w:p>
            <w:pPr>
              <w:spacing w:beforeLines="0" w:afterLines="0"/>
              <w:jc w:val="both"/>
              <w:rPr>
                <w:rFonts w:hint="eastAsia" w:ascii="宋体" w:hAnsi="宋体" w:eastAsia="宋体" w:cs="宋体"/>
                <w:color w:val="auto"/>
                <w:sz w:val="24"/>
                <w:szCs w:val="36"/>
                <w:lang w:val="en-US" w:eastAsia="zh-CN"/>
              </w:rPr>
            </w:pPr>
            <w:r>
              <w:rPr>
                <w:rFonts w:hint="eastAsia" w:ascii="宋体" w:hAnsi="宋体" w:eastAsia="宋体" w:cs="宋体"/>
                <w:b/>
                <w:bCs/>
                <w:color w:val="auto"/>
                <w:sz w:val="24"/>
                <w:szCs w:val="36"/>
                <w:lang w:val="en-US"/>
              </w:rPr>
              <w:t>8.课桌整体</w:t>
            </w:r>
            <w:r>
              <w:rPr>
                <w:rFonts w:hint="eastAsia" w:ascii="宋体" w:hAnsi="宋体" w:eastAsia="宋体" w:cs="宋体"/>
                <w:b/>
                <w:bCs/>
                <w:color w:val="auto"/>
                <w:sz w:val="24"/>
                <w:szCs w:val="36"/>
                <w:lang w:val="en-US" w:eastAsia="zh-CN"/>
              </w:rPr>
              <w:t>稳定</w:t>
            </w:r>
            <w:r>
              <w:rPr>
                <w:rFonts w:hint="eastAsia" w:ascii="宋体" w:hAnsi="宋体" w:eastAsia="宋体" w:cs="宋体"/>
                <w:b/>
                <w:bCs/>
                <w:color w:val="auto"/>
                <w:sz w:val="24"/>
                <w:szCs w:val="36"/>
                <w:lang w:val="en-US"/>
              </w:rPr>
              <w:t>性：</w:t>
            </w:r>
            <w:r>
              <w:rPr>
                <w:rFonts w:hint="eastAsia" w:ascii="宋体" w:hAnsi="宋体" w:eastAsia="宋体" w:cs="宋体"/>
                <w:color w:val="auto"/>
                <w:sz w:val="24"/>
                <w:szCs w:val="36"/>
                <w:lang w:val="en-US" w:eastAsia="zh-CN"/>
              </w:rPr>
              <w:t>桌脚着地平稳，无摇摆现象。</w:t>
            </w:r>
          </w:p>
          <w:p>
            <w:pPr>
              <w:spacing w:beforeLines="0" w:afterLines="0"/>
              <w:jc w:val="both"/>
              <w:rPr>
                <w:rFonts w:hint="eastAsia" w:ascii="宋体" w:hAnsi="宋体" w:eastAsia="宋体" w:cs="宋体"/>
                <w:b/>
                <w:bCs/>
                <w:color w:val="auto"/>
                <w:sz w:val="24"/>
                <w:szCs w:val="36"/>
              </w:rPr>
            </w:pPr>
            <w:r>
              <w:rPr>
                <w:rFonts w:hint="eastAsia" w:ascii="宋体" w:hAnsi="宋体" w:eastAsia="宋体" w:cs="宋体"/>
                <w:b/>
                <w:bCs/>
                <w:color w:val="auto"/>
                <w:sz w:val="24"/>
                <w:szCs w:val="36"/>
              </w:rPr>
              <w:t>二、课椅</w:t>
            </w:r>
          </w:p>
          <w:p>
            <w:pPr>
              <w:spacing w:beforeLines="0" w:afterLines="0"/>
              <w:jc w:val="both"/>
              <w:rPr>
                <w:rFonts w:hint="eastAsia" w:ascii="宋体" w:hAnsi="宋体" w:eastAsia="宋体" w:cs="宋体"/>
                <w:color w:val="auto"/>
                <w:sz w:val="24"/>
                <w:szCs w:val="36"/>
              </w:rPr>
            </w:pPr>
            <w:r>
              <w:rPr>
                <w:rFonts w:hint="eastAsia" w:ascii="宋体" w:hAnsi="宋体" w:eastAsia="宋体" w:cs="宋体"/>
                <w:b/>
                <w:bCs/>
                <w:color w:val="auto"/>
                <w:sz w:val="24"/>
                <w:szCs w:val="36"/>
              </w:rPr>
              <w:t>1.尺寸规格</w:t>
            </w:r>
            <w:r>
              <w:rPr>
                <w:rFonts w:hint="eastAsia" w:ascii="宋体" w:hAnsi="宋体" w:eastAsia="宋体" w:cs="宋体"/>
                <w:color w:val="auto"/>
                <w:sz w:val="24"/>
                <w:szCs w:val="36"/>
              </w:rPr>
              <w:t>：椅面离地高度为340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440mm连续可调或分档可调。</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w:t>
            </w:r>
            <w:r>
              <w:rPr>
                <w:rFonts w:hint="eastAsia" w:ascii="宋体" w:hAnsi="宋体" w:eastAsia="宋体" w:cs="宋体"/>
                <w:b/>
                <w:bCs/>
                <w:color w:val="auto"/>
                <w:sz w:val="24"/>
                <w:szCs w:val="36"/>
              </w:rPr>
              <w:t>2.椅</w:t>
            </w:r>
            <w:r>
              <w:rPr>
                <w:rFonts w:hint="eastAsia" w:ascii="宋体" w:hAnsi="宋体" w:eastAsia="宋体" w:cs="宋体"/>
                <w:b/>
                <w:bCs/>
                <w:color w:val="auto"/>
                <w:sz w:val="24"/>
                <w:szCs w:val="36"/>
                <w:lang w:eastAsia="zh-CN"/>
              </w:rPr>
              <w:t>座板</w:t>
            </w:r>
            <w:r>
              <w:rPr>
                <w:rFonts w:hint="eastAsia" w:ascii="宋体" w:hAnsi="宋体" w:eastAsia="宋体" w:cs="宋体"/>
                <w:color w:val="auto"/>
                <w:sz w:val="24"/>
                <w:szCs w:val="36"/>
              </w:rPr>
              <w:t>：规格</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400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425mm</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*(410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445mm)*</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材料采用</w:t>
            </w:r>
            <w:r>
              <w:rPr>
                <w:rFonts w:hint="eastAsia" w:ascii="宋体" w:hAnsi="宋体" w:eastAsia="宋体" w:cs="宋体"/>
                <w:color w:val="auto"/>
                <w:sz w:val="24"/>
                <w:szCs w:val="36"/>
                <w:lang w:eastAsia="zh-CN"/>
              </w:rPr>
              <w:t>全新环保</w:t>
            </w:r>
            <w:r>
              <w:rPr>
                <w:rFonts w:hint="eastAsia" w:ascii="宋体" w:hAnsi="宋体" w:eastAsia="宋体" w:cs="宋体"/>
                <w:color w:val="auto"/>
                <w:sz w:val="24"/>
                <w:szCs w:val="36"/>
              </w:rPr>
              <w:t>抗菌耐磨PP塑料一体注塑而成；坐板中间有内凹下沉设计，表面有防滑设计，坐</w:t>
            </w:r>
            <w:r>
              <w:rPr>
                <w:rFonts w:hint="eastAsia" w:ascii="宋体" w:hAnsi="宋体" w:eastAsia="宋体" w:cs="宋体"/>
                <w:color w:val="auto"/>
                <w:sz w:val="24"/>
                <w:szCs w:val="36"/>
                <w:lang w:eastAsia="zh-CN"/>
              </w:rPr>
              <w:t>板</w:t>
            </w:r>
            <w:r>
              <w:rPr>
                <w:rFonts w:hint="eastAsia" w:ascii="宋体" w:hAnsi="宋体" w:eastAsia="宋体" w:cs="宋体"/>
                <w:color w:val="auto"/>
                <w:sz w:val="24"/>
                <w:szCs w:val="36"/>
              </w:rPr>
              <w:t>设置透气孔</w:t>
            </w:r>
            <w:r>
              <w:rPr>
                <w:rFonts w:hint="eastAsia" w:ascii="宋体" w:hAnsi="宋体" w:eastAsia="宋体" w:cs="宋体"/>
                <w:color w:val="auto"/>
                <w:sz w:val="24"/>
                <w:szCs w:val="36"/>
                <w:lang w:eastAsia="zh-CN"/>
              </w:rPr>
              <w:t>（缝）</w:t>
            </w:r>
            <w:r>
              <w:rPr>
                <w:rFonts w:hint="eastAsia" w:ascii="宋体" w:hAnsi="宋体" w:eastAsia="宋体" w:cs="宋体"/>
                <w:color w:val="auto"/>
                <w:sz w:val="24"/>
                <w:szCs w:val="36"/>
              </w:rPr>
              <w:t>。</w:t>
            </w:r>
          </w:p>
          <w:p>
            <w:pPr>
              <w:spacing w:beforeLines="0" w:afterLines="0"/>
              <w:jc w:val="both"/>
              <w:rPr>
                <w:rFonts w:hint="eastAsia" w:ascii="宋体" w:hAnsi="宋体" w:eastAsia="宋体" w:cs="宋体"/>
                <w:color w:val="auto"/>
                <w:sz w:val="24"/>
                <w:szCs w:val="36"/>
              </w:rPr>
            </w:pPr>
            <w:r>
              <w:rPr>
                <w:rFonts w:hint="eastAsia" w:ascii="宋体" w:hAnsi="宋体" w:eastAsia="宋体" w:cs="宋体"/>
                <w:b/>
                <w:bCs/>
                <w:color w:val="auto"/>
                <w:sz w:val="24"/>
                <w:szCs w:val="36"/>
              </w:rPr>
              <w:t>3.靠背板：</w:t>
            </w:r>
            <w:r>
              <w:rPr>
                <w:rFonts w:hint="eastAsia" w:ascii="宋体" w:hAnsi="宋体" w:eastAsia="宋体" w:cs="宋体"/>
                <w:color w:val="auto"/>
                <w:sz w:val="24"/>
                <w:szCs w:val="36"/>
              </w:rPr>
              <w:t>靠背板规格</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400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430mm</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*(410</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460mm)，材料采用</w:t>
            </w:r>
            <w:r>
              <w:rPr>
                <w:rFonts w:hint="eastAsia" w:ascii="宋体" w:hAnsi="宋体" w:eastAsia="宋体" w:cs="宋体"/>
                <w:color w:val="auto"/>
                <w:sz w:val="24"/>
                <w:szCs w:val="36"/>
                <w:lang w:eastAsia="zh-CN"/>
              </w:rPr>
              <w:t>全新环保</w:t>
            </w:r>
            <w:r>
              <w:rPr>
                <w:rFonts w:hint="eastAsia" w:ascii="宋体" w:hAnsi="宋体" w:eastAsia="宋体" w:cs="宋体"/>
                <w:color w:val="auto"/>
                <w:sz w:val="24"/>
                <w:szCs w:val="36"/>
              </w:rPr>
              <w:t>抗菌耐磨PP塑料一体注塑而成</w:t>
            </w:r>
            <w:r>
              <w:rPr>
                <w:rFonts w:hint="eastAsia" w:ascii="宋体" w:hAnsi="宋体" w:eastAsia="宋体" w:cs="宋体"/>
                <w:color w:val="auto"/>
                <w:sz w:val="24"/>
                <w:szCs w:val="36"/>
                <w:lang w:eastAsia="zh-CN"/>
              </w:rPr>
              <w:t>，</w:t>
            </w:r>
            <w:r>
              <w:rPr>
                <w:rFonts w:hint="eastAsia" w:ascii="宋体" w:hAnsi="宋体" w:eastAsia="宋体" w:cs="宋体"/>
                <w:color w:val="auto"/>
                <w:sz w:val="24"/>
                <w:szCs w:val="36"/>
              </w:rPr>
              <w:t>依据人体的需求设计中间内陷，两侧包覆；靠背设置透气孔</w:t>
            </w:r>
            <w:r>
              <w:rPr>
                <w:rFonts w:hint="eastAsia" w:ascii="宋体" w:hAnsi="宋体" w:eastAsia="宋体" w:cs="宋体"/>
                <w:color w:val="auto"/>
                <w:sz w:val="24"/>
                <w:szCs w:val="36"/>
                <w:lang w:eastAsia="zh-CN"/>
              </w:rPr>
              <w:t>（缝）</w:t>
            </w:r>
            <w:r>
              <w:rPr>
                <w:rFonts w:hint="eastAsia" w:ascii="宋体" w:hAnsi="宋体" w:eastAsia="宋体" w:cs="宋体"/>
                <w:color w:val="auto"/>
                <w:sz w:val="24"/>
                <w:szCs w:val="36"/>
              </w:rPr>
              <w:t>。</w:t>
            </w:r>
          </w:p>
          <w:p>
            <w:pPr>
              <w:spacing w:beforeLines="0" w:afterLines="0"/>
              <w:jc w:val="both"/>
              <w:rPr>
                <w:rFonts w:hint="eastAsia" w:ascii="宋体" w:hAnsi="宋体" w:eastAsia="宋体" w:cs="宋体"/>
                <w:color w:val="auto"/>
                <w:sz w:val="24"/>
                <w:szCs w:val="36"/>
              </w:rPr>
            </w:pPr>
            <w:r>
              <w:rPr>
                <w:rFonts w:hint="eastAsia" w:ascii="宋体" w:hAnsi="宋体" w:eastAsia="宋体" w:cs="宋体"/>
                <w:color w:val="auto"/>
                <w:sz w:val="24"/>
                <w:szCs w:val="36"/>
              </w:rPr>
              <w:t>★</w:t>
            </w:r>
            <w:r>
              <w:rPr>
                <w:rFonts w:hint="eastAsia" w:ascii="宋体" w:hAnsi="宋体" w:eastAsia="宋体" w:cs="宋体"/>
                <w:b/>
                <w:bCs/>
                <w:color w:val="auto"/>
                <w:sz w:val="24"/>
                <w:szCs w:val="36"/>
              </w:rPr>
              <w:t>4.椅架：</w:t>
            </w:r>
            <w:r>
              <w:rPr>
                <w:rFonts w:hint="eastAsia" w:ascii="宋体" w:hAnsi="宋体" w:eastAsia="宋体" w:cs="宋体"/>
                <w:color w:val="auto"/>
                <w:sz w:val="24"/>
                <w:szCs w:val="36"/>
              </w:rPr>
              <w:t>所有管材为优质钢材，</w:t>
            </w:r>
            <w:r>
              <w:rPr>
                <w:rFonts w:hint="eastAsia" w:ascii="宋体" w:hAnsi="宋体" w:eastAsia="宋体" w:cs="宋体"/>
                <w:color w:val="auto"/>
                <w:sz w:val="24"/>
                <w:szCs w:val="36"/>
                <w:lang w:eastAsia="zh-CN"/>
              </w:rPr>
              <w:t>钢材</w:t>
            </w:r>
            <w:r>
              <w:rPr>
                <w:rFonts w:hint="eastAsia" w:ascii="宋体" w:hAnsi="宋体" w:eastAsia="宋体" w:cs="宋体"/>
                <w:color w:val="auto"/>
                <w:sz w:val="24"/>
                <w:szCs w:val="36"/>
              </w:rPr>
              <w:t>厚度不小于1.3mm；工艺要求：经过酸洗、除油、除锈、清水、磷化</w:t>
            </w:r>
            <w:r>
              <w:rPr>
                <w:rFonts w:hint="eastAsia" w:ascii="宋体" w:hAnsi="宋体" w:eastAsia="宋体" w:cs="宋体"/>
                <w:color w:val="auto"/>
                <w:sz w:val="24"/>
                <w:szCs w:val="36"/>
                <w:lang w:eastAsia="zh-CN"/>
              </w:rPr>
              <w:t>等</w:t>
            </w:r>
            <w:r>
              <w:rPr>
                <w:rFonts w:hint="eastAsia" w:ascii="宋体" w:hAnsi="宋体" w:eastAsia="宋体" w:cs="宋体"/>
                <w:color w:val="auto"/>
                <w:sz w:val="24"/>
                <w:szCs w:val="36"/>
              </w:rPr>
              <w:t>处理后，采用“喷塑”或烤漆进行高温固化。</w:t>
            </w:r>
          </w:p>
          <w:p>
            <w:pPr>
              <w:spacing w:beforeLines="0" w:afterLines="0"/>
              <w:jc w:val="both"/>
              <w:rPr>
                <w:rFonts w:hint="eastAsia" w:ascii="宋体" w:hAnsi="宋体" w:eastAsia="宋体" w:cs="宋体"/>
                <w:color w:val="auto"/>
                <w:sz w:val="24"/>
                <w:szCs w:val="36"/>
              </w:rPr>
            </w:pPr>
            <w:r>
              <w:rPr>
                <w:rFonts w:hint="eastAsia" w:ascii="宋体" w:hAnsi="宋体" w:eastAsia="宋体" w:cs="宋体"/>
                <w:b/>
                <w:bCs/>
                <w:color w:val="auto"/>
                <w:sz w:val="24"/>
                <w:szCs w:val="36"/>
              </w:rPr>
              <w:t>5.脚套立柱中间装饰套：</w:t>
            </w:r>
            <w:r>
              <w:rPr>
                <w:rFonts w:hint="eastAsia" w:ascii="宋体" w:hAnsi="宋体" w:eastAsia="宋体" w:cs="宋体"/>
                <w:color w:val="auto"/>
                <w:sz w:val="24"/>
                <w:szCs w:val="36"/>
              </w:rPr>
              <w:t>采用</w:t>
            </w:r>
            <w:r>
              <w:rPr>
                <w:rFonts w:hint="eastAsia" w:ascii="宋体" w:hAnsi="宋体" w:eastAsia="宋体" w:cs="宋体"/>
                <w:color w:val="auto"/>
                <w:sz w:val="24"/>
                <w:szCs w:val="36"/>
                <w:lang w:eastAsia="zh-CN"/>
              </w:rPr>
              <w:t>全新环保</w:t>
            </w:r>
            <w:r>
              <w:rPr>
                <w:rFonts w:hint="eastAsia" w:ascii="宋体" w:hAnsi="宋体" w:eastAsia="宋体" w:cs="宋体"/>
                <w:color w:val="auto"/>
                <w:sz w:val="24"/>
                <w:szCs w:val="36"/>
              </w:rPr>
              <w:t>抗菌耐磨PP塑料一次</w:t>
            </w:r>
            <w:r>
              <w:rPr>
                <w:rFonts w:hint="eastAsia" w:ascii="宋体" w:hAnsi="宋体" w:eastAsia="宋体" w:cs="宋体"/>
                <w:color w:val="auto"/>
                <w:sz w:val="24"/>
                <w:szCs w:val="36"/>
                <w:lang w:eastAsia="zh-CN"/>
              </w:rPr>
              <w:t>注塑</w:t>
            </w:r>
            <w:r>
              <w:rPr>
                <w:rFonts w:hint="eastAsia" w:ascii="宋体" w:hAnsi="宋体" w:eastAsia="宋体" w:cs="宋体"/>
                <w:color w:val="auto"/>
                <w:sz w:val="24"/>
                <w:szCs w:val="36"/>
              </w:rPr>
              <w:t>成型。</w:t>
            </w:r>
          </w:p>
          <w:p>
            <w:pPr>
              <w:spacing w:beforeLines="0" w:afterLines="0"/>
              <w:jc w:val="both"/>
              <w:rPr>
                <w:rFonts w:hint="eastAsia" w:ascii="宋体" w:hAnsi="宋体" w:eastAsia="宋体" w:cs="宋体"/>
                <w:color w:val="auto"/>
                <w:sz w:val="24"/>
                <w:szCs w:val="36"/>
                <w:lang w:eastAsia="zh-CN"/>
              </w:rPr>
            </w:pPr>
            <w:r>
              <w:rPr>
                <w:rFonts w:hint="eastAsia" w:ascii="宋体" w:hAnsi="宋体" w:eastAsia="宋体" w:cs="宋体"/>
                <w:b/>
                <w:bCs/>
                <w:color w:val="auto"/>
                <w:sz w:val="24"/>
                <w:szCs w:val="36"/>
              </w:rPr>
              <w:t>6.脚托：</w:t>
            </w:r>
            <w:r>
              <w:rPr>
                <w:rFonts w:hint="eastAsia" w:ascii="宋体" w:hAnsi="宋体" w:eastAsia="宋体" w:cs="宋体"/>
                <w:color w:val="auto"/>
                <w:sz w:val="24"/>
                <w:szCs w:val="36"/>
              </w:rPr>
              <w:t>采用</w:t>
            </w:r>
            <w:r>
              <w:rPr>
                <w:rFonts w:hint="eastAsia" w:ascii="宋体" w:hAnsi="宋体" w:eastAsia="宋体" w:cs="宋体"/>
                <w:color w:val="auto"/>
                <w:sz w:val="24"/>
                <w:szCs w:val="36"/>
                <w:lang w:eastAsia="zh-CN"/>
              </w:rPr>
              <w:t>全新环保</w:t>
            </w:r>
            <w:r>
              <w:rPr>
                <w:rFonts w:hint="eastAsia" w:ascii="宋体" w:hAnsi="宋体" w:eastAsia="宋体" w:cs="宋体"/>
                <w:color w:val="auto"/>
                <w:sz w:val="24"/>
                <w:szCs w:val="36"/>
              </w:rPr>
              <w:t>抗菌耐磨PP塑料一次注塑成型</w:t>
            </w:r>
            <w:r>
              <w:rPr>
                <w:rFonts w:hint="eastAsia" w:ascii="宋体" w:hAnsi="宋体" w:eastAsia="宋体" w:cs="宋体"/>
                <w:color w:val="auto"/>
                <w:sz w:val="24"/>
                <w:szCs w:val="36"/>
                <w:lang w:eastAsia="zh-CN"/>
              </w:rPr>
              <w:t>，可翻转可隐藏。</w:t>
            </w:r>
          </w:p>
          <w:p>
            <w:pPr>
              <w:spacing w:beforeLines="0" w:afterLines="0"/>
              <w:jc w:val="both"/>
              <w:rPr>
                <w:rFonts w:hint="eastAsia" w:ascii="宋体" w:hAnsi="宋体" w:eastAsia="宋体" w:cs="宋体"/>
                <w:color w:val="auto"/>
                <w:sz w:val="24"/>
                <w:szCs w:val="36"/>
              </w:rPr>
            </w:pPr>
            <w:r>
              <w:rPr>
                <w:rFonts w:hint="eastAsia" w:ascii="宋体" w:hAnsi="宋体" w:eastAsia="宋体" w:cs="宋体"/>
                <w:b/>
                <w:bCs/>
                <w:color w:val="auto"/>
                <w:sz w:val="24"/>
                <w:szCs w:val="36"/>
              </w:rPr>
              <w:t>7.头枕：</w:t>
            </w:r>
            <w:r>
              <w:rPr>
                <w:rFonts w:hint="eastAsia" w:ascii="宋体" w:hAnsi="宋体" w:eastAsia="宋体" w:cs="宋体"/>
                <w:b/>
                <w:bCs/>
                <w:color w:val="auto"/>
                <w:sz w:val="24"/>
                <w:szCs w:val="36"/>
                <w:lang w:eastAsia="zh-CN"/>
              </w:rPr>
              <w:t>外壳</w:t>
            </w:r>
            <w:r>
              <w:rPr>
                <w:rFonts w:hint="eastAsia" w:ascii="宋体" w:hAnsi="宋体" w:eastAsia="宋体" w:cs="宋体"/>
                <w:color w:val="auto"/>
                <w:sz w:val="24"/>
                <w:szCs w:val="36"/>
                <w:lang w:eastAsia="zh-CN"/>
              </w:rPr>
              <w:t>采用全新环保</w:t>
            </w:r>
            <w:r>
              <w:rPr>
                <w:rFonts w:hint="eastAsia" w:ascii="宋体" w:hAnsi="宋体" w:eastAsia="宋体" w:cs="宋体"/>
                <w:color w:val="auto"/>
                <w:sz w:val="24"/>
                <w:szCs w:val="36"/>
              </w:rPr>
              <w:t>抗菌耐磨PP塑料一次注塑成型，</w:t>
            </w:r>
            <w:r>
              <w:rPr>
                <w:rFonts w:hint="eastAsia" w:ascii="宋体" w:hAnsi="宋体" w:eastAsia="宋体" w:cs="宋体"/>
                <w:color w:val="auto"/>
                <w:sz w:val="24"/>
                <w:szCs w:val="36"/>
                <w:lang w:eastAsia="zh-CN"/>
              </w:rPr>
              <w:t>具有</w:t>
            </w:r>
            <w:r>
              <w:rPr>
                <w:rFonts w:hint="eastAsia" w:ascii="宋体" w:hAnsi="宋体" w:eastAsia="宋体" w:cs="宋体"/>
                <w:color w:val="auto"/>
                <w:sz w:val="24"/>
                <w:szCs w:val="36"/>
              </w:rPr>
              <w:t>旋转或伸缩</w:t>
            </w:r>
            <w:r>
              <w:rPr>
                <w:rFonts w:hint="eastAsia" w:ascii="宋体" w:hAnsi="宋体" w:eastAsia="宋体" w:cs="宋体"/>
                <w:color w:val="auto"/>
                <w:sz w:val="24"/>
                <w:szCs w:val="36"/>
                <w:lang w:eastAsia="zh-CN"/>
              </w:rPr>
              <w:t>功能</w:t>
            </w:r>
            <w:r>
              <w:rPr>
                <w:rFonts w:hint="eastAsia" w:ascii="宋体" w:hAnsi="宋体" w:eastAsia="宋体" w:cs="宋体"/>
                <w:color w:val="auto"/>
                <w:sz w:val="24"/>
                <w:szCs w:val="36"/>
              </w:rPr>
              <w:t>设计。</w:t>
            </w:r>
          </w:p>
          <w:p>
            <w:pPr>
              <w:spacing w:beforeLines="0" w:afterLines="0"/>
              <w:jc w:val="both"/>
              <w:rPr>
                <w:rFonts w:hint="eastAsia" w:ascii="宋体" w:hAnsi="宋体" w:eastAsia="宋体" w:cs="宋体"/>
                <w:color w:val="auto"/>
                <w:sz w:val="24"/>
                <w:szCs w:val="36"/>
                <w:lang w:val="en-US"/>
              </w:rPr>
            </w:pPr>
            <w:r>
              <w:rPr>
                <w:rFonts w:hint="eastAsia" w:ascii="宋体" w:hAnsi="宋体" w:eastAsia="宋体" w:cs="宋体"/>
                <w:b/>
                <w:bCs/>
                <w:color w:val="auto"/>
                <w:sz w:val="24"/>
                <w:szCs w:val="36"/>
                <w:lang w:val="en-US" w:eastAsia="zh-CN"/>
              </w:rPr>
              <w:t>8</w:t>
            </w:r>
            <w:r>
              <w:rPr>
                <w:rFonts w:hint="eastAsia" w:ascii="宋体" w:hAnsi="宋体" w:eastAsia="宋体" w:cs="宋体"/>
                <w:b/>
                <w:bCs/>
                <w:color w:val="auto"/>
                <w:sz w:val="24"/>
                <w:szCs w:val="36"/>
                <w:lang w:val="en-US"/>
              </w:rPr>
              <w:t>.升降结构：</w:t>
            </w:r>
            <w:r>
              <w:rPr>
                <w:rFonts w:hint="eastAsia" w:ascii="宋体" w:hAnsi="宋体" w:eastAsia="宋体" w:cs="宋体"/>
                <w:color w:val="auto"/>
                <w:sz w:val="24"/>
                <w:szCs w:val="36"/>
                <w:lang w:val="en-US"/>
              </w:rPr>
              <w:t>可通过</w:t>
            </w:r>
            <w:r>
              <w:rPr>
                <w:rFonts w:hint="eastAsia" w:ascii="宋体" w:hAnsi="宋体" w:eastAsia="宋体" w:cs="宋体"/>
                <w:color w:val="auto"/>
                <w:sz w:val="24"/>
                <w:szCs w:val="36"/>
                <w:lang w:val="en-US" w:eastAsia="zh-CN"/>
              </w:rPr>
              <w:t>无级</w:t>
            </w:r>
            <w:r>
              <w:rPr>
                <w:rFonts w:hint="eastAsia" w:ascii="宋体" w:hAnsi="宋体" w:eastAsia="宋体" w:cs="宋体"/>
                <w:color w:val="auto"/>
                <w:sz w:val="24"/>
                <w:szCs w:val="36"/>
                <w:lang w:val="en-US"/>
              </w:rPr>
              <w:t>升降</w:t>
            </w:r>
            <w:r>
              <w:rPr>
                <w:rFonts w:hint="eastAsia" w:ascii="宋体" w:hAnsi="宋体" w:eastAsia="宋体" w:cs="宋体"/>
                <w:color w:val="auto"/>
                <w:sz w:val="24"/>
                <w:szCs w:val="36"/>
                <w:lang w:val="en-US" w:eastAsia="zh-CN"/>
              </w:rPr>
              <w:t>或挡位</w:t>
            </w:r>
            <w:r>
              <w:rPr>
                <w:rFonts w:hint="eastAsia" w:ascii="宋体" w:hAnsi="宋体" w:eastAsia="宋体" w:cs="宋体"/>
                <w:color w:val="auto"/>
                <w:sz w:val="24"/>
                <w:szCs w:val="36"/>
                <w:lang w:val="en-US"/>
              </w:rPr>
              <w:t>调节</w:t>
            </w:r>
            <w:r>
              <w:rPr>
                <w:rFonts w:hint="eastAsia" w:ascii="宋体" w:hAnsi="宋体" w:eastAsia="宋体" w:cs="宋体"/>
                <w:color w:val="auto"/>
                <w:sz w:val="24"/>
                <w:szCs w:val="36"/>
                <w:lang w:val="en-US" w:eastAsia="zh-CN"/>
              </w:rPr>
              <w:t>课椅</w:t>
            </w:r>
            <w:r>
              <w:rPr>
                <w:rFonts w:hint="eastAsia" w:ascii="宋体" w:hAnsi="宋体" w:eastAsia="宋体" w:cs="宋体"/>
                <w:color w:val="auto"/>
                <w:sz w:val="24"/>
                <w:szCs w:val="36"/>
                <w:lang w:val="en-US"/>
              </w:rPr>
              <w:t>高度。</w:t>
            </w:r>
          </w:p>
          <w:p>
            <w:pPr>
              <w:spacing w:beforeLines="0" w:afterLines="0"/>
              <w:jc w:val="both"/>
              <w:rPr>
                <w:rFonts w:hint="eastAsia" w:ascii="宋体" w:hAnsi="宋体" w:eastAsia="宋体" w:cs="宋体"/>
                <w:b/>
                <w:bCs/>
                <w:sz w:val="24"/>
                <w:szCs w:val="24"/>
                <w:lang w:val="en-US" w:eastAsia="zh-CN"/>
              </w:rPr>
            </w:pPr>
            <w:r>
              <w:rPr>
                <w:rFonts w:hint="eastAsia" w:ascii="宋体" w:hAnsi="宋体" w:eastAsia="宋体" w:cs="宋体"/>
                <w:b/>
                <w:bCs/>
                <w:color w:val="auto"/>
                <w:sz w:val="24"/>
                <w:szCs w:val="36"/>
                <w:lang w:val="en-US" w:eastAsia="zh-CN"/>
              </w:rPr>
              <w:t>9</w:t>
            </w:r>
            <w:r>
              <w:rPr>
                <w:rFonts w:hint="eastAsia" w:ascii="宋体" w:hAnsi="宋体" w:eastAsia="宋体" w:cs="宋体"/>
                <w:b/>
                <w:bCs/>
                <w:color w:val="auto"/>
                <w:sz w:val="24"/>
                <w:szCs w:val="36"/>
                <w:lang w:val="en-US"/>
              </w:rPr>
              <w:t>.五金</w:t>
            </w:r>
            <w:r>
              <w:rPr>
                <w:rFonts w:hint="eastAsia" w:ascii="宋体" w:hAnsi="宋体" w:eastAsia="宋体" w:cs="宋体"/>
                <w:b/>
                <w:bCs/>
                <w:color w:val="auto"/>
                <w:sz w:val="24"/>
                <w:szCs w:val="36"/>
                <w:lang w:val="en-US" w:eastAsia="zh-CN"/>
              </w:rPr>
              <w:t>连接</w:t>
            </w:r>
            <w:r>
              <w:rPr>
                <w:rFonts w:hint="eastAsia" w:ascii="宋体" w:hAnsi="宋体" w:eastAsia="宋体" w:cs="宋体"/>
                <w:b/>
                <w:bCs/>
                <w:color w:val="auto"/>
                <w:sz w:val="24"/>
                <w:szCs w:val="36"/>
                <w:lang w:val="en-US"/>
              </w:rPr>
              <w:t>件</w:t>
            </w:r>
            <w:r>
              <w:rPr>
                <w:rFonts w:hint="eastAsia" w:ascii="宋体" w:hAnsi="宋体" w:eastAsia="宋体" w:cs="宋体"/>
                <w:b/>
                <w:bCs/>
                <w:color w:val="auto"/>
                <w:sz w:val="24"/>
                <w:szCs w:val="36"/>
                <w:lang w:val="en-US" w:eastAsia="zh-CN"/>
              </w:rPr>
              <w:t>及零部件</w:t>
            </w:r>
            <w:r>
              <w:rPr>
                <w:rFonts w:hint="eastAsia" w:ascii="宋体" w:hAnsi="宋体" w:eastAsia="宋体" w:cs="宋体"/>
                <w:b/>
                <w:bCs/>
                <w:color w:val="auto"/>
                <w:sz w:val="24"/>
                <w:szCs w:val="36"/>
                <w:lang w:val="en-US"/>
              </w:rPr>
              <w:t>：</w:t>
            </w:r>
            <w:r>
              <w:rPr>
                <w:rFonts w:hint="eastAsia" w:ascii="宋体" w:hAnsi="宋体" w:eastAsia="宋体" w:cs="宋体"/>
                <w:color w:val="auto"/>
                <w:sz w:val="24"/>
                <w:szCs w:val="36"/>
                <w:lang w:val="en-US" w:eastAsia="zh-CN"/>
              </w:rPr>
              <w:t>五金件采用优质钢材制作，各种零部件安装严密、平整、牢固，各结合处紧密、平整，无明显缝隙。</w:t>
            </w:r>
          </w:p>
        </w:tc>
      </w:tr>
    </w:tbl>
    <w:p>
      <w:pPr>
        <w:spacing w:line="400" w:lineRule="exact"/>
        <w:ind w:firstLine="480" w:firstLineChars="200"/>
        <w:outlineLvl w:val="2"/>
        <w:rPr>
          <w:rFonts w:hint="eastAsia" w:ascii="方正仿宋_GBK" w:hAnsi="宋体" w:eastAsia="方正仿宋_GBK" w:cs="Times New Roman"/>
          <w:b/>
          <w:bCs/>
          <w:color w:val="auto"/>
          <w:sz w:val="28"/>
          <w:szCs w:val="28"/>
          <w:highlight w:val="none"/>
          <w:lang w:val="en-US" w:eastAsia="zh-CN"/>
        </w:rPr>
      </w:pPr>
      <w:r>
        <w:rPr>
          <w:rFonts w:hint="eastAsia" w:ascii="方正仿宋_GBK" w:hAnsi="宋体" w:eastAsia="方正仿宋_GBK"/>
          <w:color w:val="auto"/>
          <w:sz w:val="24"/>
          <w:szCs w:val="24"/>
          <w:highlight w:val="none"/>
        </w:rPr>
        <w:t>“</w:t>
      </w:r>
      <w:r>
        <w:rPr>
          <w:rFonts w:hint="eastAsia" w:ascii="宋体" w:hAnsi="宋体" w:cs="宋体"/>
          <w:color w:val="auto"/>
          <w:sz w:val="24"/>
          <w:szCs w:val="21"/>
          <w:highlight w:val="none"/>
          <w:lang w:bidi="ar"/>
        </w:rPr>
        <w:t>★</w:t>
      </w:r>
      <w:r>
        <w:rPr>
          <w:rFonts w:hint="eastAsia" w:ascii="方正仿宋_GBK" w:hAnsi="宋体" w:eastAsia="方正仿宋_GBK"/>
          <w:color w:val="auto"/>
          <w:sz w:val="28"/>
          <w:szCs w:val="28"/>
          <w:highlight w:val="none"/>
        </w:rPr>
        <w:t>”标注的技术需求为重要技术需求，若不满足将按照评标因素中相关规定处理。</w:t>
      </w:r>
    </w:p>
    <w:p>
      <w:pPr>
        <w:spacing w:line="400" w:lineRule="exact"/>
        <w:ind w:left="560" w:leftChars="200" w:firstLine="0" w:firstLineChars="0"/>
        <w:outlineLvl w:val="2"/>
        <w:rPr>
          <w:rFonts w:hint="default" w:ascii="方正仿宋_GBK" w:hAnsi="宋体" w:eastAsia="方正仿宋_GBK" w:cs="Times New Roman"/>
          <w:b/>
          <w:bCs/>
          <w:color w:val="auto"/>
          <w:sz w:val="28"/>
          <w:szCs w:val="28"/>
          <w:highlight w:val="none"/>
          <w:lang w:val="en-US" w:eastAsia="zh-CN"/>
        </w:rPr>
      </w:pPr>
      <w:r>
        <w:rPr>
          <w:rFonts w:hint="eastAsia" w:ascii="方正仿宋_GBK" w:hAnsi="宋体" w:eastAsia="方正仿宋_GBK" w:cs="Times New Roman"/>
          <w:b/>
          <w:bCs/>
          <w:color w:val="auto"/>
          <w:sz w:val="28"/>
          <w:szCs w:val="28"/>
          <w:highlight w:val="none"/>
          <w:lang w:val="en-US" w:eastAsia="zh-CN"/>
        </w:rPr>
        <w:t>2.项目学校清单</w:t>
      </w:r>
    </w:p>
    <w:tbl>
      <w:tblPr>
        <w:tblStyle w:val="59"/>
        <w:tblW w:w="948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5"/>
        <w:gridCol w:w="3268"/>
        <w:gridCol w:w="915"/>
        <w:gridCol w:w="465"/>
        <w:gridCol w:w="3255"/>
        <w:gridCol w:w="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665" w:type="dxa"/>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学校名称</w:t>
            </w:r>
          </w:p>
        </w:tc>
        <w:tc>
          <w:tcPr>
            <w:tcW w:w="91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合计套数</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学校名称</w:t>
            </w:r>
          </w:p>
        </w:tc>
        <w:tc>
          <w:tcPr>
            <w:tcW w:w="914"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合计套数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武隆区实验小学</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1508</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18</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武隆区白云乡中心小学校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凤溪小学</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19</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武隆区白云乡红旗教学点</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第二实验小学</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935</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武隆区和顺小学校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渝港小学校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武隆区平桥镇中心小学校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江口镇中心小学校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217</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武隆区鸭江镇中心小学校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江口镇黄草小学校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武隆区凤来镇中心小学校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石桥乡中心小学校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武隆区凤来镇宋坪小学校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文复乡中心小学校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73</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武隆区庙垭乡中心小学校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浩口乡中心小学校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武隆区仙女山中心小学校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黄莺乡龙洞小学校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武隆区仙女山白果小学校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育才小学校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75</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28</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武隆区火炉镇中心小学校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双河镇中心小学校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37</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29</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武隆区沧沟乡中心小学校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双河镇木根小学校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30</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武隆区土地乡中心小学校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白马镇中心小学校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216</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31</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武隆区桐梓镇中心小学校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白马镇汇龙校区</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157</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32</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武隆区接龙乡中心小学校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长坝镇中心小学校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135</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33</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武隆区后坪乡中心校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6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3268"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武隆区</w:t>
            </w:r>
            <w:r>
              <w:rPr>
                <w:rFonts w:hint="eastAsia" w:ascii="宋体" w:hAnsi="宋体" w:eastAsia="宋体" w:cs="宋体"/>
                <w:i w:val="0"/>
                <w:iCs w:val="0"/>
                <w:color w:val="000000"/>
                <w:kern w:val="0"/>
                <w:sz w:val="24"/>
                <w:szCs w:val="24"/>
                <w:u w:val="none"/>
                <w:lang w:val="en-US" w:eastAsia="zh-CN" w:bidi="ar"/>
              </w:rPr>
              <w:t>大洞河乡中心小学校</w:t>
            </w:r>
          </w:p>
        </w:tc>
        <w:tc>
          <w:tcPr>
            <w:tcW w:w="915"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46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34</w:t>
            </w:r>
          </w:p>
        </w:tc>
        <w:tc>
          <w:tcPr>
            <w:tcW w:w="3255" w:type="dxa"/>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武隆区后坪乡鱼子小学校</w:t>
            </w:r>
          </w:p>
        </w:tc>
        <w:tc>
          <w:tcPr>
            <w:tcW w:w="914" w:type="dxa"/>
            <w:noWrap/>
            <w:vAlign w:val="bottom"/>
          </w:tcPr>
          <w:p>
            <w:pPr>
              <w:keepNext w:val="0"/>
              <w:keepLines w:val="0"/>
              <w:widowControl/>
              <w:suppressLineNumbers w:val="0"/>
              <w:jc w:val="center"/>
              <w:textAlignment w:val="bottom"/>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r>
    </w:tbl>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r>
        <w:rPr>
          <w:rFonts w:hint="eastAsia" w:ascii="方正小标宋_GBK" w:hAnsi="宋体" w:eastAsia="方正小标宋_GBK" w:cs="宋体"/>
          <w:b/>
          <w:color w:val="auto"/>
          <w:kern w:val="2"/>
          <w:sz w:val="32"/>
          <w:szCs w:val="32"/>
          <w:highlight w:val="none"/>
          <w:lang w:val="en-US" w:eastAsia="zh-CN" w:bidi="ar-SA"/>
        </w:rPr>
        <w:t>第三篇  项目商务</w:t>
      </w:r>
      <w:bookmarkEnd w:id="79"/>
      <w:bookmarkEnd w:id="80"/>
      <w:r>
        <w:rPr>
          <w:rFonts w:hint="eastAsia" w:ascii="方正小标宋_GBK" w:hAnsi="宋体" w:eastAsia="方正小标宋_GBK" w:cs="宋体"/>
          <w:b/>
          <w:color w:val="auto"/>
          <w:kern w:val="2"/>
          <w:sz w:val="32"/>
          <w:szCs w:val="32"/>
          <w:highlight w:val="none"/>
          <w:lang w:val="en-US" w:eastAsia="zh-CN" w:bidi="ar-SA"/>
        </w:rPr>
        <w:t>需求</w:t>
      </w:r>
      <w:bookmarkEnd w:id="81"/>
    </w:p>
    <w:p>
      <w:pPr>
        <w:pStyle w:val="3"/>
        <w:spacing w:line="440" w:lineRule="exact"/>
        <w:ind w:firstLine="560" w:firstLineChars="200"/>
        <w:rPr>
          <w:rFonts w:hint="eastAsia" w:ascii="方正仿宋_GBK" w:hAnsi="宋体" w:eastAsia="方正仿宋_GBK" w:cs="宋体"/>
          <w:color w:val="auto"/>
          <w:szCs w:val="28"/>
          <w:highlight w:val="none"/>
          <w:lang w:eastAsia="zh-CN"/>
        </w:rPr>
      </w:pPr>
      <w:bookmarkStart w:id="82" w:name="_Toc26733"/>
      <w:bookmarkStart w:id="83" w:name="_Toc169703186"/>
      <w:bookmarkStart w:id="84" w:name="_Toc10106"/>
      <w:bookmarkStart w:id="85" w:name="_Toc13880"/>
      <w:bookmarkStart w:id="86" w:name="_Toc267320049"/>
      <w:r>
        <w:rPr>
          <w:rFonts w:hint="eastAsia" w:ascii="方正仿宋_GBK" w:hAnsi="宋体" w:eastAsia="方正仿宋_GBK" w:cs="宋体"/>
          <w:color w:val="auto"/>
          <w:szCs w:val="28"/>
          <w:highlight w:val="none"/>
          <w:lang w:eastAsia="zh-CN"/>
        </w:rPr>
        <w:t>“※”标注的商务要求为符合性审查中的实质性要求，若不满足按无效投标处理。</w:t>
      </w:r>
    </w:p>
    <w:p>
      <w:pPr>
        <w:pStyle w:val="3"/>
        <w:spacing w:line="440" w:lineRule="exact"/>
        <w:ind w:firstLine="560" w:firstLineChars="200"/>
        <w:rPr>
          <w:rFonts w:hint="eastAsia" w:ascii="方正黑体_GBK" w:eastAsia="方正黑体_GBK" w:cs="宋体"/>
          <w:b/>
          <w:color w:val="auto"/>
          <w:szCs w:val="28"/>
          <w:highlight w:val="none"/>
        </w:rPr>
      </w:pPr>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一、交货期（或为实施时间）、交货地点（或为实施地点）及验收方式</w:t>
      </w:r>
      <w:bookmarkEnd w:id="82"/>
      <w:bookmarkEnd w:id="83"/>
      <w:bookmarkEnd w:id="84"/>
      <w:bookmarkEnd w:id="85"/>
      <w:bookmarkEnd w:id="86"/>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（一）交货期（或为：实施时间）</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中标人应在采购合同签订后</w:t>
      </w:r>
      <w:r>
        <w:rPr>
          <w:rFonts w:hint="eastAsia" w:ascii="方正仿宋_GBK" w:hAnsi="宋体" w:eastAsia="方正仿宋_GBK" w:cs="宋体"/>
          <w:color w:val="auto"/>
          <w:kern w:val="0"/>
          <w:szCs w:val="28"/>
          <w:highlight w:val="none"/>
          <w:u w:val="single"/>
          <w:lang w:val="en-US" w:eastAsia="zh-CN"/>
        </w:rPr>
        <w:t>30</w:t>
      </w:r>
      <w:r>
        <w:rPr>
          <w:rFonts w:hint="eastAsia" w:ascii="方正仿宋_GBK" w:hAnsi="宋体" w:eastAsia="方正仿宋_GBK" w:cs="宋体"/>
          <w:color w:val="auto"/>
          <w:kern w:val="0"/>
          <w:szCs w:val="28"/>
          <w:highlight w:val="none"/>
        </w:rPr>
        <w:t>个日历日内交货并完成安装调试。</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（二）交货地点（或为：实施地点）</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交货地点：重庆市武隆区各小学校。</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（三）验收方式</w:t>
      </w:r>
    </w:p>
    <w:p>
      <w:pPr>
        <w:snapToGrid w:val="0"/>
        <w:spacing w:line="440" w:lineRule="exact"/>
        <w:ind w:firstLine="560" w:firstLineChars="200"/>
        <w:rPr>
          <w:rFonts w:hint="eastAsia" w:ascii="方正仿宋_GBK" w:hAnsi="宋体" w:eastAsia="方正仿宋_GBK" w:cs="宋体"/>
          <w:color w:val="auto"/>
          <w:kern w:val="0"/>
          <w:szCs w:val="28"/>
          <w:highlight w:val="none"/>
        </w:rPr>
      </w:pPr>
      <w:bookmarkStart w:id="87" w:name="_Toc11397"/>
      <w:bookmarkStart w:id="88" w:name="_Toc3922"/>
      <w:bookmarkStart w:id="89" w:name="_Toc267320050"/>
      <w:r>
        <w:rPr>
          <w:rFonts w:hint="eastAsia" w:ascii="方正仿宋_GBK" w:hAnsi="宋体" w:eastAsia="方正仿宋_GBK" w:cs="宋体"/>
          <w:color w:val="auto"/>
          <w:kern w:val="0"/>
          <w:szCs w:val="28"/>
          <w:highlight w:val="none"/>
        </w:rPr>
        <w:t>1.货物到达现场后，中标人应在使用单位人员在场情况下当面开箱，共同清点、检查外观，作出开箱记录，双方签字确认。</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2.中标人应保证货物到达采购人所在地完好无损，如有缺漏、损坏，由投标人负责调换、补齐或赔偿。</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3.中标人应提供完备的技术资料、装箱单和合格证等，并派遣专业技术人员进行现场安装调试。验收合格条件如下：</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3.1设备技术参数与采购合同一致，性能指标达到规定的标准。</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3.2货物技术资料、装箱单、合格证等资料齐全。</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3.3在系统试运行期间所出现的问题得到解决，并运行正常。</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3.4在规定时间内完成交货并验收，并经采购人确认。</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4.产品在安装调试并试运行符合要求后，才作为最终验收。</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5.中标人提供的货物未达到招标文件规</w:t>
      </w:r>
      <w:r>
        <w:rPr>
          <w:rFonts w:hint="eastAsia" w:ascii="方正仿宋_GBK" w:hAnsi="宋体" w:eastAsia="方正仿宋_GBK" w:cs="宋体"/>
          <w:color w:val="auto"/>
          <w:kern w:val="0"/>
          <w:szCs w:val="28"/>
          <w:highlight w:val="none"/>
          <w:lang w:eastAsia="zh-CN"/>
        </w:rPr>
        <w:t>定的</w:t>
      </w:r>
      <w:r>
        <w:rPr>
          <w:rFonts w:hint="eastAsia" w:ascii="方正仿宋_GBK" w:hAnsi="宋体" w:eastAsia="方正仿宋_GBK" w:cs="宋体"/>
          <w:color w:val="auto"/>
          <w:kern w:val="0"/>
          <w:szCs w:val="28"/>
          <w:highlight w:val="none"/>
        </w:rPr>
        <w:t>要求，且对采购人造成损失的，由中标人承担一切责任，并赔偿所造成的损失。</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6.大型或者复杂的政府采购项目，采购人应当邀请国家认可的质量检测机构参加验收工作。</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7.采购人需要制造商对中标人交付的产品（包括质量、技术参数等）进行确认的，制造商应予以配合，并出具书面意见。</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8.产品包装材料归采购人所有。</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9.产品到达现场后，由采购人从成交供应商所交付的产品中，随机抽取午休课桌凳一件成品送有关权威部门检测并提供成品合格检测报告，费用由中标商承担。检测结果必须合格且达到本询价通知书技术方案要求，作为项目验收合格条件之一。否则验收不合格，所有损失由成交供应商自行承担。</w:t>
      </w:r>
    </w:p>
    <w:p>
      <w:pPr>
        <w:pStyle w:val="3"/>
        <w:spacing w:line="440" w:lineRule="exact"/>
        <w:ind w:firstLine="560" w:firstLineChars="200"/>
        <w:rPr>
          <w:rFonts w:hint="eastAsia" w:ascii="方正黑体_GBK" w:eastAsia="方正黑体_GBK" w:cs="宋体"/>
          <w:b/>
          <w:color w:val="auto"/>
          <w:szCs w:val="28"/>
          <w:highlight w:val="none"/>
        </w:rPr>
      </w:pPr>
      <w:bookmarkStart w:id="90" w:name="_Toc169703187"/>
      <w:bookmarkStart w:id="91" w:name="_Toc28503"/>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二、报价要求</w:t>
      </w:r>
      <w:bookmarkEnd w:id="87"/>
      <w:bookmarkEnd w:id="88"/>
      <w:bookmarkEnd w:id="90"/>
      <w:bookmarkEnd w:id="91"/>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本次报价须为人民币报价，包含：设备生产制造（或购买）费用、运输费（含装卸费）、保险费、安装调试费、企业管理费、利润、税金、技术培训费等项目验收合格之前应发生的所有费用以及质保期内可能发生的售后服务费用等货到采购人指定地点的所有费用。</w:t>
      </w:r>
    </w:p>
    <w:p>
      <w:pPr>
        <w:pStyle w:val="3"/>
        <w:spacing w:line="440" w:lineRule="exact"/>
        <w:ind w:firstLine="560" w:firstLineChars="200"/>
        <w:rPr>
          <w:rFonts w:hint="eastAsia" w:ascii="方正黑体_GBK" w:eastAsia="方正黑体_GBK" w:cs="宋体"/>
          <w:b/>
          <w:color w:val="auto"/>
          <w:szCs w:val="28"/>
          <w:highlight w:val="none"/>
        </w:rPr>
      </w:pPr>
      <w:bookmarkStart w:id="92" w:name="_Toc22177"/>
      <w:bookmarkStart w:id="93" w:name="_Toc25796"/>
      <w:bookmarkStart w:id="94" w:name="_Toc29462"/>
      <w:bookmarkStart w:id="95" w:name="_Toc169703188"/>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三、质量保证及售后服务</w:t>
      </w:r>
      <w:bookmarkEnd w:id="89"/>
      <w:bookmarkEnd w:id="92"/>
      <w:bookmarkEnd w:id="93"/>
      <w:bookmarkEnd w:id="94"/>
      <w:bookmarkEnd w:id="95"/>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楷体_GBK" w:hAnsi="宋体" w:eastAsia="方正楷体_GBK" w:cs="宋体"/>
          <w:color w:val="auto"/>
          <w:kern w:val="0"/>
          <w:szCs w:val="28"/>
          <w:highlight w:val="none"/>
        </w:rPr>
        <w:t>（一）产品质量保证期</w:t>
      </w:r>
      <w:r>
        <w:rPr>
          <w:rFonts w:hint="eastAsia" w:ascii="方正仿宋_GBK" w:hAnsi="宋体" w:eastAsia="方正仿宋_GBK" w:cs="宋体"/>
          <w:color w:val="auto"/>
          <w:kern w:val="0"/>
          <w:szCs w:val="28"/>
          <w:highlight w:val="none"/>
        </w:rPr>
        <w:t>：自验收合格之日起，其投标产品质量保证期达到3年。</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（不能低于国家强制标准）投标产品属于国家规定“三包”范围的，其产品质量保证期不得低于“三包”规定。供应商承诺的质量保证期优于国家“三包”规定的，按供应商实际承诺执行。</w:t>
      </w:r>
    </w:p>
    <w:p>
      <w:pPr>
        <w:snapToGrid w:val="0"/>
        <w:spacing w:line="440" w:lineRule="exact"/>
        <w:ind w:firstLine="560" w:firstLineChars="200"/>
        <w:rPr>
          <w:rFonts w:hint="eastAsia" w:ascii="方正楷体_GBK" w:hAnsi="宋体" w:eastAsia="方正楷体_GBK" w:cs="宋体"/>
          <w:color w:val="auto"/>
          <w:kern w:val="0"/>
          <w:szCs w:val="28"/>
          <w:highlight w:val="none"/>
        </w:rPr>
      </w:pPr>
      <w:bookmarkStart w:id="96" w:name="_Toc267320051"/>
      <w:r>
        <w:rPr>
          <w:rFonts w:hint="eastAsia" w:ascii="方正楷体_GBK" w:hAnsi="宋体" w:eastAsia="方正楷体_GBK" w:cs="宋体"/>
          <w:color w:val="auto"/>
          <w:kern w:val="0"/>
          <w:szCs w:val="28"/>
          <w:highlight w:val="none"/>
        </w:rPr>
        <w:t>（二）售后服务内容</w:t>
      </w:r>
    </w:p>
    <w:p>
      <w:pPr>
        <w:snapToGrid w:val="0"/>
        <w:spacing w:line="440" w:lineRule="exact"/>
        <w:ind w:firstLine="560" w:firstLineChars="200"/>
        <w:outlineLvl w:val="2"/>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1.投标人在质量保证期内应当为采购人提供以下技术支持和服务：</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1.1电话咨询</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投标人应当为采购人提供技术援助电话，解答采购人在使用中遇到的问题，及时为采购人提出解决问题的建议。</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1.2现场响应</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采购人遇到使用及技术问题，电话咨询不能解决的，投标人应在8小时内到达现场进行处理，确保产品正常工作；无法在12小时内解决的，应在24小时内提供备用产品，使采购人能够正常使用。</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1.3技术升级</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在质保期内，如果投标人的产品技术升级，投标人应及时通知采购人，如采购人有相应要求，投标人应对采购人购买的产品进行升级服务。</w:t>
      </w:r>
    </w:p>
    <w:p>
      <w:pPr>
        <w:snapToGrid w:val="0"/>
        <w:spacing w:line="440" w:lineRule="exact"/>
        <w:ind w:firstLine="560" w:firstLineChars="200"/>
        <w:outlineLvl w:val="2"/>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2.质保期外服务要求</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2.1质量保证期过后，投标人应同样提供免费电话咨询服务，并应承诺提供产品上门维护服务。</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2.2质量保证期过后，采购人需要继续由原投标人提供售后服务的，该投标人应以优惠价格提供售后服务。</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（三）备品备件及易损件</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投标人售后服务中，维修使用的备品备件及易损件应为原厂配件，未经采购人同意不得使用非原厂配件，常用的、容易损坏的备品备件及易损件的价格清单须在投标文件中列出。</w:t>
      </w:r>
    </w:p>
    <w:p>
      <w:pPr>
        <w:pStyle w:val="3"/>
        <w:spacing w:line="440" w:lineRule="exact"/>
        <w:ind w:firstLine="560" w:firstLineChars="200"/>
        <w:rPr>
          <w:rFonts w:hint="eastAsia" w:ascii="方正黑体_GBK" w:eastAsia="方正黑体_GBK" w:cs="宋体"/>
          <w:b/>
          <w:color w:val="auto"/>
          <w:szCs w:val="28"/>
          <w:highlight w:val="none"/>
        </w:rPr>
      </w:pPr>
      <w:bookmarkStart w:id="97" w:name="_Toc12946"/>
      <w:bookmarkStart w:id="98" w:name="_Toc169703189"/>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四、付款方式</w:t>
      </w:r>
      <w:bookmarkEnd w:id="96"/>
      <w:bookmarkEnd w:id="97"/>
      <w:bookmarkEnd w:id="98"/>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（一）</w:t>
      </w:r>
      <w:bookmarkStart w:id="99" w:name="OLE_LINK3"/>
      <w:bookmarkStart w:id="100" w:name="OLE_LINK4"/>
      <w:r>
        <w:rPr>
          <w:rFonts w:hint="eastAsia" w:ascii="方正楷体_GBK" w:hAnsi="宋体" w:eastAsia="方正楷体_GBK" w:cs="宋体"/>
          <w:color w:val="auto"/>
          <w:kern w:val="0"/>
          <w:szCs w:val="28"/>
          <w:highlight w:val="none"/>
        </w:rPr>
        <w:t>履约保证金：</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1、履约保证金的收取（三选一）：本项目选择第</w:t>
      </w:r>
      <w:r>
        <w:rPr>
          <w:rFonts w:hint="eastAsia" w:ascii="方正仿宋_GBK" w:hAnsi="宋体" w:eastAsia="方正仿宋_GBK" w:cs="宋体"/>
          <w:color w:val="auto"/>
          <w:kern w:val="0"/>
          <w:szCs w:val="28"/>
          <w:highlight w:val="none"/>
          <w:u w:val="single"/>
        </w:rPr>
        <w:t xml:space="preserve">  （2） </w:t>
      </w:r>
      <w:r>
        <w:rPr>
          <w:rFonts w:hint="eastAsia" w:ascii="方正仿宋_GBK" w:hAnsi="宋体" w:eastAsia="方正仿宋_GBK" w:cs="宋体"/>
          <w:color w:val="auto"/>
          <w:kern w:val="0"/>
          <w:szCs w:val="28"/>
          <w:highlight w:val="none"/>
        </w:rPr>
        <w:t>种方式</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（1）本项目免收履约保证金；</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（2）本项目根据项目实际情况降低履约保证金收取比例，采购合同签订时中标人向采购人缴纳合同金额</w:t>
      </w:r>
      <w:r>
        <w:rPr>
          <w:rFonts w:hint="eastAsia" w:ascii="方正仿宋_GBK" w:hAnsi="宋体" w:eastAsia="方正仿宋_GBK" w:cs="宋体"/>
          <w:color w:val="auto"/>
          <w:kern w:val="0"/>
          <w:szCs w:val="28"/>
          <w:highlight w:val="none"/>
          <w:u w:val="single"/>
        </w:rPr>
        <w:t>100000元</w:t>
      </w:r>
      <w:r>
        <w:rPr>
          <w:rFonts w:hint="eastAsia" w:ascii="方正仿宋_GBK" w:hAnsi="宋体" w:eastAsia="方正仿宋_GBK" w:cs="宋体"/>
          <w:color w:val="auto"/>
          <w:kern w:val="0"/>
          <w:szCs w:val="28"/>
          <w:highlight w:val="none"/>
        </w:rPr>
        <w:t>的履约保证金（以支票、汇票、本票或者金融机构、担保机构出具的保函等非现金形式提交）；</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（3）合同签订时中标人向采购人缴纳合同金额10%（或</w:t>
      </w:r>
      <w:r>
        <w:rPr>
          <w:rFonts w:hint="eastAsia" w:ascii="方正仿宋_GBK" w:hAnsi="宋体" w:eastAsia="方正仿宋_GBK" w:cs="宋体"/>
          <w:color w:val="auto"/>
          <w:kern w:val="0"/>
          <w:szCs w:val="28"/>
          <w:highlight w:val="none"/>
          <w:u w:val="single"/>
        </w:rPr>
        <w:t xml:space="preserve">     </w:t>
      </w:r>
      <w:r>
        <w:rPr>
          <w:rFonts w:hint="eastAsia" w:ascii="方正仿宋_GBK" w:hAnsi="宋体" w:eastAsia="方正仿宋_GBK" w:cs="宋体"/>
          <w:color w:val="auto"/>
          <w:kern w:val="0"/>
          <w:szCs w:val="28"/>
          <w:highlight w:val="none"/>
        </w:rPr>
        <w:t>元）的履约保证金（以支票、汇票、本票或者金融机构、担保机构出具的保函等非现金形式提交）</w:t>
      </w:r>
      <w:bookmarkEnd w:id="99"/>
      <w:bookmarkEnd w:id="100"/>
      <w:r>
        <w:rPr>
          <w:rFonts w:hint="eastAsia" w:ascii="方正仿宋_GBK" w:hAnsi="宋体" w:eastAsia="方正仿宋_GBK" w:cs="宋体"/>
          <w:color w:val="auto"/>
          <w:kern w:val="0"/>
          <w:szCs w:val="28"/>
          <w:highlight w:val="none"/>
        </w:rPr>
        <w:t>。</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2、履约保证金的退还</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履约保证金无息退还时间：</w:t>
      </w:r>
      <w:r>
        <w:rPr>
          <w:rFonts w:hint="eastAsia" w:ascii="方正仿宋_GBK" w:hAnsi="宋体" w:eastAsia="方正仿宋_GBK" w:cs="宋体"/>
          <w:color w:val="auto"/>
          <w:kern w:val="0"/>
          <w:szCs w:val="28"/>
          <w:highlight w:val="none"/>
          <w:u w:val="single"/>
        </w:rPr>
        <w:t xml:space="preserve"> 项目验收合格后三个工作日内按程序办理退还所有履约保证金   。</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（二）中标人按采购合同交货并安装调试完成，经验收合格后采购人出具项目验收报告，并将合同原件与验收报告原件提交至重庆市武隆区教育信息技术与服务中心备案；</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（三）付款方式</w:t>
      </w:r>
    </w:p>
    <w:p>
      <w:pPr>
        <w:pStyle w:val="3"/>
        <w:spacing w:line="440" w:lineRule="exact"/>
        <w:ind w:firstLine="560" w:firstLineChars="200"/>
        <w:rPr>
          <w:rFonts w:hint="eastAsia" w:ascii="方正仿宋_GBK" w:eastAsia="方正仿宋_GBK" w:cs="宋体"/>
          <w:color w:val="auto"/>
          <w:kern w:val="0"/>
          <w:szCs w:val="28"/>
          <w:highlight w:val="none"/>
          <w:lang w:val="en-US" w:eastAsia="zh-CN" w:bidi="ar"/>
        </w:rPr>
      </w:pPr>
      <w:bookmarkStart w:id="101" w:name="_Toc15878"/>
      <w:bookmarkStart w:id="102" w:name="_Toc169703190"/>
      <w:bookmarkStart w:id="103" w:name="_Toc267320052"/>
      <w:r>
        <w:rPr>
          <w:rFonts w:hint="eastAsia" w:ascii="方正仿宋_GBK" w:eastAsia="方正仿宋_GBK" w:cs="宋体"/>
          <w:color w:val="auto"/>
          <w:kern w:val="0"/>
          <w:szCs w:val="28"/>
          <w:highlight w:val="none"/>
          <w:lang w:val="en-US" w:eastAsia="zh-CN" w:bidi="ar"/>
        </w:rPr>
        <w:t>项目完成并验收合格，成交供应商向采购人开具发票，采购人在收到发票后60个日历日内以转账方式向成交供应商全额支付成交金额。</w:t>
      </w:r>
      <w:bookmarkEnd w:id="101"/>
      <w:bookmarkEnd w:id="102"/>
    </w:p>
    <w:p>
      <w:pPr>
        <w:pStyle w:val="3"/>
        <w:spacing w:line="440" w:lineRule="exact"/>
        <w:ind w:firstLine="560" w:firstLineChars="200"/>
        <w:rPr>
          <w:rFonts w:hint="eastAsia" w:ascii="方正黑体_GBK" w:eastAsia="方正黑体_GBK" w:cs="宋体"/>
          <w:b/>
          <w:color w:val="auto"/>
          <w:szCs w:val="28"/>
          <w:highlight w:val="none"/>
        </w:rPr>
      </w:pPr>
      <w:bookmarkStart w:id="104" w:name="_Toc32707"/>
      <w:bookmarkStart w:id="105" w:name="_Toc169703191"/>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五、知识产权</w:t>
      </w:r>
      <w:bookmarkEnd w:id="103"/>
      <w:bookmarkEnd w:id="104"/>
      <w:bookmarkEnd w:id="105"/>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采购人在中华人民共和国境内使用投标人提供的货物及服务时免受第三方提出的侵犯其专利权或</w:t>
      </w:r>
      <w:r>
        <w:rPr>
          <w:rFonts w:hint="eastAsia" w:ascii="方正仿宋_GBK" w:hAnsi="宋体" w:eastAsia="方正仿宋_GBK" w:cs="宋体"/>
          <w:color w:val="auto"/>
          <w:kern w:val="0"/>
          <w:szCs w:val="28"/>
          <w:highlight w:val="none"/>
          <w:lang w:eastAsia="zh-CN"/>
        </w:rPr>
        <w:t>其他</w:t>
      </w:r>
      <w:r>
        <w:rPr>
          <w:rFonts w:hint="eastAsia" w:ascii="方正仿宋_GBK" w:hAnsi="宋体" w:eastAsia="方正仿宋_GBK" w:cs="宋体"/>
          <w:color w:val="auto"/>
          <w:kern w:val="0"/>
          <w:szCs w:val="28"/>
          <w:highlight w:val="none"/>
        </w:rPr>
        <w:t>知识产权的起诉。如果第三方提出侵权指控，中标人应承担由此而引起的一切法律责任和费用。</w:t>
      </w:r>
    </w:p>
    <w:p>
      <w:pPr>
        <w:snapToGrid w:val="0"/>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szCs w:val="28"/>
          <w:highlight w:val="none"/>
        </w:rPr>
        <w:t>（注：订购、</w:t>
      </w:r>
      <w:r>
        <w:rPr>
          <w:rFonts w:hint="eastAsia" w:ascii="方正仿宋_GBK" w:hAnsi="宋体" w:eastAsia="方正仿宋_GBK" w:cs="宋体"/>
          <w:color w:val="auto"/>
          <w:szCs w:val="28"/>
          <w:highlight w:val="none"/>
          <w:lang w:eastAsia="zh-CN"/>
        </w:rPr>
        <w:t>设计</w:t>
      </w:r>
      <w:r>
        <w:rPr>
          <w:rFonts w:hint="eastAsia" w:ascii="方正仿宋_GBK" w:hAnsi="宋体" w:eastAsia="方正仿宋_GBK" w:cs="宋体"/>
          <w:color w:val="auto"/>
          <w:szCs w:val="28"/>
          <w:highlight w:val="none"/>
        </w:rPr>
        <w:t>、定制开发的信息化建设项目等知识产权的，知识产权归采购人所有）</w:t>
      </w:r>
    </w:p>
    <w:p>
      <w:pPr>
        <w:pStyle w:val="3"/>
        <w:spacing w:line="440" w:lineRule="exact"/>
        <w:ind w:firstLine="560" w:firstLineChars="200"/>
        <w:rPr>
          <w:rFonts w:hint="eastAsia" w:ascii="方正黑体_GBK" w:eastAsia="方正黑体_GBK" w:cs="宋体"/>
          <w:b/>
          <w:color w:val="auto"/>
          <w:szCs w:val="28"/>
          <w:highlight w:val="none"/>
        </w:rPr>
      </w:pPr>
      <w:bookmarkStart w:id="106" w:name="_Toc169703192"/>
      <w:bookmarkStart w:id="107" w:name="_Toc2160"/>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六、</w:t>
      </w:r>
      <w:bookmarkStart w:id="108" w:name="_Toc267320053"/>
      <w:r>
        <w:rPr>
          <w:rFonts w:hint="eastAsia" w:ascii="方正黑体_GBK" w:eastAsia="方正黑体_GBK" w:cs="宋体"/>
          <w:b/>
          <w:color w:val="auto"/>
          <w:szCs w:val="28"/>
          <w:highlight w:val="none"/>
        </w:rPr>
        <w:t>培训</w:t>
      </w:r>
      <w:bookmarkEnd w:id="106"/>
      <w:bookmarkEnd w:id="107"/>
      <w:bookmarkEnd w:id="108"/>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投标人对其提供产品的使用和操作应尽培训义务。投标人应提供对采购人的基本免费培训，使采购人使用人员能够正常操作。</w:t>
      </w:r>
    </w:p>
    <w:p>
      <w:pPr>
        <w:pStyle w:val="3"/>
        <w:spacing w:line="440" w:lineRule="exact"/>
        <w:ind w:firstLine="560" w:firstLineChars="200"/>
        <w:rPr>
          <w:rFonts w:hint="eastAsia" w:ascii="方正黑体_GBK" w:eastAsia="方正黑体_GBK" w:cs="宋体"/>
          <w:b/>
          <w:color w:val="auto"/>
          <w:szCs w:val="28"/>
          <w:highlight w:val="none"/>
        </w:rPr>
      </w:pPr>
      <w:bookmarkStart w:id="109" w:name="_Toc169703193"/>
      <w:bookmarkStart w:id="110" w:name="_Toc22057"/>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七、附件、图纸及包装要求</w:t>
      </w:r>
      <w:bookmarkEnd w:id="109"/>
      <w:bookmarkEnd w:id="110"/>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所有设备按照制造商规定的产品包装和随机标准附件为准。</w:t>
      </w:r>
    </w:p>
    <w:p>
      <w:pPr>
        <w:pStyle w:val="3"/>
        <w:spacing w:line="440" w:lineRule="exact"/>
        <w:ind w:firstLine="560" w:firstLineChars="200"/>
        <w:rPr>
          <w:rFonts w:hint="eastAsia" w:ascii="方正黑体_GBK" w:eastAsia="方正黑体_GBK" w:cs="宋体"/>
          <w:b/>
          <w:color w:val="auto"/>
          <w:szCs w:val="28"/>
          <w:highlight w:val="none"/>
        </w:rPr>
      </w:pPr>
      <w:bookmarkStart w:id="111" w:name="_Toc368"/>
      <w:bookmarkStart w:id="112" w:name="_Toc169703194"/>
      <w:r>
        <w:rPr>
          <w:rFonts w:hint="eastAsia" w:ascii="方正仿宋_GBK" w:hAnsi="宋体" w:eastAsia="方正仿宋_GBK" w:cs="宋体"/>
          <w:color w:val="auto"/>
          <w:szCs w:val="28"/>
          <w:highlight w:val="none"/>
          <w:lang w:eastAsia="zh-CN"/>
        </w:rPr>
        <w:t>※</w:t>
      </w:r>
      <w:r>
        <w:rPr>
          <w:rFonts w:hint="eastAsia" w:ascii="方正黑体_GBK" w:eastAsia="方正黑体_GBK" w:cs="宋体"/>
          <w:b/>
          <w:color w:val="auto"/>
          <w:szCs w:val="28"/>
          <w:highlight w:val="none"/>
        </w:rPr>
        <w:t>八、其他要求内容</w:t>
      </w:r>
      <w:bookmarkEnd w:id="111"/>
      <w:bookmarkEnd w:id="112"/>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从合同签订之日起，在项目执行过程中所产生的一切安全事故、安全责任均由中标供应商承担。</w:t>
      </w:r>
    </w:p>
    <w:p>
      <w:pPr>
        <w:snapToGrid w:val="0"/>
        <w:spacing w:line="440" w:lineRule="exact"/>
        <w:ind w:firstLine="560" w:firstLineChars="200"/>
        <w:rPr>
          <w:rFonts w:hint="eastAsia" w:ascii="方正仿宋_GBK" w:hAnsi="宋体" w:eastAsia="方正仿宋_GBK" w:cs="宋体"/>
          <w:color w:val="auto"/>
          <w:kern w:val="0"/>
          <w:szCs w:val="28"/>
          <w:highlight w:val="none"/>
        </w:rPr>
      </w:pPr>
      <w:bookmarkStart w:id="113" w:name="_Toc28843"/>
      <w:bookmarkStart w:id="114" w:name="_Toc14913"/>
    </w:p>
    <w:p>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方正小标宋_GBK" w:hAnsi="宋体" w:eastAsia="方正小标宋_GBK" w:cs="宋体"/>
          <w:b/>
          <w:color w:val="auto"/>
          <w:kern w:val="2"/>
          <w:sz w:val="32"/>
          <w:szCs w:val="32"/>
          <w:highlight w:val="none"/>
          <w:lang w:val="en-US" w:eastAsia="zh-CN" w:bidi="ar-SA"/>
        </w:rPr>
      </w:pPr>
      <w:bookmarkStart w:id="115" w:name="_Toc169703195"/>
      <w:r>
        <w:rPr>
          <w:rFonts w:hint="eastAsia" w:ascii="方正小标宋_GBK" w:hAnsi="宋体" w:eastAsia="方正小标宋_GBK" w:cs="宋体"/>
          <w:b/>
          <w:color w:val="auto"/>
          <w:kern w:val="2"/>
          <w:sz w:val="32"/>
          <w:szCs w:val="32"/>
          <w:highlight w:val="none"/>
          <w:lang w:val="en-US" w:eastAsia="zh-CN" w:bidi="ar-SA"/>
        </w:rPr>
        <w:t>第四篇  资格审查及评标办法</w:t>
      </w:r>
      <w:bookmarkEnd w:id="113"/>
      <w:bookmarkEnd w:id="114"/>
      <w:bookmarkEnd w:id="115"/>
    </w:p>
    <w:p>
      <w:pPr>
        <w:pStyle w:val="3"/>
        <w:spacing w:line="440" w:lineRule="exact"/>
        <w:ind w:firstLine="562" w:firstLineChars="200"/>
        <w:rPr>
          <w:rFonts w:hint="eastAsia" w:ascii="方正黑体_GBK" w:eastAsia="方正黑体_GBK" w:cs="宋体"/>
          <w:b/>
          <w:color w:val="auto"/>
          <w:szCs w:val="28"/>
          <w:highlight w:val="none"/>
        </w:rPr>
      </w:pPr>
      <w:bookmarkStart w:id="116" w:name="_Toc23491"/>
      <w:bookmarkStart w:id="117" w:name="_Toc492721015"/>
      <w:bookmarkStart w:id="118" w:name="_Toc23297"/>
      <w:bookmarkStart w:id="119" w:name="_Toc169703196"/>
      <w:bookmarkStart w:id="120" w:name="_Toc7988"/>
      <w:r>
        <w:rPr>
          <w:rFonts w:hint="eastAsia" w:ascii="方正黑体_GBK" w:eastAsia="方正黑体_GBK" w:cs="宋体"/>
          <w:b/>
          <w:color w:val="auto"/>
          <w:szCs w:val="28"/>
          <w:highlight w:val="none"/>
        </w:rPr>
        <w:t>一、资格审查</w:t>
      </w:r>
      <w:bookmarkEnd w:id="116"/>
      <w:bookmarkEnd w:id="117"/>
      <w:bookmarkEnd w:id="118"/>
      <w:r>
        <w:rPr>
          <w:rFonts w:hint="eastAsia" w:ascii="方正黑体_GBK" w:eastAsia="方正黑体_GBK" w:cs="宋体"/>
          <w:b/>
          <w:color w:val="auto"/>
          <w:szCs w:val="28"/>
          <w:highlight w:val="none"/>
        </w:rPr>
        <w:t>及符合性审查</w:t>
      </w:r>
      <w:bookmarkEnd w:id="119"/>
      <w:bookmarkEnd w:id="120"/>
    </w:p>
    <w:p>
      <w:pPr>
        <w:snapToGrid w:val="0"/>
        <w:spacing w:line="440" w:lineRule="exact"/>
        <w:ind w:firstLine="562"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b/>
          <w:color w:val="auto"/>
          <w:szCs w:val="28"/>
          <w:highlight w:val="none"/>
        </w:rPr>
        <w:t>若未通过资格审查及符合性审查的投标文件，不进入评审环节。</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（一）资格审查</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依据政府采购相关法律法规规定</w:t>
      </w:r>
      <w:r>
        <w:rPr>
          <w:rFonts w:hint="eastAsia" w:ascii="方正仿宋_GBK" w:hAnsi="宋体" w:eastAsia="方正仿宋_GBK" w:cs="宋体"/>
          <w:color w:val="auto"/>
          <w:kern w:val="0"/>
          <w:szCs w:val="28"/>
          <w:highlight w:val="none"/>
          <w:lang w:eastAsia="zh-CN"/>
        </w:rPr>
        <w:t>，</w:t>
      </w:r>
      <w:r>
        <w:rPr>
          <w:rFonts w:hint="eastAsia" w:ascii="方正仿宋_GBK" w:hAnsi="宋体" w:eastAsia="方正仿宋_GBK" w:cs="宋体"/>
          <w:color w:val="auto"/>
          <w:kern w:val="0"/>
          <w:szCs w:val="28"/>
          <w:highlight w:val="none"/>
        </w:rPr>
        <w:t>由采购人对电子投标文件中的资格证明文件进行审查。资格审查资料表如下：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709"/>
        <w:gridCol w:w="3826"/>
        <w:gridCol w:w="4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45" w:hRule="atLeast"/>
        </w:trPr>
        <w:tc>
          <w:tcPr>
            <w:tcW w:w="676" w:type="dxa"/>
            <w:noWrap w:val="0"/>
            <w:vAlign w:val="center"/>
          </w:tcPr>
          <w:p>
            <w:pPr>
              <w:spacing w:line="440" w:lineRule="exact"/>
              <w:jc w:val="center"/>
              <w:rPr>
                <w:rFonts w:hint="eastAsia" w:ascii="方正仿宋_GBK" w:hAnsi="宋体" w:eastAsia="方正仿宋_GBK" w:cs="宋体"/>
                <w:b/>
                <w:color w:val="auto"/>
                <w:kern w:val="0"/>
                <w:szCs w:val="28"/>
                <w:highlight w:val="none"/>
              </w:rPr>
            </w:pPr>
            <w:r>
              <w:rPr>
                <w:rFonts w:hint="eastAsia" w:ascii="方正仿宋_GBK" w:hAnsi="宋体" w:eastAsia="方正仿宋_GBK" w:cs="宋体"/>
                <w:b/>
                <w:color w:val="auto"/>
                <w:kern w:val="0"/>
                <w:szCs w:val="28"/>
                <w:highlight w:val="none"/>
              </w:rPr>
              <w:t>序号</w:t>
            </w:r>
          </w:p>
        </w:tc>
        <w:tc>
          <w:tcPr>
            <w:tcW w:w="4535" w:type="dxa"/>
            <w:gridSpan w:val="2"/>
            <w:noWrap w:val="0"/>
            <w:vAlign w:val="center"/>
          </w:tcPr>
          <w:p>
            <w:pPr>
              <w:spacing w:line="440" w:lineRule="exact"/>
              <w:jc w:val="center"/>
              <w:rPr>
                <w:rFonts w:hint="eastAsia" w:ascii="方正仿宋_GBK" w:hAnsi="宋体" w:eastAsia="方正仿宋_GBK" w:cs="宋体"/>
                <w:b/>
                <w:color w:val="auto"/>
                <w:kern w:val="0"/>
                <w:szCs w:val="28"/>
                <w:highlight w:val="none"/>
              </w:rPr>
            </w:pPr>
            <w:r>
              <w:rPr>
                <w:rFonts w:hint="eastAsia" w:ascii="方正仿宋_GBK" w:hAnsi="宋体" w:eastAsia="方正仿宋_GBK" w:cs="宋体"/>
                <w:b/>
                <w:color w:val="auto"/>
                <w:kern w:val="0"/>
                <w:szCs w:val="28"/>
                <w:highlight w:val="none"/>
              </w:rPr>
              <w:t>检查因素</w:t>
            </w:r>
          </w:p>
        </w:tc>
        <w:tc>
          <w:tcPr>
            <w:tcW w:w="4417" w:type="dxa"/>
            <w:noWrap w:val="0"/>
            <w:vAlign w:val="center"/>
          </w:tcPr>
          <w:p>
            <w:pPr>
              <w:spacing w:line="440" w:lineRule="exact"/>
              <w:jc w:val="center"/>
              <w:rPr>
                <w:rFonts w:hint="eastAsia" w:ascii="方正仿宋_GBK" w:hAnsi="宋体" w:eastAsia="方正仿宋_GBK" w:cs="宋体"/>
                <w:b/>
                <w:color w:val="auto"/>
                <w:kern w:val="0"/>
                <w:szCs w:val="28"/>
                <w:highlight w:val="none"/>
              </w:rPr>
            </w:pPr>
            <w:r>
              <w:rPr>
                <w:rFonts w:hint="eastAsia" w:ascii="方正仿宋_GBK" w:hAnsi="宋体" w:eastAsia="方正仿宋_GBK" w:cs="宋体"/>
                <w:b/>
                <w:color w:val="auto"/>
                <w:kern w:val="0"/>
                <w:szCs w:val="28"/>
                <w:highlight w:val="none"/>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657" w:hRule="atLeast"/>
        </w:trPr>
        <w:tc>
          <w:tcPr>
            <w:tcW w:w="676" w:type="dxa"/>
            <w:vMerge w:val="restart"/>
            <w:noWrap w:val="0"/>
            <w:vAlign w:val="center"/>
          </w:tcPr>
          <w:p>
            <w:pPr>
              <w:spacing w:line="440" w:lineRule="exact"/>
              <w:jc w:val="center"/>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w:t>
            </w:r>
          </w:p>
        </w:tc>
        <w:tc>
          <w:tcPr>
            <w:tcW w:w="709" w:type="dxa"/>
            <w:vMerge w:val="restart"/>
            <w:noWrap w:val="0"/>
            <w:vAlign w:val="center"/>
          </w:tcPr>
          <w:p>
            <w:pPr>
              <w:spacing w:line="440" w:lineRule="exact"/>
              <w:rPr>
                <w:rFonts w:hint="eastAsia" w:ascii="方正仿宋_GBK" w:hAnsi="宋体" w:eastAsia="方正仿宋_GBK" w:cs="宋体"/>
                <w:color w:val="auto"/>
                <w:szCs w:val="28"/>
                <w:highlight w:val="none"/>
                <w:lang w:val="zh-CN"/>
              </w:rPr>
            </w:pPr>
            <w:r>
              <w:rPr>
                <w:rFonts w:hint="eastAsia" w:ascii="方正仿宋_GBK" w:hAnsi="宋体" w:eastAsia="方正仿宋_GBK" w:cs="宋体"/>
                <w:color w:val="auto"/>
                <w:szCs w:val="28"/>
                <w:highlight w:val="none"/>
                <w:lang w:val="zh-CN"/>
              </w:rPr>
              <w:t>《中华人民共和国政府采购法》第二十二条规定</w:t>
            </w:r>
          </w:p>
        </w:tc>
        <w:tc>
          <w:tcPr>
            <w:tcW w:w="3826" w:type="dxa"/>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（1）具有独立承担民事责任的能力</w:t>
            </w:r>
          </w:p>
        </w:tc>
        <w:tc>
          <w:tcPr>
            <w:tcW w:w="4417" w:type="dxa"/>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1.投标人法人营业执照（副本）或事业单位法人证书（副本）或个体工商户营业执照或有效的自然人身份证明或社会团体法人登记证书（提供复印件）； </w:t>
            </w:r>
          </w:p>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697" w:hRule="atLeast"/>
        </w:trPr>
        <w:tc>
          <w:tcPr>
            <w:tcW w:w="676" w:type="dxa"/>
            <w:vMerge w:val="continue"/>
            <w:noWrap w:val="0"/>
            <w:vAlign w:val="center"/>
          </w:tcPr>
          <w:p>
            <w:pPr>
              <w:spacing w:line="440" w:lineRule="exact"/>
              <w:jc w:val="center"/>
              <w:rPr>
                <w:rFonts w:hint="eastAsia" w:ascii="方正仿宋_GBK" w:hAnsi="宋体" w:eastAsia="方正仿宋_GBK" w:cs="宋体"/>
                <w:color w:val="auto"/>
                <w:szCs w:val="28"/>
                <w:highlight w:val="none"/>
              </w:rPr>
            </w:pPr>
          </w:p>
        </w:tc>
        <w:tc>
          <w:tcPr>
            <w:tcW w:w="709" w:type="dxa"/>
            <w:vMerge w:val="continue"/>
            <w:noWrap w:val="0"/>
            <w:vAlign w:val="center"/>
          </w:tcPr>
          <w:p>
            <w:pPr>
              <w:spacing w:line="440" w:lineRule="exact"/>
              <w:rPr>
                <w:rFonts w:hint="eastAsia" w:ascii="方正仿宋_GBK" w:hAnsi="宋体" w:eastAsia="方正仿宋_GBK" w:cs="宋体"/>
                <w:color w:val="auto"/>
                <w:szCs w:val="28"/>
                <w:highlight w:val="none"/>
                <w:lang w:val="zh-CN"/>
              </w:rPr>
            </w:pPr>
          </w:p>
        </w:tc>
        <w:tc>
          <w:tcPr>
            <w:tcW w:w="3826" w:type="dxa"/>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lang w:val="zh-CN"/>
              </w:rPr>
              <w:t>（2）</w:t>
            </w:r>
            <w:r>
              <w:rPr>
                <w:rFonts w:hint="eastAsia" w:ascii="方正仿宋_GBK" w:hAnsi="宋体" w:eastAsia="方正仿宋_GBK" w:cs="宋体"/>
                <w:color w:val="auto"/>
                <w:szCs w:val="28"/>
                <w:highlight w:val="none"/>
              </w:rPr>
              <w:t>具有良好的商业信誉和健全的财务会计制度</w:t>
            </w:r>
          </w:p>
        </w:tc>
        <w:tc>
          <w:tcPr>
            <w:tcW w:w="4417" w:type="dxa"/>
            <w:vMerge w:val="restart"/>
            <w:noWrap w:val="0"/>
            <w:vAlign w:val="center"/>
          </w:tcPr>
          <w:p>
            <w:pPr>
              <w:spacing w:line="440" w:lineRule="exact"/>
              <w:rPr>
                <w:rFonts w:hint="eastAsia" w:ascii="方正仿宋_GBK" w:hAnsi="宋体" w:eastAsia="方正仿宋_GBK" w:cs="宋体"/>
                <w:b/>
                <w:color w:val="auto"/>
                <w:szCs w:val="28"/>
                <w:highlight w:val="none"/>
              </w:rPr>
            </w:pPr>
            <w:bookmarkStart w:id="121" w:name="OLE_LINK12"/>
            <w:r>
              <w:rPr>
                <w:rFonts w:hint="eastAsia" w:ascii="方正仿宋_GBK" w:hAnsi="宋体" w:eastAsia="方正仿宋_GBK" w:cs="宋体"/>
                <w:b/>
                <w:color w:val="auto"/>
                <w:szCs w:val="28"/>
                <w:highlight w:val="none"/>
              </w:rPr>
              <w:t>投标人提供“基本资格条件承诺函”（格式详见第七篇）</w:t>
            </w:r>
            <w:bookmark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717" w:hRule="atLeast"/>
        </w:trPr>
        <w:tc>
          <w:tcPr>
            <w:tcW w:w="676" w:type="dxa"/>
            <w:vMerge w:val="continue"/>
            <w:noWrap w:val="0"/>
            <w:vAlign w:val="center"/>
          </w:tcPr>
          <w:p>
            <w:pPr>
              <w:spacing w:line="440" w:lineRule="exact"/>
              <w:jc w:val="center"/>
              <w:rPr>
                <w:rFonts w:hint="eastAsia" w:ascii="方正仿宋_GBK" w:hAnsi="宋体" w:eastAsia="方正仿宋_GBK" w:cs="宋体"/>
                <w:color w:val="auto"/>
                <w:szCs w:val="28"/>
                <w:highlight w:val="none"/>
              </w:rPr>
            </w:pPr>
          </w:p>
        </w:tc>
        <w:tc>
          <w:tcPr>
            <w:tcW w:w="709" w:type="dxa"/>
            <w:vMerge w:val="continue"/>
            <w:noWrap w:val="0"/>
            <w:vAlign w:val="center"/>
          </w:tcPr>
          <w:p>
            <w:pPr>
              <w:spacing w:line="440" w:lineRule="exact"/>
              <w:rPr>
                <w:rFonts w:hint="eastAsia" w:ascii="方正仿宋_GBK" w:hAnsi="宋体" w:eastAsia="方正仿宋_GBK" w:cs="宋体"/>
                <w:color w:val="auto"/>
                <w:szCs w:val="28"/>
                <w:highlight w:val="none"/>
                <w:lang w:val="zh-CN"/>
              </w:rPr>
            </w:pPr>
          </w:p>
        </w:tc>
        <w:tc>
          <w:tcPr>
            <w:tcW w:w="3826" w:type="dxa"/>
            <w:noWrap w:val="0"/>
            <w:vAlign w:val="center"/>
          </w:tcPr>
          <w:p>
            <w:pPr>
              <w:spacing w:line="440" w:lineRule="exact"/>
              <w:rPr>
                <w:rFonts w:hint="eastAsia" w:ascii="方正仿宋_GBK" w:hAnsi="宋体" w:eastAsia="方正仿宋_GBK" w:cs="宋体"/>
                <w:color w:val="auto"/>
                <w:szCs w:val="28"/>
                <w:highlight w:val="none"/>
                <w:lang w:val="zh-CN"/>
              </w:rPr>
            </w:pPr>
            <w:r>
              <w:rPr>
                <w:rFonts w:hint="eastAsia" w:ascii="方正仿宋_GBK" w:hAnsi="宋体" w:eastAsia="方正仿宋_GBK" w:cs="宋体"/>
                <w:color w:val="auto"/>
                <w:szCs w:val="28"/>
                <w:highlight w:val="none"/>
                <w:lang w:val="zh-CN"/>
              </w:rPr>
              <w:t>（3）具有履行合同所必需的设备和专业技术能力</w:t>
            </w:r>
          </w:p>
        </w:tc>
        <w:tc>
          <w:tcPr>
            <w:tcW w:w="4417" w:type="dxa"/>
            <w:vMerge w:val="continue"/>
            <w:noWrap w:val="0"/>
            <w:vAlign w:val="center"/>
          </w:tcPr>
          <w:p>
            <w:pPr>
              <w:spacing w:line="440" w:lineRule="exact"/>
              <w:rPr>
                <w:rFonts w:hint="eastAsia" w:ascii="方正仿宋_GBK" w:hAnsi="宋体" w:eastAsia="方正仿宋_GBK" w:cs="宋体"/>
                <w:color w:val="auto"/>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759" w:hRule="atLeast"/>
        </w:trPr>
        <w:tc>
          <w:tcPr>
            <w:tcW w:w="676" w:type="dxa"/>
            <w:vMerge w:val="continue"/>
            <w:noWrap w:val="0"/>
            <w:vAlign w:val="center"/>
          </w:tcPr>
          <w:p>
            <w:pPr>
              <w:spacing w:line="440" w:lineRule="exact"/>
              <w:jc w:val="center"/>
              <w:rPr>
                <w:rFonts w:hint="eastAsia" w:ascii="方正仿宋_GBK" w:hAnsi="宋体" w:eastAsia="方正仿宋_GBK" w:cs="宋体"/>
                <w:color w:val="auto"/>
                <w:szCs w:val="28"/>
                <w:highlight w:val="none"/>
              </w:rPr>
            </w:pPr>
          </w:p>
        </w:tc>
        <w:tc>
          <w:tcPr>
            <w:tcW w:w="709" w:type="dxa"/>
            <w:vMerge w:val="continue"/>
            <w:noWrap w:val="0"/>
            <w:vAlign w:val="center"/>
          </w:tcPr>
          <w:p>
            <w:pPr>
              <w:spacing w:line="440" w:lineRule="exact"/>
              <w:rPr>
                <w:rFonts w:hint="eastAsia" w:ascii="方正仿宋_GBK" w:hAnsi="宋体" w:eastAsia="方正仿宋_GBK" w:cs="宋体"/>
                <w:color w:val="auto"/>
                <w:szCs w:val="28"/>
                <w:highlight w:val="none"/>
                <w:lang w:val="zh-CN"/>
              </w:rPr>
            </w:pPr>
          </w:p>
        </w:tc>
        <w:tc>
          <w:tcPr>
            <w:tcW w:w="3826" w:type="dxa"/>
            <w:noWrap w:val="0"/>
            <w:vAlign w:val="center"/>
          </w:tcPr>
          <w:p>
            <w:pPr>
              <w:spacing w:line="440" w:lineRule="exact"/>
              <w:rPr>
                <w:rFonts w:hint="eastAsia" w:ascii="方正仿宋_GBK" w:hAnsi="宋体" w:eastAsia="方正仿宋_GBK" w:cs="宋体"/>
                <w:color w:val="auto"/>
                <w:szCs w:val="28"/>
                <w:highlight w:val="none"/>
                <w:lang w:val="zh-CN"/>
              </w:rPr>
            </w:pPr>
            <w:r>
              <w:rPr>
                <w:rFonts w:hint="eastAsia" w:ascii="方正仿宋_GBK" w:hAnsi="宋体" w:eastAsia="方正仿宋_GBK" w:cs="宋体"/>
                <w:color w:val="auto"/>
                <w:szCs w:val="28"/>
                <w:highlight w:val="none"/>
                <w:lang w:val="zh-CN"/>
              </w:rPr>
              <w:t>（4）有依法缴纳税收和社会保障金的良好记录</w:t>
            </w:r>
          </w:p>
        </w:tc>
        <w:tc>
          <w:tcPr>
            <w:tcW w:w="4417" w:type="dxa"/>
            <w:vMerge w:val="continue"/>
            <w:noWrap w:val="0"/>
            <w:vAlign w:val="center"/>
          </w:tcPr>
          <w:p>
            <w:pPr>
              <w:spacing w:line="440" w:lineRule="exact"/>
              <w:rPr>
                <w:rFonts w:hint="eastAsia" w:ascii="方正仿宋_GBK" w:hAnsi="宋体" w:eastAsia="方正仿宋_GBK" w:cs="宋体"/>
                <w:color w:val="auto"/>
                <w:szCs w:val="28"/>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702" w:hRule="atLeast"/>
        </w:trPr>
        <w:tc>
          <w:tcPr>
            <w:tcW w:w="676" w:type="dxa"/>
            <w:vMerge w:val="continue"/>
            <w:noWrap w:val="0"/>
            <w:vAlign w:val="center"/>
          </w:tcPr>
          <w:p>
            <w:pPr>
              <w:spacing w:line="440" w:lineRule="exact"/>
              <w:jc w:val="center"/>
              <w:rPr>
                <w:rFonts w:hint="eastAsia" w:ascii="方正仿宋_GBK" w:hAnsi="宋体" w:eastAsia="方正仿宋_GBK" w:cs="宋体"/>
                <w:color w:val="auto"/>
                <w:szCs w:val="28"/>
                <w:highlight w:val="none"/>
              </w:rPr>
            </w:pPr>
          </w:p>
        </w:tc>
        <w:tc>
          <w:tcPr>
            <w:tcW w:w="709" w:type="dxa"/>
            <w:vMerge w:val="continue"/>
            <w:noWrap w:val="0"/>
            <w:vAlign w:val="center"/>
          </w:tcPr>
          <w:p>
            <w:pPr>
              <w:spacing w:line="440" w:lineRule="exact"/>
              <w:rPr>
                <w:rFonts w:hint="eastAsia" w:ascii="方正仿宋_GBK" w:hAnsi="宋体" w:eastAsia="方正仿宋_GBK" w:cs="宋体"/>
                <w:color w:val="auto"/>
                <w:szCs w:val="28"/>
                <w:highlight w:val="none"/>
                <w:lang w:val="zh-CN"/>
              </w:rPr>
            </w:pPr>
          </w:p>
        </w:tc>
        <w:tc>
          <w:tcPr>
            <w:tcW w:w="3826" w:type="dxa"/>
            <w:noWrap w:val="0"/>
            <w:vAlign w:val="center"/>
          </w:tcPr>
          <w:p>
            <w:pPr>
              <w:spacing w:line="440" w:lineRule="exact"/>
              <w:rPr>
                <w:rFonts w:hint="eastAsia" w:ascii="方正仿宋_GBK" w:hAnsi="宋体" w:eastAsia="方正仿宋_GBK" w:cs="宋体"/>
                <w:color w:val="auto"/>
                <w:szCs w:val="28"/>
                <w:highlight w:val="none"/>
                <w:lang w:val="zh-CN"/>
              </w:rPr>
            </w:pPr>
            <w:bookmarkStart w:id="122" w:name="OLE_LINK13"/>
            <w:r>
              <w:rPr>
                <w:rFonts w:hint="eastAsia" w:ascii="方正仿宋_GBK" w:hAnsi="宋体" w:eastAsia="方正仿宋_GBK" w:cs="宋体"/>
                <w:color w:val="auto"/>
                <w:szCs w:val="28"/>
                <w:highlight w:val="none"/>
              </w:rPr>
              <w:t>（</w:t>
            </w:r>
            <w:r>
              <w:rPr>
                <w:rFonts w:hint="eastAsia" w:ascii="方正仿宋_GBK" w:hAnsi="宋体" w:eastAsia="方正仿宋_GBK" w:cs="宋体"/>
                <w:color w:val="auto"/>
                <w:szCs w:val="28"/>
                <w:highlight w:val="none"/>
                <w:lang w:val="zh-CN"/>
              </w:rPr>
              <w:t>5）参加政府采购活动前三年内，在经营活动中没有重大违法记录（注</w:t>
            </w:r>
            <w:r>
              <w:rPr>
                <w:rFonts w:hint="eastAsia" w:ascii="方正仿宋_GBK" w:hAnsi="宋体" w:eastAsia="方正仿宋_GBK" w:cs="宋体"/>
                <w:color w:val="auto"/>
                <w:szCs w:val="28"/>
                <w:highlight w:val="none"/>
              </w:rPr>
              <w:fldChar w:fldCharType="begin"/>
            </w:r>
            <w:r>
              <w:rPr>
                <w:rFonts w:hint="eastAsia" w:ascii="方正仿宋_GBK" w:hAnsi="宋体" w:eastAsia="方正仿宋_GBK" w:cs="宋体"/>
                <w:color w:val="auto"/>
                <w:szCs w:val="28"/>
                <w:highlight w:val="none"/>
              </w:rPr>
              <w:instrText xml:space="preserve"> EQ \o\ac(○,</w:instrText>
            </w:r>
            <w:r>
              <w:rPr>
                <w:rFonts w:hint="eastAsia" w:ascii="方正仿宋_GBK" w:hAnsi="宋体" w:eastAsia="方正仿宋_GBK" w:cs="宋体"/>
                <w:color w:val="auto"/>
                <w:position w:val="2"/>
                <w:szCs w:val="28"/>
                <w:highlight w:val="none"/>
              </w:rPr>
              <w:instrText xml:space="preserve">1</w:instrText>
            </w:r>
            <w:r>
              <w:rPr>
                <w:rFonts w:hint="eastAsia" w:ascii="方正仿宋_GBK" w:hAnsi="宋体" w:eastAsia="方正仿宋_GBK" w:cs="宋体"/>
                <w:color w:val="auto"/>
                <w:szCs w:val="28"/>
                <w:highlight w:val="none"/>
              </w:rPr>
              <w:instrText xml:space="preserve">)</w:instrText>
            </w:r>
            <w:r>
              <w:rPr>
                <w:rFonts w:hint="eastAsia" w:ascii="方正仿宋_GBK" w:hAnsi="宋体" w:eastAsia="方正仿宋_GBK" w:cs="宋体"/>
                <w:color w:val="auto"/>
                <w:szCs w:val="28"/>
                <w:highlight w:val="none"/>
              </w:rPr>
              <w:fldChar w:fldCharType="end"/>
            </w:r>
            <w:r>
              <w:rPr>
                <w:rFonts w:hint="eastAsia" w:ascii="方正仿宋_GBK" w:hAnsi="宋体" w:eastAsia="方正仿宋_GBK" w:cs="宋体"/>
                <w:color w:val="auto"/>
                <w:szCs w:val="28"/>
                <w:highlight w:val="none"/>
                <w:lang w:val="zh-CN"/>
              </w:rPr>
              <w:t>）</w:t>
            </w:r>
            <w:bookmarkEnd w:id="122"/>
          </w:p>
        </w:tc>
        <w:tc>
          <w:tcPr>
            <w:tcW w:w="4417" w:type="dxa"/>
            <w:vMerge w:val="continue"/>
            <w:noWrap w:val="0"/>
            <w:vAlign w:val="center"/>
          </w:tcPr>
          <w:p>
            <w:pPr>
              <w:spacing w:line="440" w:lineRule="exact"/>
              <w:rPr>
                <w:rFonts w:hint="eastAsia" w:ascii="方正仿宋_GBK" w:hAnsi="宋体" w:eastAsia="方正仿宋_GBK" w:cs="宋体"/>
                <w:b/>
                <w:color w:val="auto"/>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11" w:hRule="atLeast"/>
        </w:trPr>
        <w:tc>
          <w:tcPr>
            <w:tcW w:w="676" w:type="dxa"/>
            <w:vMerge w:val="continue"/>
            <w:noWrap w:val="0"/>
            <w:vAlign w:val="center"/>
          </w:tcPr>
          <w:p>
            <w:pPr>
              <w:spacing w:line="440" w:lineRule="exact"/>
              <w:jc w:val="center"/>
              <w:rPr>
                <w:rFonts w:hint="eastAsia" w:ascii="方正仿宋_GBK" w:hAnsi="宋体" w:eastAsia="方正仿宋_GBK" w:cs="宋体"/>
                <w:color w:val="auto"/>
                <w:szCs w:val="28"/>
                <w:highlight w:val="none"/>
              </w:rPr>
            </w:pPr>
          </w:p>
        </w:tc>
        <w:tc>
          <w:tcPr>
            <w:tcW w:w="709" w:type="dxa"/>
            <w:vMerge w:val="continue"/>
            <w:noWrap w:val="0"/>
            <w:vAlign w:val="center"/>
          </w:tcPr>
          <w:p>
            <w:pPr>
              <w:spacing w:line="440" w:lineRule="exact"/>
              <w:rPr>
                <w:rFonts w:hint="eastAsia" w:ascii="方正仿宋_GBK" w:hAnsi="宋体" w:eastAsia="方正仿宋_GBK" w:cs="宋体"/>
                <w:color w:val="auto"/>
                <w:szCs w:val="28"/>
                <w:highlight w:val="none"/>
              </w:rPr>
            </w:pPr>
          </w:p>
        </w:tc>
        <w:tc>
          <w:tcPr>
            <w:tcW w:w="3826" w:type="dxa"/>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（6）法律、行政法规规定的其他条件</w:t>
            </w:r>
          </w:p>
        </w:tc>
        <w:tc>
          <w:tcPr>
            <w:tcW w:w="4417" w:type="dxa"/>
            <w:noWrap w:val="0"/>
            <w:vAlign w:val="center"/>
          </w:tcPr>
          <w:p>
            <w:pPr>
              <w:spacing w:line="440" w:lineRule="exact"/>
              <w:rPr>
                <w:rFonts w:hint="eastAsia" w:ascii="方正仿宋_GBK" w:hAnsi="宋体" w:eastAsia="方正仿宋_GBK" w:cs="宋体"/>
                <w:color w:val="auto"/>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66" w:hRule="atLeast"/>
        </w:trPr>
        <w:tc>
          <w:tcPr>
            <w:tcW w:w="676" w:type="dxa"/>
            <w:noWrap w:val="0"/>
            <w:vAlign w:val="center"/>
          </w:tcPr>
          <w:p>
            <w:pPr>
              <w:spacing w:line="440" w:lineRule="exact"/>
              <w:jc w:val="center"/>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w:t>
            </w:r>
          </w:p>
        </w:tc>
        <w:tc>
          <w:tcPr>
            <w:tcW w:w="4535" w:type="dxa"/>
            <w:gridSpan w:val="2"/>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特定资格条件</w:t>
            </w:r>
          </w:p>
        </w:tc>
        <w:tc>
          <w:tcPr>
            <w:tcW w:w="4417" w:type="dxa"/>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按第一篇“三、投标人资格要求（三）特定资格条件”的要求提交（如果有）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66" w:hRule="atLeast"/>
        </w:trPr>
        <w:tc>
          <w:tcPr>
            <w:tcW w:w="676" w:type="dxa"/>
            <w:noWrap w:val="0"/>
            <w:vAlign w:val="center"/>
          </w:tcPr>
          <w:p>
            <w:pPr>
              <w:spacing w:line="440" w:lineRule="exact"/>
              <w:jc w:val="center"/>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w:t>
            </w:r>
          </w:p>
        </w:tc>
        <w:tc>
          <w:tcPr>
            <w:tcW w:w="4535" w:type="dxa"/>
            <w:gridSpan w:val="2"/>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落实政府采购政策需满足的资格要求</w:t>
            </w:r>
          </w:p>
        </w:tc>
        <w:tc>
          <w:tcPr>
            <w:tcW w:w="4417" w:type="dxa"/>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按第一篇“三、投标人资格要求（二）落实政府采购政策需满足的资格要求”的要求提交（如果有）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36" w:hRule="atLeast"/>
        </w:trPr>
        <w:tc>
          <w:tcPr>
            <w:tcW w:w="676" w:type="dxa"/>
            <w:noWrap w:val="0"/>
            <w:vAlign w:val="center"/>
          </w:tcPr>
          <w:p>
            <w:pPr>
              <w:spacing w:line="440" w:lineRule="exact"/>
              <w:jc w:val="center"/>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4</w:t>
            </w:r>
          </w:p>
        </w:tc>
        <w:tc>
          <w:tcPr>
            <w:tcW w:w="4535" w:type="dxa"/>
            <w:gridSpan w:val="2"/>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投标保证金</w:t>
            </w:r>
          </w:p>
        </w:tc>
        <w:tc>
          <w:tcPr>
            <w:tcW w:w="4417" w:type="dxa"/>
            <w:noWrap w:val="0"/>
            <w:vAlign w:val="center"/>
          </w:tcPr>
          <w:p>
            <w:pPr>
              <w:spacing w:line="440" w:lineRule="exact"/>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按照招标文件要求足额交纳所投包的投标保证金</w:t>
            </w:r>
          </w:p>
        </w:tc>
      </w:tr>
    </w:tbl>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注：</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fldChar w:fldCharType="begin"/>
      </w:r>
      <w:r>
        <w:rPr>
          <w:rFonts w:hint="eastAsia" w:ascii="方正仿宋_GBK" w:hAnsi="宋体" w:eastAsia="方正仿宋_GBK" w:cs="宋体"/>
          <w:color w:val="auto"/>
          <w:kern w:val="0"/>
          <w:szCs w:val="28"/>
          <w:highlight w:val="none"/>
        </w:rPr>
        <w:instrText xml:space="preserve"> eq \o\ac(</w:instrText>
      </w:r>
      <w:r>
        <w:rPr>
          <w:rFonts w:hint="eastAsia" w:ascii="方正仿宋_GBK" w:hAnsi="宋体" w:eastAsia="方正仿宋_GBK" w:cs="宋体"/>
          <w:color w:val="auto"/>
          <w:kern w:val="0"/>
          <w:position w:val="-4"/>
          <w:szCs w:val="28"/>
          <w:highlight w:val="none"/>
        </w:rPr>
        <w:instrText xml:space="preserve">○</w:instrText>
      </w:r>
      <w:r>
        <w:rPr>
          <w:rFonts w:hint="eastAsia" w:ascii="方正仿宋_GBK" w:hAnsi="宋体" w:eastAsia="方正仿宋_GBK" w:cs="宋体"/>
          <w:color w:val="auto"/>
          <w:kern w:val="0"/>
          <w:szCs w:val="28"/>
          <w:highlight w:val="none"/>
        </w:rPr>
        <w:instrText xml:space="preserve">,1)</w:instrText>
      </w:r>
      <w:r>
        <w:rPr>
          <w:rFonts w:hint="eastAsia" w:ascii="方正仿宋_GBK" w:hAnsi="宋体" w:eastAsia="方正仿宋_GBK" w:cs="宋体"/>
          <w:color w:val="auto"/>
          <w:kern w:val="0"/>
          <w:szCs w:val="28"/>
          <w:highlight w:val="none"/>
        </w:rPr>
        <w:fldChar w:fldCharType="end"/>
      </w:r>
      <w:r>
        <w:rPr>
          <w:rFonts w:hint="eastAsia" w:ascii="方正仿宋_GBK" w:hAnsi="宋体" w:eastAsia="方正仿宋_GBK" w:cs="宋体"/>
          <w:color w:val="auto"/>
          <w:kern w:val="0"/>
          <w:szCs w:val="28"/>
          <w:highlight w:val="none"/>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w:t>
      </w:r>
      <w:r>
        <w:rPr>
          <w:rFonts w:hint="eastAsia" w:ascii="方正仿宋_GBK" w:hAnsi="宋体" w:eastAsia="方正仿宋_GBK" w:cs="宋体"/>
          <w:color w:val="auto"/>
          <w:kern w:val="0"/>
          <w:szCs w:val="28"/>
          <w:highlight w:val="none"/>
          <w:lang w:eastAsia="zh-CN"/>
        </w:rPr>
        <w:t>〈</w:t>
      </w:r>
      <w:r>
        <w:rPr>
          <w:rFonts w:hint="eastAsia" w:ascii="方正仿宋_GBK" w:hAnsi="宋体" w:eastAsia="方正仿宋_GBK" w:cs="宋体"/>
          <w:color w:val="auto"/>
          <w:kern w:val="0"/>
          <w:szCs w:val="28"/>
          <w:highlight w:val="none"/>
        </w:rPr>
        <w:t>中华人民共和国政府采购法实施条例</w:t>
      </w:r>
      <w:r>
        <w:rPr>
          <w:rFonts w:hint="eastAsia" w:ascii="方正仿宋_GBK" w:hAnsi="宋体" w:eastAsia="方正仿宋_GBK" w:cs="宋体"/>
          <w:color w:val="auto"/>
          <w:kern w:val="0"/>
          <w:szCs w:val="28"/>
          <w:highlight w:val="none"/>
          <w:lang w:eastAsia="zh-CN"/>
        </w:rPr>
        <w:t>〉</w:t>
      </w:r>
      <w:r>
        <w:rPr>
          <w:rFonts w:hint="eastAsia" w:ascii="方正仿宋_GBK" w:hAnsi="宋体" w:eastAsia="方正仿宋_GBK" w:cs="宋体"/>
          <w:color w:val="auto"/>
          <w:kern w:val="0"/>
          <w:szCs w:val="28"/>
          <w:highlight w:val="none"/>
        </w:rPr>
        <w:t>第十九条第一款“较大数额罚款”具体适用问题的意见》（财库〔2022〕3号）执行。投标人可于电子投标文件递交时间前通过 “信用中国”网站</w:t>
      </w:r>
      <w:r>
        <w:rPr>
          <w:rFonts w:hint="eastAsia" w:ascii="方正仿宋_GBK" w:hAnsi="宋体" w:eastAsia="方正仿宋_GBK" w:cs="宋体"/>
          <w:color w:val="auto"/>
          <w:kern w:val="0"/>
          <w:szCs w:val="28"/>
          <w:highlight w:val="none"/>
          <w:lang w:eastAsia="zh-CN"/>
        </w:rPr>
        <w:t>（</w:t>
      </w:r>
      <w:r>
        <w:rPr>
          <w:rFonts w:hint="eastAsia" w:ascii="方正仿宋_GBK" w:hAnsi="宋体" w:eastAsia="方正仿宋_GBK" w:cs="宋体"/>
          <w:color w:val="auto"/>
          <w:kern w:val="0"/>
          <w:szCs w:val="28"/>
          <w:highlight w:val="none"/>
        </w:rPr>
        <w:t>www.creditchina.gov.cn</w:t>
      </w:r>
      <w:r>
        <w:rPr>
          <w:rFonts w:hint="eastAsia" w:ascii="方正仿宋_GBK" w:hAnsi="宋体" w:eastAsia="方正仿宋_GBK" w:cs="宋体"/>
          <w:color w:val="auto"/>
          <w:kern w:val="0"/>
          <w:szCs w:val="28"/>
          <w:highlight w:val="none"/>
          <w:lang w:eastAsia="zh-CN"/>
        </w:rPr>
        <w:t>）</w:t>
      </w:r>
      <w:r>
        <w:rPr>
          <w:rFonts w:hint="eastAsia" w:ascii="方正仿宋_GBK" w:hAnsi="宋体" w:eastAsia="方正仿宋_GBK" w:cs="宋体"/>
          <w:color w:val="auto"/>
          <w:kern w:val="0"/>
          <w:szCs w:val="28"/>
          <w:highlight w:val="none"/>
        </w:rPr>
        <w:t>、中国政府采购网</w:t>
      </w:r>
      <w:r>
        <w:rPr>
          <w:rFonts w:hint="eastAsia" w:ascii="方正仿宋_GBK" w:hAnsi="宋体" w:eastAsia="方正仿宋_GBK" w:cs="宋体"/>
          <w:color w:val="auto"/>
          <w:kern w:val="0"/>
          <w:szCs w:val="28"/>
          <w:highlight w:val="none"/>
          <w:lang w:eastAsia="zh-CN"/>
        </w:rPr>
        <w:t>（</w:t>
      </w:r>
      <w:r>
        <w:rPr>
          <w:rFonts w:hint="eastAsia" w:ascii="方正仿宋_GBK" w:hAnsi="宋体" w:eastAsia="方正仿宋_GBK" w:cs="宋体"/>
          <w:color w:val="auto"/>
          <w:kern w:val="0"/>
          <w:szCs w:val="28"/>
          <w:highlight w:val="none"/>
        </w:rPr>
        <w:t>www.ccgp.gov.cn</w:t>
      </w:r>
      <w:r>
        <w:rPr>
          <w:rFonts w:hint="eastAsia" w:ascii="方正仿宋_GBK" w:hAnsi="宋体" w:eastAsia="方正仿宋_GBK" w:cs="宋体"/>
          <w:color w:val="auto"/>
          <w:kern w:val="0"/>
          <w:szCs w:val="28"/>
          <w:highlight w:val="none"/>
          <w:lang w:eastAsia="zh-CN"/>
        </w:rPr>
        <w:t>）</w:t>
      </w:r>
      <w:r>
        <w:rPr>
          <w:rFonts w:hint="eastAsia" w:ascii="方正仿宋_GBK" w:hAnsi="宋体" w:eastAsia="方正仿宋_GBK" w:cs="宋体"/>
          <w:color w:val="auto"/>
          <w:kern w:val="0"/>
          <w:szCs w:val="28"/>
          <w:highlight w:val="none"/>
        </w:rPr>
        <w:t>等渠道查询信用记录。</w:t>
      </w:r>
    </w:p>
    <w:p>
      <w:pPr>
        <w:snapToGrid w:val="0"/>
        <w:spacing w:line="440" w:lineRule="exact"/>
        <w:ind w:firstLine="560" w:firstLineChars="200"/>
        <w:rPr>
          <w:rFonts w:hint="eastAsia" w:ascii="方正仿宋_GBK" w:hAnsi="宋体" w:eastAsia="方正仿宋_GBK" w:cs="宋体"/>
          <w:color w:val="auto"/>
          <w:kern w:val="0"/>
          <w:szCs w:val="28"/>
          <w:highlight w:val="none"/>
        </w:rPr>
      </w:pPr>
      <w:bookmarkStart w:id="123" w:name="_Toc492721016"/>
      <w:r>
        <w:rPr>
          <w:rFonts w:hint="eastAsia" w:ascii="方正仿宋_GBK" w:hAnsi="宋体" w:eastAsia="方正仿宋_GBK" w:cs="宋体"/>
          <w:color w:val="auto"/>
          <w:kern w:val="0"/>
          <w:szCs w:val="28"/>
          <w:highlight w:val="none"/>
        </w:rPr>
        <w:fldChar w:fldCharType="begin"/>
      </w:r>
      <w:r>
        <w:rPr>
          <w:rFonts w:hint="eastAsia" w:ascii="方正仿宋_GBK" w:hAnsi="宋体" w:eastAsia="方正仿宋_GBK" w:cs="宋体"/>
          <w:color w:val="auto"/>
          <w:kern w:val="0"/>
          <w:szCs w:val="28"/>
          <w:highlight w:val="none"/>
        </w:rPr>
        <w:instrText xml:space="preserve"> eq \o\ac(</w:instrText>
      </w:r>
      <w:r>
        <w:rPr>
          <w:rFonts w:hint="eastAsia" w:ascii="方正仿宋_GBK" w:hAnsi="宋体" w:eastAsia="方正仿宋_GBK" w:cs="宋体"/>
          <w:color w:val="auto"/>
          <w:kern w:val="0"/>
          <w:position w:val="-4"/>
          <w:szCs w:val="28"/>
          <w:highlight w:val="none"/>
        </w:rPr>
        <w:instrText xml:space="preserve">○</w:instrText>
      </w:r>
      <w:r>
        <w:rPr>
          <w:rFonts w:hint="eastAsia" w:ascii="方正仿宋_GBK" w:hAnsi="宋体" w:eastAsia="方正仿宋_GBK" w:cs="宋体"/>
          <w:color w:val="auto"/>
          <w:kern w:val="0"/>
          <w:szCs w:val="28"/>
          <w:highlight w:val="none"/>
        </w:rPr>
        <w:instrText xml:space="preserve">,2)</w:instrText>
      </w:r>
      <w:r>
        <w:rPr>
          <w:rFonts w:hint="eastAsia" w:ascii="方正仿宋_GBK" w:hAnsi="宋体" w:eastAsia="方正仿宋_GBK" w:cs="宋体"/>
          <w:color w:val="auto"/>
          <w:kern w:val="0"/>
          <w:szCs w:val="28"/>
          <w:highlight w:val="none"/>
        </w:rPr>
        <w:fldChar w:fldCharType="end"/>
      </w:r>
      <w:r>
        <w:rPr>
          <w:rFonts w:hint="eastAsia" w:ascii="方正仿宋_GBK" w:hAnsi="宋体" w:eastAsia="方正仿宋_GBK" w:cs="宋体"/>
          <w:color w:val="auto"/>
          <w:kern w:val="0"/>
          <w:szCs w:val="28"/>
          <w:highlight w:val="none"/>
        </w:rPr>
        <w:t>以联合体形式参与投标的，联合投标协议中应确定主办方（主体），代表联合体进行在线投标和在线澄清。</w:t>
      </w:r>
      <w:r>
        <w:rPr>
          <w:rFonts w:hint="eastAsia" w:ascii="方正仿宋_GBK" w:hAnsi="宋体" w:eastAsia="方正仿宋_GBK" w:cs="宋体"/>
          <w:color w:val="auto"/>
          <w:szCs w:val="28"/>
          <w:highlight w:val="none"/>
        </w:rPr>
        <w:t>法定代表人授权委托书由联合体主办方（主体）出具。</w:t>
      </w:r>
      <w:r>
        <w:rPr>
          <w:rFonts w:hint="eastAsia" w:ascii="方正仿宋_GBK" w:hAnsi="宋体" w:eastAsia="方正仿宋_GBK" w:cs="宋体"/>
          <w:color w:val="auto"/>
          <w:kern w:val="0"/>
          <w:szCs w:val="28"/>
          <w:highlight w:val="none"/>
        </w:rPr>
        <w:t>联合体各方均应满足投标人资格要求（详见“第一篇”）。（接受联合体投标时适用）</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kern w:val="0"/>
          <w:szCs w:val="28"/>
          <w:highlight w:val="none"/>
        </w:rPr>
        <w:fldChar w:fldCharType="begin"/>
      </w:r>
      <w:r>
        <w:rPr>
          <w:rFonts w:hint="eastAsia" w:ascii="方正仿宋_GBK" w:hAnsi="宋体" w:eastAsia="方正仿宋_GBK" w:cs="宋体"/>
          <w:color w:val="auto"/>
          <w:kern w:val="0"/>
          <w:szCs w:val="28"/>
          <w:highlight w:val="none"/>
        </w:rPr>
        <w:instrText xml:space="preserve"> eq \o\ac(</w:instrText>
      </w:r>
      <w:r>
        <w:rPr>
          <w:rFonts w:hint="eastAsia" w:ascii="方正仿宋_GBK" w:hAnsi="宋体" w:eastAsia="方正仿宋_GBK" w:cs="宋体"/>
          <w:color w:val="auto"/>
          <w:kern w:val="0"/>
          <w:position w:val="-4"/>
          <w:szCs w:val="28"/>
          <w:highlight w:val="none"/>
        </w:rPr>
        <w:instrText xml:space="preserve">○</w:instrText>
      </w:r>
      <w:r>
        <w:rPr>
          <w:rFonts w:hint="eastAsia" w:ascii="方正仿宋_GBK" w:hAnsi="宋体" w:eastAsia="方正仿宋_GBK" w:cs="宋体"/>
          <w:color w:val="auto"/>
          <w:kern w:val="0"/>
          <w:szCs w:val="28"/>
          <w:highlight w:val="none"/>
        </w:rPr>
        <w:instrText xml:space="preserve">,3)</w:instrText>
      </w:r>
      <w:r>
        <w:rPr>
          <w:rFonts w:hint="eastAsia" w:ascii="方正仿宋_GBK" w:hAnsi="宋体" w:eastAsia="方正仿宋_GBK" w:cs="宋体"/>
          <w:color w:val="auto"/>
          <w:kern w:val="0"/>
          <w:szCs w:val="28"/>
          <w:highlight w:val="none"/>
        </w:rPr>
        <w:fldChar w:fldCharType="end"/>
      </w:r>
      <w:r>
        <w:rPr>
          <w:rFonts w:hint="eastAsia" w:ascii="方正仿宋_GBK" w:hAnsi="宋体" w:eastAsia="方正仿宋_GBK" w:cs="宋体"/>
          <w:color w:val="auto"/>
          <w:szCs w:val="28"/>
          <w:highlight w:val="none"/>
        </w:rPr>
        <w:t>以联合体形式参加投标的，联合体各方均为中小企业的，联合体视同中小企业（其中，联合体各方均为小微企业的，联合体视同小微企业</w:t>
      </w:r>
      <w:r>
        <w:rPr>
          <w:rFonts w:hint="eastAsia" w:ascii="方正仿宋_GBK" w:hAnsi="宋体" w:eastAsia="方正仿宋_GBK" w:cs="宋体"/>
          <w:color w:val="auto"/>
          <w:kern w:val="0"/>
          <w:szCs w:val="28"/>
          <w:highlight w:val="none"/>
        </w:rPr>
        <w:t>）。（接受联合体投标时适用）</w:t>
      </w:r>
    </w:p>
    <w:bookmarkEnd w:id="123"/>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（二）符合性审查</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评标委员会应当对符合资格的投标人的电子投标文件进行符合性审查，以确定其是否满足招标文件的实质性要求。符合性审查资料表如下：</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2"/>
        <w:gridCol w:w="1557"/>
        <w:gridCol w:w="5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75" w:type="dxa"/>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序号</w:t>
            </w:r>
          </w:p>
        </w:tc>
        <w:tc>
          <w:tcPr>
            <w:tcW w:w="3119" w:type="dxa"/>
            <w:gridSpan w:val="2"/>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评审因素</w:t>
            </w:r>
          </w:p>
        </w:tc>
        <w:tc>
          <w:tcPr>
            <w:tcW w:w="5836" w:type="dxa"/>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5" w:type="dxa"/>
            <w:vMerge w:val="restart"/>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1</w:t>
            </w:r>
          </w:p>
        </w:tc>
        <w:tc>
          <w:tcPr>
            <w:tcW w:w="1562" w:type="dxa"/>
            <w:vMerge w:val="restart"/>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有效性审查</w:t>
            </w:r>
          </w:p>
        </w:tc>
        <w:tc>
          <w:tcPr>
            <w:tcW w:w="1557"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电子投标文件签署或盖章</w:t>
            </w:r>
          </w:p>
        </w:tc>
        <w:tc>
          <w:tcPr>
            <w:tcW w:w="5836"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电子投标文件上法定代表人（或其授权代表人）或自然人（投标人为自然人）的签署或盖章齐全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675" w:type="dxa"/>
            <w:vMerge w:val="continue"/>
            <w:noWrap w:val="0"/>
            <w:vAlign w:val="center"/>
          </w:tcPr>
          <w:p>
            <w:pPr>
              <w:spacing w:line="440" w:lineRule="exact"/>
              <w:jc w:val="center"/>
              <w:rPr>
                <w:rFonts w:hint="eastAsia" w:ascii="方正仿宋_GBK" w:hAnsi="宋体" w:eastAsia="方正仿宋_GBK" w:cs="宋体"/>
                <w:color w:val="auto"/>
                <w:kern w:val="0"/>
                <w:szCs w:val="28"/>
                <w:highlight w:val="none"/>
              </w:rPr>
            </w:pPr>
          </w:p>
        </w:tc>
        <w:tc>
          <w:tcPr>
            <w:tcW w:w="1562" w:type="dxa"/>
            <w:vMerge w:val="continue"/>
            <w:noWrap w:val="0"/>
            <w:vAlign w:val="center"/>
          </w:tcPr>
          <w:p>
            <w:pPr>
              <w:spacing w:line="440" w:lineRule="exact"/>
              <w:rPr>
                <w:rFonts w:hint="eastAsia" w:ascii="方正仿宋_GBK" w:hAnsi="宋体" w:eastAsia="方正仿宋_GBK" w:cs="宋体"/>
                <w:color w:val="auto"/>
                <w:kern w:val="0"/>
                <w:szCs w:val="28"/>
                <w:highlight w:val="none"/>
              </w:rPr>
            </w:pPr>
          </w:p>
        </w:tc>
        <w:tc>
          <w:tcPr>
            <w:tcW w:w="1557" w:type="dxa"/>
            <w:noWrap w:val="0"/>
            <w:vAlign w:val="center"/>
          </w:tcPr>
          <w:p>
            <w:pPr>
              <w:spacing w:line="440" w:lineRule="exact"/>
              <w:rPr>
                <w:rFonts w:hint="eastAsia" w:ascii="方正仿宋_GBK" w:hAnsi="宋体" w:eastAsia="方正仿宋_GBK" w:cs="宋体"/>
                <w:color w:val="auto"/>
                <w:kern w:val="0"/>
                <w:szCs w:val="28"/>
                <w:highlight w:val="none"/>
                <w:lang w:val="zh-CN"/>
              </w:rPr>
            </w:pPr>
            <w:r>
              <w:rPr>
                <w:rFonts w:hint="eastAsia" w:ascii="方正仿宋_GBK" w:hAnsi="宋体" w:eastAsia="方正仿宋_GBK" w:cs="宋体"/>
                <w:color w:val="auto"/>
                <w:kern w:val="0"/>
                <w:szCs w:val="28"/>
                <w:highlight w:val="none"/>
                <w:lang w:val="zh-CN"/>
              </w:rPr>
              <w:t>投标方案</w:t>
            </w:r>
          </w:p>
        </w:tc>
        <w:tc>
          <w:tcPr>
            <w:tcW w:w="5836"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lang w:val="zh-CN"/>
              </w:rPr>
              <w:t>每个包只能有一个方案投标。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675" w:type="dxa"/>
            <w:vMerge w:val="continue"/>
            <w:noWrap w:val="0"/>
            <w:vAlign w:val="center"/>
          </w:tcPr>
          <w:p>
            <w:pPr>
              <w:spacing w:line="440" w:lineRule="exact"/>
              <w:jc w:val="center"/>
              <w:rPr>
                <w:rFonts w:hint="eastAsia" w:ascii="方正仿宋_GBK" w:hAnsi="宋体" w:eastAsia="方正仿宋_GBK" w:cs="宋体"/>
                <w:color w:val="auto"/>
                <w:kern w:val="0"/>
                <w:szCs w:val="28"/>
                <w:highlight w:val="none"/>
              </w:rPr>
            </w:pPr>
          </w:p>
        </w:tc>
        <w:tc>
          <w:tcPr>
            <w:tcW w:w="1562" w:type="dxa"/>
            <w:vMerge w:val="continue"/>
            <w:noWrap w:val="0"/>
            <w:vAlign w:val="center"/>
          </w:tcPr>
          <w:p>
            <w:pPr>
              <w:spacing w:line="440" w:lineRule="exact"/>
              <w:rPr>
                <w:rFonts w:hint="eastAsia" w:ascii="方正仿宋_GBK" w:hAnsi="宋体" w:eastAsia="方正仿宋_GBK" w:cs="宋体"/>
                <w:color w:val="auto"/>
                <w:kern w:val="0"/>
                <w:szCs w:val="28"/>
                <w:highlight w:val="none"/>
              </w:rPr>
            </w:pPr>
          </w:p>
        </w:tc>
        <w:tc>
          <w:tcPr>
            <w:tcW w:w="1557" w:type="dxa"/>
            <w:noWrap w:val="0"/>
            <w:vAlign w:val="center"/>
          </w:tcPr>
          <w:p>
            <w:pPr>
              <w:spacing w:line="440" w:lineRule="exact"/>
              <w:rPr>
                <w:rFonts w:hint="eastAsia" w:ascii="方正仿宋_GBK" w:hAnsi="宋体" w:eastAsia="方正仿宋_GBK" w:cs="宋体"/>
                <w:color w:val="auto"/>
                <w:kern w:val="0"/>
                <w:szCs w:val="28"/>
                <w:highlight w:val="none"/>
                <w:lang w:val="zh-CN"/>
              </w:rPr>
            </w:pPr>
            <w:r>
              <w:rPr>
                <w:rFonts w:hint="eastAsia" w:ascii="方正仿宋_GBK" w:hAnsi="宋体" w:eastAsia="方正仿宋_GBK" w:cs="宋体"/>
                <w:color w:val="auto"/>
                <w:kern w:val="0"/>
                <w:szCs w:val="28"/>
                <w:highlight w:val="none"/>
              </w:rPr>
              <w:t>报价唯一</w:t>
            </w:r>
          </w:p>
        </w:tc>
        <w:tc>
          <w:tcPr>
            <w:tcW w:w="5836"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lang w:val="zh-CN"/>
              </w:rPr>
              <w:t>只能在预算金额和最高限价内报价，</w:t>
            </w:r>
            <w:r>
              <w:rPr>
                <w:rFonts w:hint="eastAsia" w:ascii="方正仿宋_GBK" w:hAnsi="宋体" w:eastAsia="方正仿宋_GBK" w:cs="宋体"/>
                <w:color w:val="auto"/>
                <w:kern w:val="0"/>
                <w:szCs w:val="28"/>
                <w:highlight w:val="none"/>
              </w:rPr>
              <w:t>只能有一个有效报价，不得提交选择性报价。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75" w:type="dxa"/>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2</w:t>
            </w:r>
          </w:p>
        </w:tc>
        <w:tc>
          <w:tcPr>
            <w:tcW w:w="1562"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完整性审查</w:t>
            </w:r>
          </w:p>
        </w:tc>
        <w:tc>
          <w:tcPr>
            <w:tcW w:w="1557"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lang w:val="zh-CN"/>
              </w:rPr>
              <w:t>投标文件份数</w:t>
            </w:r>
          </w:p>
        </w:tc>
        <w:tc>
          <w:tcPr>
            <w:tcW w:w="5836" w:type="dxa"/>
            <w:noWrap w:val="0"/>
            <w:vAlign w:val="center"/>
          </w:tcPr>
          <w:p>
            <w:pPr>
              <w:spacing w:line="440" w:lineRule="exact"/>
              <w:rPr>
                <w:rFonts w:hint="eastAsia" w:ascii="方正仿宋_GBK" w:hAnsi="宋体" w:eastAsia="方正仿宋_GBK" w:cs="宋体"/>
                <w:color w:val="auto"/>
                <w:kern w:val="0"/>
                <w:szCs w:val="28"/>
                <w:highlight w:val="none"/>
              </w:rPr>
            </w:pPr>
            <w:bookmarkStart w:id="124" w:name="OLE_LINK16"/>
            <w:r>
              <w:rPr>
                <w:rFonts w:hint="eastAsia" w:ascii="方正仿宋_GBK" w:hAnsi="宋体" w:eastAsia="方正仿宋_GBK" w:cs="宋体"/>
                <w:color w:val="auto"/>
                <w:kern w:val="0"/>
                <w:szCs w:val="28"/>
                <w:highlight w:val="none"/>
                <w:lang w:val="zh-CN"/>
              </w:rPr>
              <w:t>电子投标文件</w:t>
            </w:r>
            <w:r>
              <w:rPr>
                <w:rFonts w:hint="eastAsia" w:ascii="方正仿宋_GBK" w:hAnsi="宋体" w:eastAsia="方正仿宋_GBK" w:cs="宋体"/>
                <w:color w:val="auto"/>
                <w:kern w:val="0"/>
                <w:szCs w:val="28"/>
                <w:highlight w:val="none"/>
              </w:rPr>
              <w:t>数量和</w:t>
            </w:r>
            <w:r>
              <w:rPr>
                <w:rFonts w:hint="eastAsia" w:ascii="方正仿宋_GBK" w:hAnsi="宋体" w:eastAsia="方正仿宋_GBK" w:cs="宋体"/>
                <w:color w:val="auto"/>
                <w:szCs w:val="28"/>
                <w:highlight w:val="none"/>
              </w:rPr>
              <w:t>须提交的相关原件</w:t>
            </w:r>
            <w:r>
              <w:rPr>
                <w:rFonts w:hint="eastAsia" w:ascii="方正仿宋_GBK" w:hAnsi="宋体" w:eastAsia="方正仿宋_GBK" w:cs="宋体"/>
                <w:color w:val="auto"/>
                <w:kern w:val="0"/>
                <w:szCs w:val="28"/>
                <w:highlight w:val="none"/>
                <w:lang w:val="zh-CN"/>
              </w:rPr>
              <w:t>数量（</w:t>
            </w:r>
            <w:r>
              <w:rPr>
                <w:rFonts w:hint="eastAsia" w:ascii="方正仿宋_GBK" w:hAnsi="宋体" w:eastAsia="方正仿宋_GBK" w:cs="宋体"/>
                <w:color w:val="auto"/>
                <w:kern w:val="0"/>
                <w:szCs w:val="28"/>
                <w:highlight w:val="none"/>
              </w:rPr>
              <w:t>如果有</w:t>
            </w:r>
            <w:r>
              <w:rPr>
                <w:rFonts w:hint="eastAsia" w:ascii="方正仿宋_GBK" w:hAnsi="宋体" w:eastAsia="方正仿宋_GBK" w:cs="宋体"/>
                <w:color w:val="auto"/>
                <w:kern w:val="0"/>
                <w:szCs w:val="28"/>
                <w:highlight w:val="none"/>
                <w:lang w:val="zh-CN"/>
              </w:rPr>
              <w:t>）符合招标文件要求。</w:t>
            </w:r>
            <w:bookmarkEnd w:id="12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675" w:type="dxa"/>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3</w:t>
            </w:r>
          </w:p>
        </w:tc>
        <w:tc>
          <w:tcPr>
            <w:tcW w:w="1562"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技术部分</w:t>
            </w:r>
          </w:p>
        </w:tc>
        <w:tc>
          <w:tcPr>
            <w:tcW w:w="1557"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投标文件内容</w:t>
            </w:r>
          </w:p>
        </w:tc>
        <w:tc>
          <w:tcPr>
            <w:tcW w:w="5836"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本招标文件第二篇中（</w:t>
            </w:r>
            <w:r>
              <w:rPr>
                <w:rFonts w:hint="eastAsia" w:ascii="方正仿宋_GBK" w:hAnsi="宋体" w:eastAsia="方正仿宋_GBK" w:cs="宋体"/>
                <w:color w:val="auto"/>
                <w:kern w:val="0"/>
                <w:szCs w:val="28"/>
                <w:highlight w:val="none"/>
              </w:rPr>
              <w:t>※</w:t>
            </w:r>
            <w:r>
              <w:rPr>
                <w:rFonts w:hint="eastAsia" w:ascii="方正仿宋_GBK" w:hAnsi="宋体" w:eastAsia="方正仿宋_GBK" w:cs="宋体"/>
                <w:color w:val="auto"/>
                <w:kern w:val="0"/>
                <w:szCs w:val="28"/>
                <w:highlight w:val="none"/>
              </w:rPr>
              <w:t>）号标注的部分。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675" w:type="dxa"/>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4</w:t>
            </w:r>
          </w:p>
        </w:tc>
        <w:tc>
          <w:tcPr>
            <w:tcW w:w="1562"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商务部分</w:t>
            </w:r>
          </w:p>
        </w:tc>
        <w:tc>
          <w:tcPr>
            <w:tcW w:w="1557"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投标文件内容</w:t>
            </w:r>
          </w:p>
        </w:tc>
        <w:tc>
          <w:tcPr>
            <w:tcW w:w="5836"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本招标文件第三篇中（※）号标注的部分。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75" w:type="dxa"/>
            <w:noWrap w:val="0"/>
            <w:vAlign w:val="center"/>
          </w:tcPr>
          <w:p>
            <w:pPr>
              <w:spacing w:line="440" w:lineRule="exact"/>
              <w:jc w:val="center"/>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5</w:t>
            </w:r>
          </w:p>
        </w:tc>
        <w:tc>
          <w:tcPr>
            <w:tcW w:w="1562" w:type="dxa"/>
            <w:noWrap w:val="0"/>
            <w:vAlign w:val="center"/>
          </w:tcPr>
          <w:p>
            <w:pPr>
              <w:spacing w:line="440" w:lineRule="exact"/>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投标有效期</w:t>
            </w:r>
          </w:p>
        </w:tc>
        <w:tc>
          <w:tcPr>
            <w:tcW w:w="1557" w:type="dxa"/>
            <w:noWrap w:val="0"/>
            <w:vAlign w:val="center"/>
          </w:tcPr>
          <w:p>
            <w:pPr>
              <w:spacing w:line="440" w:lineRule="exact"/>
              <w:rPr>
                <w:rFonts w:hint="eastAsia" w:ascii="方正仿宋_GBK" w:hAnsi="宋体" w:eastAsia="方正仿宋_GBK" w:cs="宋体"/>
                <w:color w:val="auto"/>
                <w:kern w:val="0"/>
                <w:szCs w:val="28"/>
                <w:highlight w:val="none"/>
              </w:rPr>
            </w:pPr>
            <w:bookmarkStart w:id="125" w:name="OLE_LINK17"/>
            <w:r>
              <w:rPr>
                <w:rFonts w:hint="eastAsia" w:ascii="方正仿宋_GBK" w:hAnsi="宋体" w:eastAsia="方正仿宋_GBK" w:cs="宋体"/>
                <w:color w:val="auto"/>
                <w:kern w:val="0"/>
                <w:szCs w:val="28"/>
                <w:highlight w:val="none"/>
              </w:rPr>
              <w:t>投标文件内容</w:t>
            </w:r>
            <w:bookmarkEnd w:id="125"/>
          </w:p>
        </w:tc>
        <w:tc>
          <w:tcPr>
            <w:tcW w:w="5836" w:type="dxa"/>
            <w:noWrap w:val="0"/>
            <w:vAlign w:val="center"/>
          </w:tcPr>
          <w:p>
            <w:pPr>
              <w:spacing w:line="440" w:lineRule="exact"/>
              <w:rPr>
                <w:rFonts w:hint="eastAsia" w:ascii="方正仿宋_GBK" w:hAnsi="宋体" w:eastAsia="方正仿宋_GBK" w:cs="宋体"/>
                <w:color w:val="auto"/>
                <w:kern w:val="0"/>
                <w:szCs w:val="28"/>
                <w:highlight w:val="none"/>
              </w:rPr>
            </w:pPr>
            <w:bookmarkStart w:id="126" w:name="OLE_LINK18"/>
            <w:r>
              <w:rPr>
                <w:rFonts w:hint="eastAsia" w:ascii="方正仿宋_GBK" w:hAnsi="宋体" w:eastAsia="方正仿宋_GBK" w:cs="宋体"/>
                <w:color w:val="auto"/>
                <w:kern w:val="0"/>
                <w:szCs w:val="28"/>
                <w:highlight w:val="none"/>
              </w:rPr>
              <w:t>投标有效期为电子投标文件递交截止时间起90天。</w:t>
            </w:r>
            <w:bookmarkEnd w:id="126"/>
          </w:p>
        </w:tc>
      </w:tr>
    </w:tbl>
    <w:p>
      <w:pPr>
        <w:pStyle w:val="3"/>
        <w:spacing w:line="440" w:lineRule="exact"/>
        <w:ind w:firstLine="562" w:firstLineChars="200"/>
        <w:rPr>
          <w:rFonts w:hint="eastAsia" w:ascii="方正楷体_GBK" w:eastAsia="方正楷体_GBK" w:cs="宋体"/>
          <w:b/>
          <w:color w:val="auto"/>
          <w:szCs w:val="28"/>
          <w:highlight w:val="none"/>
        </w:rPr>
      </w:pPr>
      <w:bookmarkStart w:id="127" w:name="_Toc4176"/>
      <w:bookmarkStart w:id="128" w:name="_Toc169703197"/>
      <w:bookmarkStart w:id="129" w:name="_Toc492721017"/>
      <w:bookmarkStart w:id="130" w:name="_Toc13557"/>
      <w:bookmarkStart w:id="131" w:name="_Toc267320057"/>
      <w:bookmarkStart w:id="132" w:name="_Toc3525"/>
      <w:r>
        <w:rPr>
          <w:rFonts w:hint="eastAsia" w:ascii="方正黑体_GBK" w:eastAsia="方正黑体_GBK" w:cs="宋体"/>
          <w:b/>
          <w:color w:val="auto"/>
          <w:szCs w:val="28"/>
          <w:highlight w:val="none"/>
        </w:rPr>
        <w:t>二、评标方法</w:t>
      </w:r>
      <w:bookmarkEnd w:id="127"/>
      <w:bookmarkEnd w:id="128"/>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本项目采用综合评分法进行评标。</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综合评分法，是指投标文件满足招标文件全部实质性要求且按照评审因素的量化指标评审得分最高的投标人为中标候选人的评标方法。投标人总得分为价格、技术、商务等评定因素分别按照相应权重值计算分项得分后相加，满分为100分。</w:t>
      </w:r>
    </w:p>
    <w:p>
      <w:pPr>
        <w:snapToGrid w:val="0"/>
        <w:spacing w:line="440" w:lineRule="exact"/>
        <w:ind w:firstLine="560" w:firstLineChars="200"/>
        <w:rPr>
          <w:rFonts w:hint="eastAsia" w:ascii="方正仿宋_GBK" w:hAnsi="宋体" w:eastAsia="方正仿宋_GBK" w:cs="宋体"/>
          <w:color w:val="auto"/>
          <w:kern w:val="0"/>
          <w:szCs w:val="28"/>
          <w:highlight w:val="none"/>
        </w:rPr>
      </w:pPr>
      <w:bookmarkStart w:id="133" w:name="_Hlk148216427"/>
      <w:r>
        <w:rPr>
          <w:rFonts w:hint="eastAsia" w:ascii="方正仿宋_GBK" w:hAnsi="宋体" w:eastAsia="方正仿宋_GBK" w:cs="宋体"/>
          <w:color w:val="auto"/>
          <w:kern w:val="0"/>
          <w:szCs w:val="28"/>
          <w:highlight w:val="none"/>
        </w:rPr>
        <w:t>澄清有关问题。对电子投标文件中含义不明确、同类问题表述不一致或者有明显文字和计算错误的内容，评标委员会可在线要求投标人作出必要澄清、说明或者纠正，其澄清的内容不得超出电子投标文件的范围或者改变电子投标文件的实质性内容。澄清内容以线下书面形式作出，</w:t>
      </w:r>
      <w:bookmarkStart w:id="134" w:name="_Hlk148269031"/>
      <w:r>
        <w:rPr>
          <w:rFonts w:hint="eastAsia" w:ascii="方正仿宋_GBK" w:hAnsi="宋体" w:eastAsia="方正仿宋_GBK" w:cs="宋体"/>
          <w:color w:val="auto"/>
          <w:kern w:val="0"/>
          <w:szCs w:val="28"/>
          <w:highlight w:val="none"/>
        </w:rPr>
        <w:t>文件电子化上传</w:t>
      </w:r>
      <w:bookmarkEnd w:id="134"/>
      <w:r>
        <w:rPr>
          <w:rFonts w:hint="eastAsia" w:ascii="方正仿宋_GBK" w:hAnsi="宋体" w:eastAsia="方正仿宋_GBK" w:cs="宋体"/>
          <w:color w:val="auto"/>
          <w:kern w:val="0"/>
          <w:szCs w:val="28"/>
          <w:highlight w:val="none"/>
        </w:rPr>
        <w:t>。</w:t>
      </w:r>
      <w:bookmarkStart w:id="135" w:name="_Hlk148269077"/>
      <w:r>
        <w:rPr>
          <w:rFonts w:hint="eastAsia" w:ascii="方正仿宋_GBK" w:hAnsi="宋体" w:eastAsia="方正仿宋_GBK" w:cs="宋体"/>
          <w:color w:val="auto"/>
          <w:kern w:val="0"/>
          <w:szCs w:val="28"/>
          <w:highlight w:val="none"/>
        </w:rPr>
        <w:t>投标人通过书面形式作出的澄清、说明或者纠正应当由法定代表人（或其授权代表）或自然人（投标人为自然人）签署或者加盖公章并将澄清等文件扫描为PDF格式，上传至电子开标室的“问题澄清”输入框中的“澄清附件”中。由授权代表签署的，应当附法定代表人授权书。投标人为自然人的，应当由本人签署并附身份证明。以上签署等文件都要以PDF格式上传到“问题澄清”输入框中的“澄清附件”（注意：澄清附件只允许一个文档上传，所有上传文件都应归到一个PDF文档当中）</w:t>
      </w:r>
      <w:bookmarkEnd w:id="135"/>
      <w:r>
        <w:rPr>
          <w:rFonts w:hint="eastAsia" w:ascii="方正仿宋_GBK" w:hAnsi="宋体" w:eastAsia="方正仿宋_GBK" w:cs="宋体"/>
          <w:color w:val="auto"/>
          <w:kern w:val="0"/>
          <w:szCs w:val="28"/>
          <w:highlight w:val="none"/>
        </w:rPr>
        <w:t>。</w:t>
      </w:r>
    </w:p>
    <w:bookmarkEnd w:id="133"/>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（综合评分法</w:t>
      </w:r>
      <w:r>
        <w:rPr>
          <w:rFonts w:hint="eastAsia" w:ascii="方正仿宋_GBK" w:hAnsi="宋体" w:eastAsia="方正仿宋_GBK" w:cs="宋体"/>
          <w:color w:val="auto"/>
          <w:kern w:val="0"/>
          <w:szCs w:val="28"/>
          <w:highlight w:val="none"/>
          <w:lang w:eastAsia="zh-CN"/>
        </w:rPr>
        <w:t>）</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（一）比较与评价。按招标文件中规定的评标方法和标准，对资格审查和符合性审查合格的电子投标文件进行商务和技术评估。</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 xml:space="preserve">同一合同项（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评标委员会各成员独立对每个有效投标人（通过资格审查、符合性审查的投标人）的电子投标文件进行评价、打分，然后由评标委员会对各成员打分情况进行核查及复核，个别成员对同一投标人同一评分项的打分偏离较大的，应对投标人的电子投标文件进行再次核对，确属打分有误的，应及时进行修正。</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复核后，评标委员会汇总每个投标人每项评分因素的得分。</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（二）推荐中标候选人名单。</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按评审后得分由高到低的排列顺序推荐综合得分排名前三的投标人为本分包（项目）中标候选人，排名第一的为第一中标候选人。得分相同的，由采购人委托评标委员会按投标报价由低到高顺序排列；得分且投标报价相同的，按照项目技术（质量）需求的优劣顺序排列；以上都相同的，按项目商务需求的优劣顺序排列；以上所有都相同的，由采购人委托评标委员会采取随机抽取方式确定。技术部分得分为0分的投标人，将失去成为中标候选人的资格。</w:t>
      </w:r>
    </w:p>
    <w:p>
      <w:pPr>
        <w:pStyle w:val="3"/>
        <w:spacing w:line="440" w:lineRule="exact"/>
        <w:ind w:firstLine="562" w:firstLineChars="200"/>
        <w:rPr>
          <w:rFonts w:hint="eastAsia" w:ascii="方正黑体_GBK" w:eastAsia="方正黑体_GBK" w:cs="宋体"/>
          <w:b/>
          <w:color w:val="auto"/>
          <w:szCs w:val="28"/>
          <w:highlight w:val="none"/>
        </w:rPr>
      </w:pPr>
      <w:bookmarkStart w:id="136" w:name="_Toc8760"/>
      <w:bookmarkStart w:id="137" w:name="_Toc169703198"/>
      <w:r>
        <w:rPr>
          <w:rFonts w:hint="eastAsia" w:ascii="方正黑体_GBK" w:eastAsia="方正黑体_GBK" w:cs="宋体"/>
          <w:b/>
          <w:color w:val="auto"/>
          <w:szCs w:val="28"/>
          <w:highlight w:val="none"/>
        </w:rPr>
        <w:t>三、评标标准</w:t>
      </w:r>
      <w:bookmarkEnd w:id="129"/>
      <w:bookmarkEnd w:id="130"/>
      <w:bookmarkEnd w:id="131"/>
      <w:bookmarkEnd w:id="132"/>
      <w:bookmarkEnd w:id="136"/>
      <w:bookmarkEnd w:id="137"/>
    </w:p>
    <w:p>
      <w:pPr>
        <w:keepNext w:val="0"/>
        <w:keepLines/>
        <w:pageBreakBefore w:val="0"/>
        <w:widowControl w:val="0"/>
        <w:kinsoku/>
        <w:wordWrap/>
        <w:overflowPunct/>
        <w:topLinePunct w:val="0"/>
        <w:autoSpaceDE/>
        <w:autoSpaceDN/>
        <w:bidi w:val="0"/>
        <w:adjustRightInd/>
        <w:snapToGrid w:val="0"/>
        <w:spacing w:line="440" w:lineRule="exact"/>
        <w:ind w:firstLine="560" w:firstLineChars="200"/>
        <w:textAlignment w:val="auto"/>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（综合评分法</w:t>
      </w:r>
      <w:r>
        <w:rPr>
          <w:rFonts w:hint="eastAsia" w:ascii="方正仿宋_GBK" w:hAnsi="宋体" w:eastAsia="方正仿宋_GBK" w:cs="宋体"/>
          <w:color w:val="auto"/>
          <w:kern w:val="0"/>
          <w:szCs w:val="28"/>
          <w:highlight w:val="none"/>
          <w:lang w:eastAsia="zh-CN"/>
        </w:rPr>
        <w:t>）</w:t>
      </w:r>
    </w:p>
    <w:p>
      <w:pPr>
        <w:keepNext w:val="0"/>
        <w:keepLines w:val="0"/>
        <w:pageBreakBefore w:val="0"/>
        <w:widowControl w:val="0"/>
        <w:numPr>
          <w:ilvl w:val="0"/>
          <w:numId w:val="19"/>
        </w:numPr>
        <w:kinsoku/>
        <w:wordWrap/>
        <w:overflowPunct/>
        <w:topLinePunct w:val="0"/>
        <w:autoSpaceDE/>
        <w:autoSpaceDN/>
        <w:bidi w:val="0"/>
        <w:adjustRightInd/>
        <w:snapToGrid w:val="0"/>
        <w:spacing w:line="440" w:lineRule="exact"/>
        <w:ind w:firstLine="465"/>
        <w:textAlignment w:val="auto"/>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评审因素</w:t>
      </w:r>
    </w:p>
    <w:tbl>
      <w:tblPr>
        <w:tblStyle w:val="59"/>
        <w:tblW w:w="95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
        <w:gridCol w:w="991"/>
        <w:gridCol w:w="1039"/>
        <w:gridCol w:w="5758"/>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38" w:type="dxa"/>
            <w:noWrap w:val="0"/>
            <w:vAlign w:val="center"/>
          </w:tcPr>
          <w:p>
            <w:pPr>
              <w:keepNext w:val="0"/>
              <w:keepLines w:val="0"/>
              <w:pageBreakBefore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b w:val="0"/>
                <w:bCs w:val="0"/>
                <w:color w:val="000000"/>
                <w:sz w:val="21"/>
                <w:szCs w:val="21"/>
              </w:rPr>
            </w:pPr>
            <w:bookmarkStart w:id="138" w:name="OLE_LINK10"/>
            <w:r>
              <w:rPr>
                <w:rFonts w:hint="eastAsia" w:ascii="方正仿宋_GB2312" w:hAnsi="方正仿宋_GB2312" w:eastAsia="方正仿宋_GB2312" w:cs="方正仿宋_GB2312"/>
                <w:b w:val="0"/>
                <w:bCs w:val="0"/>
                <w:color w:val="000000"/>
                <w:sz w:val="21"/>
                <w:szCs w:val="21"/>
              </w:rPr>
              <w:t>序号</w:t>
            </w:r>
          </w:p>
        </w:tc>
        <w:tc>
          <w:tcPr>
            <w:tcW w:w="991" w:type="dxa"/>
            <w:noWrap w:val="0"/>
            <w:vAlign w:val="center"/>
          </w:tcPr>
          <w:p>
            <w:pPr>
              <w:keepNext w:val="0"/>
              <w:keepLines w:val="0"/>
              <w:pageBreakBefore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b w:val="0"/>
                <w:bCs w:val="0"/>
                <w:color w:val="000000"/>
                <w:sz w:val="21"/>
                <w:szCs w:val="21"/>
              </w:rPr>
            </w:pPr>
            <w:r>
              <w:rPr>
                <w:rFonts w:hint="eastAsia" w:ascii="方正仿宋_GB2312" w:hAnsi="方正仿宋_GB2312" w:eastAsia="方正仿宋_GB2312" w:cs="方正仿宋_GB2312"/>
                <w:b w:val="0"/>
                <w:bCs w:val="0"/>
                <w:color w:val="000000"/>
                <w:sz w:val="21"/>
                <w:szCs w:val="21"/>
              </w:rPr>
              <w:t>评分因素</w:t>
            </w:r>
          </w:p>
          <w:p>
            <w:pPr>
              <w:keepNext w:val="0"/>
              <w:keepLines w:val="0"/>
              <w:pageBreakBefore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b w:val="0"/>
                <w:bCs w:val="0"/>
                <w:color w:val="000000"/>
                <w:sz w:val="21"/>
                <w:szCs w:val="21"/>
              </w:rPr>
            </w:pPr>
            <w:r>
              <w:rPr>
                <w:rFonts w:hint="eastAsia" w:ascii="方正仿宋_GB2312" w:hAnsi="方正仿宋_GB2312" w:eastAsia="方正仿宋_GB2312" w:cs="方正仿宋_GB2312"/>
                <w:b w:val="0"/>
                <w:bCs w:val="0"/>
                <w:color w:val="000000"/>
                <w:sz w:val="21"/>
                <w:szCs w:val="21"/>
              </w:rPr>
              <w:t>及权重</w:t>
            </w:r>
          </w:p>
        </w:tc>
        <w:tc>
          <w:tcPr>
            <w:tcW w:w="1039" w:type="dxa"/>
            <w:noWrap w:val="0"/>
            <w:vAlign w:val="center"/>
          </w:tcPr>
          <w:p>
            <w:pPr>
              <w:keepNext w:val="0"/>
              <w:keepLines w:val="0"/>
              <w:pageBreakBefore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b w:val="0"/>
                <w:bCs w:val="0"/>
                <w:color w:val="000000"/>
                <w:sz w:val="21"/>
                <w:szCs w:val="21"/>
              </w:rPr>
            </w:pPr>
            <w:r>
              <w:rPr>
                <w:rFonts w:hint="eastAsia" w:ascii="方正仿宋_GB2312" w:hAnsi="方正仿宋_GB2312" w:eastAsia="方正仿宋_GB2312" w:cs="方正仿宋_GB2312"/>
                <w:b w:val="0"/>
                <w:bCs w:val="0"/>
                <w:color w:val="000000"/>
                <w:sz w:val="21"/>
                <w:szCs w:val="21"/>
              </w:rPr>
              <w:t>分值</w:t>
            </w:r>
          </w:p>
        </w:tc>
        <w:tc>
          <w:tcPr>
            <w:tcW w:w="5758" w:type="dxa"/>
            <w:noWrap w:val="0"/>
            <w:vAlign w:val="center"/>
          </w:tcPr>
          <w:p>
            <w:pPr>
              <w:keepNext w:val="0"/>
              <w:keepLines w:val="0"/>
              <w:pageBreakBefore w:val="0"/>
              <w:kinsoku/>
              <w:wordWrap/>
              <w:overflowPunct/>
              <w:topLinePunct w:val="0"/>
              <w:autoSpaceDE/>
              <w:autoSpaceDN/>
              <w:bidi w:val="0"/>
              <w:adjustRightInd/>
              <w:snapToGrid w:val="0"/>
              <w:spacing w:beforeAutospacing="0" w:afterAutospacing="0" w:line="260" w:lineRule="exact"/>
              <w:ind w:left="-38"/>
              <w:jc w:val="center"/>
              <w:textAlignment w:val="auto"/>
              <w:rPr>
                <w:rFonts w:hint="eastAsia" w:ascii="方正仿宋_GB2312" w:hAnsi="方正仿宋_GB2312" w:eastAsia="方正仿宋_GB2312" w:cs="方正仿宋_GB2312"/>
                <w:b w:val="0"/>
                <w:bCs w:val="0"/>
                <w:color w:val="000000"/>
                <w:sz w:val="21"/>
                <w:szCs w:val="21"/>
              </w:rPr>
            </w:pPr>
            <w:r>
              <w:rPr>
                <w:rFonts w:hint="eastAsia" w:ascii="方正仿宋_GB2312" w:hAnsi="方正仿宋_GB2312" w:eastAsia="方正仿宋_GB2312" w:cs="方正仿宋_GB2312"/>
                <w:b w:val="0"/>
                <w:bCs w:val="0"/>
                <w:color w:val="000000"/>
                <w:sz w:val="21"/>
                <w:szCs w:val="21"/>
              </w:rPr>
              <w:t>评分标准</w:t>
            </w:r>
          </w:p>
        </w:tc>
        <w:tc>
          <w:tcPr>
            <w:tcW w:w="1423" w:type="dxa"/>
            <w:noWrap w:val="0"/>
            <w:vAlign w:val="center"/>
          </w:tcPr>
          <w:p>
            <w:pPr>
              <w:keepNext w:val="0"/>
              <w:keepLines w:val="0"/>
              <w:pageBreakBefore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b w:val="0"/>
                <w:bCs w:val="0"/>
                <w:color w:val="000000"/>
                <w:sz w:val="21"/>
                <w:szCs w:val="21"/>
              </w:rPr>
            </w:pPr>
            <w:r>
              <w:rPr>
                <w:rFonts w:hint="eastAsia" w:ascii="方正仿宋_GB2312" w:hAnsi="方正仿宋_GB2312" w:eastAsia="方正仿宋_GB2312" w:cs="方正仿宋_GB2312"/>
                <w:b w:val="0"/>
                <w:bCs w:val="0"/>
                <w:color w:val="000000"/>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338"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1</w:t>
            </w:r>
          </w:p>
        </w:tc>
        <w:tc>
          <w:tcPr>
            <w:tcW w:w="991"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投标报价</w:t>
            </w:r>
          </w:p>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lang w:val="en-US" w:eastAsia="zh-CN"/>
              </w:rPr>
              <w:t>35</w:t>
            </w:r>
            <w:r>
              <w:rPr>
                <w:rFonts w:hint="eastAsia" w:ascii="方正仿宋_GB2312" w:hAnsi="方正仿宋_GB2312" w:eastAsia="方正仿宋_GB2312" w:cs="方正仿宋_GB2312"/>
                <w:color w:val="000000"/>
                <w:sz w:val="21"/>
                <w:szCs w:val="21"/>
              </w:rPr>
              <w:t>%</w:t>
            </w:r>
            <w:r>
              <w:rPr>
                <w:rFonts w:hint="eastAsia" w:ascii="方正仿宋_GB2312" w:hAnsi="方正仿宋_GB2312" w:eastAsia="方正仿宋_GB2312" w:cs="方正仿宋_GB2312"/>
                <w:color w:val="000000"/>
                <w:sz w:val="21"/>
                <w:szCs w:val="21"/>
                <w:lang w:eastAsia="zh-CN"/>
              </w:rPr>
              <w:t>)</w:t>
            </w:r>
          </w:p>
        </w:tc>
        <w:tc>
          <w:tcPr>
            <w:tcW w:w="1039"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default"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35</w:t>
            </w:r>
          </w:p>
        </w:tc>
        <w:tc>
          <w:tcPr>
            <w:tcW w:w="5758"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60" w:lineRule="exact"/>
              <w:ind w:left="-38"/>
              <w:jc w:val="lef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有效的投标报价中的最低价为评标基准价，按照下列公式计算每个投标人的投标价格得分。</w:t>
            </w:r>
          </w:p>
          <w:p>
            <w:pPr>
              <w:keepNext w:val="0"/>
              <w:keepLines w:val="0"/>
              <w:pageBreakBefore w:val="0"/>
              <w:widowControl w:val="0"/>
              <w:kinsoku/>
              <w:wordWrap/>
              <w:overflowPunct/>
              <w:topLinePunct w:val="0"/>
              <w:autoSpaceDE/>
              <w:autoSpaceDN/>
              <w:bidi w:val="0"/>
              <w:adjustRightInd/>
              <w:snapToGrid w:val="0"/>
              <w:spacing w:beforeAutospacing="0" w:afterAutospacing="0" w:line="260" w:lineRule="exact"/>
              <w:ind w:left="-38"/>
              <w:jc w:val="lef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投标报价得分＝（评标基准价/投标报价）×价格权重×100。</w:t>
            </w:r>
          </w:p>
        </w:tc>
        <w:tc>
          <w:tcPr>
            <w:tcW w:w="1423"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60" w:lineRule="exact"/>
              <w:ind w:left="-38"/>
              <w:jc w:val="left"/>
              <w:textAlignment w:val="auto"/>
              <w:rPr>
                <w:rFonts w:hint="eastAsia" w:ascii="方正仿宋_GB2312" w:hAnsi="方正仿宋_GB2312" w:eastAsia="方正仿宋_GB2312" w:cs="方正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338"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2</w:t>
            </w:r>
          </w:p>
        </w:tc>
        <w:tc>
          <w:tcPr>
            <w:tcW w:w="991"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技术</w:t>
            </w:r>
          </w:p>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lang w:eastAsia="zh-CN"/>
              </w:rPr>
              <w:t>（质量）</w:t>
            </w:r>
            <w:r>
              <w:rPr>
                <w:rFonts w:hint="eastAsia" w:ascii="方正仿宋_GB2312" w:hAnsi="方正仿宋_GB2312" w:eastAsia="方正仿宋_GB2312" w:cs="方正仿宋_GB2312"/>
                <w:color w:val="000000"/>
                <w:sz w:val="21"/>
                <w:szCs w:val="21"/>
              </w:rPr>
              <w:t>部分</w:t>
            </w:r>
          </w:p>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lang w:val="en-US" w:eastAsia="zh-CN"/>
              </w:rPr>
              <w:t>45</w:t>
            </w:r>
            <w:r>
              <w:rPr>
                <w:rFonts w:hint="eastAsia" w:ascii="方正仿宋_GB2312" w:hAnsi="方正仿宋_GB2312" w:eastAsia="方正仿宋_GB2312" w:cs="方正仿宋_GB2312"/>
                <w:color w:val="000000"/>
                <w:sz w:val="21"/>
                <w:szCs w:val="21"/>
              </w:rPr>
              <w:t>%</w:t>
            </w:r>
            <w:r>
              <w:rPr>
                <w:rFonts w:hint="eastAsia" w:ascii="方正仿宋_GB2312" w:hAnsi="方正仿宋_GB2312" w:eastAsia="方正仿宋_GB2312" w:cs="方正仿宋_GB2312"/>
                <w:color w:val="000000"/>
                <w:sz w:val="21"/>
                <w:szCs w:val="21"/>
                <w:lang w:eastAsia="zh-CN"/>
              </w:rPr>
              <w:t>)</w:t>
            </w:r>
          </w:p>
        </w:tc>
        <w:tc>
          <w:tcPr>
            <w:tcW w:w="1039"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20" w:lineRule="exact"/>
              <w:ind w:left="-38"/>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30</w:t>
            </w: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b/>
                <w:bCs/>
                <w:color w:val="000000"/>
                <w:sz w:val="21"/>
                <w:szCs w:val="21"/>
              </w:rPr>
            </w:pPr>
            <w:r>
              <w:rPr>
                <w:rFonts w:hint="eastAsia" w:ascii="方正仿宋_GB2312" w:hAnsi="方正仿宋_GB2312" w:eastAsia="方正仿宋_GB2312" w:cs="方正仿宋_GB2312"/>
                <w:b/>
                <w:bCs/>
                <w:color w:val="000000"/>
                <w:sz w:val="21"/>
                <w:szCs w:val="21"/>
                <w:lang w:val="en-US" w:eastAsia="zh-CN"/>
              </w:rPr>
              <w:t>1.</w:t>
            </w:r>
            <w:r>
              <w:rPr>
                <w:rFonts w:hint="eastAsia" w:ascii="方正仿宋_GB2312" w:hAnsi="方正仿宋_GB2312" w:eastAsia="方正仿宋_GB2312" w:cs="方正仿宋_GB2312"/>
                <w:b/>
                <w:bCs/>
                <w:color w:val="000000"/>
                <w:sz w:val="21"/>
                <w:szCs w:val="21"/>
              </w:rPr>
              <w:t>起评分：</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有效投标人的起评分为</w:t>
            </w:r>
            <w:r>
              <w:rPr>
                <w:rFonts w:hint="eastAsia" w:ascii="方正仿宋_GB2312" w:hAnsi="方正仿宋_GB2312" w:eastAsia="方正仿宋_GB2312" w:cs="方正仿宋_GB2312"/>
                <w:color w:val="000000"/>
                <w:sz w:val="21"/>
                <w:szCs w:val="21"/>
                <w:lang w:val="en-US" w:eastAsia="zh-CN"/>
              </w:rPr>
              <w:t>30</w:t>
            </w:r>
            <w:r>
              <w:rPr>
                <w:rFonts w:hint="eastAsia" w:ascii="方正仿宋_GB2312" w:hAnsi="方正仿宋_GB2312" w:eastAsia="方正仿宋_GB2312" w:cs="方正仿宋_GB2312"/>
                <w:color w:val="000000"/>
                <w:sz w:val="21"/>
                <w:szCs w:val="21"/>
              </w:rPr>
              <w:t>分。</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扣分条款：</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（1）投标文件投标应答有一条不满足招标文件重要技术需求的（本招标文件第二篇中带“</w:t>
            </w:r>
            <w:r>
              <w:rPr>
                <w:rFonts w:hint="eastAsia" w:ascii="方正仿宋_GB2312" w:hAnsi="方正仿宋_GB2312" w:eastAsia="方正仿宋_GB2312" w:cs="方正仿宋_GB2312"/>
                <w:color w:val="000000"/>
                <w:sz w:val="21"/>
                <w:szCs w:val="21"/>
                <w:lang w:bidi="ar"/>
              </w:rPr>
              <w:t>★</w:t>
            </w:r>
            <w:r>
              <w:rPr>
                <w:rFonts w:hint="eastAsia" w:ascii="方正仿宋_GB2312" w:hAnsi="方正仿宋_GB2312" w:eastAsia="方正仿宋_GB2312" w:cs="方正仿宋_GB2312"/>
                <w:color w:val="000000"/>
                <w:sz w:val="21"/>
                <w:szCs w:val="21"/>
              </w:rPr>
              <w:t>”号标注的部分），从起评分中扣除4分，4条不满足技术部分为零分。</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（2）投标文件投标应答有一条不满足招标文件一般性技术需求的（本招标文件第二篇中“</w:t>
            </w:r>
            <w:r>
              <w:rPr>
                <w:rFonts w:hint="eastAsia" w:ascii="方正仿宋_GB2312" w:hAnsi="方正仿宋_GB2312" w:eastAsia="方正仿宋_GB2312" w:cs="方正仿宋_GB2312"/>
                <w:color w:val="000000"/>
                <w:sz w:val="21"/>
                <w:szCs w:val="21"/>
                <w:lang w:bidi="ar"/>
              </w:rPr>
              <w:t>★</w:t>
            </w:r>
            <w:r>
              <w:rPr>
                <w:rFonts w:hint="eastAsia" w:ascii="方正仿宋_GB2312" w:hAnsi="方正仿宋_GB2312" w:eastAsia="方正仿宋_GB2312" w:cs="方正仿宋_GB2312"/>
                <w:color w:val="000000"/>
                <w:sz w:val="21"/>
                <w:szCs w:val="21"/>
              </w:rPr>
              <w:t>”标注的部分除外），从起评分中扣除1分，扣完为止。</w:t>
            </w:r>
          </w:p>
        </w:tc>
        <w:tc>
          <w:tcPr>
            <w:tcW w:w="1423" w:type="dxa"/>
            <w:noWrap w:val="0"/>
            <w:vAlign w:val="center"/>
          </w:tcPr>
          <w:p>
            <w:pPr>
              <w:keepNext w:val="0"/>
              <w:keepLines w:val="0"/>
              <w:pageBreakBefore w:val="0"/>
              <w:widowControl w:val="0"/>
              <w:kinsoku/>
              <w:wordWrap/>
              <w:overflowPunct/>
              <w:topLinePunct w:val="0"/>
              <w:autoSpaceDE/>
              <w:autoSpaceDN/>
              <w:bidi w:val="0"/>
              <w:adjustRightInd/>
              <w:snapToGrid w:val="0"/>
              <w:spacing w:beforeAutospacing="0" w:afterAutospacing="0" w:line="260" w:lineRule="exact"/>
              <w:ind w:left="-38"/>
              <w:jc w:val="left"/>
              <w:textAlignment w:val="auto"/>
              <w:rPr>
                <w:rFonts w:hint="eastAsia" w:ascii="方正仿宋_GB2312" w:hAnsi="方正仿宋_GB2312" w:eastAsia="方正仿宋_GB2312" w:cs="方正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338" w:type="dxa"/>
            <w:vMerge w:val="restart"/>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3</w:t>
            </w: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p>
        </w:tc>
        <w:tc>
          <w:tcPr>
            <w:tcW w:w="1039" w:type="dxa"/>
            <w:vMerge w:val="restart"/>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default"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8</w:t>
            </w: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b/>
                <w:bCs/>
                <w:color w:val="000000"/>
                <w:sz w:val="21"/>
                <w:szCs w:val="21"/>
                <w:lang w:val="en-US" w:eastAsia="zh-CN"/>
              </w:rPr>
              <w:t>2.</w:t>
            </w:r>
            <w:r>
              <w:rPr>
                <w:rFonts w:hint="eastAsia" w:ascii="方正仿宋_GB2312" w:hAnsi="方正仿宋_GB2312" w:eastAsia="方正仿宋_GB2312" w:cs="方正仿宋_GB2312"/>
                <w:b/>
                <w:bCs/>
                <w:color w:val="000000"/>
                <w:sz w:val="21"/>
                <w:szCs w:val="21"/>
                <w:lang w:eastAsia="zh-CN"/>
              </w:rPr>
              <w:t>桌面板材原材料（</w:t>
            </w:r>
            <w:r>
              <w:rPr>
                <w:rFonts w:hint="eastAsia" w:ascii="方正仿宋_GB2312" w:hAnsi="方正仿宋_GB2312" w:eastAsia="方正仿宋_GB2312" w:cs="方正仿宋_GB2312"/>
                <w:b/>
                <w:bCs/>
                <w:color w:val="000000"/>
                <w:sz w:val="21"/>
                <w:szCs w:val="21"/>
                <w:lang w:val="en-US" w:eastAsia="zh-CN"/>
              </w:rPr>
              <w:t>2分）</w:t>
            </w:r>
            <w:r>
              <w:rPr>
                <w:rFonts w:hint="eastAsia" w:ascii="方正仿宋_GB2312" w:hAnsi="方正仿宋_GB2312" w:eastAsia="方正仿宋_GB2312" w:cs="方正仿宋_GB2312"/>
                <w:b/>
                <w:bCs/>
                <w:color w:val="000000"/>
                <w:sz w:val="21"/>
                <w:szCs w:val="21"/>
                <w:lang w:eastAsia="zh-CN"/>
              </w:rPr>
              <w:t>：</w:t>
            </w:r>
            <w:r>
              <w:rPr>
                <w:rFonts w:hint="eastAsia" w:ascii="方正仿宋_GB2312" w:hAnsi="方正仿宋_GB2312" w:eastAsia="方正仿宋_GB2312" w:cs="方正仿宋_GB2312"/>
                <w:color w:val="000000"/>
                <w:sz w:val="21"/>
                <w:szCs w:val="21"/>
                <w:lang w:eastAsia="zh-CN"/>
              </w:rPr>
              <w:t>符合</w:t>
            </w:r>
            <w:r>
              <w:rPr>
                <w:rFonts w:hint="eastAsia" w:ascii="方正仿宋_GB2312" w:hAnsi="方正仿宋_GB2312" w:eastAsia="方正仿宋_GB2312" w:cs="方正仿宋_GB2312"/>
                <w:color w:val="000000"/>
                <w:sz w:val="21"/>
                <w:szCs w:val="21"/>
              </w:rPr>
              <w:t>GB 18580-2017《室内装饰装修材料—人造板及其制品中甲醛释放量》甲醛释放量</w:t>
            </w:r>
            <w:r>
              <w:rPr>
                <w:rFonts w:hint="eastAsia" w:ascii="方正仿宋_GB2312" w:hAnsi="方正仿宋_GB2312" w:eastAsia="方正仿宋_GB2312" w:cs="方正仿宋_GB2312"/>
                <w:color w:val="000000"/>
                <w:sz w:val="21"/>
                <w:szCs w:val="21"/>
                <w:lang w:eastAsia="zh-CN"/>
              </w:rPr>
              <w:t>检测标准。</w:t>
            </w:r>
          </w:p>
        </w:tc>
        <w:tc>
          <w:tcPr>
            <w:tcW w:w="1423" w:type="dxa"/>
            <w:vMerge w:val="restart"/>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bookmarkStart w:id="139" w:name="OLE_LINK19"/>
            <w:r>
              <w:rPr>
                <w:rFonts w:hint="eastAsia" w:ascii="方正仿宋_GB2312" w:hAnsi="方正仿宋_GB2312" w:eastAsia="方正仿宋_GB2312" w:cs="方正仿宋_GB2312"/>
                <w:color w:val="000000"/>
                <w:sz w:val="21"/>
                <w:szCs w:val="21"/>
              </w:rPr>
              <w:t>投标</w:t>
            </w:r>
            <w:r>
              <w:rPr>
                <w:rFonts w:hint="eastAsia" w:ascii="方正仿宋_GB2312" w:hAnsi="方正仿宋_GB2312" w:eastAsia="方正仿宋_GB2312" w:cs="方正仿宋_GB2312"/>
                <w:color w:val="000000"/>
                <w:sz w:val="21"/>
                <w:szCs w:val="21"/>
                <w:lang w:eastAsia="zh-CN"/>
              </w:rPr>
              <w:t>文件中</w:t>
            </w:r>
            <w:r>
              <w:rPr>
                <w:rFonts w:hint="eastAsia" w:ascii="方正仿宋_GB2312" w:hAnsi="方正仿宋_GB2312" w:eastAsia="方正仿宋_GB2312" w:cs="方正仿宋_GB2312"/>
                <w:bCs/>
                <w:color w:val="auto"/>
                <w:sz w:val="21"/>
                <w:szCs w:val="21"/>
                <w:highlight w:val="none"/>
              </w:rPr>
              <w:t>须提供国家认可的第三方检测机构出具的检验（检测）报告</w:t>
            </w:r>
            <w:r>
              <w:rPr>
                <w:rFonts w:hint="eastAsia" w:ascii="方正仿宋_GB2312" w:hAnsi="方正仿宋_GB2312" w:eastAsia="方正仿宋_GB2312" w:cs="方正仿宋_GB2312"/>
                <w:color w:val="000000"/>
                <w:sz w:val="21"/>
                <w:szCs w:val="21"/>
              </w:rPr>
              <w:t>，</w:t>
            </w:r>
            <w:r>
              <w:rPr>
                <w:rFonts w:hint="eastAsia" w:ascii="方正仿宋_GB2312" w:hAnsi="方正仿宋_GB2312" w:eastAsia="方正仿宋_GB2312" w:cs="方正仿宋_GB2312"/>
                <w:color w:val="000000"/>
                <w:sz w:val="21"/>
                <w:szCs w:val="21"/>
                <w:lang w:eastAsia="zh-CN"/>
              </w:rPr>
              <w:t>并提供全国认</w:t>
            </w:r>
            <w:r>
              <w:rPr>
                <w:rFonts w:hint="eastAsia" w:ascii="方正仿宋_GB2312" w:hAnsi="方正仿宋_GB2312" w:eastAsia="方正仿宋_GB2312" w:cs="方正仿宋_GB2312"/>
                <w:color w:val="000000"/>
                <w:sz w:val="21"/>
                <w:szCs w:val="21"/>
              </w:rPr>
              <w:t>证认可</w:t>
            </w:r>
            <w:r>
              <w:rPr>
                <w:rFonts w:hint="eastAsia" w:ascii="方正仿宋_GB2312" w:hAnsi="方正仿宋_GB2312" w:eastAsia="方正仿宋_GB2312" w:cs="方正仿宋_GB2312"/>
                <w:color w:val="000000"/>
                <w:sz w:val="21"/>
                <w:szCs w:val="21"/>
                <w:lang w:eastAsia="zh-CN"/>
              </w:rPr>
              <w:t>信息公共服务平台</w:t>
            </w:r>
            <w:r>
              <w:rPr>
                <w:rFonts w:hint="eastAsia" w:ascii="方正仿宋_GB2312" w:hAnsi="方正仿宋_GB2312" w:eastAsia="方正仿宋_GB2312" w:cs="方正仿宋_GB2312"/>
                <w:color w:val="000000"/>
                <w:sz w:val="21"/>
                <w:szCs w:val="21"/>
              </w:rPr>
              <w:t>查询截图。</w:t>
            </w:r>
            <w:bookmarkEnd w:id="1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7" w:hRule="atLeast"/>
          <w:jc w:val="center"/>
        </w:trPr>
        <w:tc>
          <w:tcPr>
            <w:tcW w:w="338"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eastAsia="zh-CN"/>
              </w:rPr>
            </w:pPr>
          </w:p>
        </w:tc>
        <w:tc>
          <w:tcPr>
            <w:tcW w:w="1039" w:type="dxa"/>
            <w:vMerge w:val="continue"/>
            <w:tcBorders/>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default" w:ascii="方正仿宋_GB2312" w:hAnsi="方正仿宋_GB2312" w:eastAsia="方正仿宋_GB2312" w:cs="方正仿宋_GB2312"/>
                <w:color w:val="000000"/>
                <w:sz w:val="21"/>
                <w:szCs w:val="21"/>
                <w:lang w:val="en-US" w:eastAsia="zh-CN"/>
              </w:rPr>
            </w:pP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jc w:val="both"/>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b/>
                <w:bCs/>
                <w:color w:val="000000"/>
                <w:sz w:val="21"/>
                <w:szCs w:val="21"/>
                <w:lang w:val="en-US" w:eastAsia="zh-CN"/>
              </w:rPr>
              <w:t>3.</w:t>
            </w:r>
            <w:r>
              <w:rPr>
                <w:rFonts w:hint="eastAsia" w:ascii="方正仿宋_GB2312" w:hAnsi="方正仿宋_GB2312" w:eastAsia="方正仿宋_GB2312" w:cs="方正仿宋_GB2312"/>
                <w:b/>
                <w:bCs/>
                <w:color w:val="000000"/>
                <w:sz w:val="21"/>
                <w:szCs w:val="21"/>
                <w:lang w:eastAsia="zh-CN"/>
              </w:rPr>
              <w:t>封边条原材料（</w:t>
            </w:r>
            <w:r>
              <w:rPr>
                <w:rFonts w:hint="eastAsia" w:ascii="方正仿宋_GB2312" w:hAnsi="方正仿宋_GB2312" w:eastAsia="方正仿宋_GB2312" w:cs="方正仿宋_GB2312"/>
                <w:b/>
                <w:bCs/>
                <w:color w:val="000000"/>
                <w:sz w:val="21"/>
                <w:szCs w:val="21"/>
                <w:lang w:val="en-US" w:eastAsia="zh-CN"/>
              </w:rPr>
              <w:t>2分）</w:t>
            </w:r>
            <w:r>
              <w:rPr>
                <w:rFonts w:hint="eastAsia" w:ascii="方正仿宋_GB2312" w:hAnsi="方正仿宋_GB2312" w:eastAsia="方正仿宋_GB2312" w:cs="方正仿宋_GB2312"/>
                <w:b/>
                <w:bCs/>
                <w:color w:val="000000"/>
                <w:sz w:val="21"/>
                <w:szCs w:val="21"/>
                <w:lang w:eastAsia="zh-CN"/>
              </w:rPr>
              <w:t>：</w:t>
            </w:r>
            <w:r>
              <w:rPr>
                <w:rFonts w:hint="eastAsia" w:ascii="方正仿宋_GB2312" w:hAnsi="方正仿宋_GB2312" w:eastAsia="方正仿宋_GB2312" w:cs="方正仿宋_GB2312"/>
                <w:color w:val="000000"/>
                <w:sz w:val="21"/>
                <w:szCs w:val="21"/>
              </w:rPr>
              <w:t>符合QB/T 4463-2013《家具用封边条技术要求》</w:t>
            </w:r>
            <w:r>
              <w:rPr>
                <w:rFonts w:hint="eastAsia" w:ascii="方正仿宋_GB2312" w:hAnsi="方正仿宋_GB2312" w:eastAsia="方正仿宋_GB2312" w:cs="方正仿宋_GB2312"/>
                <w:color w:val="000000"/>
                <w:sz w:val="21"/>
                <w:szCs w:val="21"/>
                <w:lang w:eastAsia="zh-CN"/>
              </w:rPr>
              <w:t>以下项目检测</w:t>
            </w:r>
            <w:r>
              <w:rPr>
                <w:rFonts w:hint="eastAsia" w:ascii="方正仿宋_GB2312" w:hAnsi="方正仿宋_GB2312" w:eastAsia="方正仿宋_GB2312" w:cs="方正仿宋_GB2312"/>
                <w:color w:val="000000"/>
                <w:sz w:val="21"/>
                <w:szCs w:val="21"/>
              </w:rPr>
              <w:t>标准；检测</w:t>
            </w:r>
            <w:r>
              <w:rPr>
                <w:rFonts w:hint="eastAsia" w:ascii="方正仿宋_GB2312" w:hAnsi="方正仿宋_GB2312" w:eastAsia="方正仿宋_GB2312" w:cs="方正仿宋_GB2312"/>
                <w:color w:val="000000"/>
                <w:sz w:val="21"/>
                <w:szCs w:val="21"/>
                <w:lang w:eastAsia="zh-CN"/>
              </w:rPr>
              <w:t>内容</w:t>
            </w:r>
            <w:r>
              <w:rPr>
                <w:rFonts w:hint="eastAsia" w:ascii="方正仿宋_GB2312" w:hAnsi="方正仿宋_GB2312" w:eastAsia="方正仿宋_GB2312" w:cs="方正仿宋_GB2312"/>
                <w:color w:val="000000"/>
                <w:sz w:val="21"/>
                <w:szCs w:val="21"/>
              </w:rPr>
              <w:t>包</w:t>
            </w:r>
            <w:r>
              <w:rPr>
                <w:rFonts w:hint="eastAsia" w:ascii="方正仿宋_GB2312" w:hAnsi="方正仿宋_GB2312" w:eastAsia="方正仿宋_GB2312" w:cs="方正仿宋_GB2312"/>
                <w:color w:val="000000"/>
                <w:sz w:val="21"/>
                <w:szCs w:val="21"/>
                <w:lang w:eastAsia="zh-CN"/>
              </w:rPr>
              <w:t>括</w:t>
            </w:r>
            <w:r>
              <w:rPr>
                <w:rFonts w:hint="eastAsia" w:ascii="方正仿宋_GB2312" w:hAnsi="方正仿宋_GB2312" w:eastAsia="方正仿宋_GB2312" w:cs="方正仿宋_GB2312"/>
                <w:color w:val="000000"/>
                <w:sz w:val="21"/>
                <w:szCs w:val="21"/>
              </w:rPr>
              <w:t>但不限于：封边条外观应符合</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表面应无皱纹、裂纹、折痕、暗条痕、染色线、刀线、油渍、污点、黑斑、粘胶和杂质，无明显的气泡、针孔、划痕、波纹等瑕疵，背胶处理应均匀，边缘应光滑平直，无折损；理化性能：耐干热性</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无龟裂、无鼓泡，耐磨性</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磨30r后无露底现象，耐开裂性（耐龟裂性）≥1 级，耐老化性</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应无开裂，耐冷热循环性</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应无龟裂、无鼓泡、无变色、无起皱；甲醛释放量、氯乙烯单体限量符合要求</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可迁移元素（可溶性重金属）：铅 Pb、镉 Cd、铬 Cr、汞 Hg、锑 Sb、 钡 Ba、硒 Se、砷 As 、邻苯二甲酸酯（DBP、 BBP、DEHP、DNOP、DINP 和 DIDP）的总量等符合限量要求，多溴联苯（PBB）、多溴联苯醚（PBDE）未检出。</w:t>
            </w:r>
          </w:p>
        </w:tc>
        <w:tc>
          <w:tcPr>
            <w:tcW w:w="1423"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7" w:hRule="atLeast"/>
          <w:jc w:val="center"/>
        </w:trPr>
        <w:tc>
          <w:tcPr>
            <w:tcW w:w="338"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eastAsia="zh-CN"/>
              </w:rPr>
            </w:pPr>
          </w:p>
        </w:tc>
        <w:tc>
          <w:tcPr>
            <w:tcW w:w="1039" w:type="dxa"/>
            <w:vMerge w:val="continue"/>
            <w:tcBorders/>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default" w:ascii="方正仿宋_GB2312" w:hAnsi="方正仿宋_GB2312" w:eastAsia="方正仿宋_GB2312" w:cs="方正仿宋_GB2312"/>
                <w:color w:val="000000"/>
                <w:sz w:val="21"/>
                <w:szCs w:val="21"/>
                <w:lang w:val="en-US" w:eastAsia="zh-CN"/>
              </w:rPr>
            </w:pP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bookmarkStart w:id="140" w:name="OLE_LINK6"/>
            <w:r>
              <w:rPr>
                <w:rFonts w:hint="eastAsia" w:ascii="方正仿宋_GB2312" w:hAnsi="方正仿宋_GB2312" w:eastAsia="方正仿宋_GB2312" w:cs="方正仿宋_GB2312"/>
                <w:b/>
                <w:bCs/>
                <w:color w:val="000000"/>
                <w:sz w:val="21"/>
                <w:szCs w:val="21"/>
                <w:lang w:val="en-US" w:eastAsia="zh-CN"/>
              </w:rPr>
              <w:t>4.</w:t>
            </w:r>
            <w:r>
              <w:rPr>
                <w:rFonts w:hint="eastAsia" w:ascii="方正仿宋_GB2312" w:hAnsi="方正仿宋_GB2312" w:eastAsia="方正仿宋_GB2312" w:cs="方正仿宋_GB2312"/>
                <w:b/>
                <w:bCs/>
                <w:color w:val="000000"/>
                <w:sz w:val="21"/>
                <w:szCs w:val="21"/>
                <w:lang w:eastAsia="zh-CN"/>
              </w:rPr>
              <w:t>桌钢架原材料（</w:t>
            </w:r>
            <w:r>
              <w:rPr>
                <w:rFonts w:hint="eastAsia" w:ascii="方正仿宋_GB2312" w:hAnsi="方正仿宋_GB2312" w:eastAsia="方正仿宋_GB2312" w:cs="方正仿宋_GB2312"/>
                <w:b/>
                <w:bCs/>
                <w:color w:val="000000"/>
                <w:sz w:val="21"/>
                <w:szCs w:val="21"/>
                <w:lang w:val="en-US" w:eastAsia="zh-CN"/>
              </w:rPr>
              <w:t>2分）</w:t>
            </w:r>
            <w:r>
              <w:rPr>
                <w:rFonts w:hint="eastAsia" w:ascii="方正仿宋_GB2312" w:hAnsi="方正仿宋_GB2312" w:eastAsia="方正仿宋_GB2312" w:cs="方正仿宋_GB2312"/>
                <w:b/>
                <w:bCs/>
                <w:color w:val="000000"/>
                <w:sz w:val="21"/>
                <w:szCs w:val="21"/>
                <w:lang w:eastAsia="zh-CN"/>
              </w:rPr>
              <w:t>：</w:t>
            </w:r>
            <w:r>
              <w:rPr>
                <w:rFonts w:hint="eastAsia" w:ascii="方正仿宋_GB2312" w:hAnsi="方正仿宋_GB2312" w:eastAsia="方正仿宋_GB2312" w:cs="方正仿宋_GB2312"/>
                <w:color w:val="000000"/>
                <w:sz w:val="21"/>
                <w:szCs w:val="21"/>
                <w:lang w:eastAsia="zh-CN"/>
              </w:rPr>
              <w:t>符合</w:t>
            </w:r>
            <w:r>
              <w:rPr>
                <w:rFonts w:hint="eastAsia" w:ascii="方正仿宋_GB2312" w:hAnsi="方正仿宋_GB2312" w:eastAsia="方正仿宋_GB2312" w:cs="方正仿宋_GB2312"/>
                <w:color w:val="000000"/>
                <w:sz w:val="21"/>
                <w:szCs w:val="21"/>
              </w:rPr>
              <w:t>GB/T 3325-2024</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金属家具通用技术条件</w:t>
            </w:r>
            <w:r>
              <w:rPr>
                <w:rFonts w:hint="eastAsia" w:ascii="方正仿宋_GB2312" w:hAnsi="方正仿宋_GB2312" w:eastAsia="方正仿宋_GB2312" w:cs="方正仿宋_GB2312"/>
                <w:color w:val="000000"/>
                <w:sz w:val="21"/>
                <w:szCs w:val="21"/>
                <w:lang w:eastAsia="zh-CN"/>
              </w:rPr>
              <w:t>》</w:t>
            </w:r>
            <w:bookmarkEnd w:id="140"/>
            <w:bookmarkStart w:id="141" w:name="OLE_LINK7"/>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QB/T 3826-1999</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轻工产品金属镀层和化学处理层的耐腐蚀试验方法 中性盐雾试验</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NSS</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法</w:t>
            </w:r>
            <w:r>
              <w:rPr>
                <w:rFonts w:hint="eastAsia" w:ascii="方正仿宋_GB2312" w:hAnsi="方正仿宋_GB2312" w:eastAsia="方正仿宋_GB2312" w:cs="方正仿宋_GB2312"/>
                <w:color w:val="000000"/>
                <w:sz w:val="21"/>
                <w:szCs w:val="21"/>
                <w:lang w:eastAsia="zh-CN"/>
              </w:rPr>
              <w:t>》</w:t>
            </w:r>
            <w:bookmarkEnd w:id="141"/>
            <w:r>
              <w:rPr>
                <w:rFonts w:hint="eastAsia" w:ascii="方正仿宋_GB2312" w:hAnsi="方正仿宋_GB2312" w:eastAsia="方正仿宋_GB2312" w:cs="方正仿宋_GB2312"/>
                <w:color w:val="000000"/>
                <w:sz w:val="21"/>
                <w:szCs w:val="21"/>
                <w:lang w:eastAsia="zh-CN"/>
              </w:rPr>
              <w:t>、</w:t>
            </w:r>
            <w:bookmarkStart w:id="142" w:name="OLE_LINK8"/>
            <w:r>
              <w:rPr>
                <w:rFonts w:hint="eastAsia" w:ascii="方正仿宋_GB2312" w:hAnsi="方正仿宋_GB2312" w:eastAsia="方正仿宋_GB2312" w:cs="方正仿宋_GB2312"/>
                <w:color w:val="000000"/>
                <w:sz w:val="21"/>
                <w:szCs w:val="21"/>
              </w:rPr>
              <w:t>QB/T 4371-2012</w:t>
            </w: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rPr>
              <w:t>家具抗菌性能的评价</w:t>
            </w:r>
            <w:r>
              <w:rPr>
                <w:rFonts w:hint="eastAsia" w:ascii="方正仿宋_GB2312" w:hAnsi="方正仿宋_GB2312" w:eastAsia="方正仿宋_GB2312" w:cs="方正仿宋_GB2312"/>
                <w:color w:val="000000"/>
                <w:sz w:val="21"/>
                <w:szCs w:val="21"/>
                <w:lang w:eastAsia="zh-CN"/>
              </w:rPr>
              <w:t>》</w:t>
            </w:r>
            <w:bookmarkEnd w:id="142"/>
            <w:r>
              <w:rPr>
                <w:rFonts w:hint="eastAsia" w:ascii="方正仿宋_GB2312" w:hAnsi="方正仿宋_GB2312" w:eastAsia="方正仿宋_GB2312" w:cs="方正仿宋_GB2312"/>
                <w:color w:val="000000"/>
                <w:sz w:val="21"/>
                <w:szCs w:val="21"/>
                <w:lang w:eastAsia="zh-CN"/>
              </w:rPr>
              <w:t>的以下内容的检测标准：</w:t>
            </w:r>
            <w:r>
              <w:rPr>
                <w:rFonts w:hint="eastAsia" w:ascii="方正仿宋_GB2312" w:hAnsi="方正仿宋_GB2312" w:eastAsia="方正仿宋_GB2312" w:cs="方正仿宋_GB2312"/>
                <w:color w:val="000000"/>
                <w:sz w:val="21"/>
                <w:szCs w:val="21"/>
              </w:rPr>
              <w:t>包含</w:t>
            </w:r>
            <w:r>
              <w:rPr>
                <w:rFonts w:hint="eastAsia" w:ascii="方正仿宋_GB2312" w:hAnsi="方正仿宋_GB2312" w:eastAsia="方正仿宋_GB2312" w:cs="方正仿宋_GB2312"/>
                <w:color w:val="000000"/>
                <w:sz w:val="21"/>
                <w:szCs w:val="21"/>
                <w:lang w:eastAsia="zh-CN"/>
              </w:rPr>
              <w:t>但不限于</w:t>
            </w:r>
            <w:r>
              <w:rPr>
                <w:rFonts w:hint="eastAsia" w:ascii="方正仿宋_GB2312" w:hAnsi="方正仿宋_GB2312" w:eastAsia="方正仿宋_GB2312" w:cs="方正仿宋_GB2312"/>
                <w:color w:val="000000"/>
                <w:sz w:val="21"/>
                <w:szCs w:val="21"/>
              </w:rPr>
              <w:t>：焊接处无脱焊、虚焊、焊穿、错位，</w:t>
            </w:r>
            <w:bookmarkStart w:id="143" w:name="OLE_LINK9"/>
            <w:r>
              <w:rPr>
                <w:rFonts w:hint="eastAsia" w:ascii="方正仿宋_GB2312" w:hAnsi="方正仿宋_GB2312" w:eastAsia="方正仿宋_GB2312" w:cs="方正仿宋_GB2312"/>
                <w:color w:val="000000"/>
                <w:sz w:val="21"/>
                <w:szCs w:val="21"/>
              </w:rPr>
              <w:t>焊接处应无夹渣、气孔、焊瘤、焊丝头、咬边、飞溅，</w:t>
            </w:r>
            <w:bookmarkEnd w:id="143"/>
            <w:r>
              <w:rPr>
                <w:rFonts w:hint="eastAsia" w:ascii="方正仿宋_GB2312" w:hAnsi="方正仿宋_GB2312" w:eastAsia="方正仿宋_GB2312" w:cs="方正仿宋_GB2312"/>
                <w:color w:val="000000"/>
                <w:sz w:val="21"/>
                <w:szCs w:val="21"/>
              </w:rPr>
              <w:t>焊接处表面波纹应均匀，涂层无漏喷、锈蚀、脱色、掉色等，应光滑均匀，色泽一致，应无流挂、疙瘩、皱皮、飞漆等，铅笔硬度H，冲击高度400mm，无剥落、裂纹、皱纹，金属喷漆（塑）涂层耐盐浴划道两侧3mm外，无鼓泡、锈蚀、剥落和起皱等现象，金属喷漆（塑）涂层附着力2级或优于2级，壁厚≥1.2，中性盐雾试验（NSS）18h，直径1.5mm以下锈点≤20点/dm²，其中直径≥1.0mm锈点不超过5点（距边缘棱角2mm以内的不计），抗菌性能（金黄色葡萄球菌、表皮葡萄球菌、大肠杆菌）抑菌率不小于97％</w:t>
            </w:r>
            <w:r>
              <w:rPr>
                <w:rFonts w:hint="eastAsia" w:ascii="方正仿宋_GB2312" w:hAnsi="方正仿宋_GB2312" w:eastAsia="方正仿宋_GB2312" w:cs="方正仿宋_GB2312"/>
                <w:color w:val="000000"/>
                <w:sz w:val="21"/>
                <w:szCs w:val="21"/>
                <w:lang w:eastAsia="zh-CN"/>
              </w:rPr>
              <w:t>。</w:t>
            </w:r>
          </w:p>
        </w:tc>
        <w:tc>
          <w:tcPr>
            <w:tcW w:w="1423"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4" w:hRule="atLeast"/>
          <w:jc w:val="center"/>
        </w:trPr>
        <w:tc>
          <w:tcPr>
            <w:tcW w:w="338"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eastAsia="zh-CN"/>
              </w:rPr>
            </w:pPr>
          </w:p>
        </w:tc>
        <w:tc>
          <w:tcPr>
            <w:tcW w:w="1039" w:type="dxa"/>
            <w:vMerge w:val="continue"/>
            <w:tcBorders/>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default" w:ascii="方正仿宋_GB2312" w:hAnsi="方正仿宋_GB2312" w:eastAsia="方正仿宋_GB2312" w:cs="方正仿宋_GB2312"/>
                <w:color w:val="000000"/>
                <w:sz w:val="21"/>
                <w:szCs w:val="21"/>
                <w:lang w:val="en-US" w:eastAsia="zh-CN"/>
              </w:rPr>
            </w:pPr>
          </w:p>
        </w:tc>
        <w:tc>
          <w:tcPr>
            <w:tcW w:w="5758" w:type="dxa"/>
            <w:noWrap w:val="0"/>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60" w:lineRule="exact"/>
              <w:jc w:val="left"/>
              <w:textAlignment w:val="auto"/>
              <w:rPr>
                <w:rFonts w:hint="eastAsia" w:ascii="方正仿宋_GB2312" w:hAnsi="方正仿宋_GB2312" w:eastAsia="方正仿宋_GB2312" w:cs="方正仿宋_GB2312"/>
                <w:b/>
                <w:bCs/>
                <w:color w:val="000000"/>
                <w:sz w:val="21"/>
                <w:szCs w:val="21"/>
                <w:lang w:val="en-US" w:eastAsia="zh-CN"/>
              </w:rPr>
            </w:pPr>
            <w:r>
              <w:rPr>
                <w:rFonts w:hint="eastAsia" w:ascii="方正仿宋_GB2312" w:hAnsi="方正仿宋_GB2312" w:eastAsia="方正仿宋_GB2312" w:cs="方正仿宋_GB2312"/>
                <w:b/>
                <w:bCs/>
                <w:color w:val="000000"/>
                <w:sz w:val="21"/>
                <w:szCs w:val="21"/>
                <w:lang w:val="en-US" w:eastAsia="zh-CN"/>
              </w:rPr>
              <w:t>5.</w:t>
            </w:r>
            <w:bookmarkStart w:id="144" w:name="OLE_LINK20"/>
            <w:r>
              <w:rPr>
                <w:rFonts w:hint="eastAsia" w:ascii="方正仿宋_GB2312" w:hAnsi="方正仿宋_GB2312" w:eastAsia="方正仿宋_GB2312" w:cs="方正仿宋_GB2312"/>
                <w:b/>
                <w:bCs/>
                <w:color w:val="000000"/>
                <w:sz w:val="21"/>
                <w:szCs w:val="21"/>
                <w:lang w:val="en-US" w:eastAsia="zh-CN"/>
              </w:rPr>
              <w:t>课桌课椅PP塑料原材料</w:t>
            </w:r>
            <w:bookmarkEnd w:id="144"/>
            <w:r>
              <w:rPr>
                <w:rFonts w:hint="eastAsia" w:ascii="方正仿宋_GB2312" w:hAnsi="方正仿宋_GB2312" w:eastAsia="方正仿宋_GB2312" w:cs="方正仿宋_GB2312"/>
                <w:b/>
                <w:bCs/>
                <w:color w:val="000000"/>
                <w:sz w:val="21"/>
                <w:szCs w:val="21"/>
                <w:lang w:eastAsia="zh-CN"/>
              </w:rPr>
              <w:t>（</w:t>
            </w:r>
            <w:r>
              <w:rPr>
                <w:rFonts w:hint="eastAsia" w:ascii="方正仿宋_GB2312" w:hAnsi="方正仿宋_GB2312" w:eastAsia="方正仿宋_GB2312" w:cs="方正仿宋_GB2312"/>
                <w:b/>
                <w:bCs/>
                <w:color w:val="000000"/>
                <w:sz w:val="21"/>
                <w:szCs w:val="21"/>
                <w:lang w:val="en-US" w:eastAsia="zh-CN"/>
              </w:rPr>
              <w:t>2分）：</w:t>
            </w:r>
          </w:p>
          <w:p>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60" w:lineRule="exact"/>
              <w:jc w:val="lef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（1）</w:t>
            </w:r>
            <w:r>
              <w:rPr>
                <w:rFonts w:hint="eastAsia" w:ascii="方正仿宋_GB2312" w:hAnsi="方正仿宋_GB2312" w:eastAsia="方正仿宋_GB2312" w:cs="方正仿宋_GB2312"/>
                <w:color w:val="000000"/>
                <w:sz w:val="21"/>
                <w:szCs w:val="21"/>
                <w:lang w:eastAsia="zh-CN"/>
              </w:rPr>
              <w:t>符合</w:t>
            </w:r>
            <w:r>
              <w:rPr>
                <w:rFonts w:hint="eastAsia" w:ascii="方正仿宋_GB2312" w:hAnsi="方正仿宋_GB2312" w:eastAsia="方正仿宋_GB2312" w:cs="方正仿宋_GB2312"/>
                <w:color w:val="000000"/>
                <w:sz w:val="21"/>
                <w:szCs w:val="21"/>
              </w:rPr>
              <w:t>GB 28481-2021《塑料家具中有害物质限量》</w:t>
            </w:r>
            <w:r>
              <w:rPr>
                <w:rFonts w:hint="eastAsia" w:ascii="方正仿宋_GB2312" w:hAnsi="方正仿宋_GB2312" w:eastAsia="方正仿宋_GB2312" w:cs="方正仿宋_GB2312"/>
                <w:color w:val="000000"/>
                <w:sz w:val="21"/>
                <w:szCs w:val="21"/>
                <w:lang w:eastAsia="zh-CN"/>
              </w:rPr>
              <w:t>以下内容检测标准：增塑剂（</w:t>
            </w:r>
            <w:r>
              <w:rPr>
                <w:rFonts w:hint="eastAsia" w:ascii="方正仿宋_GB2312" w:hAnsi="方正仿宋_GB2312" w:eastAsia="方正仿宋_GB2312" w:cs="方正仿宋_GB2312"/>
                <w:color w:val="000000"/>
                <w:sz w:val="21"/>
                <w:szCs w:val="21"/>
              </w:rPr>
              <w:t>邻苯二甲酸酯类</w:t>
            </w:r>
            <w:r>
              <w:rPr>
                <w:rFonts w:hint="eastAsia" w:ascii="方正仿宋_GB2312" w:hAnsi="方正仿宋_GB2312" w:eastAsia="方正仿宋_GB2312" w:cs="方正仿宋_GB2312"/>
                <w:color w:val="000000"/>
                <w:sz w:val="21"/>
                <w:szCs w:val="21"/>
                <w:lang w:eastAsia="zh-CN"/>
              </w:rPr>
              <w:t>）限量要求；重金属如</w:t>
            </w:r>
            <w:r>
              <w:rPr>
                <w:rFonts w:hint="eastAsia" w:ascii="方正仿宋_GB2312" w:hAnsi="方正仿宋_GB2312" w:eastAsia="方正仿宋_GB2312" w:cs="方正仿宋_GB2312"/>
                <w:color w:val="000000"/>
                <w:sz w:val="21"/>
                <w:szCs w:val="21"/>
              </w:rPr>
              <w:t>铅（Pb）、镉（Cd）、汞（Hg）、铬（Cr）等可迁移元素</w:t>
            </w:r>
            <w:r>
              <w:rPr>
                <w:rFonts w:hint="eastAsia" w:ascii="方正仿宋_GB2312" w:hAnsi="方正仿宋_GB2312" w:eastAsia="方正仿宋_GB2312" w:cs="方正仿宋_GB2312"/>
                <w:color w:val="000000"/>
                <w:sz w:val="21"/>
                <w:szCs w:val="21"/>
                <w:lang w:eastAsia="zh-CN"/>
              </w:rPr>
              <w:t>总量限量要求；</w:t>
            </w:r>
            <w:r>
              <w:rPr>
                <w:rFonts w:hint="eastAsia" w:ascii="方正仿宋_GB2312" w:hAnsi="方正仿宋_GB2312" w:eastAsia="方正仿宋_GB2312" w:cs="方正仿宋_GB2312"/>
                <w:color w:val="000000"/>
                <w:sz w:val="21"/>
                <w:szCs w:val="21"/>
                <w:lang w:val="en-US" w:eastAsia="zh-CN"/>
              </w:rPr>
              <w:t>多环芳烃（PAHs）：苯并[a]芘等致癌物限量符合要求；挥发性有机化合物（VOCs）：甲醛、苯系物等释放量符合要求（1分）。</w:t>
            </w:r>
          </w:p>
          <w:p>
            <w:pPr>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260" w:lineRule="exact"/>
              <w:jc w:val="lef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（2）符合GB/T 2546.2-2022《塑料 聚丙烯（PP）模塑和挤出材料 第2部分：试样制备和性能测定》的以下内容检测标准：力学性能（拉伸强度、弯曲强度等）、热性能（熔融指数、维卡软化点等）（1分）。</w:t>
            </w:r>
          </w:p>
        </w:tc>
        <w:tc>
          <w:tcPr>
            <w:tcW w:w="1423"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8"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rPr>
            </w:pP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rPr>
            </w:pPr>
          </w:p>
        </w:tc>
        <w:tc>
          <w:tcPr>
            <w:tcW w:w="1039"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1</w:t>
            </w: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b/>
                <w:bCs/>
                <w:color w:val="000000"/>
                <w:sz w:val="21"/>
                <w:szCs w:val="21"/>
                <w:lang w:val="en-US" w:eastAsia="zh-CN"/>
              </w:rPr>
              <w:t>6.生产能力：</w:t>
            </w:r>
            <w:bookmarkStart w:id="145" w:name="OLE_LINK24"/>
            <w:r>
              <w:rPr>
                <w:rFonts w:hint="eastAsia" w:ascii="方正仿宋_GB2312" w:hAnsi="方正仿宋_GB2312" w:eastAsia="方正仿宋_GB2312" w:cs="方正仿宋_GB2312"/>
                <w:color w:val="000000"/>
                <w:sz w:val="21"/>
                <w:szCs w:val="21"/>
                <w:lang w:val="en-US" w:eastAsia="zh-CN"/>
              </w:rPr>
              <w:t>对本项目履行所需的生产设备进行评审，设备包括：数控钻孔中心、全自动封边机、烘房、自动焊接设备、弯管机，设备齐全得1分，缺一项扣0.2分。</w:t>
            </w:r>
            <w:bookmarkEnd w:id="145"/>
          </w:p>
        </w:tc>
        <w:tc>
          <w:tcPr>
            <w:tcW w:w="1423"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bookmarkStart w:id="146" w:name="OLE_LINK21"/>
            <w:r>
              <w:rPr>
                <w:rFonts w:hint="eastAsia" w:ascii="方正仿宋_GB2312" w:hAnsi="方正仿宋_GB2312" w:eastAsia="方正仿宋_GB2312" w:cs="方正仿宋_GB2312"/>
                <w:color w:val="000000"/>
                <w:sz w:val="21"/>
                <w:szCs w:val="21"/>
              </w:rPr>
              <w:t>1、投标文件中提供设备购置发票扫描件及设备实物图片，发票的开票对象为投标人或所投产品制造商。</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rPr>
            </w:pPr>
            <w:r>
              <w:rPr>
                <w:rFonts w:hint="eastAsia" w:ascii="方正仿宋_GB2312" w:hAnsi="方正仿宋_GB2312" w:eastAsia="方正仿宋_GB2312" w:cs="方正仿宋_GB2312"/>
                <w:color w:val="000000"/>
                <w:sz w:val="21"/>
                <w:szCs w:val="21"/>
              </w:rPr>
              <w:t>2、提供设备名称若不一致，但功能或设备类型满足或优于要求的设备，可提供相应的证明材料，符合生产能力要求亦可得分。</w:t>
            </w:r>
            <w:bookmarkEnd w:id="1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338"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rPr>
            </w:pP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eastAsia="zh-CN"/>
              </w:rPr>
            </w:pPr>
          </w:p>
        </w:tc>
        <w:tc>
          <w:tcPr>
            <w:tcW w:w="1039"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1</w:t>
            </w: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b/>
                <w:bCs/>
                <w:color w:val="000000"/>
                <w:sz w:val="21"/>
                <w:szCs w:val="21"/>
                <w:lang w:val="en-US" w:eastAsia="zh-CN"/>
              </w:rPr>
              <w:t>7.便携移动功能：</w:t>
            </w:r>
            <w:bookmarkStart w:id="147" w:name="OLE_LINK25"/>
            <w:bookmarkStart w:id="148" w:name="OLE_LINK23"/>
            <w:r>
              <w:rPr>
                <w:rFonts w:hint="eastAsia" w:ascii="方正仿宋_GB2312" w:hAnsi="方正仿宋_GB2312" w:eastAsia="方正仿宋_GB2312" w:cs="方正仿宋_GB2312"/>
                <w:color w:val="000000"/>
                <w:sz w:val="21"/>
                <w:szCs w:val="21"/>
                <w:lang w:val="en-US" w:eastAsia="zh-CN"/>
              </w:rPr>
              <w:t>因使用群体是小学1-2年级学生，为方便学生们移动椅子，在四个椅脚下方装万向滚轮，椅子可以前后左右随意移动得1分</w:t>
            </w:r>
            <w:bookmarkEnd w:id="147"/>
            <w:r>
              <w:rPr>
                <w:rFonts w:hint="eastAsia" w:ascii="方正仿宋_GB2312" w:hAnsi="方正仿宋_GB2312" w:eastAsia="方正仿宋_GB2312" w:cs="方正仿宋_GB2312"/>
                <w:color w:val="000000"/>
                <w:sz w:val="21"/>
                <w:szCs w:val="21"/>
                <w:lang w:val="en-US" w:eastAsia="zh-CN"/>
              </w:rPr>
              <w:t>。</w:t>
            </w:r>
            <w:bookmarkEnd w:id="148"/>
          </w:p>
        </w:tc>
        <w:tc>
          <w:tcPr>
            <w:tcW w:w="1423"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eastAsia="zh-CN"/>
              </w:rPr>
            </w:pPr>
            <w:r>
              <w:rPr>
                <w:rFonts w:hint="eastAsia" w:ascii="方正仿宋_GB2312" w:hAnsi="方正仿宋_GB2312" w:eastAsia="方正仿宋_GB2312" w:cs="方正仿宋_GB2312"/>
                <w:color w:val="000000"/>
                <w:sz w:val="21"/>
                <w:szCs w:val="21"/>
                <w:lang w:eastAsia="zh-CN"/>
              </w:rPr>
              <w:t>提供具有便携</w:t>
            </w:r>
            <w:r>
              <w:rPr>
                <w:rFonts w:hint="eastAsia" w:ascii="方正仿宋_GB2312" w:hAnsi="方正仿宋_GB2312" w:eastAsia="方正仿宋_GB2312" w:cs="方正仿宋_GB2312"/>
                <w:color w:val="000000"/>
                <w:sz w:val="21"/>
                <w:szCs w:val="21"/>
                <w:lang w:val="en-US" w:eastAsia="zh-CN"/>
              </w:rPr>
              <w:t>移动</w:t>
            </w:r>
            <w:r>
              <w:rPr>
                <w:rFonts w:hint="eastAsia" w:ascii="方正仿宋_GB2312" w:hAnsi="方正仿宋_GB2312" w:eastAsia="方正仿宋_GB2312" w:cs="方正仿宋_GB2312"/>
                <w:color w:val="000000"/>
                <w:sz w:val="21"/>
                <w:szCs w:val="21"/>
                <w:lang w:eastAsia="zh-CN"/>
              </w:rPr>
              <w:t>功能部件的实物图片。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5" w:hRule="atLeast"/>
          <w:jc w:val="center"/>
        </w:trPr>
        <w:tc>
          <w:tcPr>
            <w:tcW w:w="33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4</w:t>
            </w: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eastAsia="zh-CN"/>
              </w:rPr>
            </w:pPr>
          </w:p>
        </w:tc>
        <w:tc>
          <w:tcPr>
            <w:tcW w:w="1039" w:type="dxa"/>
            <w:noWrap w:val="0"/>
            <w:vAlign w:val="center"/>
          </w:tcPr>
          <w:p>
            <w:pPr>
              <w:snapToGrid w:val="0"/>
              <w:spacing w:line="400" w:lineRule="exact"/>
              <w:rPr>
                <w:rFonts w:hint="eastAsia" w:ascii="方正仿宋_GB2312" w:hAnsi="方正仿宋_GB2312" w:eastAsia="方正仿宋_GB2312" w:cs="方正仿宋_GB2312"/>
                <w:color w:val="auto"/>
                <w:kern w:val="2"/>
                <w:sz w:val="21"/>
                <w:szCs w:val="21"/>
                <w:highlight w:val="none"/>
                <w:lang w:val="en-US" w:eastAsia="zh-CN" w:bidi="ar-SA"/>
              </w:rPr>
            </w:pPr>
            <w:r>
              <w:rPr>
                <w:rFonts w:hint="eastAsia" w:ascii="方正仿宋_GB2312" w:hAnsi="方正仿宋_GB2312" w:eastAsia="方正仿宋_GB2312" w:cs="方正仿宋_GB2312"/>
                <w:color w:val="000000"/>
                <w:sz w:val="21"/>
                <w:szCs w:val="21"/>
                <w:lang w:val="zh-TW" w:eastAsia="zh-CN"/>
              </w:rPr>
              <w:t>生产及项目实施方案（5分）</w:t>
            </w: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投标人针对本项目需求的理解，提供生产及项目实施方案，内容包含项目实施方案、生产产品质量保证方案、安全保障及应急措施、</w:t>
            </w:r>
            <w:r>
              <w:rPr>
                <w:rFonts w:hint="eastAsia" w:ascii="方正仿宋_GB2312" w:hAnsi="方正仿宋_GB2312" w:eastAsia="方正仿宋_GB2312" w:cs="方正仿宋_GB2312"/>
                <w:color w:val="000000"/>
                <w:sz w:val="21"/>
                <w:szCs w:val="21"/>
                <w:lang w:val="zh-TW" w:eastAsia="zh-CN"/>
              </w:rPr>
              <w:t>运输方案</w:t>
            </w:r>
            <w:r>
              <w:rPr>
                <w:rFonts w:hint="eastAsia" w:ascii="方正仿宋_GB2312" w:hAnsi="方正仿宋_GB2312" w:eastAsia="方正仿宋_GB2312" w:cs="方正仿宋_GB2312"/>
                <w:color w:val="000000"/>
                <w:sz w:val="21"/>
                <w:szCs w:val="21"/>
                <w:lang w:val="en-US" w:eastAsia="zh-CN"/>
              </w:rPr>
              <w:t>、</w:t>
            </w:r>
            <w:r>
              <w:rPr>
                <w:rFonts w:hint="eastAsia" w:ascii="方正仿宋_GB2312" w:hAnsi="方正仿宋_GB2312" w:eastAsia="方正仿宋_GB2312" w:cs="方正仿宋_GB2312"/>
                <w:color w:val="000000"/>
                <w:sz w:val="21"/>
                <w:szCs w:val="21"/>
                <w:lang w:val="zh-TW" w:eastAsia="zh-CN"/>
              </w:rPr>
              <w:t>安装方案</w:t>
            </w:r>
            <w:r>
              <w:rPr>
                <w:rFonts w:hint="eastAsia" w:ascii="方正仿宋_GB2312" w:hAnsi="方正仿宋_GB2312" w:eastAsia="方正仿宋_GB2312" w:cs="方正仿宋_GB2312"/>
                <w:color w:val="000000"/>
                <w:sz w:val="21"/>
                <w:szCs w:val="21"/>
                <w:lang w:val="en-US" w:eastAsia="zh-CN"/>
              </w:rPr>
              <w:t>等5个方面。</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bookmarkStart w:id="149" w:name="OLE_LINK26"/>
            <w:r>
              <w:rPr>
                <w:rFonts w:hint="eastAsia" w:ascii="方正仿宋_GB2312" w:hAnsi="方正仿宋_GB2312" w:eastAsia="方正仿宋_GB2312" w:cs="方正仿宋_GB2312"/>
                <w:color w:val="000000"/>
                <w:sz w:val="21"/>
                <w:szCs w:val="21"/>
                <w:lang w:val="en-US" w:eastAsia="zh-CN"/>
              </w:rPr>
              <w:t>方案内容不存在瑕疵，得5分，方案内容存在1处瑕疵，得3分，方案内容存在2处瑕疵，得1分，方案内容存在3处及以上瑕疵或未提供方案得0分。</w:t>
            </w:r>
          </w:p>
          <w:bookmarkEnd w:id="149"/>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注：本项内容中所称的“瑕疵”指以下内容：</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①方案内容未全部包括以上5个方面的内容介绍或措施分析说明，存在缺项、内容表述不完整或缺少关键分析点的情况；</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②生产实施计划、现场施工及安装措施不科学合理，安装时间进度安排流程繁琐、安装人员配置调度不及时、安装专业程度欠缺及操作流程不专业，缺乏规范性、相关措施设置缺乏合理性和科学性；</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③方案内容表述前后矛盾、无连贯性、内容存在逻辑漏洞；</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④</w:t>
            </w:r>
            <w:r>
              <w:rPr>
                <w:rFonts w:hint="eastAsia" w:ascii="方正仿宋_GB2312" w:hAnsi="方正仿宋_GB2312" w:eastAsia="方正仿宋_GB2312" w:cs="方正仿宋_GB2312"/>
                <w:color w:val="000000"/>
                <w:sz w:val="21"/>
                <w:szCs w:val="21"/>
                <w:lang w:val="zh-TW" w:eastAsia="zh-CN"/>
              </w:rPr>
              <w:t>内容空泛，具体方法或内容或措施欠缺；</w:t>
            </w:r>
            <w:r>
              <w:rPr>
                <w:rFonts w:hint="eastAsia" w:ascii="方正仿宋_GB2312" w:hAnsi="方正仿宋_GB2312" w:eastAsia="方正仿宋_GB2312" w:cs="方正仿宋_GB2312"/>
                <w:color w:val="000000"/>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⑤方案中涉及的实施规划、施工进度流程安排、安装人员配置等并不适用本项目特性或非专门针对本项目制定；</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⑥方案中提出的措施举措不利于本项目目标的实现；</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⑦方案中存在常识性错误或不可能实现采购目标；</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上述任意一种情形为1处瑕疵。</w:t>
            </w:r>
          </w:p>
        </w:tc>
        <w:tc>
          <w:tcPr>
            <w:tcW w:w="1423"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bookmarkStart w:id="150" w:name="OLE_LINK22"/>
            <w:r>
              <w:rPr>
                <w:rFonts w:hint="eastAsia" w:ascii="方正仿宋_GB2312" w:hAnsi="方正仿宋_GB2312" w:eastAsia="方正仿宋_GB2312" w:cs="方正仿宋_GB2312"/>
                <w:color w:val="000000"/>
                <w:sz w:val="21"/>
                <w:szCs w:val="21"/>
                <w:lang w:val="en-US" w:eastAsia="zh-CN"/>
              </w:rPr>
              <w:t>提供相关方案并加盖投标人公章，格式自定。</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注：方案须建立在本项目使用场景之上，否则对应方案按0分处理。</w:t>
            </w:r>
            <w:bookmarkEnd w:id="15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1" w:hRule="atLeast"/>
          <w:jc w:val="center"/>
        </w:trPr>
        <w:tc>
          <w:tcPr>
            <w:tcW w:w="338" w:type="dxa"/>
            <w:vMerge w:val="restart"/>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5</w:t>
            </w:r>
          </w:p>
        </w:tc>
        <w:tc>
          <w:tcPr>
            <w:tcW w:w="991" w:type="dxa"/>
            <w:vMerge w:val="restart"/>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eastAsia="zh-CN"/>
              </w:rPr>
              <w:t>商务部分（</w:t>
            </w:r>
            <w:r>
              <w:rPr>
                <w:rFonts w:hint="eastAsia" w:ascii="方正仿宋_GB2312" w:hAnsi="方正仿宋_GB2312" w:eastAsia="方正仿宋_GB2312" w:cs="方正仿宋_GB2312"/>
                <w:color w:val="000000"/>
                <w:sz w:val="21"/>
                <w:szCs w:val="21"/>
                <w:lang w:val="en-US" w:eastAsia="zh-CN"/>
              </w:rPr>
              <w:t>20%）</w:t>
            </w:r>
          </w:p>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kern w:val="2"/>
                <w:sz w:val="21"/>
                <w:szCs w:val="21"/>
                <w:lang w:val="en-US" w:eastAsia="zh-CN" w:bidi="ar-SA"/>
              </w:rPr>
            </w:pPr>
          </w:p>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eastAsia="zh-CN"/>
              </w:rPr>
            </w:pPr>
          </w:p>
        </w:tc>
        <w:tc>
          <w:tcPr>
            <w:tcW w:w="1039" w:type="dxa"/>
            <w:vMerge w:val="restart"/>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eastAsia="zh-CN"/>
              </w:rPr>
            </w:pPr>
            <w:r>
              <w:rPr>
                <w:rFonts w:hint="eastAsia" w:ascii="方正仿宋_GB2312" w:hAnsi="方正仿宋_GB2312" w:eastAsia="方正仿宋_GB2312" w:cs="方正仿宋_GB2312"/>
                <w:color w:val="000000"/>
                <w:sz w:val="21"/>
                <w:szCs w:val="21"/>
                <w:lang w:eastAsia="zh-CN"/>
              </w:rPr>
              <w:t>售后</w:t>
            </w:r>
          </w:p>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eastAsia="zh-CN"/>
              </w:rPr>
            </w:pPr>
            <w:r>
              <w:rPr>
                <w:rFonts w:hint="eastAsia" w:ascii="方正仿宋_GB2312" w:hAnsi="方正仿宋_GB2312" w:eastAsia="方正仿宋_GB2312" w:cs="方正仿宋_GB2312"/>
                <w:color w:val="000000"/>
                <w:sz w:val="21"/>
                <w:szCs w:val="21"/>
                <w:lang w:eastAsia="zh-CN"/>
              </w:rPr>
              <w:t>服务</w:t>
            </w:r>
          </w:p>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lang w:val="en-US" w:eastAsia="zh-CN"/>
              </w:rPr>
              <w:t>9分）</w:t>
            </w:r>
          </w:p>
          <w:p>
            <w:pPr>
              <w:keepNext w:val="0"/>
              <w:keepLines w:val="0"/>
              <w:pageBreakBefore w:val="0"/>
              <w:widowControl w:val="0"/>
              <w:kinsoku/>
              <w:wordWrap/>
              <w:overflowPunct/>
              <w:topLinePunct w:val="0"/>
              <w:autoSpaceDE/>
              <w:autoSpaceDN/>
              <w:bidi w:val="0"/>
              <w:adjustRightInd/>
              <w:spacing w:beforeAutospacing="0" w:afterAutospacing="0" w:line="220" w:lineRule="exact"/>
              <w:jc w:val="both"/>
              <w:textAlignment w:val="auto"/>
              <w:rPr>
                <w:rFonts w:hint="eastAsia" w:ascii="方正仿宋_GB2312" w:hAnsi="方正仿宋_GB2312" w:eastAsia="方正仿宋_GB2312" w:cs="方正仿宋_GB2312"/>
                <w:color w:val="000000"/>
                <w:sz w:val="21"/>
                <w:szCs w:val="21"/>
                <w:lang w:val="en-US" w:eastAsia="zh-CN"/>
              </w:rPr>
            </w:pP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jc w:val="left"/>
              <w:textAlignment w:val="auto"/>
              <w:rPr>
                <w:rFonts w:hint="eastAsia" w:ascii="方正仿宋_GB2312" w:hAnsi="方正仿宋_GB2312" w:eastAsia="方正仿宋_GB2312" w:cs="方正仿宋_GB2312"/>
                <w:b/>
                <w:bCs/>
                <w:color w:val="000000"/>
                <w:sz w:val="21"/>
                <w:szCs w:val="21"/>
                <w:lang w:val="en-US" w:eastAsia="zh-CN"/>
              </w:rPr>
            </w:pPr>
            <w:r>
              <w:rPr>
                <w:rFonts w:hint="eastAsia" w:ascii="方正仿宋_GB2312" w:hAnsi="方正仿宋_GB2312" w:eastAsia="方正仿宋_GB2312" w:cs="方正仿宋_GB2312"/>
                <w:b/>
                <w:bCs/>
                <w:color w:val="000000"/>
                <w:sz w:val="21"/>
                <w:szCs w:val="21"/>
                <w:lang w:val="en-US" w:eastAsia="zh-CN"/>
              </w:rPr>
              <w:t>1.售后服务方案（4分）：</w:t>
            </w:r>
          </w:p>
          <w:p>
            <w:pPr>
              <w:keepNext w:val="0"/>
              <w:keepLines w:val="0"/>
              <w:pageBreakBefore w:val="0"/>
              <w:widowControl w:val="0"/>
              <w:kinsoku/>
              <w:wordWrap/>
              <w:overflowPunct/>
              <w:topLinePunct w:val="0"/>
              <w:autoSpaceDE/>
              <w:autoSpaceDN/>
              <w:bidi w:val="0"/>
              <w:adjustRightInd/>
              <w:spacing w:beforeAutospacing="0" w:afterAutospacing="0" w:line="260" w:lineRule="exact"/>
              <w:jc w:val="lef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根据投标人制定完善的售后服务措施和方案进行评分（包括但不限于：售后服务承诺、服务体系、服务响应时间、备品备件、培训方案、服务人员）。</w:t>
            </w:r>
          </w:p>
          <w:p>
            <w:pPr>
              <w:keepNext w:val="0"/>
              <w:keepLines w:val="0"/>
              <w:pageBreakBefore w:val="0"/>
              <w:widowControl w:val="0"/>
              <w:kinsoku/>
              <w:wordWrap/>
              <w:overflowPunct/>
              <w:topLinePunct w:val="0"/>
              <w:autoSpaceDE/>
              <w:autoSpaceDN/>
              <w:bidi w:val="0"/>
              <w:adjustRightInd/>
              <w:spacing w:beforeAutospacing="0" w:afterAutospacing="0" w:line="260" w:lineRule="exact"/>
              <w:jc w:val="lef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以上内容</w:t>
            </w:r>
            <w:bookmarkStart w:id="151" w:name="OLE_LINK27"/>
            <w:r>
              <w:rPr>
                <w:rFonts w:hint="eastAsia" w:ascii="方正仿宋_GB2312" w:hAnsi="方正仿宋_GB2312" w:eastAsia="方正仿宋_GB2312" w:cs="方正仿宋_GB2312"/>
                <w:color w:val="000000"/>
                <w:sz w:val="21"/>
                <w:szCs w:val="21"/>
                <w:lang w:val="en-US" w:eastAsia="zh-CN"/>
              </w:rPr>
              <w:t>提供齐全、描述详细完善，适用于本项目实际情况且无瑕疵的得4分，若有1处瑕疵扣1分，直到扣完为止，若内容与本项目无关或未提供不齐全的得0分。</w:t>
            </w:r>
          </w:p>
          <w:bookmarkEnd w:id="151"/>
          <w:p>
            <w:pPr>
              <w:keepNext w:val="0"/>
              <w:keepLines w:val="0"/>
              <w:pageBreakBefore w:val="0"/>
              <w:widowControl w:val="0"/>
              <w:kinsoku/>
              <w:wordWrap/>
              <w:overflowPunct/>
              <w:topLinePunct w:val="0"/>
              <w:autoSpaceDE/>
              <w:autoSpaceDN/>
              <w:bidi w:val="0"/>
              <w:adjustRightInd/>
              <w:spacing w:beforeAutospacing="0" w:afterAutospacing="0" w:line="260" w:lineRule="exact"/>
              <w:jc w:val="lef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注：本项内容中所称的“瑕疵”包含但不限于以下内容：</w:t>
            </w:r>
          </w:p>
          <w:p>
            <w:pPr>
              <w:keepNext w:val="0"/>
              <w:keepLines w:val="0"/>
              <w:pageBreakBefore w:val="0"/>
              <w:widowControl w:val="0"/>
              <w:kinsoku/>
              <w:wordWrap/>
              <w:overflowPunct/>
              <w:topLinePunct w:val="0"/>
              <w:autoSpaceDE/>
              <w:autoSpaceDN/>
              <w:bidi w:val="0"/>
              <w:adjustRightInd/>
              <w:spacing w:beforeAutospacing="0" w:afterAutospacing="0" w:line="260" w:lineRule="exact"/>
              <w:jc w:val="lef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①方案内容缺项、内容表述不完整；②内容表述前后矛盾、无连贯性；③内容存在逻辑漏洞；④内容存在常识性错误；⑤方案措施不适用于本项目特性或非专门针对本项目制定；⑥方案中提出的措施不利于本项目目标的实现；⑦现有技术条件下不可能实施的情形。</w:t>
            </w:r>
          </w:p>
        </w:tc>
        <w:tc>
          <w:tcPr>
            <w:tcW w:w="1423" w:type="dxa"/>
            <w:vMerge w:val="restart"/>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eastAsia="zh-CN"/>
              </w:rPr>
            </w:pPr>
            <w:r>
              <w:rPr>
                <w:rFonts w:hint="eastAsia" w:ascii="方正仿宋_GB2312" w:hAnsi="方正仿宋_GB2312" w:eastAsia="方正仿宋_GB2312" w:cs="方正仿宋_GB2312"/>
                <w:color w:val="000000"/>
                <w:sz w:val="21"/>
                <w:szCs w:val="21"/>
                <w:lang w:eastAsia="zh-CN"/>
              </w:rPr>
              <w:t>提供相关资料复印件并加盖投标人公章。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338"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rPr>
            </w:pP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eastAsia="zh-CN"/>
              </w:rPr>
            </w:pPr>
          </w:p>
        </w:tc>
        <w:tc>
          <w:tcPr>
            <w:tcW w:w="1039"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jc w:val="lef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b/>
                <w:bCs/>
                <w:color w:val="000000"/>
                <w:sz w:val="21"/>
                <w:szCs w:val="21"/>
                <w:lang w:val="en-US" w:eastAsia="zh-CN"/>
              </w:rPr>
              <w:t>2.质保期延长承诺（5分）：</w:t>
            </w:r>
            <w:bookmarkStart w:id="152" w:name="OLE_LINK28"/>
            <w:r>
              <w:rPr>
                <w:rFonts w:hint="eastAsia" w:ascii="方正仿宋_GB2312" w:hAnsi="方正仿宋_GB2312" w:eastAsia="方正仿宋_GB2312" w:cs="方正仿宋_GB2312"/>
                <w:color w:val="000000"/>
                <w:sz w:val="21"/>
                <w:szCs w:val="21"/>
                <w:lang w:val="en-US" w:eastAsia="zh-CN"/>
              </w:rPr>
              <w:t>≥3年的得1分，≥4年得3分，≥5年的得5分。</w:t>
            </w:r>
            <w:bookmarkEnd w:id="152"/>
          </w:p>
        </w:tc>
        <w:tc>
          <w:tcPr>
            <w:tcW w:w="1423"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33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6</w:t>
            </w: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kern w:val="2"/>
                <w:sz w:val="21"/>
                <w:szCs w:val="21"/>
                <w:lang w:val="en-US" w:eastAsia="zh-CN" w:bidi="ar-SA"/>
              </w:rPr>
            </w:pPr>
          </w:p>
        </w:tc>
        <w:tc>
          <w:tcPr>
            <w:tcW w:w="1039"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eastAsia="zh-CN"/>
              </w:rPr>
            </w:pPr>
            <w:r>
              <w:rPr>
                <w:rFonts w:hint="eastAsia" w:ascii="方正仿宋_GB2312" w:hAnsi="方正仿宋_GB2312" w:eastAsia="方正仿宋_GB2312" w:cs="方正仿宋_GB2312"/>
                <w:color w:val="000000"/>
                <w:sz w:val="21"/>
                <w:szCs w:val="21"/>
                <w:lang w:eastAsia="zh-CN"/>
              </w:rPr>
              <w:t>业绩</w:t>
            </w:r>
          </w:p>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eastAsia="zh-CN"/>
              </w:rPr>
              <w:t>（</w:t>
            </w:r>
            <w:r>
              <w:rPr>
                <w:rFonts w:hint="eastAsia" w:ascii="方正仿宋_GB2312" w:hAnsi="方正仿宋_GB2312" w:eastAsia="方正仿宋_GB2312" w:cs="方正仿宋_GB2312"/>
                <w:color w:val="000000"/>
                <w:sz w:val="21"/>
                <w:szCs w:val="21"/>
                <w:lang w:val="en-US" w:eastAsia="zh-CN"/>
              </w:rPr>
              <w:t>5分）</w:t>
            </w:r>
          </w:p>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p>
        </w:tc>
        <w:tc>
          <w:tcPr>
            <w:tcW w:w="575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bookmarkStart w:id="153" w:name="OLE_LINK29"/>
            <w:r>
              <w:rPr>
                <w:rFonts w:hint="eastAsia" w:ascii="方正仿宋_GB2312" w:hAnsi="方正仿宋_GB2312" w:eastAsia="方正仿宋_GB2312" w:cs="方正仿宋_GB2312"/>
                <w:color w:val="000000"/>
                <w:sz w:val="21"/>
                <w:szCs w:val="21"/>
                <w:lang w:val="en-US" w:eastAsia="zh-CN"/>
              </w:rPr>
              <w:t>自2022年1月1日至本次招标文件公告发布之日止，投标人具有提供普通课桌椅销售业绩1项得0.5分，提供午休课桌椅销售业绩1项得1分，本项最多得5分。</w:t>
            </w:r>
            <w:bookmarkEnd w:id="153"/>
          </w:p>
        </w:tc>
        <w:tc>
          <w:tcPr>
            <w:tcW w:w="1423"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投标文件中提供合同和验收合格报告扫描件。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33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default"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7</w:t>
            </w:r>
          </w:p>
        </w:tc>
        <w:tc>
          <w:tcPr>
            <w:tcW w:w="991" w:type="dxa"/>
            <w:vMerge w:val="continue"/>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kern w:val="2"/>
                <w:sz w:val="21"/>
                <w:szCs w:val="21"/>
                <w:lang w:val="en-US" w:eastAsia="zh-CN" w:bidi="ar-SA"/>
              </w:rPr>
            </w:pPr>
          </w:p>
        </w:tc>
        <w:tc>
          <w:tcPr>
            <w:tcW w:w="1039"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产品质量保障（6分）</w:t>
            </w:r>
          </w:p>
        </w:tc>
        <w:tc>
          <w:tcPr>
            <w:tcW w:w="5758" w:type="dxa"/>
            <w:noWrap w:val="0"/>
            <w:vAlign w:val="center"/>
          </w:tcPr>
          <w:p>
            <w:pPr>
              <w:keepNext w:val="0"/>
              <w:keepLines w:val="0"/>
              <w:pageBreakBefore w:val="0"/>
              <w:widowControl w:val="0"/>
              <w:numPr>
                <w:numId w:val="0"/>
              </w:numPr>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bookmarkStart w:id="154" w:name="OLE_LINK11"/>
            <w:r>
              <w:rPr>
                <w:rFonts w:hint="eastAsia" w:ascii="方正仿宋_GB2312" w:hAnsi="方正仿宋_GB2312" w:eastAsia="方正仿宋_GB2312" w:cs="方正仿宋_GB2312"/>
                <w:color w:val="000000"/>
                <w:sz w:val="21"/>
                <w:szCs w:val="21"/>
                <w:lang w:val="en-US" w:eastAsia="zh-CN"/>
              </w:rPr>
              <w:t>1.</w:t>
            </w:r>
            <w:r>
              <w:rPr>
                <w:rFonts w:hint="eastAsia" w:ascii="方正仿宋_GB2312" w:hAnsi="方正仿宋_GB2312" w:eastAsia="方正仿宋_GB2312" w:cs="方正仿宋_GB2312"/>
                <w:color w:val="000000"/>
                <w:sz w:val="21"/>
                <w:szCs w:val="21"/>
                <w:lang w:val="zh-TW" w:eastAsia="zh-CN"/>
              </w:rPr>
              <w:t>投标人提供</w:t>
            </w:r>
            <w:r>
              <w:rPr>
                <w:rFonts w:hint="eastAsia" w:ascii="方正仿宋_GB2312" w:hAnsi="方正仿宋_GB2312" w:eastAsia="方正仿宋_GB2312" w:cs="方正仿宋_GB2312"/>
                <w:color w:val="000000"/>
                <w:sz w:val="21"/>
                <w:szCs w:val="21"/>
                <w:lang w:val="en-US" w:eastAsia="zh-CN"/>
              </w:rPr>
              <w:t>具有有效质量管理体系认证证书得2分；</w:t>
            </w:r>
          </w:p>
          <w:p>
            <w:pPr>
              <w:keepNext w:val="0"/>
              <w:keepLines w:val="0"/>
              <w:pageBreakBefore w:val="0"/>
              <w:widowControl w:val="0"/>
              <w:numPr>
                <w:numId w:val="0"/>
              </w:numPr>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2.</w:t>
            </w:r>
            <w:r>
              <w:rPr>
                <w:rFonts w:hint="eastAsia" w:ascii="方正仿宋_GB2312" w:hAnsi="方正仿宋_GB2312" w:eastAsia="方正仿宋_GB2312" w:cs="方正仿宋_GB2312"/>
                <w:color w:val="000000"/>
                <w:sz w:val="21"/>
                <w:szCs w:val="21"/>
                <w:lang w:val="zh-TW" w:eastAsia="zh-CN"/>
              </w:rPr>
              <w:t>投标人提供</w:t>
            </w:r>
            <w:r>
              <w:rPr>
                <w:rFonts w:hint="eastAsia" w:ascii="方正仿宋_GB2312" w:hAnsi="方正仿宋_GB2312" w:eastAsia="方正仿宋_GB2312" w:cs="方正仿宋_GB2312"/>
                <w:color w:val="000000"/>
                <w:sz w:val="21"/>
                <w:szCs w:val="21"/>
                <w:lang w:val="en-US" w:eastAsia="zh-CN"/>
              </w:rPr>
              <w:t>具有有效的环境管理体系认证证书得2分；</w:t>
            </w:r>
          </w:p>
          <w:p>
            <w:pPr>
              <w:keepNext w:val="0"/>
              <w:keepLines w:val="0"/>
              <w:pageBreakBefore w:val="0"/>
              <w:widowControl w:val="0"/>
              <w:numPr>
                <w:numId w:val="0"/>
              </w:numPr>
              <w:kinsoku/>
              <w:wordWrap/>
              <w:overflowPunct/>
              <w:topLinePunct w:val="0"/>
              <w:autoSpaceDE/>
              <w:autoSpaceDN/>
              <w:bidi w:val="0"/>
              <w:adjustRightInd/>
              <w:spacing w:beforeAutospacing="0" w:afterAutospacing="0" w:line="260" w:lineRule="exact"/>
              <w:textAlignment w:val="auto"/>
              <w:rPr>
                <w:rFonts w:hint="eastAsia"/>
                <w:lang w:val="en-US" w:eastAsia="zh-CN"/>
              </w:rPr>
            </w:pPr>
            <w:r>
              <w:rPr>
                <w:rFonts w:hint="eastAsia" w:ascii="方正仿宋_GB2312" w:hAnsi="方正仿宋_GB2312" w:eastAsia="方正仿宋_GB2312" w:cs="方正仿宋_GB2312"/>
                <w:color w:val="000000"/>
                <w:sz w:val="21"/>
                <w:szCs w:val="21"/>
                <w:lang w:val="en-US" w:eastAsia="zh-CN"/>
              </w:rPr>
              <w:t>3.</w:t>
            </w:r>
            <w:r>
              <w:rPr>
                <w:rFonts w:hint="eastAsia" w:ascii="方正仿宋_GB2312" w:hAnsi="方正仿宋_GB2312" w:eastAsia="方正仿宋_GB2312" w:cs="方正仿宋_GB2312"/>
                <w:color w:val="000000"/>
                <w:sz w:val="21"/>
                <w:szCs w:val="21"/>
                <w:lang w:val="zh-TW" w:eastAsia="zh-CN"/>
              </w:rPr>
              <w:t>投标人提供</w:t>
            </w:r>
            <w:r>
              <w:rPr>
                <w:rFonts w:hint="eastAsia" w:ascii="方正仿宋_GB2312" w:hAnsi="方正仿宋_GB2312" w:eastAsia="方正仿宋_GB2312" w:cs="方正仿宋_GB2312"/>
                <w:color w:val="000000"/>
                <w:sz w:val="21"/>
                <w:szCs w:val="21"/>
                <w:lang w:val="en-US" w:eastAsia="zh-CN"/>
              </w:rPr>
              <w:t>具有有效的职业健康管理体系认证证书得2分；</w:t>
            </w:r>
            <w:bookmarkEnd w:id="154"/>
          </w:p>
        </w:tc>
        <w:tc>
          <w:tcPr>
            <w:tcW w:w="1423"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投标人提供证书复印件和国家认证认可监督管理委员会网站查询截图并加盖投标人公章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4" w:hRule="atLeast"/>
          <w:jc w:val="center"/>
        </w:trPr>
        <w:tc>
          <w:tcPr>
            <w:tcW w:w="338"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8</w:t>
            </w:r>
          </w:p>
        </w:tc>
        <w:tc>
          <w:tcPr>
            <w:tcW w:w="991"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eastAsia="zh-CN"/>
              </w:rPr>
              <w:t>政策性加分（</w:t>
            </w:r>
            <w:r>
              <w:rPr>
                <w:rFonts w:hint="eastAsia" w:ascii="方正仿宋_GB2312" w:hAnsi="方正仿宋_GB2312" w:eastAsia="方正仿宋_GB2312" w:cs="方正仿宋_GB2312"/>
                <w:color w:val="000000"/>
                <w:sz w:val="21"/>
                <w:szCs w:val="21"/>
                <w:lang w:val="en-US" w:eastAsia="zh-CN"/>
              </w:rPr>
              <w:t>4%</w:t>
            </w:r>
            <w:r>
              <w:rPr>
                <w:rFonts w:hint="eastAsia" w:ascii="方正仿宋_GB2312" w:hAnsi="方正仿宋_GB2312" w:eastAsia="方正仿宋_GB2312" w:cs="方正仿宋_GB2312"/>
                <w:color w:val="000000"/>
                <w:sz w:val="21"/>
                <w:szCs w:val="21"/>
                <w:lang w:eastAsia="zh-CN"/>
              </w:rPr>
              <w:t>）</w:t>
            </w:r>
          </w:p>
        </w:tc>
        <w:tc>
          <w:tcPr>
            <w:tcW w:w="1039" w:type="dxa"/>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20" w:lineRule="exact"/>
              <w:jc w:val="center"/>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4</w:t>
            </w:r>
          </w:p>
        </w:tc>
        <w:tc>
          <w:tcPr>
            <w:tcW w:w="7181" w:type="dxa"/>
            <w:gridSpan w:val="2"/>
            <w:noWrap w:val="0"/>
            <w:vAlign w:val="center"/>
          </w:tcPr>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1.投标产品属于《财政部 发展改革委关于印发节能产品政府采购品目清单的通知》（财库〔2019〕19号）范围内的节能产品，且“节能产品政府采购品目清单”中未标注“★”的，有一款得0.5分，最多得2分（清单中以“★”标注为政府强制采购的节能产品）。</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r>
              <w:rPr>
                <w:rFonts w:hint="eastAsia" w:ascii="方正仿宋_GB2312" w:hAnsi="方正仿宋_GB2312" w:eastAsia="方正仿宋_GB2312" w:cs="方正仿宋_GB2312"/>
                <w:color w:val="000000"/>
                <w:sz w:val="21"/>
                <w:szCs w:val="21"/>
                <w:lang w:val="en-US" w:eastAsia="zh-CN"/>
              </w:rPr>
              <w:t>说明：提供所投产品列入《财政部 发展改革委关于印发节能产品政府采购品目清单的通知》（财库〔2019〕19号）中“节能产品政府采购品目清单”所在页面扫描件，及国家确定的认证机构出具的、处于有效期之内的节能产品认证证书扫描件。</w:t>
            </w:r>
          </w:p>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val="en-US" w:eastAsia="zh-CN"/>
              </w:rPr>
            </w:pPr>
            <w:bookmarkStart w:id="155" w:name="OLE_LINK30"/>
            <w:r>
              <w:rPr>
                <w:rFonts w:hint="eastAsia" w:ascii="方正仿宋_GB2312" w:hAnsi="方正仿宋_GB2312" w:eastAsia="方正仿宋_GB2312" w:cs="方正仿宋_GB2312"/>
                <w:color w:val="000000"/>
                <w:sz w:val="21"/>
                <w:szCs w:val="21"/>
                <w:lang w:val="en-US" w:eastAsia="zh-CN"/>
              </w:rPr>
              <w:t>2.投标产品属于《财政部 生态环境部关于印发环境标志产品政府采购品目清单的通知》（财库〔2019〕18号）范围内的环境标志产品的，有一款得0.5分，最多得2分。</w:t>
            </w:r>
          </w:p>
          <w:bookmarkEnd w:id="155"/>
          <w:p>
            <w:pPr>
              <w:keepNext w:val="0"/>
              <w:keepLines w:val="0"/>
              <w:pageBreakBefore w:val="0"/>
              <w:widowControl w:val="0"/>
              <w:kinsoku/>
              <w:wordWrap/>
              <w:overflowPunct/>
              <w:topLinePunct w:val="0"/>
              <w:autoSpaceDE/>
              <w:autoSpaceDN/>
              <w:bidi w:val="0"/>
              <w:adjustRightInd/>
              <w:spacing w:beforeAutospacing="0" w:afterAutospacing="0" w:line="260" w:lineRule="exact"/>
              <w:textAlignment w:val="auto"/>
              <w:rPr>
                <w:rFonts w:hint="eastAsia" w:ascii="方正仿宋_GB2312" w:hAnsi="方正仿宋_GB2312" w:eastAsia="方正仿宋_GB2312" w:cs="方正仿宋_GB2312"/>
                <w:color w:val="000000"/>
                <w:sz w:val="21"/>
                <w:szCs w:val="21"/>
                <w:lang w:eastAsia="zh-CN"/>
              </w:rPr>
            </w:pPr>
            <w:r>
              <w:rPr>
                <w:rFonts w:hint="eastAsia" w:ascii="方正仿宋_GB2312" w:hAnsi="方正仿宋_GB2312" w:eastAsia="方正仿宋_GB2312" w:cs="方正仿宋_GB2312"/>
                <w:color w:val="000000"/>
                <w:sz w:val="21"/>
                <w:szCs w:val="21"/>
                <w:lang w:val="en-US" w:eastAsia="zh-CN"/>
              </w:rPr>
              <w:t>说明：提供所投产品列入《财政部 生态环境部关于印发环境标志产品政府采购品目清单的通知》（财库〔2019〕18号）中“环境标志产品政府采购品目清单”所在页面扫描件，及国家确定的认证机构出具的、处于有效期之内的环境标志产品认证证书扫描件。</w:t>
            </w:r>
          </w:p>
        </w:tc>
      </w:tr>
      <w:bookmarkEnd w:id="138"/>
    </w:tbl>
    <w:p>
      <w:pPr>
        <w:snapToGrid w:val="0"/>
        <w:spacing w:line="440" w:lineRule="exact"/>
        <w:ind w:firstLine="465"/>
        <w:rPr>
          <w:rFonts w:hint="eastAsia" w:ascii="方正仿宋_GBK" w:hAnsi="宋体" w:eastAsia="方正仿宋_GBK" w:cs="宋体"/>
          <w:color w:val="auto"/>
          <w:kern w:val="0"/>
          <w:szCs w:val="28"/>
          <w:highlight w:val="none"/>
        </w:rPr>
      </w:pPr>
    </w:p>
    <w:p>
      <w:pPr>
        <w:snapToGrid w:val="0"/>
        <w:spacing w:line="440" w:lineRule="exact"/>
        <w:ind w:firstLine="465"/>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说明：评标委员会认为投标人的报价明显低于其他通过符合性审查投标人的报价，有可能影响产品质量或者不能诚信履约的，应当要求其在评标现场合理的时间内在线提供书面说明，必要时提交相关证明材料电子档（PDF格式）；投标人不能证明其报价合理性的，评标委员会应当将其作为无效投标处理。</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（二）关于小微企业报价扣除比例说明</w:t>
      </w:r>
    </w:p>
    <w:p>
      <w:pPr>
        <w:snapToGrid w:val="0"/>
        <w:spacing w:line="440" w:lineRule="exact"/>
        <w:ind w:firstLine="560" w:firstLineChars="200"/>
        <w:rPr>
          <w:rFonts w:hint="eastAsia" w:ascii="方正仿宋_GBK" w:hAnsi="仿宋" w:eastAsia="方正仿宋_GBK" w:cs="方正仿宋_GBK"/>
          <w:color w:val="auto"/>
          <w:szCs w:val="28"/>
          <w:highlight w:val="none"/>
        </w:rPr>
      </w:pPr>
      <w:r>
        <w:rPr>
          <w:rFonts w:hint="eastAsia" w:ascii="方正仿宋_GBK" w:hAnsi="仿宋" w:eastAsia="方正仿宋_GBK" w:cs="方正仿宋_GBK"/>
          <w:color w:val="auto"/>
          <w:szCs w:val="28"/>
          <w:highlight w:val="none"/>
          <w:lang w:bidi="ar"/>
        </w:rPr>
        <w:t>1.投标人为非联合体投标的，对其</w:t>
      </w:r>
      <w:r>
        <w:rPr>
          <w:rFonts w:hint="eastAsia" w:ascii="方正仿宋_GBK" w:hAnsi="仿宋" w:eastAsia="方正仿宋_GBK" w:cs="方正仿宋_GBK"/>
          <w:color w:val="auto"/>
          <w:szCs w:val="28"/>
          <w:highlight w:val="none"/>
          <w:u w:val="single"/>
          <w:lang w:bidi="ar"/>
        </w:rPr>
        <w:t>投标货物的制造商</w:t>
      </w:r>
      <w:r>
        <w:rPr>
          <w:rFonts w:hint="eastAsia" w:ascii="方正仿宋_GBK" w:hAnsi="仿宋" w:eastAsia="方正仿宋_GBK" w:cs="方正仿宋_GBK"/>
          <w:color w:val="auto"/>
          <w:szCs w:val="28"/>
          <w:highlight w:val="none"/>
          <w:lang w:bidi="ar"/>
        </w:rPr>
        <w:t>为小微型企业的给予</w:t>
      </w:r>
      <w:r>
        <w:rPr>
          <w:rFonts w:hint="eastAsia" w:ascii="方正仿宋_GBK" w:hAnsi="仿宋" w:eastAsia="方正仿宋_GBK" w:cs="方正仿宋_GBK"/>
          <w:color w:val="auto"/>
          <w:szCs w:val="28"/>
          <w:highlight w:val="none"/>
          <w:u w:val="single"/>
          <w:lang w:bidi="ar"/>
        </w:rPr>
        <w:t xml:space="preserve">10 </w:t>
      </w:r>
      <w:r>
        <w:rPr>
          <w:rFonts w:hint="eastAsia" w:ascii="方正仿宋_GBK" w:hAnsi="仿宋" w:eastAsia="方正仿宋_GBK" w:cs="方正仿宋_GBK"/>
          <w:color w:val="auto"/>
          <w:szCs w:val="28"/>
          <w:highlight w:val="none"/>
          <w:lang w:bidi="ar"/>
        </w:rPr>
        <w:t>%的扣除，以扣除后的报价参与评审。</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仿宋" w:eastAsia="方正仿宋_GBK" w:cs="方正仿宋_GBK"/>
          <w:color w:val="auto"/>
          <w:szCs w:val="28"/>
          <w:highlight w:val="none"/>
          <w:lang w:bidi="ar"/>
        </w:rPr>
        <w:t>2.监狱企业、残疾人福利性单位视同小型、微型企业。</w:t>
      </w:r>
    </w:p>
    <w:p>
      <w:pPr>
        <w:pStyle w:val="3"/>
        <w:spacing w:line="440" w:lineRule="exact"/>
        <w:ind w:firstLine="562" w:firstLineChars="200"/>
        <w:rPr>
          <w:rFonts w:hint="eastAsia" w:ascii="方正黑体_GBK" w:eastAsia="方正黑体_GBK" w:cs="宋体"/>
          <w:b/>
          <w:color w:val="auto"/>
          <w:szCs w:val="28"/>
          <w:highlight w:val="none"/>
        </w:rPr>
      </w:pPr>
      <w:bookmarkStart w:id="156" w:name="_Toc12154"/>
      <w:bookmarkStart w:id="157" w:name="_Toc32588"/>
      <w:bookmarkStart w:id="158" w:name="_Toc31000"/>
      <w:bookmarkStart w:id="159" w:name="_Toc169703199"/>
      <w:bookmarkStart w:id="160" w:name="_Toc492721018"/>
      <w:r>
        <w:rPr>
          <w:rFonts w:hint="eastAsia" w:ascii="方正黑体_GBK" w:eastAsia="方正黑体_GBK" w:cs="宋体"/>
          <w:b/>
          <w:color w:val="auto"/>
          <w:szCs w:val="28"/>
          <w:highlight w:val="none"/>
        </w:rPr>
        <w:t>四、无效投标条款</w:t>
      </w:r>
      <w:bookmarkEnd w:id="156"/>
      <w:bookmarkEnd w:id="157"/>
      <w:bookmarkEnd w:id="158"/>
      <w:bookmarkEnd w:id="159"/>
      <w:bookmarkEnd w:id="160"/>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投标人或其投标文件出现下列情况之一者，应为无效投标：</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（一）未按照招标文件的规定提交投标保证金的；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（二）电子投标文件未按招标文件要求签署、盖章的；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（三）不具备招标文件中规定的资格要求的；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（四）报价超过招标文件中规定的预算金额或者最高限价的；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（五）电子投标文件含有采购人不能接受的附加条件的；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（六）投标人串通投标的；</w:t>
      </w:r>
    </w:p>
    <w:p>
      <w:pPr>
        <w:snapToGrid w:val="0"/>
        <w:spacing w:line="440" w:lineRule="exact"/>
        <w:ind w:firstLine="560" w:firstLineChars="200"/>
        <w:rPr>
          <w:rFonts w:hint="eastAsia" w:ascii="方正仿宋_GBK" w:hAnsi="宋体" w:eastAsia="方正仿宋_GBK" w:cs="宋体"/>
          <w:color w:val="auto"/>
          <w:kern w:val="0"/>
          <w:szCs w:val="28"/>
          <w:highlight w:val="none"/>
          <w:lang w:eastAsia="zh-TW"/>
        </w:rPr>
      </w:pPr>
      <w:r>
        <w:rPr>
          <w:rFonts w:hint="eastAsia" w:ascii="方正仿宋_GBK" w:hAnsi="宋体" w:eastAsia="方正仿宋_GBK" w:cs="宋体"/>
          <w:color w:val="auto"/>
          <w:kern w:val="0"/>
          <w:szCs w:val="28"/>
          <w:highlight w:val="none"/>
        </w:rPr>
        <w:t>（七）投标人组成联合体投标的（不接受联合体投标时适用）；</w:t>
      </w:r>
    </w:p>
    <w:p>
      <w:pPr>
        <w:snapToGrid w:val="0"/>
        <w:spacing w:line="440" w:lineRule="exact"/>
        <w:ind w:firstLine="560" w:firstLineChars="200"/>
        <w:rPr>
          <w:rFonts w:hint="eastAsia" w:ascii="方正仿宋_GBK" w:hAnsi="宋体" w:eastAsia="方正仿宋_GBK" w:cs="宋体"/>
          <w:color w:val="auto"/>
          <w:kern w:val="0"/>
          <w:szCs w:val="28"/>
          <w:highlight w:val="none"/>
          <w:lang w:eastAsia="zh-TW"/>
        </w:rPr>
      </w:pPr>
      <w:r>
        <w:rPr>
          <w:rFonts w:hint="eastAsia" w:ascii="方正仿宋_GBK" w:hAnsi="宋体" w:eastAsia="方正仿宋_GBK" w:cs="宋体"/>
          <w:color w:val="auto"/>
          <w:kern w:val="0"/>
          <w:szCs w:val="28"/>
          <w:highlight w:val="none"/>
        </w:rPr>
        <w:t>（八）投标人进行合同分包的（不接受合同分包时适用）；</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（九）</w:t>
      </w:r>
      <w:r>
        <w:rPr>
          <w:rFonts w:hint="eastAsia" w:ascii="方正仿宋_GBK" w:hAnsi="宋体" w:eastAsia="方正仿宋_GBK" w:cs="宋体"/>
          <w:color w:val="auto"/>
          <w:kern w:val="0"/>
          <w:szCs w:val="28"/>
          <w:highlight w:val="none"/>
          <w:lang w:eastAsia="zh-CN"/>
        </w:rPr>
        <w:t>法律法规</w:t>
      </w:r>
      <w:r>
        <w:rPr>
          <w:rFonts w:hint="eastAsia" w:ascii="方正仿宋_GBK" w:hAnsi="宋体" w:eastAsia="方正仿宋_GBK" w:cs="宋体"/>
          <w:color w:val="auto"/>
          <w:kern w:val="0"/>
          <w:szCs w:val="28"/>
          <w:highlight w:val="none"/>
        </w:rPr>
        <w:t>和招标文件规定的其他无效情形。</w:t>
      </w:r>
    </w:p>
    <w:p>
      <w:pPr>
        <w:pStyle w:val="3"/>
        <w:spacing w:line="440" w:lineRule="exact"/>
        <w:ind w:firstLine="562" w:firstLineChars="200"/>
        <w:rPr>
          <w:rFonts w:hint="eastAsia" w:ascii="方正黑体_GBK" w:eastAsia="方正黑体_GBK" w:cs="宋体"/>
          <w:b/>
          <w:color w:val="auto"/>
          <w:szCs w:val="28"/>
          <w:highlight w:val="none"/>
        </w:rPr>
      </w:pPr>
      <w:bookmarkStart w:id="161" w:name="_Toc9911"/>
      <w:bookmarkStart w:id="162" w:name="_Toc492721019"/>
      <w:bookmarkStart w:id="163" w:name="_Toc6280"/>
      <w:bookmarkStart w:id="164" w:name="_Toc169703200"/>
      <w:bookmarkStart w:id="165" w:name="_Toc14855"/>
      <w:r>
        <w:rPr>
          <w:rFonts w:hint="eastAsia" w:ascii="方正黑体_GBK" w:eastAsia="方正黑体_GBK" w:cs="宋体"/>
          <w:b/>
          <w:color w:val="auto"/>
          <w:szCs w:val="28"/>
          <w:highlight w:val="none"/>
        </w:rPr>
        <w:t>五、废标条款</w:t>
      </w:r>
      <w:bookmarkEnd w:id="161"/>
      <w:bookmarkEnd w:id="162"/>
      <w:bookmarkEnd w:id="163"/>
      <w:bookmarkEnd w:id="164"/>
      <w:bookmarkEnd w:id="165"/>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在招标采购中，出现下列情形之一的，应予废标：</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（一）符合专业条件的投标人或者对招标文件作实质响应的投标人不足三家的；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（二）投标人的报价均超过了采购预算，采购人不能支付的；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（三）出现影响采购公正的违法、违规行为的；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（四）因重大变故，采购任务取消的。</w:t>
      </w:r>
    </w:p>
    <w:p>
      <w:pPr>
        <w:snapToGrid w:val="0"/>
        <w:spacing w:line="440" w:lineRule="exact"/>
        <w:ind w:firstLine="560" w:firstLineChars="200"/>
        <w:rPr>
          <w:rFonts w:hint="eastAsia" w:ascii="方正仿宋_GBK" w:hAnsi="宋体" w:eastAsia="方正仿宋_GBK" w:cs="宋体"/>
          <w:color w:val="auto"/>
          <w:kern w:val="0"/>
          <w:szCs w:val="28"/>
          <w:highlight w:val="none"/>
        </w:rPr>
      </w:pPr>
      <w:r>
        <w:rPr>
          <w:rFonts w:hint="eastAsia" w:ascii="方正仿宋_GBK" w:hAnsi="宋体" w:eastAsia="方正仿宋_GBK" w:cs="宋体"/>
          <w:color w:val="auto"/>
          <w:kern w:val="0"/>
          <w:szCs w:val="28"/>
          <w:highlight w:val="none"/>
        </w:rPr>
        <w:t>废标后，除采购任务取消情形外，应当重新组织采购。</w:t>
      </w:r>
    </w:p>
    <w:p>
      <w:pPr>
        <w:snapToGrid w:val="0"/>
        <w:spacing w:line="440" w:lineRule="exact"/>
        <w:ind w:firstLine="560" w:firstLineChars="200"/>
        <w:rPr>
          <w:rFonts w:hint="eastAsia" w:ascii="方正仿宋_GBK" w:hAnsi="宋体" w:eastAsia="方正仿宋_GBK" w:cs="宋体"/>
          <w:color w:val="auto"/>
          <w:kern w:val="0"/>
          <w:szCs w:val="28"/>
          <w:highlight w:val="none"/>
        </w:rPr>
      </w:pPr>
    </w:p>
    <w:p>
      <w:pPr>
        <w:pStyle w:val="2"/>
        <w:spacing w:before="0" w:beforeLines="0" w:after="0" w:afterLines="0" w:line="720" w:lineRule="exact"/>
        <w:rPr>
          <w:rFonts w:hint="eastAsia" w:ascii="方正仿宋_GBK" w:hAnsi="宋体" w:eastAsia="方正仿宋_GBK" w:cs="宋体"/>
          <w:b/>
          <w:color w:val="auto"/>
          <w:sz w:val="32"/>
          <w:szCs w:val="32"/>
          <w:highlight w:val="none"/>
        </w:rPr>
      </w:pPr>
      <w:r>
        <w:rPr>
          <w:rFonts w:hint="eastAsia" w:ascii="方正仿宋_GBK" w:hAnsi="宋体" w:eastAsia="方正仿宋_GBK" w:cs="宋体"/>
          <w:color w:val="auto"/>
          <w:kern w:val="0"/>
          <w:sz w:val="28"/>
          <w:szCs w:val="28"/>
          <w:highlight w:val="none"/>
        </w:rPr>
        <w:br w:type="page"/>
      </w:r>
      <w:bookmarkStart w:id="166" w:name="_Toc20525"/>
      <w:bookmarkStart w:id="167" w:name="_Toc27683"/>
      <w:bookmarkStart w:id="168" w:name="_Toc169703201"/>
      <w:bookmarkStart w:id="169" w:name="_Toc22855"/>
      <w:r>
        <w:rPr>
          <w:rFonts w:hint="eastAsia" w:ascii="方正小标宋_GBK" w:hAnsi="宋体" w:eastAsia="方正小标宋_GBK" w:cs="宋体"/>
          <w:b/>
          <w:color w:val="auto"/>
          <w:sz w:val="32"/>
          <w:szCs w:val="32"/>
          <w:highlight w:val="none"/>
        </w:rPr>
        <w:t>第五篇  投标人须知</w:t>
      </w:r>
      <w:bookmarkEnd w:id="166"/>
      <w:bookmarkEnd w:id="167"/>
      <w:bookmarkEnd w:id="168"/>
      <w:bookmarkEnd w:id="169"/>
    </w:p>
    <w:p>
      <w:pPr>
        <w:pStyle w:val="3"/>
        <w:spacing w:line="440" w:lineRule="exact"/>
        <w:ind w:firstLine="562" w:firstLineChars="200"/>
        <w:rPr>
          <w:rFonts w:hint="eastAsia" w:ascii="方正黑体_GBK" w:eastAsia="方正黑体_GBK" w:cs="宋体"/>
          <w:b/>
          <w:color w:val="auto"/>
          <w:szCs w:val="28"/>
          <w:highlight w:val="none"/>
        </w:rPr>
      </w:pPr>
      <w:bookmarkStart w:id="170" w:name="_Toc169703202"/>
      <w:bookmarkStart w:id="171" w:name="_Toc30927"/>
      <w:bookmarkStart w:id="172" w:name="_Toc30498"/>
      <w:bookmarkStart w:id="173" w:name="_Toc16868"/>
      <w:r>
        <w:rPr>
          <w:rFonts w:hint="eastAsia" w:ascii="方正黑体_GBK" w:eastAsia="方正黑体_GBK" w:cs="宋体"/>
          <w:b/>
          <w:color w:val="auto"/>
          <w:szCs w:val="28"/>
          <w:highlight w:val="none"/>
        </w:rPr>
        <w:t>一、投标人</w:t>
      </w:r>
      <w:bookmarkEnd w:id="170"/>
      <w:bookmarkEnd w:id="171"/>
      <w:bookmarkEnd w:id="172"/>
      <w:bookmarkEnd w:id="173"/>
    </w:p>
    <w:p>
      <w:pPr>
        <w:snapToGrid w:val="0"/>
        <w:spacing w:line="440" w:lineRule="exact"/>
        <w:ind w:firstLine="560" w:firstLineChars="200"/>
        <w:rPr>
          <w:rFonts w:hint="eastAsia" w:ascii="方正楷体_GBK" w:hAnsi="宋体" w:eastAsia="方正楷体_GBK" w:cs="宋体"/>
          <w:color w:val="auto"/>
          <w:kern w:val="0"/>
          <w:szCs w:val="28"/>
          <w:highlight w:val="none"/>
        </w:rPr>
      </w:pPr>
      <w:bookmarkStart w:id="174" w:name="_Toc7147"/>
      <w:bookmarkStart w:id="175" w:name="_Toc11503"/>
      <w:r>
        <w:rPr>
          <w:rFonts w:hint="eastAsia" w:ascii="方正楷体_GBK" w:hAnsi="宋体" w:eastAsia="方正楷体_GBK" w:cs="宋体"/>
          <w:color w:val="auto"/>
          <w:kern w:val="0"/>
          <w:szCs w:val="28"/>
          <w:highlight w:val="none"/>
        </w:rPr>
        <w:t>（一）投标人</w:t>
      </w:r>
      <w:bookmarkEnd w:id="174"/>
      <w:bookmarkEnd w:id="175"/>
    </w:p>
    <w:p>
      <w:pPr>
        <w:spacing w:line="440" w:lineRule="exact"/>
        <w:ind w:firstLine="560" w:firstLineChars="200"/>
        <w:rPr>
          <w:rFonts w:hint="eastAsia" w:ascii="方正仿宋_GBK" w:hAnsi="宋体" w:eastAsia="方正仿宋_GBK" w:cs="宋体"/>
          <w:color w:val="auto"/>
          <w:szCs w:val="28"/>
          <w:highlight w:val="none"/>
        </w:rPr>
      </w:pPr>
      <w:bookmarkStart w:id="176" w:name="_Toc30847"/>
      <w:bookmarkStart w:id="177" w:name="_Toc5851"/>
      <w:r>
        <w:rPr>
          <w:rFonts w:hint="eastAsia" w:ascii="方正仿宋_GBK" w:hAnsi="宋体" w:eastAsia="方正仿宋_GBK" w:cs="宋体"/>
          <w:color w:val="auto"/>
          <w:szCs w:val="28"/>
          <w:highlight w:val="none"/>
        </w:rPr>
        <w:t>投标人是指响应招标、参加投标竞争的法人、其他组织或者自然人。</w:t>
      </w:r>
      <w:bookmarkEnd w:id="176"/>
      <w:bookmarkEnd w:id="177"/>
    </w:p>
    <w:p>
      <w:pPr>
        <w:snapToGrid w:val="0"/>
        <w:spacing w:line="440" w:lineRule="exact"/>
        <w:ind w:firstLine="560" w:firstLineChars="200"/>
        <w:rPr>
          <w:rFonts w:hint="eastAsia" w:ascii="方正楷体_GBK" w:hAnsi="宋体" w:eastAsia="方正楷体_GBK" w:cs="宋体"/>
          <w:color w:val="auto"/>
          <w:kern w:val="0"/>
          <w:szCs w:val="28"/>
          <w:highlight w:val="none"/>
        </w:rPr>
      </w:pPr>
      <w:bookmarkStart w:id="178" w:name="_Toc19155"/>
      <w:bookmarkStart w:id="179" w:name="_Toc31291"/>
      <w:r>
        <w:rPr>
          <w:rFonts w:hint="eastAsia" w:ascii="方正楷体_GBK" w:hAnsi="宋体" w:eastAsia="方正楷体_GBK" w:cs="宋体"/>
          <w:color w:val="auto"/>
          <w:kern w:val="0"/>
          <w:szCs w:val="28"/>
          <w:highlight w:val="none"/>
        </w:rPr>
        <w:t>（二）合格投标人条件</w:t>
      </w:r>
      <w:bookmarkEnd w:id="178"/>
      <w:bookmarkEnd w:id="179"/>
    </w:p>
    <w:p>
      <w:pPr>
        <w:spacing w:line="440" w:lineRule="exact"/>
        <w:ind w:firstLine="560" w:firstLineChars="200"/>
        <w:rPr>
          <w:rFonts w:hint="eastAsia" w:ascii="方正仿宋_GBK" w:hAnsi="宋体" w:eastAsia="方正仿宋_GBK" w:cs="宋体"/>
          <w:color w:val="auto"/>
          <w:szCs w:val="28"/>
          <w:highlight w:val="none"/>
        </w:rPr>
      </w:pPr>
      <w:bookmarkStart w:id="180" w:name="_Toc24228"/>
      <w:bookmarkStart w:id="181" w:name="_Toc13075"/>
      <w:r>
        <w:rPr>
          <w:rFonts w:hint="eastAsia" w:ascii="方正仿宋_GBK" w:hAnsi="宋体" w:eastAsia="方正仿宋_GBK" w:cs="宋体"/>
          <w:color w:val="auto"/>
          <w:szCs w:val="28"/>
          <w:highlight w:val="none"/>
        </w:rPr>
        <w:t>合格投标人应完全符合招标文件第一篇中规定的投标人资格条件，并对招标文件作出实质性响应。</w:t>
      </w:r>
      <w:bookmarkEnd w:id="180"/>
      <w:bookmarkEnd w:id="181"/>
    </w:p>
    <w:p>
      <w:pPr>
        <w:snapToGrid w:val="0"/>
        <w:spacing w:line="440" w:lineRule="exact"/>
        <w:ind w:firstLine="560" w:firstLineChars="200"/>
        <w:rPr>
          <w:rFonts w:hint="eastAsia" w:ascii="方正楷体_GBK" w:hAnsi="宋体" w:eastAsia="方正楷体_GBK" w:cs="宋体"/>
          <w:color w:val="auto"/>
          <w:kern w:val="0"/>
          <w:szCs w:val="28"/>
          <w:highlight w:val="none"/>
        </w:rPr>
      </w:pPr>
      <w:bookmarkStart w:id="182" w:name="_Toc17715"/>
      <w:bookmarkStart w:id="183" w:name="_Toc277"/>
      <w:r>
        <w:rPr>
          <w:rFonts w:hint="eastAsia" w:ascii="方正楷体_GBK" w:hAnsi="宋体" w:eastAsia="方正楷体_GBK" w:cs="宋体"/>
          <w:color w:val="auto"/>
          <w:kern w:val="0"/>
          <w:szCs w:val="28"/>
          <w:highlight w:val="none"/>
        </w:rPr>
        <w:t>（三）投标人的风险</w:t>
      </w:r>
      <w:bookmarkEnd w:id="182"/>
      <w:bookmarkEnd w:id="183"/>
    </w:p>
    <w:p>
      <w:pPr>
        <w:spacing w:line="440" w:lineRule="exact"/>
        <w:ind w:firstLine="560" w:firstLineChars="200"/>
        <w:rPr>
          <w:rFonts w:hint="eastAsia" w:ascii="方正仿宋_GBK" w:hAnsi="宋体" w:eastAsia="方正仿宋_GBK" w:cs="宋体"/>
          <w:bCs/>
          <w:color w:val="auto"/>
          <w:szCs w:val="28"/>
          <w:highlight w:val="none"/>
        </w:rPr>
      </w:pPr>
      <w:bookmarkStart w:id="184" w:name="_Toc22516"/>
      <w:bookmarkStart w:id="185" w:name="_Toc21859"/>
      <w:r>
        <w:rPr>
          <w:rFonts w:hint="eastAsia" w:ascii="方正仿宋_GBK" w:hAnsi="宋体" w:eastAsia="方正仿宋_GBK" w:cs="宋体"/>
          <w:color w:val="auto"/>
          <w:szCs w:val="28"/>
          <w:highlight w:val="none"/>
        </w:rPr>
        <w:t>投标人没有按照招标文件要求提供全部资料，或者投标人没有对招标文件在各方面作出实质性响应，可能导致投标被拒绝或评定为无效投标。</w:t>
      </w:r>
      <w:bookmarkEnd w:id="184"/>
      <w:bookmarkEnd w:id="185"/>
    </w:p>
    <w:p>
      <w:pPr>
        <w:snapToGrid w:val="0"/>
        <w:spacing w:line="440" w:lineRule="exact"/>
        <w:ind w:firstLine="560" w:firstLineChars="200"/>
        <w:rPr>
          <w:rFonts w:hint="eastAsia" w:ascii="方正楷体_GBK" w:hAnsi="宋体" w:eastAsia="方正楷体_GBK" w:cs="宋体"/>
          <w:color w:val="auto"/>
          <w:kern w:val="0"/>
          <w:szCs w:val="28"/>
          <w:highlight w:val="none"/>
        </w:rPr>
      </w:pPr>
      <w:bookmarkStart w:id="186" w:name="_Toc26028"/>
      <w:bookmarkStart w:id="187" w:name="_Toc1811"/>
      <w:r>
        <w:rPr>
          <w:rFonts w:hint="eastAsia" w:ascii="方正楷体_GBK" w:hAnsi="宋体" w:eastAsia="方正楷体_GBK" w:cs="宋体"/>
          <w:color w:val="auto"/>
          <w:kern w:val="0"/>
          <w:szCs w:val="28"/>
          <w:highlight w:val="none"/>
        </w:rPr>
        <w:t>（四）法律责任</w:t>
      </w:r>
      <w:bookmarkEnd w:id="186"/>
      <w:bookmarkEnd w:id="187"/>
    </w:p>
    <w:p>
      <w:pPr>
        <w:spacing w:line="440" w:lineRule="exact"/>
        <w:ind w:firstLine="560" w:firstLineChars="200"/>
        <w:rPr>
          <w:rFonts w:hint="eastAsia" w:ascii="方正仿宋_GBK" w:hAnsi="宋体" w:eastAsia="方正仿宋_GBK" w:cs="宋体"/>
          <w:color w:val="auto"/>
          <w:szCs w:val="28"/>
          <w:highlight w:val="none"/>
        </w:rPr>
      </w:pPr>
      <w:bookmarkStart w:id="188" w:name="_Toc29864"/>
      <w:bookmarkStart w:id="189" w:name="_Toc21374"/>
      <w:r>
        <w:rPr>
          <w:rFonts w:hint="eastAsia" w:ascii="方正仿宋_GBK" w:hAnsi="宋体" w:eastAsia="方正仿宋_GBK" w:cs="宋体"/>
          <w:color w:val="auto"/>
          <w:szCs w:val="28"/>
          <w:highlight w:val="none"/>
        </w:rPr>
        <w:t>投标人违反《中华人民共和国政府采购法</w:t>
      </w:r>
      <w:r>
        <w:rPr>
          <w:rFonts w:hint="eastAsia" w:ascii="方正仿宋_GBK" w:hAnsi="宋体" w:eastAsia="方正仿宋_GBK" w:cs="宋体"/>
          <w:color w:val="auto"/>
          <w:szCs w:val="28"/>
          <w:highlight w:val="none"/>
          <w:lang w:eastAsia="zh-CN"/>
        </w:rPr>
        <w:t>》《</w:t>
      </w:r>
      <w:bookmarkStart w:id="190" w:name="OLE_LINK31"/>
      <w:r>
        <w:rPr>
          <w:rFonts w:hint="eastAsia" w:ascii="方正仿宋_GBK" w:hAnsi="宋体" w:eastAsia="方正仿宋_GBK" w:cs="宋体"/>
          <w:color w:val="auto"/>
          <w:szCs w:val="28"/>
          <w:highlight w:val="none"/>
        </w:rPr>
        <w:t>中华人民共和国政府采购实施条例</w:t>
      </w:r>
      <w:bookmarkEnd w:id="190"/>
      <w:r>
        <w:rPr>
          <w:rFonts w:hint="eastAsia" w:ascii="方正仿宋_GBK" w:hAnsi="宋体" w:eastAsia="方正仿宋_GBK" w:cs="宋体"/>
          <w:color w:val="auto"/>
          <w:szCs w:val="28"/>
          <w:highlight w:val="none"/>
        </w:rPr>
        <w:t>》等相关规定，将按规定追究投标人法律责任。</w:t>
      </w:r>
      <w:bookmarkEnd w:id="188"/>
      <w:bookmarkEnd w:id="189"/>
    </w:p>
    <w:p>
      <w:pPr>
        <w:pStyle w:val="3"/>
        <w:spacing w:line="440" w:lineRule="exact"/>
        <w:ind w:firstLine="562" w:firstLineChars="200"/>
        <w:rPr>
          <w:rFonts w:hint="eastAsia" w:ascii="方正黑体_GBK" w:eastAsia="方正黑体_GBK" w:cs="宋体"/>
          <w:b/>
          <w:color w:val="auto"/>
          <w:szCs w:val="28"/>
          <w:highlight w:val="none"/>
        </w:rPr>
      </w:pPr>
      <w:bookmarkStart w:id="191" w:name="_Toc28953"/>
      <w:bookmarkStart w:id="192" w:name="_Toc169703203"/>
      <w:bookmarkStart w:id="193" w:name="_Toc6206"/>
      <w:bookmarkStart w:id="194" w:name="_Toc4575"/>
      <w:r>
        <w:rPr>
          <w:rFonts w:hint="eastAsia" w:ascii="方正黑体_GBK" w:eastAsia="方正黑体_GBK" w:cs="宋体"/>
          <w:b/>
          <w:color w:val="auto"/>
          <w:szCs w:val="28"/>
          <w:highlight w:val="none"/>
        </w:rPr>
        <w:t>二、招标文件</w:t>
      </w:r>
      <w:bookmarkEnd w:id="191"/>
      <w:bookmarkEnd w:id="192"/>
      <w:bookmarkEnd w:id="193"/>
      <w:bookmarkEnd w:id="194"/>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招标文件是投标人编制电子投标文件的依据，是评标委员会评判依据和标准。招标文件也是采购人与中标人签订合同的基础。</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（一）招标文件由投标邀请书；项目技术（质量）需求；项目商务需求；投标人须知；资格审查、评标方法、评标标准、无效投标条款和废标条款；合同主要条款、合同范本；电子投标文件格式等七部分组成。</w:t>
      </w:r>
    </w:p>
    <w:p>
      <w:pPr>
        <w:snapToGrid w:val="0"/>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（二）采购代理机构对招标文件所作的一切有效的书面通知、修改及补充，都是招标文件不可分割的部分。</w:t>
      </w:r>
    </w:p>
    <w:p>
      <w:pPr>
        <w:snapToGrid w:val="0"/>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w:t>
      </w:r>
      <w:bookmarkStart w:id="195" w:name="_Hlk148216511"/>
      <w:r>
        <w:rPr>
          <w:rFonts w:hint="eastAsia" w:ascii="方正仿宋_GBK" w:hAnsi="宋体" w:eastAsia="方正仿宋_GBK" w:cs="宋体"/>
          <w:color w:val="auto"/>
          <w:szCs w:val="28"/>
          <w:highlight w:val="none"/>
        </w:rPr>
        <w:t>本项目的招标文件、澄清文件（如果有）一律在重庆市政府采购网（www.ccgp-chongqing.gov.cn）</w:t>
      </w:r>
      <w:bookmarkStart w:id="196" w:name="_Hlk148291873"/>
      <w:r>
        <w:rPr>
          <w:rFonts w:hint="eastAsia" w:ascii="方正仿宋_GBK" w:hAnsi="宋体" w:eastAsia="方正仿宋_GBK" w:cs="宋体"/>
          <w:color w:val="auto"/>
          <w:szCs w:val="28"/>
          <w:highlight w:val="none"/>
        </w:rPr>
        <w:t>，请各投标人注意在线获取招标文件的时间、方式（请参考第一篇第四条“投标、开标有关说明”）和下载流程；无论投标人在线获取和下载与否，均视同投标人已知晓本项目招标文件、澄清文件的内容。</w:t>
      </w:r>
      <w:bookmarkEnd w:id="196"/>
    </w:p>
    <w:bookmarkEnd w:id="195"/>
    <w:p>
      <w:pPr>
        <w:snapToGrid w:val="0"/>
        <w:spacing w:line="440" w:lineRule="exact"/>
        <w:ind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（四）采购代理机构对已发出的招标文件需要进行澄清或修改的，应以书面形式或公告形式通知所有招标文件收受人。该澄清或者修改的内容为招标文件的组成部分。</w:t>
      </w:r>
    </w:p>
    <w:p>
      <w:pPr>
        <w:pStyle w:val="3"/>
        <w:spacing w:line="440" w:lineRule="exact"/>
        <w:ind w:firstLine="562" w:firstLineChars="200"/>
        <w:rPr>
          <w:rFonts w:hint="eastAsia" w:ascii="方正黑体_GBK" w:eastAsia="方正黑体_GBK" w:cs="宋体"/>
          <w:b/>
          <w:color w:val="auto"/>
          <w:szCs w:val="28"/>
          <w:highlight w:val="none"/>
        </w:rPr>
      </w:pPr>
      <w:bookmarkStart w:id="197" w:name="_Toc32422"/>
      <w:bookmarkStart w:id="198" w:name="_Toc169703204"/>
      <w:bookmarkStart w:id="199" w:name="_Toc29006"/>
      <w:bookmarkStart w:id="200" w:name="_Toc7970"/>
      <w:r>
        <w:rPr>
          <w:rFonts w:hint="eastAsia" w:ascii="方正黑体_GBK" w:eastAsia="方正黑体_GBK" w:cs="宋体"/>
          <w:b/>
          <w:color w:val="auto"/>
          <w:szCs w:val="28"/>
          <w:highlight w:val="none"/>
        </w:rPr>
        <w:t>三、电子投标文件</w:t>
      </w:r>
      <w:bookmarkEnd w:id="197"/>
      <w:bookmarkEnd w:id="198"/>
      <w:bookmarkEnd w:id="199"/>
      <w:bookmarkEnd w:id="200"/>
    </w:p>
    <w:p>
      <w:pPr>
        <w:spacing w:line="440" w:lineRule="exact"/>
        <w:ind w:firstLine="560" w:firstLineChars="200"/>
        <w:rPr>
          <w:rFonts w:hint="eastAsia" w:ascii="方正仿宋_GBK" w:hAnsi="宋体" w:eastAsia="方正仿宋_GBK" w:cs="宋体"/>
          <w:color w:val="auto"/>
          <w:szCs w:val="28"/>
          <w:highlight w:val="none"/>
        </w:rPr>
      </w:pPr>
      <w:bookmarkStart w:id="201" w:name="_Hlk148216551"/>
      <w:r>
        <w:rPr>
          <w:rFonts w:hint="eastAsia" w:ascii="方正仿宋_GBK" w:hAnsi="宋体" w:eastAsia="方正仿宋_GBK" w:cs="宋体"/>
          <w:color w:val="auto"/>
          <w:szCs w:val="28"/>
          <w:highlight w:val="none"/>
        </w:rPr>
        <w:t>投标人应当按照招标文件的要求编制电子投标文件，并对招标文件提出的要求和条件作出实质性响应，电子投标文件</w:t>
      </w:r>
      <w:bookmarkStart w:id="202" w:name="_Hlk148269444"/>
      <w:r>
        <w:rPr>
          <w:rFonts w:hint="eastAsia" w:ascii="方正仿宋_GBK" w:hAnsi="宋体" w:eastAsia="方正仿宋_GBK" w:cs="宋体"/>
          <w:color w:val="auto"/>
          <w:szCs w:val="28"/>
          <w:highlight w:val="none"/>
        </w:rPr>
        <w:t>应编制完整的页码、目录</w:t>
      </w:r>
      <w:bookmarkEnd w:id="202"/>
      <w:r>
        <w:rPr>
          <w:rFonts w:hint="eastAsia" w:ascii="方正仿宋_GBK" w:hAnsi="宋体" w:eastAsia="方正仿宋_GBK" w:cs="宋体"/>
          <w:color w:val="auto"/>
          <w:szCs w:val="28"/>
          <w:highlight w:val="none"/>
        </w:rPr>
        <w:t>。</w:t>
      </w:r>
    </w:p>
    <w:bookmarkEnd w:id="201"/>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（一）电子投标文件组成</w:t>
      </w:r>
    </w:p>
    <w:p>
      <w:pPr>
        <w:spacing w:line="440" w:lineRule="exact"/>
        <w:ind w:firstLine="560" w:firstLineChars="200"/>
        <w:rPr>
          <w:rFonts w:hint="eastAsia" w:ascii="方正仿宋_GBK" w:hAnsi="宋体" w:eastAsia="方正仿宋_GBK" w:cs="宋体"/>
          <w:color w:val="auto"/>
          <w:szCs w:val="28"/>
          <w:highlight w:val="none"/>
        </w:rPr>
      </w:pPr>
      <w:bookmarkStart w:id="203" w:name="_Hlk148216601"/>
      <w:bookmarkStart w:id="204" w:name="_Hlk148291970"/>
      <w:r>
        <w:rPr>
          <w:rFonts w:hint="eastAsia" w:ascii="方正仿宋_GBK" w:hAnsi="宋体" w:eastAsia="方正仿宋_GBK" w:cs="宋体"/>
          <w:color w:val="auto"/>
          <w:szCs w:val="28"/>
          <w:highlight w:val="none"/>
        </w:rPr>
        <w:t>电子投标文</w:t>
      </w:r>
      <w:r>
        <w:rPr>
          <w:rFonts w:hint="eastAsia" w:ascii="方正仿宋_GBK" w:hAnsi="宋体" w:eastAsia="方正仿宋_GBK" w:cs="宋体"/>
          <w:color w:val="auto"/>
          <w:szCs w:val="28"/>
          <w:highlight w:val="none"/>
          <w:lang w:eastAsia="zh-CN"/>
        </w:rPr>
        <w:t>件的</w:t>
      </w:r>
      <w:r>
        <w:rPr>
          <w:rFonts w:hint="eastAsia" w:ascii="方正仿宋_GBK" w:hAnsi="宋体" w:eastAsia="方正仿宋_GBK" w:cs="宋体"/>
          <w:color w:val="auto"/>
          <w:szCs w:val="28"/>
          <w:highlight w:val="none"/>
        </w:rPr>
        <w:t>主体内容由第七篇“电子投标文件格式”规定的部分和投标人所作的一切有效补充、修改和承诺等文件组成，投标人应按照第七篇“电子投标文件格式”规定的目录顺序组织编写。</w:t>
      </w:r>
    </w:p>
    <w:p>
      <w:pPr>
        <w:spacing w:line="440" w:lineRule="exact"/>
        <w:ind w:firstLine="560" w:firstLineChars="200"/>
        <w:rPr>
          <w:rFonts w:hint="eastAsia" w:ascii="方正仿宋_GBK" w:hAnsi="宋体" w:eastAsia="方正仿宋_GBK" w:cs="宋体"/>
          <w:color w:val="auto"/>
          <w:szCs w:val="28"/>
          <w:highlight w:val="none"/>
        </w:rPr>
      </w:pPr>
      <w:bookmarkStart w:id="205" w:name="_Hlk148269565"/>
      <w:r>
        <w:rPr>
          <w:rFonts w:hint="eastAsia" w:ascii="方正仿宋_GBK" w:hAnsi="宋体" w:eastAsia="方正仿宋_GBK" w:cs="宋体"/>
          <w:color w:val="auto"/>
          <w:szCs w:val="28"/>
          <w:highlight w:val="none"/>
        </w:rPr>
        <w:t>电子投标文件必须根据《政府采购全程电子化采购系统供应商操作手册（CA证书签章版）》手册第五章内容，完成电子投标文件的报价一览表信息填写、投标文件（PDF格式）的导入、条款页码关联、电子投标文件电子章签署、下载加密电子投标文件等工作。否则有可能影响评委对电子投标文件的评审</w:t>
      </w:r>
      <w:bookmarkEnd w:id="203"/>
      <w:r>
        <w:rPr>
          <w:rFonts w:hint="eastAsia" w:ascii="方正仿宋_GBK" w:hAnsi="宋体" w:eastAsia="方正仿宋_GBK" w:cs="宋体"/>
          <w:color w:val="auto"/>
          <w:szCs w:val="28"/>
          <w:highlight w:val="none"/>
        </w:rPr>
        <w:t>。</w:t>
      </w:r>
    </w:p>
    <w:bookmarkEnd w:id="204"/>
    <w:bookmarkEnd w:id="205"/>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（二）联合投标（接受联合体投标时适用）</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1.两个以上投标人可以组成一个投标联合体，以一个投标人的身份投标。</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2.以联合体形式参加投标的，联合体各方均应</w:t>
      </w:r>
      <w:r>
        <w:rPr>
          <w:rFonts w:hint="eastAsia" w:ascii="方正仿宋_GBK" w:hAnsi="宋体" w:eastAsia="方正仿宋_GBK" w:cs="宋体"/>
          <w:color w:val="auto"/>
          <w:kern w:val="0"/>
          <w:szCs w:val="28"/>
          <w:highlight w:val="none"/>
        </w:rPr>
        <w:t>满足投标人资格要求（详见“第一篇”）</w:t>
      </w:r>
      <w:r>
        <w:rPr>
          <w:rFonts w:hint="eastAsia" w:ascii="方正仿宋_GBK" w:hAnsi="宋体" w:eastAsia="方正仿宋_GBK" w:cs="宋体"/>
          <w:color w:val="auto"/>
          <w:szCs w:val="28"/>
          <w:highlight w:val="none"/>
        </w:rPr>
        <w:t>。联合体中有同类资质的投标人按照联合体分工承担相同工作的，应当按照资质等级较低的投标人确定资质等级。</w:t>
      </w:r>
    </w:p>
    <w:p>
      <w:pPr>
        <w:spacing w:line="440" w:lineRule="exact"/>
        <w:ind w:firstLine="560" w:firstLineChars="200"/>
        <w:rPr>
          <w:rFonts w:hint="eastAsia" w:ascii="方正仿宋_GBK" w:hAnsi="宋体" w:eastAsia="方正仿宋_GBK" w:cs="宋体"/>
          <w:color w:val="auto"/>
          <w:szCs w:val="28"/>
          <w:highlight w:val="none"/>
        </w:rPr>
      </w:pPr>
      <w:bookmarkStart w:id="206" w:name="_Hlk148216637"/>
      <w:r>
        <w:rPr>
          <w:rFonts w:hint="eastAsia" w:ascii="方正仿宋_GBK" w:hAnsi="宋体" w:eastAsia="方正仿宋_GBK" w:cs="宋体"/>
          <w:color w:val="auto"/>
          <w:szCs w:val="28"/>
          <w:highlight w:val="none"/>
        </w:rPr>
        <w:t>3.联合体各方之间应当签订</w:t>
      </w:r>
      <w:r>
        <w:rPr>
          <w:rFonts w:hint="eastAsia" w:ascii="方正仿宋_GBK" w:hAnsi="宋体" w:eastAsia="方正仿宋_GBK" w:cs="宋体"/>
          <w:color w:val="auto"/>
          <w:kern w:val="0"/>
          <w:szCs w:val="28"/>
          <w:highlight w:val="none"/>
        </w:rPr>
        <w:t>联合投标协议</w:t>
      </w:r>
      <w:r>
        <w:rPr>
          <w:rFonts w:hint="eastAsia" w:ascii="方正仿宋_GBK" w:hAnsi="宋体" w:eastAsia="方正仿宋_GBK" w:cs="宋体"/>
          <w:color w:val="auto"/>
          <w:szCs w:val="28"/>
          <w:highlight w:val="none"/>
        </w:rPr>
        <w:t>，</w:t>
      </w:r>
      <w:r>
        <w:rPr>
          <w:rFonts w:hint="eastAsia" w:ascii="方正仿宋_GBK" w:hAnsi="宋体" w:eastAsia="方正仿宋_GBK" w:cs="宋体"/>
          <w:color w:val="auto"/>
          <w:kern w:val="0"/>
          <w:szCs w:val="28"/>
          <w:highlight w:val="none"/>
        </w:rPr>
        <w:t>联合投标协议</w:t>
      </w:r>
      <w:r>
        <w:rPr>
          <w:rFonts w:hint="eastAsia" w:ascii="方正仿宋_GBK" w:hAnsi="宋体" w:eastAsia="方正仿宋_GBK" w:cs="宋体"/>
          <w:color w:val="auto"/>
          <w:szCs w:val="28"/>
          <w:highlight w:val="none"/>
        </w:rPr>
        <w:t>中应确定主办方（主体），代表联合体进行投标和澄清。</w:t>
      </w:r>
      <w:r>
        <w:rPr>
          <w:rFonts w:hint="eastAsia" w:ascii="方正仿宋_GBK" w:hAnsi="宋体" w:eastAsia="方正仿宋_GBK" w:cs="宋体"/>
          <w:color w:val="auto"/>
          <w:kern w:val="0"/>
          <w:szCs w:val="28"/>
          <w:highlight w:val="none"/>
        </w:rPr>
        <w:t>联合投标协议</w:t>
      </w:r>
      <w:r>
        <w:rPr>
          <w:rFonts w:hint="eastAsia" w:ascii="方正仿宋_GBK" w:hAnsi="宋体" w:eastAsia="方正仿宋_GBK" w:cs="宋体"/>
          <w:color w:val="auto"/>
          <w:szCs w:val="28"/>
          <w:highlight w:val="none"/>
        </w:rPr>
        <w:t>应明确约定联合体各方承担的工作和相应的责任，</w:t>
      </w:r>
      <w:bookmarkStart w:id="207" w:name="_Hlk148269647"/>
      <w:r>
        <w:rPr>
          <w:rFonts w:hint="eastAsia" w:ascii="方正仿宋_GBK" w:hAnsi="宋体" w:eastAsia="方正仿宋_GBK" w:cs="宋体"/>
          <w:color w:val="auto"/>
          <w:szCs w:val="28"/>
          <w:highlight w:val="none"/>
        </w:rPr>
        <w:t>并将联合投标协议装在“第七篇  电子投标文件格式”规定的“四、其他（三）联合体协议或分包意向协议（如有，格式自定）”的电子投标文件中。在电子投标文件递交截止时间前登录“重庆市政府采购网”，将电子投标文件上传到“在线开评标”→“我的投标项目” →“在线投标”处</w:t>
      </w:r>
      <w:bookmarkEnd w:id="206"/>
      <w:r>
        <w:rPr>
          <w:rFonts w:hint="eastAsia" w:ascii="方正仿宋_GBK" w:hAnsi="宋体" w:eastAsia="方正仿宋_GBK" w:cs="宋体"/>
          <w:color w:val="auto"/>
          <w:szCs w:val="28"/>
          <w:highlight w:val="none"/>
        </w:rPr>
        <w:t>。</w:t>
      </w:r>
      <w:bookmarkEnd w:id="207"/>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4.以联合体形式参加政府采购活动的，联合体各方不得再单独参加或者与其他投标人另外组成联合体参加同一合同项下的政府采购活动。</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5.投标人为联合体的，由联合体中的主办方（主体）代表联合体交纳保证金，其交纳的保证金对联合体各方均具有约束力。</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6.联合体投标业绩计算，按照</w:t>
      </w:r>
      <w:r>
        <w:rPr>
          <w:rFonts w:hint="eastAsia" w:ascii="方正仿宋_GBK" w:hAnsi="宋体" w:eastAsia="方正仿宋_GBK" w:cs="宋体"/>
          <w:color w:val="auto"/>
          <w:kern w:val="0"/>
          <w:szCs w:val="28"/>
          <w:highlight w:val="none"/>
        </w:rPr>
        <w:t>联合投标协议</w:t>
      </w:r>
      <w:r>
        <w:rPr>
          <w:rFonts w:hint="eastAsia" w:ascii="方正仿宋_GBK" w:hAnsi="宋体" w:eastAsia="方正仿宋_GBK" w:cs="宋体"/>
          <w:color w:val="auto"/>
          <w:szCs w:val="28"/>
          <w:highlight w:val="none"/>
        </w:rPr>
        <w:t>分工认定。</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7.两个以上的自然人、法人或者其他组织组成一个联合体，以一个投标人的身份共同参加政府采购活动的，联合体成员存在不良信用记录的，视同联合体存在不良信用记录，将拒绝该联合体参与政府采购活动。</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8.以联合体投标的，</w:t>
      </w:r>
      <w:r>
        <w:rPr>
          <w:rFonts w:hint="eastAsia" w:ascii="方正仿宋_GBK" w:hAnsi="宋体" w:eastAsia="方正仿宋_GBK" w:cs="宋体"/>
          <w:color w:val="auto"/>
          <w:kern w:val="0"/>
          <w:szCs w:val="28"/>
          <w:highlight w:val="none"/>
        </w:rPr>
        <w:t>联合投标协议</w:t>
      </w:r>
      <w:r>
        <w:rPr>
          <w:rFonts w:hint="eastAsia" w:ascii="方正仿宋_GBK" w:hAnsi="宋体" w:eastAsia="方正仿宋_GBK" w:cs="宋体"/>
          <w:color w:val="auto"/>
          <w:szCs w:val="28"/>
          <w:highlight w:val="none"/>
        </w:rPr>
        <w:t>应确定主办方（主体），代表联合体进行投标和澄清。法定代表人授权委托书由联合体主办方（主体）出具。联合体各方均应满足投标人资格要求（详见“第一篇”）。</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（三）投标有效期</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投标有效期为电子投标文件递交截止时间起90天。</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（四）投标保证金</w:t>
      </w:r>
    </w:p>
    <w:p>
      <w:pPr>
        <w:tabs>
          <w:tab w:val="left" w:pos="0"/>
        </w:tabs>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1.投标人应在电子投标文件递交截止时间前，按招标文件第一篇规定交纳投标保证金。</w:t>
      </w:r>
    </w:p>
    <w:p>
      <w:pPr>
        <w:tabs>
          <w:tab w:val="left" w:pos="0"/>
        </w:tabs>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2.投标保证金为投标的有效约束条件。</w:t>
      </w:r>
    </w:p>
    <w:p>
      <w:pPr>
        <w:tabs>
          <w:tab w:val="left" w:pos="0"/>
        </w:tabs>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3.投标保证金的有效期限在投标有效期过后三十天继续有效。</w:t>
      </w:r>
    </w:p>
    <w:p>
      <w:pPr>
        <w:tabs>
          <w:tab w:val="left" w:pos="0"/>
        </w:tabs>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4.投标保证金币种应与投标报价币种相同。</w:t>
      </w:r>
    </w:p>
    <w:p>
      <w:pPr>
        <w:tabs>
          <w:tab w:val="left" w:pos="0"/>
        </w:tabs>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5.《中标通知书》发出后，由代理机构五个工作日内退还未中标人的投标保证金；在采购合同签订后，由代理机构五个工作</w:t>
      </w:r>
      <w:r>
        <w:rPr>
          <w:rFonts w:hint="eastAsia" w:ascii="方正仿宋_GBK" w:hAnsi="宋体" w:eastAsia="方正仿宋_GBK" w:cs="宋体"/>
          <w:color w:val="auto"/>
          <w:szCs w:val="28"/>
          <w:highlight w:val="none"/>
          <w:lang w:eastAsia="zh-CN"/>
        </w:rPr>
        <w:t>日内</w:t>
      </w:r>
      <w:r>
        <w:rPr>
          <w:rFonts w:hint="eastAsia" w:ascii="方正仿宋_GBK" w:hAnsi="宋体" w:eastAsia="方正仿宋_GBK" w:cs="宋体"/>
          <w:color w:val="auto"/>
          <w:szCs w:val="28"/>
          <w:highlight w:val="none"/>
        </w:rPr>
        <w:t>退还中标人的投标保证金。</w:t>
      </w:r>
    </w:p>
    <w:p>
      <w:pPr>
        <w:tabs>
          <w:tab w:val="left" w:pos="0"/>
        </w:tabs>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6.投标人有下列情形之一的，采购人或者采购代理机构可以不退还投标保证金：</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6.1</w:t>
      </w:r>
      <w:bookmarkStart w:id="208" w:name="_Hlk148216663"/>
      <w:r>
        <w:rPr>
          <w:rFonts w:hint="eastAsia" w:ascii="方正仿宋_GBK" w:hAnsi="宋体" w:eastAsia="方正仿宋_GBK" w:cs="宋体"/>
          <w:color w:val="auto"/>
          <w:szCs w:val="28"/>
          <w:highlight w:val="none"/>
        </w:rPr>
        <w:t>投标人在投标有效</w:t>
      </w:r>
      <w:r>
        <w:rPr>
          <w:rFonts w:hint="eastAsia" w:ascii="方正仿宋_GBK" w:hAnsi="宋体" w:eastAsia="方正仿宋_GBK" w:cs="宋体"/>
          <w:color w:val="auto"/>
          <w:szCs w:val="28"/>
          <w:highlight w:val="none"/>
          <w:lang w:eastAsia="zh-CN"/>
        </w:rPr>
        <w:t>期内</w:t>
      </w:r>
      <w:r>
        <w:rPr>
          <w:rFonts w:hint="eastAsia" w:ascii="方正仿宋_GBK" w:hAnsi="宋体" w:eastAsia="方正仿宋_GBK" w:cs="宋体"/>
          <w:color w:val="auto"/>
          <w:szCs w:val="28"/>
          <w:highlight w:val="none"/>
        </w:rPr>
        <w:t>撤销电子投标文件的</w:t>
      </w:r>
      <w:bookmarkEnd w:id="208"/>
      <w:r>
        <w:rPr>
          <w:rFonts w:hint="eastAsia" w:ascii="方正仿宋_GBK" w:hAnsi="宋体" w:eastAsia="方正仿宋_GBK" w:cs="宋体"/>
          <w:color w:val="auto"/>
          <w:szCs w:val="28"/>
          <w:highlight w:val="none"/>
        </w:rPr>
        <w:t>；</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6.2投标人未按规定提交履约保证金的；</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6.3投标人在投标过程中弄虚作假，提供虚假材料的；</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6.4中标人无正当理由不与采购人签订合同的；</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6.5中标人将中标项目转让给他人或者在电子投标文件中未说明且未经采购人同意，将中标项目分包给他人的；</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6.6中标人拒绝履行合同义务的；</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6.7其他严重扰乱招投标程序的。</w:t>
      </w:r>
    </w:p>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（五）电子投标文件的份数和签署</w:t>
      </w:r>
    </w:p>
    <w:p>
      <w:pPr>
        <w:tabs>
          <w:tab w:val="left" w:pos="1764"/>
        </w:tabs>
        <w:snapToGrid w:val="0"/>
        <w:spacing w:line="440" w:lineRule="exact"/>
        <w:ind w:firstLine="560" w:firstLineChars="200"/>
        <w:rPr>
          <w:rFonts w:hint="eastAsia" w:ascii="方正仿宋_GBK" w:hAnsi="宋体" w:eastAsia="方正仿宋_GBK" w:cs="宋体"/>
          <w:color w:val="auto"/>
          <w:szCs w:val="28"/>
          <w:highlight w:val="none"/>
        </w:rPr>
      </w:pPr>
      <w:bookmarkStart w:id="209" w:name="_Hlk148216690"/>
      <w:r>
        <w:rPr>
          <w:rFonts w:hint="eastAsia" w:ascii="方正仿宋_GBK" w:hAnsi="宋体" w:eastAsia="方正仿宋_GBK" w:cs="宋体"/>
          <w:color w:val="auto"/>
          <w:szCs w:val="28"/>
          <w:highlight w:val="none"/>
        </w:rPr>
        <w:t>1.</w:t>
      </w:r>
      <w:r>
        <w:rPr>
          <w:rFonts w:hint="eastAsia" w:ascii="方正仿宋_GBK" w:eastAsia="方正仿宋_GBK"/>
          <w:color w:val="auto"/>
          <w:szCs w:val="28"/>
          <w:highlight w:val="none"/>
        </w:rPr>
        <w:t xml:space="preserve"> </w:t>
      </w:r>
      <w:bookmarkStart w:id="210" w:name="_Hlk148269965"/>
      <w:r>
        <w:rPr>
          <w:rFonts w:hint="eastAsia" w:ascii="方正仿宋_GBK" w:hAnsi="宋体" w:eastAsia="方正仿宋_GBK" w:cs="宋体"/>
          <w:color w:val="auto"/>
          <w:szCs w:val="28"/>
          <w:highlight w:val="none"/>
        </w:rPr>
        <w:t>电子投标文件一式一份，投标时请提交通过投标文件制作系统下载的电子加密投标文件。若因系统或CA证书异常原因无法正常解密，投标人须在电子开标室向采购代理机构申请提交电子备份投标文件，电子招投标系统会对电子备份投标文件与电子加密投标文件的一致性进行核验，若投标人操作失误，后果自行负责。</w:t>
      </w:r>
      <w:bookmarkEnd w:id="210"/>
    </w:p>
    <w:p>
      <w:pPr>
        <w:tabs>
          <w:tab w:val="left" w:pos="1764"/>
        </w:tabs>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w:t>
      </w:r>
      <w:r>
        <w:rPr>
          <w:rFonts w:hint="eastAsia" w:ascii="方正仿宋_GBK" w:eastAsia="方正仿宋_GBK"/>
          <w:color w:val="auto"/>
          <w:szCs w:val="28"/>
          <w:highlight w:val="none"/>
        </w:rPr>
        <w:t xml:space="preserve"> </w:t>
      </w:r>
      <w:r>
        <w:rPr>
          <w:rFonts w:hint="eastAsia" w:ascii="方正仿宋_GBK" w:hAnsi="宋体" w:eastAsia="方正仿宋_GBK" w:cs="宋体"/>
          <w:color w:val="auto"/>
          <w:szCs w:val="28"/>
          <w:highlight w:val="none"/>
        </w:rPr>
        <w:t>在电子投标文件中，招标文件第七篇电子投标文件格式中规定签署、盖章的地方必须按其规定签署、盖章。</w:t>
      </w:r>
    </w:p>
    <w:bookmarkEnd w:id="209"/>
    <w:p>
      <w:pPr>
        <w:snapToGrid w:val="0"/>
        <w:spacing w:line="440" w:lineRule="exact"/>
        <w:ind w:firstLine="548" w:firstLineChars="196"/>
        <w:jc w:val="left"/>
        <w:rPr>
          <w:rFonts w:hint="eastAsia" w:ascii="方正仿宋_GBK" w:hAnsi="宋体" w:eastAsia="方正仿宋_GBK" w:cs="宋体"/>
          <w:bCs/>
          <w:color w:val="auto"/>
          <w:szCs w:val="28"/>
          <w:highlight w:val="none"/>
        </w:rPr>
      </w:pPr>
      <w:bookmarkStart w:id="211" w:name="_Hlk148216710"/>
      <w:r>
        <w:rPr>
          <w:rFonts w:hint="eastAsia" w:ascii="方正仿宋_GBK" w:hAnsi="宋体" w:eastAsia="方正仿宋_GBK" w:cs="宋体"/>
          <w:color w:val="auto"/>
          <w:szCs w:val="28"/>
          <w:highlight w:val="none"/>
        </w:rPr>
        <w:t>3.电报、电话、传真形式的投标文件概不接受。</w:t>
      </w:r>
    </w:p>
    <w:bookmarkEnd w:id="211"/>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（六）投标报价</w:t>
      </w:r>
    </w:p>
    <w:p>
      <w:pPr>
        <w:pStyle w:val="30"/>
        <w:spacing w:line="440" w:lineRule="exact"/>
        <w:ind w:firstLine="560" w:firstLineChars="200"/>
        <w:rPr>
          <w:rFonts w:hint="eastAsia" w:ascii="方正仿宋_GBK" w:hAnsi="宋体" w:eastAsia="方正仿宋_GBK" w:cs="宋体"/>
          <w:bCs/>
          <w:color w:val="auto"/>
          <w:sz w:val="28"/>
          <w:szCs w:val="28"/>
          <w:highlight w:val="none"/>
        </w:rPr>
      </w:pPr>
      <w:bookmarkStart w:id="212" w:name="_Hlk148216743"/>
      <w:bookmarkStart w:id="213" w:name="_Hlk148293437"/>
      <w:r>
        <w:rPr>
          <w:rFonts w:hint="eastAsia" w:ascii="方正仿宋_GBK" w:hAnsi="宋体" w:eastAsia="方正仿宋_GBK" w:cs="宋体"/>
          <w:bCs/>
          <w:color w:val="auto"/>
          <w:sz w:val="28"/>
          <w:szCs w:val="28"/>
          <w:highlight w:val="none"/>
        </w:rPr>
        <w:t>1.投标人应严格按照“第七篇 电子投标文件格式”中“开标一览表</w:t>
      </w:r>
      <w:r>
        <w:rPr>
          <w:rFonts w:hint="eastAsia" w:ascii="方正仿宋_GBK" w:hAnsi="宋体" w:eastAsia="方正仿宋_GBK" w:cs="宋体"/>
          <w:bCs/>
          <w:color w:val="auto"/>
          <w:sz w:val="28"/>
          <w:szCs w:val="28"/>
          <w:highlight w:val="none"/>
          <w:lang w:eastAsia="zh-CN"/>
        </w:rPr>
        <w:t>”“</w:t>
      </w:r>
      <w:r>
        <w:rPr>
          <w:rFonts w:hint="eastAsia" w:ascii="方正仿宋_GBK" w:hAnsi="宋体" w:eastAsia="方正仿宋_GBK" w:cs="宋体"/>
          <w:bCs/>
          <w:color w:val="auto"/>
          <w:sz w:val="28"/>
          <w:szCs w:val="28"/>
          <w:highlight w:val="none"/>
        </w:rPr>
        <w:t>分项报价明细表”和“电子投标文件制作系统中的报价一览表”的格式填写投标报价。</w:t>
      </w:r>
    </w:p>
    <w:p>
      <w:pPr>
        <w:pStyle w:val="30"/>
        <w:spacing w:line="440" w:lineRule="exact"/>
        <w:ind w:firstLine="560" w:firstLineChars="200"/>
        <w:rPr>
          <w:rFonts w:hint="eastAsia" w:ascii="方正仿宋_GBK" w:hAnsi="宋体" w:eastAsia="方正仿宋_GBK" w:cs="宋体"/>
          <w:bCs/>
          <w:color w:val="auto"/>
          <w:sz w:val="28"/>
          <w:szCs w:val="28"/>
          <w:highlight w:val="none"/>
        </w:rPr>
      </w:pPr>
      <w:r>
        <w:rPr>
          <w:rFonts w:hint="eastAsia" w:ascii="方正仿宋_GBK" w:hAnsi="宋体" w:eastAsia="方正仿宋_GBK" w:cs="宋体"/>
          <w:bCs/>
          <w:color w:val="auto"/>
          <w:sz w:val="28"/>
          <w:szCs w:val="28"/>
          <w:highlight w:val="none"/>
        </w:rPr>
        <w:t>2.投标人的报价为一次性报价，即在投标有效期内投标价格固定不变。</w:t>
      </w:r>
    </w:p>
    <w:p>
      <w:pPr>
        <w:pStyle w:val="30"/>
        <w:spacing w:line="440" w:lineRule="exact"/>
        <w:ind w:firstLine="560" w:firstLineChars="200"/>
        <w:rPr>
          <w:rFonts w:hint="eastAsia" w:ascii="方正仿宋_GBK" w:hAnsi="宋体" w:eastAsia="方正仿宋_GBK" w:cs="宋体"/>
          <w:bCs/>
          <w:color w:val="auto"/>
          <w:sz w:val="28"/>
          <w:szCs w:val="28"/>
          <w:highlight w:val="none"/>
        </w:rPr>
      </w:pPr>
      <w:r>
        <w:rPr>
          <w:rFonts w:hint="eastAsia" w:ascii="方正仿宋_GBK" w:hAnsi="宋体" w:eastAsia="方正仿宋_GBK" w:cs="宋体"/>
          <w:bCs/>
          <w:color w:val="auto"/>
          <w:sz w:val="28"/>
          <w:szCs w:val="28"/>
          <w:highlight w:val="none"/>
        </w:rPr>
        <w:t>3.本项目只接受一个投标报价（“第七篇 电子投标文件格式”中“开标一览表”的报价必须和电子招投标系统中《开标一览汇总表》所展示的投标报价一致。如果不一致时，以电子招投标系统中《开标一览汇总表》所展示的投标报价为准），有选择的或有条件的报价将不予接受。</w:t>
      </w:r>
    </w:p>
    <w:p>
      <w:pPr>
        <w:pStyle w:val="30"/>
        <w:spacing w:line="440" w:lineRule="exact"/>
        <w:ind w:firstLine="560" w:firstLineChars="200"/>
        <w:rPr>
          <w:rFonts w:hint="eastAsia" w:ascii="方正仿宋_GBK" w:hAnsi="宋体" w:eastAsia="方正仿宋_GBK" w:cs="宋体"/>
          <w:bCs/>
          <w:color w:val="auto"/>
          <w:sz w:val="28"/>
          <w:szCs w:val="28"/>
          <w:highlight w:val="none"/>
        </w:rPr>
      </w:pPr>
      <w:r>
        <w:rPr>
          <w:rFonts w:hint="eastAsia" w:ascii="方正仿宋_GBK" w:hAnsi="宋体" w:eastAsia="方正仿宋_GBK" w:cs="宋体"/>
          <w:bCs/>
          <w:color w:val="auto"/>
          <w:sz w:val="28"/>
          <w:szCs w:val="28"/>
          <w:highlight w:val="none"/>
        </w:rPr>
        <w:t>注：“电子投标文件制作系统中的报价一览表所填投标报价”与 “电子招投标系统中《开标一览汇总表》所展示的投标报价”</w:t>
      </w:r>
      <w:bookmarkEnd w:id="212"/>
      <w:r>
        <w:rPr>
          <w:rFonts w:hint="eastAsia" w:ascii="方正仿宋_GBK" w:hAnsi="宋体" w:eastAsia="方正仿宋_GBK" w:cs="宋体"/>
          <w:bCs/>
          <w:color w:val="auto"/>
          <w:sz w:val="28"/>
          <w:szCs w:val="28"/>
          <w:highlight w:val="none"/>
        </w:rPr>
        <w:t>为同一投标报价信息。</w:t>
      </w:r>
    </w:p>
    <w:bookmarkEnd w:id="213"/>
    <w:p>
      <w:pPr>
        <w:snapToGrid w:val="0"/>
        <w:spacing w:line="440" w:lineRule="exact"/>
        <w:ind w:firstLine="560" w:firstLineChars="200"/>
        <w:rPr>
          <w:rFonts w:hint="eastAsia" w:ascii="方正楷体_GBK" w:hAnsi="宋体" w:eastAsia="方正楷体_GBK" w:cs="宋体"/>
          <w:color w:val="auto"/>
          <w:kern w:val="0"/>
          <w:szCs w:val="28"/>
          <w:highlight w:val="none"/>
        </w:rPr>
      </w:pPr>
      <w:r>
        <w:rPr>
          <w:rFonts w:hint="eastAsia" w:ascii="方正楷体_GBK" w:hAnsi="宋体" w:eastAsia="方正楷体_GBK" w:cs="宋体"/>
          <w:color w:val="auto"/>
          <w:kern w:val="0"/>
          <w:szCs w:val="28"/>
          <w:highlight w:val="none"/>
        </w:rPr>
        <w:t>（七）修正错误</w:t>
      </w:r>
    </w:p>
    <w:p>
      <w:pPr>
        <w:pStyle w:val="30"/>
        <w:spacing w:line="440" w:lineRule="exact"/>
        <w:ind w:firstLine="560" w:firstLineChars="200"/>
        <w:rPr>
          <w:rFonts w:hint="eastAsia" w:ascii="方正仿宋_GBK" w:hAnsi="宋体" w:eastAsia="方正仿宋_GBK" w:cs="宋体"/>
          <w:color w:val="auto"/>
          <w:sz w:val="28"/>
          <w:szCs w:val="28"/>
          <w:highlight w:val="none"/>
        </w:rPr>
      </w:pPr>
      <w:bookmarkStart w:id="214" w:name="_Hlk148216797"/>
      <w:bookmarkStart w:id="215" w:name="_Hlk148293505"/>
      <w:r>
        <w:rPr>
          <w:rFonts w:hint="eastAsia" w:ascii="方正仿宋_GBK" w:hAnsi="宋体" w:eastAsia="方正仿宋_GBK" w:cs="宋体"/>
          <w:color w:val="auto"/>
          <w:sz w:val="28"/>
          <w:szCs w:val="28"/>
          <w:highlight w:val="none"/>
        </w:rPr>
        <w:t>若电子投标文件出现计算或表达上的错误，修正错误的原则如下：</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1.电子投标文件中开标一览表（报价表）内容与电子投标文件中相应内容不一致的，以开标一览表（报价表）为准；</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2.大写金额和小写金额不一致的，以大写金额为准；</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3.单价金额小数点或者百分比有明显错位的，以开标一览表的总价为准，并修改单价；</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4.总价金额与按单价汇总金额不一致的，以单价金额计算结果为准。</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5.电子投标文件中经济文件“开标一览表（报价表）”的投标报价信息与电子招投标系统中《开标一览汇总表》所展示的投标报价信息不一致时，以电子招投标系统中《开标一览汇总表》所展示的投标报价信息为准。</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bookmarkEnd w:id="214"/>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bCs/>
          <w:color w:val="auto"/>
          <w:sz w:val="28"/>
          <w:szCs w:val="28"/>
          <w:highlight w:val="none"/>
        </w:rPr>
        <w:t>注：“电子投标文件制作系统中的报价一览表所填投标报价信息”与“电子招投标系统中《开标一览汇总表》所展示的投标报价信息”为同一投标报价信息。</w:t>
      </w:r>
    </w:p>
    <w:bookmarkEnd w:id="215"/>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楷体_GBK" w:hAnsi="宋体" w:eastAsia="方正楷体_GBK" w:cs="宋体"/>
          <w:color w:val="auto"/>
          <w:kern w:val="0"/>
          <w:szCs w:val="28"/>
          <w:highlight w:val="none"/>
        </w:rPr>
        <w:t>（八）投标文件的递交</w:t>
      </w:r>
    </w:p>
    <w:p>
      <w:pPr>
        <w:pStyle w:val="30"/>
        <w:spacing w:line="440" w:lineRule="exact"/>
        <w:ind w:firstLine="560" w:firstLineChars="200"/>
        <w:rPr>
          <w:rFonts w:hint="eastAsia" w:ascii="方正仿宋_GBK" w:hAnsi="宋体" w:eastAsia="方正仿宋_GBK" w:cs="宋体"/>
          <w:color w:val="auto"/>
          <w:sz w:val="28"/>
          <w:szCs w:val="28"/>
          <w:highlight w:val="none"/>
        </w:rPr>
      </w:pPr>
      <w:bookmarkStart w:id="216" w:name="_Hlk148216864"/>
      <w:bookmarkStart w:id="217" w:name="_Hlk148216841"/>
      <w:r>
        <w:rPr>
          <w:rFonts w:hint="eastAsia" w:ascii="方正仿宋_GBK" w:hAnsi="宋体" w:eastAsia="方正仿宋_GBK" w:cs="宋体"/>
          <w:color w:val="auto"/>
          <w:sz w:val="28"/>
          <w:szCs w:val="28"/>
          <w:highlight w:val="none"/>
        </w:rPr>
        <w:t>1.</w:t>
      </w:r>
      <w:r>
        <w:rPr>
          <w:rFonts w:hint="eastAsia" w:ascii="方正仿宋_GBK" w:eastAsia="方正仿宋_GBK"/>
          <w:color w:val="auto"/>
          <w:sz w:val="28"/>
          <w:szCs w:val="28"/>
          <w:highlight w:val="none"/>
        </w:rPr>
        <w:t xml:space="preserve"> </w:t>
      </w:r>
      <w:r>
        <w:rPr>
          <w:rFonts w:hint="eastAsia" w:ascii="方正仿宋_GBK" w:hAnsi="宋体" w:eastAsia="方正仿宋_GBK" w:cs="宋体"/>
          <w:color w:val="auto"/>
          <w:sz w:val="28"/>
          <w:szCs w:val="28"/>
          <w:highlight w:val="none"/>
        </w:rPr>
        <w:t>电子投标文件的递交按照《政府采购全程电子化采购系统供应商操作手册（CA证书签章版）》手册第七章流程操作。</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2.须提交的相关原件（如果有）：应完整封装，且在封套上注明采购文件编号、采购计划编号、项目名称、投标人名称。封套的封口处应加盖投标人公章或由法定代表人授权代表签字，于开标时间前30分钟内完成现场递交（例如：开标时间为上午9:30分，</w:t>
      </w:r>
      <w:r>
        <w:rPr>
          <w:rFonts w:hint="eastAsia" w:ascii="方正仿宋_GBK" w:hAnsi="宋体" w:eastAsia="方正仿宋_GBK" w:cs="宋体"/>
          <w:color w:val="auto"/>
          <w:sz w:val="28"/>
          <w:szCs w:val="28"/>
          <w:highlight w:val="none"/>
          <w:lang w:eastAsia="zh-CN"/>
        </w:rPr>
        <w:t>则</w:t>
      </w:r>
      <w:r>
        <w:rPr>
          <w:rFonts w:hint="eastAsia" w:ascii="方正仿宋_GBK" w:hAnsi="宋体" w:eastAsia="方正仿宋_GBK" w:cs="宋体"/>
          <w:color w:val="auto"/>
          <w:sz w:val="28"/>
          <w:szCs w:val="28"/>
          <w:highlight w:val="none"/>
        </w:rPr>
        <w:t>现场原件递交开始时间为上午</w:t>
      </w:r>
      <w:r>
        <w:rPr>
          <w:rFonts w:hint="eastAsia" w:ascii="方正仿宋_GBK" w:hAnsi="宋体" w:eastAsia="方正仿宋_GBK" w:cs="宋体"/>
          <w:color w:val="auto"/>
          <w:sz w:val="28"/>
          <w:szCs w:val="28"/>
          <w:highlight w:val="none"/>
          <w:lang w:eastAsia="zh-CN"/>
        </w:rPr>
        <w:t>9:00分</w:t>
      </w:r>
      <w:r>
        <w:rPr>
          <w:rFonts w:hint="eastAsia" w:ascii="方正仿宋_GBK" w:hAnsi="宋体" w:eastAsia="方正仿宋_GBK" w:cs="宋体"/>
          <w:color w:val="auto"/>
          <w:sz w:val="28"/>
          <w:szCs w:val="28"/>
          <w:highlight w:val="none"/>
        </w:rPr>
        <w:t>）。相关原件递交地点同线下指定开标地点一致。</w:t>
      </w:r>
    </w:p>
    <w:bookmarkEnd w:id="216"/>
    <w:bookmarkEnd w:id="217"/>
    <w:p>
      <w:pPr>
        <w:pStyle w:val="3"/>
        <w:spacing w:line="440" w:lineRule="exact"/>
        <w:ind w:firstLine="562" w:firstLineChars="200"/>
        <w:rPr>
          <w:rFonts w:hint="eastAsia" w:ascii="方正黑体_GBK" w:eastAsia="方正黑体_GBK" w:cs="宋体"/>
          <w:b/>
          <w:color w:val="auto"/>
          <w:szCs w:val="28"/>
          <w:highlight w:val="none"/>
        </w:rPr>
      </w:pPr>
      <w:bookmarkStart w:id="218" w:name="_Toc75793527"/>
      <w:bookmarkStart w:id="219" w:name="_Toc26874"/>
      <w:bookmarkStart w:id="220" w:name="_Toc16958"/>
      <w:bookmarkStart w:id="221" w:name="_Toc169703205"/>
      <w:bookmarkStart w:id="222" w:name="_Toc4653"/>
      <w:r>
        <w:rPr>
          <w:rFonts w:hint="eastAsia" w:ascii="方正黑体_GBK" w:eastAsia="方正黑体_GBK" w:cs="宋体"/>
          <w:b/>
          <w:color w:val="auto"/>
          <w:szCs w:val="28"/>
          <w:highlight w:val="none"/>
        </w:rPr>
        <w:t>四、开标</w:t>
      </w:r>
      <w:bookmarkEnd w:id="218"/>
      <w:bookmarkEnd w:id="219"/>
      <w:bookmarkEnd w:id="220"/>
      <w:bookmarkEnd w:id="221"/>
      <w:bookmarkEnd w:id="222"/>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（一）开标应当在招标文件中“投标邀请书”确定的时间和地点、开标方式公开进行。</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（二）采购代理机构可视采购具体情况，延长</w:t>
      </w:r>
      <w:bookmarkStart w:id="223" w:name="_Hlk148216888"/>
      <w:r>
        <w:rPr>
          <w:rFonts w:hint="eastAsia" w:ascii="方正仿宋_GBK" w:hAnsi="宋体" w:eastAsia="方正仿宋_GBK" w:cs="宋体"/>
          <w:color w:val="auto"/>
          <w:szCs w:val="28"/>
          <w:highlight w:val="none"/>
        </w:rPr>
        <w:t>电子投标文件截止时间</w:t>
      </w:r>
      <w:bookmarkEnd w:id="223"/>
      <w:r>
        <w:rPr>
          <w:rFonts w:hint="eastAsia" w:ascii="方正仿宋_GBK" w:hAnsi="宋体" w:eastAsia="方正仿宋_GBK" w:cs="宋体"/>
          <w:color w:val="auto"/>
          <w:szCs w:val="28"/>
          <w:highlight w:val="none"/>
        </w:rPr>
        <w:t>和开标时间，并将变更时间书面通知所有招标文件收受人。</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（三）开标由采购人或采购代理机构主持，邀请投标人和有关监督部门代表参加</w:t>
      </w:r>
      <w:r>
        <w:rPr>
          <w:rFonts w:hint="eastAsia" w:ascii="方正仿宋_GBK" w:hAnsi="宋体" w:eastAsia="方正仿宋_GBK" w:cs="宋体"/>
          <w:color w:val="auto"/>
          <w:szCs w:val="28"/>
          <w:highlight w:val="none"/>
          <w:lang w:eastAsia="zh-CN"/>
        </w:rPr>
        <w:t>，</w:t>
      </w:r>
      <w:r>
        <w:rPr>
          <w:rFonts w:hint="eastAsia" w:ascii="方正仿宋_GBK" w:hAnsi="宋体" w:eastAsia="方正仿宋_GBK" w:cs="宋体"/>
          <w:color w:val="auto"/>
          <w:szCs w:val="28"/>
          <w:highlight w:val="none"/>
        </w:rPr>
        <w:t>有关监督部门可视情况派员现场监督。</w:t>
      </w:r>
    </w:p>
    <w:p>
      <w:pPr>
        <w:spacing w:line="440" w:lineRule="exact"/>
        <w:ind w:firstLine="560" w:firstLineChars="200"/>
        <w:rPr>
          <w:rFonts w:hint="eastAsia" w:ascii="方正仿宋_GBK" w:hAnsi="宋体" w:eastAsia="方正仿宋_GBK" w:cs="宋体"/>
          <w:color w:val="auto"/>
          <w:szCs w:val="28"/>
          <w:highlight w:val="none"/>
        </w:rPr>
      </w:pPr>
      <w:bookmarkStart w:id="224" w:name="_Hlk148293689"/>
      <w:r>
        <w:rPr>
          <w:rFonts w:hint="eastAsia" w:ascii="方正仿宋_GBK" w:hAnsi="宋体" w:eastAsia="方正仿宋_GBK" w:cs="宋体"/>
          <w:color w:val="auto"/>
          <w:szCs w:val="28"/>
          <w:highlight w:val="none"/>
        </w:rPr>
        <w:t>（四）</w:t>
      </w:r>
      <w:bookmarkStart w:id="225" w:name="_Hlk148216925"/>
      <w:r>
        <w:rPr>
          <w:rFonts w:hint="eastAsia" w:ascii="方正仿宋_GBK" w:hAnsi="宋体" w:eastAsia="方正仿宋_GBK" w:cs="宋体"/>
          <w:color w:val="auto"/>
          <w:szCs w:val="28"/>
          <w:highlight w:val="none"/>
        </w:rPr>
        <w:t>开标时，采取电子开标，投标人在规定的时间内解密电子投标文件，电子开标室将展示投标人名称、投标价格和《开标一览汇总表》。投标人不足三家的，不得开标</w:t>
      </w:r>
      <w:bookmarkEnd w:id="225"/>
      <w:r>
        <w:rPr>
          <w:rFonts w:hint="eastAsia" w:ascii="方正仿宋_GBK" w:hAnsi="宋体" w:eastAsia="方正仿宋_GBK" w:cs="宋体"/>
          <w:color w:val="auto"/>
          <w:szCs w:val="28"/>
          <w:highlight w:val="none"/>
        </w:rPr>
        <w:t>。</w:t>
      </w:r>
    </w:p>
    <w:bookmarkEnd w:id="224"/>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（五）未宣读的投标价格、价格折扣和招标文件允许提供的备选投标方案等实质性内容等，评标时不予承认。</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（六）开标过程应由采购人或采购代理机构或重庆市武隆区教育信息技术与服务中心指定专人负责记录，并存档备查。</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（七）投标人未参加开标的，视同认可开标结果。</w:t>
      </w:r>
    </w:p>
    <w:p>
      <w:pPr>
        <w:pStyle w:val="3"/>
        <w:spacing w:line="440" w:lineRule="exact"/>
        <w:ind w:firstLine="562" w:firstLineChars="200"/>
        <w:rPr>
          <w:rFonts w:hint="eastAsia" w:ascii="方正黑体_GBK" w:eastAsia="方正黑体_GBK" w:cs="宋体"/>
          <w:b/>
          <w:color w:val="auto"/>
          <w:szCs w:val="28"/>
          <w:highlight w:val="none"/>
        </w:rPr>
      </w:pPr>
      <w:bookmarkStart w:id="226" w:name="_Toc75793528"/>
      <w:bookmarkStart w:id="227" w:name="_Toc29650"/>
      <w:bookmarkStart w:id="228" w:name="_Toc5153"/>
      <w:bookmarkStart w:id="229" w:name="_Toc169703206"/>
      <w:bookmarkStart w:id="230" w:name="_Toc19592"/>
      <w:r>
        <w:rPr>
          <w:rFonts w:hint="eastAsia" w:ascii="方正黑体_GBK" w:eastAsia="方正黑体_GBK" w:cs="宋体"/>
          <w:b/>
          <w:color w:val="auto"/>
          <w:szCs w:val="28"/>
          <w:highlight w:val="none"/>
        </w:rPr>
        <w:t>五、评标</w:t>
      </w:r>
      <w:bookmarkEnd w:id="226"/>
      <w:bookmarkEnd w:id="227"/>
      <w:bookmarkEnd w:id="228"/>
      <w:bookmarkEnd w:id="229"/>
      <w:bookmarkEnd w:id="230"/>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见第四篇“评标”内容。</w:t>
      </w:r>
    </w:p>
    <w:p>
      <w:pPr>
        <w:pStyle w:val="3"/>
        <w:spacing w:line="440" w:lineRule="exact"/>
        <w:ind w:firstLine="562" w:firstLineChars="200"/>
        <w:rPr>
          <w:rFonts w:hint="eastAsia" w:ascii="方正黑体_GBK" w:eastAsia="方正黑体_GBK" w:cs="宋体"/>
          <w:b/>
          <w:color w:val="auto"/>
          <w:szCs w:val="28"/>
          <w:highlight w:val="none"/>
        </w:rPr>
      </w:pPr>
      <w:bookmarkStart w:id="231" w:name="_Toc558"/>
      <w:bookmarkStart w:id="232" w:name="_Toc20068"/>
      <w:bookmarkStart w:id="233" w:name="_Toc169703207"/>
      <w:bookmarkStart w:id="234" w:name="_Toc75793529"/>
      <w:bookmarkStart w:id="235" w:name="_Toc22819"/>
      <w:r>
        <w:rPr>
          <w:rFonts w:hint="eastAsia" w:ascii="方正黑体_GBK" w:eastAsia="方正黑体_GBK" w:cs="宋体"/>
          <w:b/>
          <w:color w:val="auto"/>
          <w:szCs w:val="28"/>
          <w:highlight w:val="none"/>
        </w:rPr>
        <w:t>六、定标</w:t>
      </w:r>
      <w:bookmarkEnd w:id="231"/>
      <w:bookmarkEnd w:id="232"/>
      <w:bookmarkEnd w:id="233"/>
      <w:bookmarkEnd w:id="234"/>
      <w:bookmarkEnd w:id="235"/>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（一）定标原则</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采购人应按照评标报告中推荐的中标候选人排名顺序确定中标人。</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（二）定标程序</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1. 采购代理机构应当在评标结束后2个工作日内将评标报告送采购人。</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2.采购人应当自收到评标报告之日起5个工作日内按评标报告推荐的中标候选人顺序确定中标人。</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3.采购人或者采购代理机构应当自中标人确定之日起2个工作日内，在重庆市政府采购网（www.ccgp-chongqing.gov.cn）、重庆市公共资源交易网（武隆区）（www.cqggzy.com/jiangbeiweb）上公告中标结果。中标公告期限为1个工作日。</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4.中标人变更</w:t>
      </w:r>
    </w:p>
    <w:p>
      <w:pPr>
        <w:pStyle w:val="30"/>
        <w:spacing w:line="440" w:lineRule="exact"/>
        <w:ind w:firstLine="560" w:firstLineChars="200"/>
        <w:rPr>
          <w:rFonts w:hint="eastAsia" w:ascii="方正仿宋_GBK" w:hAnsi="宋体" w:eastAsia="方正仿宋_GBK" w:cs="宋体"/>
          <w:color w:val="auto"/>
          <w:sz w:val="28"/>
          <w:szCs w:val="28"/>
          <w:highlight w:val="none"/>
        </w:rPr>
      </w:pPr>
      <w:r>
        <w:rPr>
          <w:rFonts w:hint="eastAsia" w:ascii="方正仿宋_GBK" w:hAnsi="宋体" w:eastAsia="方正仿宋_GBK" w:cs="宋体"/>
          <w:color w:val="auto"/>
          <w:sz w:val="28"/>
          <w:szCs w:val="28"/>
          <w:highlight w:val="none"/>
        </w:rPr>
        <w:t>中标人拒绝与采购人签订合同的，采购人可以按照评标报告推荐的中标候选人顺序，确定排名下一位的候选人为中标人，也可以重新开展政府采购活动。</w:t>
      </w:r>
    </w:p>
    <w:p>
      <w:pPr>
        <w:pStyle w:val="3"/>
        <w:spacing w:line="440" w:lineRule="exact"/>
        <w:ind w:firstLine="562" w:firstLineChars="200"/>
        <w:rPr>
          <w:rFonts w:hint="eastAsia" w:ascii="方正黑体_GBK" w:eastAsia="方正黑体_GBK" w:cs="宋体"/>
          <w:b/>
          <w:color w:val="auto"/>
          <w:szCs w:val="28"/>
          <w:highlight w:val="none"/>
        </w:rPr>
      </w:pPr>
      <w:bookmarkStart w:id="236" w:name="_Toc75793530"/>
      <w:bookmarkStart w:id="237" w:name="_Toc6989"/>
      <w:bookmarkStart w:id="238" w:name="_Toc5514"/>
      <w:bookmarkStart w:id="239" w:name="_Toc169703208"/>
      <w:bookmarkStart w:id="240" w:name="_Toc26636"/>
      <w:r>
        <w:rPr>
          <w:rFonts w:hint="eastAsia" w:ascii="方正黑体_GBK" w:eastAsia="方正黑体_GBK" w:cs="宋体"/>
          <w:b/>
          <w:color w:val="auto"/>
          <w:szCs w:val="28"/>
          <w:highlight w:val="none"/>
        </w:rPr>
        <w:t>七、中标</w:t>
      </w:r>
      <w:bookmarkEnd w:id="236"/>
      <w:bookmarkEnd w:id="237"/>
      <w:bookmarkEnd w:id="238"/>
      <w:bookmarkEnd w:id="239"/>
      <w:bookmarkEnd w:id="240"/>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（一）采购人依法确定中标人后，采购代理机构以书面形式发出中标通知书。</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（二）中标通知书发出后，采购人改变中标结果，或者中标人放弃中标，应当承担相应的法律责任。</w:t>
      </w:r>
    </w:p>
    <w:p>
      <w:pPr>
        <w:pStyle w:val="3"/>
        <w:spacing w:line="440" w:lineRule="exact"/>
        <w:ind w:firstLine="562" w:firstLineChars="200"/>
        <w:rPr>
          <w:rFonts w:hint="eastAsia" w:ascii="方正黑体_GBK" w:eastAsia="方正黑体_GBK" w:cs="宋体"/>
          <w:b/>
          <w:color w:val="auto"/>
          <w:szCs w:val="28"/>
          <w:highlight w:val="none"/>
        </w:rPr>
      </w:pPr>
      <w:bookmarkStart w:id="241" w:name="_Toc14258"/>
      <w:bookmarkStart w:id="242" w:name="_Toc22330"/>
      <w:bookmarkStart w:id="243" w:name="_Toc29922"/>
      <w:bookmarkStart w:id="244" w:name="_Toc75793531"/>
      <w:bookmarkStart w:id="245" w:name="_Toc169703209"/>
      <w:r>
        <w:rPr>
          <w:rFonts w:hint="eastAsia" w:ascii="方正黑体_GBK" w:eastAsia="方正黑体_GBK" w:cs="宋体"/>
          <w:b/>
          <w:color w:val="auto"/>
          <w:szCs w:val="28"/>
          <w:highlight w:val="none"/>
        </w:rPr>
        <w:t>八、询问、质疑和投诉</w:t>
      </w:r>
      <w:bookmarkEnd w:id="241"/>
      <w:bookmarkEnd w:id="242"/>
      <w:bookmarkEnd w:id="243"/>
      <w:bookmarkEnd w:id="244"/>
      <w:bookmarkEnd w:id="245"/>
    </w:p>
    <w:p>
      <w:pPr>
        <w:spacing w:line="440" w:lineRule="exact"/>
        <w:ind w:right="12"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（一）询问</w:t>
      </w:r>
    </w:p>
    <w:p>
      <w:pPr>
        <w:spacing w:line="440" w:lineRule="exact"/>
        <w:ind w:right="12" w:firstLine="48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采购人或者采购代理机构应当在3个工作日内对投标人依法提出的询问作出答复。投标人询问可以是口头或书面形式。</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（二）质疑</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投标人认为采购文件、采购过程和中标结果使自己的权益受到损害的，可向采购人或采购代理机构以书面形式提出质疑。</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 xml:space="preserve">提出质疑的应当是参与所质疑项目采购活动的投标人。 </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1.质疑时限、内容</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1.1投标人对招标文件提出质疑的，应在依法获取招标文件之日或者招标文件公告期限届满之日起七个工作日内提出。</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1.2 投标人对采购过程提出质疑的，应在各采购程序环节结束之日起七个工作日内提出。</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1.3投标人对中标结果提出质疑的，应当在中标结果公告期限届满之日起七个工作日内提出。</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1.4投标人提出质疑应当提交质疑函和必要的证明材料，质疑函应当包括下列内容：</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1.4.1供应商的姓名或者名称、地址、邮编、联系人及联系电话；</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1.4.2质疑项目的名称、项目编号以及采购执行编号；</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1.4.3具体、明确的质疑事项和与质疑事项相关的请求；</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1.4.4事实依据；</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1.4.5必要的法律依据；</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1.4.6提出质疑的日期；</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1.4.7营业执照（或事业单位法人证书，或个体工商户营业执照或有效的自然人身份证明）复印件；</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1.4.8法定代表人授权委托书原件、法定代表人身份证复印件和其授权代表的身份证复印件（供应商为自然人的提供自然人身份证复印件）；</w:t>
      </w:r>
    </w:p>
    <w:p>
      <w:pPr>
        <w:snapToGrid w:val="0"/>
        <w:spacing w:line="440" w:lineRule="exact"/>
        <w:ind w:firstLine="560" w:firstLineChars="200"/>
        <w:rPr>
          <w:rFonts w:hint="eastAsia" w:ascii="方正仿宋_GBK" w:hAnsi="宋体" w:eastAsia="方正仿宋_GBK" w:cs="宋体"/>
          <w:color w:val="auto"/>
          <w:szCs w:val="28"/>
          <w:highlight w:val="none"/>
        </w:rPr>
      </w:pPr>
      <w:bookmarkStart w:id="246" w:name="_Hlk148216964"/>
      <w:r>
        <w:rPr>
          <w:rFonts w:hint="eastAsia" w:ascii="方正仿宋_GBK" w:hAnsi="宋体" w:eastAsia="方正仿宋_GBK" w:cs="宋体"/>
          <w:color w:val="auto"/>
          <w:szCs w:val="28"/>
          <w:highlight w:val="none"/>
        </w:rPr>
        <w:t>1.4.9在重庆市政府采购网电子招投标系统依法获取招标文件截图证明（获取招标文件状态截图证明流程：“重庆市政府采购网”→“在线开评标”→“我的投标项目”→找到该项目点击“查看详情”进行项目获取招标文件信息截图）；</w:t>
      </w:r>
    </w:p>
    <w:bookmarkEnd w:id="246"/>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1.5供应商为自然人的，质疑函应当由本人签字；供应商为法人或者其他组织的，质疑函应当由法定代表人、主要负责人，或者其授权代表签字或者盖章，并加盖公章。</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2.质疑答复</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采购人、采购代理机构应当在收到投标人的书面质疑后七个工作日内作出答复，并以书面形式通知质疑投标人和其他有关投标人。</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3.其他</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3.1投标人应按照《政府采购质疑和投诉办法》（财政部令第94号）及相关法律法规要求，在法定质疑期内一次性提出针对同一采购程序环节的质疑。</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3.2质疑函范本可在重庆市政府采购网（www.ccgp-chongqing.gov.cn）、重庆市公共资源交易网（武隆区）（www.cqggzy.com/wulongweb）下载。</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4.质疑联系方式详见第一篇“联系方式”。</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（三）投诉</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1.投标人对采购人、采购代理机构的答复不满意，或者采购人、采购代理机构未在规定时间内作出答复的，可以在答复期满后15个工作日内按照相关法律法规向财政部门提起投诉。</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2.投标人应按照《政府采购质疑和投诉办法》（财政部令第94号）及相关法律法规要求递交投诉书和必要的证明材料。投诉书范本可在财政部门户网站和中国政府采购网下载。</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3.投诉书应当使用中文，相关当事人提供外文</w:t>
      </w:r>
      <w:r>
        <w:rPr>
          <w:rFonts w:hint="eastAsia" w:ascii="方正仿宋_GBK" w:hAnsi="宋体" w:eastAsia="方正仿宋_GBK" w:cs="宋体"/>
          <w:color w:val="auto"/>
          <w:szCs w:val="28"/>
          <w:highlight w:val="none"/>
          <w:lang w:eastAsia="zh-CN"/>
        </w:rPr>
        <w:t>证书</w:t>
      </w:r>
      <w:r>
        <w:rPr>
          <w:rFonts w:hint="eastAsia" w:ascii="方正仿宋_GBK" w:hAnsi="宋体" w:eastAsia="方正仿宋_GBK" w:cs="宋体"/>
          <w:color w:val="auto"/>
          <w:szCs w:val="28"/>
          <w:highlight w:val="none"/>
        </w:rPr>
        <w:t>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w:t>
      </w:r>
      <w:r>
        <w:rPr>
          <w:rFonts w:hint="eastAsia" w:ascii="方正仿宋_GBK" w:hAnsi="宋体" w:eastAsia="方正仿宋_GBK" w:cs="宋体"/>
          <w:color w:val="auto"/>
          <w:szCs w:val="28"/>
          <w:highlight w:val="none"/>
          <w:lang w:eastAsia="zh-CN"/>
        </w:rPr>
        <w:t>中国台湾地区</w:t>
      </w:r>
      <w:r>
        <w:rPr>
          <w:rFonts w:hint="eastAsia" w:ascii="方正仿宋_GBK" w:hAnsi="宋体" w:eastAsia="方正仿宋_GBK" w:cs="宋体"/>
          <w:color w:val="auto"/>
          <w:szCs w:val="28"/>
          <w:highlight w:val="none"/>
        </w:rPr>
        <w:t>内形成的证据，应当履行相关的证明手续。</w:t>
      </w:r>
    </w:p>
    <w:p>
      <w:pPr>
        <w:snapToGrid w:val="0"/>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4.在确定受理投诉后，财政部门自受理投诉之日起30个工作日内（需要检验、检测、鉴定、专家评审以及需要投诉人补正材料的，所需时间不计算在投诉处理期限内）对投诉事项做出处理决定。</w:t>
      </w:r>
    </w:p>
    <w:p>
      <w:pPr>
        <w:pStyle w:val="3"/>
        <w:spacing w:line="440" w:lineRule="exact"/>
        <w:ind w:firstLine="562" w:firstLineChars="200"/>
        <w:rPr>
          <w:rFonts w:hint="eastAsia" w:ascii="方正黑体_GBK" w:eastAsia="方正黑体_GBK" w:cs="宋体"/>
          <w:b/>
          <w:color w:val="auto"/>
          <w:szCs w:val="28"/>
          <w:highlight w:val="none"/>
        </w:rPr>
      </w:pPr>
      <w:bookmarkStart w:id="247" w:name="_Toc20751"/>
      <w:bookmarkStart w:id="248" w:name="_Toc25762"/>
      <w:bookmarkStart w:id="249" w:name="_Toc5325"/>
      <w:bookmarkStart w:id="250" w:name="_Toc169703210"/>
      <w:r>
        <w:rPr>
          <w:rFonts w:hint="eastAsia" w:ascii="方正黑体_GBK" w:eastAsia="方正黑体_GBK" w:cs="宋体"/>
          <w:b/>
          <w:color w:val="auto"/>
          <w:szCs w:val="28"/>
          <w:highlight w:val="none"/>
        </w:rPr>
        <w:t>九、签订合同</w:t>
      </w:r>
      <w:bookmarkEnd w:id="247"/>
      <w:bookmarkEnd w:id="248"/>
      <w:bookmarkEnd w:id="249"/>
      <w:bookmarkEnd w:id="250"/>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一）采购人原则上应在中标通知书发出之日起8个日历日内按照招标文件和中标人电子投标文件的约定与中标人签订书面政府采购合同，无正当理由不得拒绝或拖延合同签订。所签订的合同不得对招标文件和中标人电子投标文件作实质性修改。</w:t>
      </w:r>
      <w:r>
        <w:rPr>
          <w:rFonts w:hint="eastAsia" w:ascii="方正仿宋_GBK" w:hAnsi="宋体" w:eastAsia="方正仿宋_GBK" w:cs="宋体"/>
          <w:color w:val="auto"/>
          <w:kern w:val="0"/>
          <w:szCs w:val="28"/>
          <w:highlight w:val="none"/>
        </w:rPr>
        <w:t>其他未尽事宜由采购人和中标人在采购合同中详细约定。</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二）采购人应当自政府采购合同签订之日起2个工作日内，在“政府采购业务管理系统”进行合同登记备案，1个工作日内按相关管理要求在重庆市政府采购网上公告政府采购合同，但政府采购合同中涉及国家秘密、商业秘密的内容除外。未按要求公告及备案的，应当及时进行补充公告及备案。</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（三）招标文件、中标人的电子投标文件及澄清文件等，均为签订政府采购合同的依据。</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（四）合同生效条款由供需双方约定，法律、行政法规规定应当办理批准、登记等手续后生效的合同，依照其规定。</w:t>
      </w:r>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（五）合同原则上应按照《重庆市政府采购合同》签订，相关单位要求适用合同通用格式版本的，应按其要求另行签订其他合同。</w:t>
      </w:r>
    </w:p>
    <w:p>
      <w:pPr>
        <w:pStyle w:val="3"/>
        <w:spacing w:line="440" w:lineRule="exact"/>
        <w:ind w:firstLine="562" w:firstLineChars="200"/>
        <w:rPr>
          <w:rFonts w:hint="eastAsia" w:ascii="方正黑体_GBK" w:eastAsia="方正黑体_GBK" w:cs="宋体"/>
          <w:b/>
          <w:color w:val="auto"/>
          <w:szCs w:val="28"/>
          <w:highlight w:val="none"/>
        </w:rPr>
      </w:pPr>
      <w:bookmarkStart w:id="251" w:name="_Toc169703211"/>
      <w:bookmarkStart w:id="252" w:name="_Toc10136"/>
      <w:bookmarkStart w:id="253" w:name="_Toc13244"/>
      <w:bookmarkStart w:id="254" w:name="_Toc75793535"/>
      <w:bookmarkStart w:id="255" w:name="_Toc12896"/>
      <w:r>
        <w:rPr>
          <w:rFonts w:hint="eastAsia" w:ascii="方正黑体_GBK" w:eastAsia="方正黑体_GBK" w:cs="宋体"/>
          <w:b/>
          <w:color w:val="auto"/>
          <w:szCs w:val="28"/>
          <w:highlight w:val="none"/>
        </w:rPr>
        <w:t>十、</w:t>
      </w:r>
      <w:bookmarkStart w:id="256" w:name="_Toc26438"/>
      <w:bookmarkStart w:id="257" w:name="_Toc9393"/>
      <w:bookmarkStart w:id="258" w:name="_Toc1406"/>
      <w:bookmarkStart w:id="259" w:name="_Toc4207"/>
      <w:bookmarkStart w:id="260" w:name="_Toc25795"/>
      <w:bookmarkStart w:id="261" w:name="_Toc4923"/>
      <w:bookmarkStart w:id="262" w:name="_Toc29139"/>
      <w:bookmarkStart w:id="263" w:name="_Toc13934"/>
      <w:bookmarkStart w:id="264" w:name="_Toc13027"/>
      <w:r>
        <w:rPr>
          <w:rFonts w:hint="eastAsia" w:ascii="方正黑体_GBK" w:eastAsia="方正黑体_GBK" w:cs="宋体"/>
          <w:b/>
          <w:color w:val="auto"/>
          <w:szCs w:val="28"/>
          <w:highlight w:val="none"/>
        </w:rPr>
        <w:t>项目验收</w:t>
      </w:r>
      <w:bookmarkEnd w:id="251"/>
      <w:bookmarkEnd w:id="252"/>
      <w:bookmarkEnd w:id="256"/>
      <w:bookmarkEnd w:id="257"/>
      <w:bookmarkEnd w:id="258"/>
      <w:bookmarkEnd w:id="259"/>
      <w:bookmarkEnd w:id="260"/>
      <w:bookmarkEnd w:id="261"/>
      <w:bookmarkEnd w:id="262"/>
      <w:bookmarkEnd w:id="263"/>
      <w:bookmarkEnd w:id="264"/>
    </w:p>
    <w:p>
      <w:pPr>
        <w:spacing w:line="440" w:lineRule="exact"/>
        <w:ind w:firstLine="480"/>
        <w:rPr>
          <w:rFonts w:hint="eastAsia" w:ascii="方正仿宋_GBK" w:hAnsi="宋体" w:eastAsia="方正仿宋_GBK" w:cs="宋体"/>
          <w:b/>
          <w:color w:val="auto"/>
          <w:szCs w:val="28"/>
          <w:highlight w:val="none"/>
        </w:rPr>
      </w:pPr>
      <w:r>
        <w:rPr>
          <w:rFonts w:hint="eastAsia" w:ascii="方正仿宋_GBK" w:hAnsi="宋体" w:eastAsia="方正仿宋_GBK" w:cs="宋体"/>
          <w:color w:val="auto"/>
          <w:szCs w:val="28"/>
          <w:highlight w:val="none"/>
        </w:rPr>
        <w:t>合同执行完毕，采购人原则上应在3个工作日内组织履约情况验收，不得无故拖延或附加额外条件。</w:t>
      </w:r>
    </w:p>
    <w:p>
      <w:pPr>
        <w:pStyle w:val="3"/>
        <w:spacing w:line="440" w:lineRule="exact"/>
        <w:ind w:firstLine="562" w:firstLineChars="200"/>
        <w:rPr>
          <w:rFonts w:hint="eastAsia" w:ascii="方正仿宋_GBK" w:eastAsia="方正仿宋_GBK" w:cs="宋体"/>
          <w:b/>
          <w:color w:val="auto"/>
          <w:szCs w:val="28"/>
          <w:highlight w:val="none"/>
        </w:rPr>
      </w:pPr>
      <w:bookmarkStart w:id="265" w:name="_Toc169703212"/>
      <w:bookmarkStart w:id="266" w:name="_Toc20741"/>
      <w:r>
        <w:rPr>
          <w:rFonts w:hint="eastAsia" w:ascii="方正黑体_GBK" w:eastAsia="方正黑体_GBK" w:cs="宋体"/>
          <w:b/>
          <w:color w:val="auto"/>
          <w:szCs w:val="28"/>
          <w:highlight w:val="none"/>
        </w:rPr>
        <w:t>十一、政府采购信用融资</w:t>
      </w:r>
      <w:bookmarkEnd w:id="253"/>
      <w:bookmarkEnd w:id="254"/>
      <w:bookmarkEnd w:id="255"/>
      <w:bookmarkEnd w:id="265"/>
      <w:bookmarkEnd w:id="266"/>
    </w:p>
    <w:p>
      <w:pPr>
        <w:spacing w:line="440" w:lineRule="exact"/>
        <w:ind w:firstLine="560" w:firstLineChars="200"/>
        <w:rPr>
          <w:rFonts w:hint="eastAsia" w:ascii="方正仿宋_GBK" w:hAnsi="宋体" w:eastAsia="方正仿宋_GBK" w:cs="宋体"/>
          <w:color w:val="auto"/>
          <w:szCs w:val="28"/>
          <w:highlight w:val="none"/>
        </w:rPr>
      </w:pPr>
      <w:r>
        <w:rPr>
          <w:rFonts w:hint="eastAsia" w:ascii="方正仿宋_GBK" w:hAnsi="宋体" w:eastAsia="方正仿宋_GBK" w:cs="宋体"/>
          <w:color w:val="auto"/>
          <w:szCs w:val="28"/>
          <w:highlight w:val="none"/>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p>
    <w:p>
      <w:pPr>
        <w:pStyle w:val="3"/>
        <w:spacing w:line="440" w:lineRule="exact"/>
        <w:ind w:firstLine="562" w:firstLineChars="200"/>
        <w:rPr>
          <w:rFonts w:hint="eastAsia" w:ascii="方正黑体_GBK" w:hAnsi="宋体" w:eastAsia="方正黑体_GBK" w:cs="宋体"/>
          <w:b/>
          <w:color w:val="auto"/>
          <w:szCs w:val="28"/>
          <w:highlight w:val="none"/>
          <w:lang w:eastAsia="zh-CN"/>
        </w:rPr>
      </w:pPr>
      <w:bookmarkStart w:id="267" w:name="_Toc17153"/>
      <w:bookmarkStart w:id="268" w:name="OLE_LINK5"/>
      <w:r>
        <w:rPr>
          <w:rFonts w:hint="eastAsia" w:ascii="方正黑体_GBK" w:hAnsi="宋体" w:eastAsia="方正黑体_GBK" w:cs="宋体"/>
          <w:b/>
          <w:color w:val="auto"/>
          <w:szCs w:val="28"/>
          <w:highlight w:val="none"/>
          <w:lang w:eastAsia="zh-CN"/>
        </w:rPr>
        <w:t>十二</w:t>
      </w:r>
      <w:r>
        <w:rPr>
          <w:rFonts w:hint="eastAsia" w:ascii="方正黑体_GBK" w:hAnsi="宋体" w:eastAsia="方正黑体_GBK" w:cs="宋体"/>
          <w:b/>
          <w:color w:val="auto"/>
          <w:szCs w:val="28"/>
          <w:highlight w:val="none"/>
        </w:rPr>
        <w:t>、</w:t>
      </w:r>
      <w:r>
        <w:rPr>
          <w:rFonts w:hint="eastAsia" w:ascii="方正黑体_GBK" w:hAnsi="宋体" w:eastAsia="方正黑体_GBK" w:cs="宋体"/>
          <w:b/>
          <w:color w:val="auto"/>
          <w:szCs w:val="28"/>
          <w:highlight w:val="none"/>
          <w:lang w:eastAsia="zh-CN"/>
        </w:rPr>
        <w:t>缴纳交易服务费</w:t>
      </w:r>
      <w:bookmarkEnd w:id="267"/>
    </w:p>
    <w:p>
      <w:pPr>
        <w:pStyle w:val="3"/>
        <w:spacing w:line="480" w:lineRule="exact"/>
        <w:ind w:firstLine="560" w:firstLineChars="200"/>
        <w:rPr>
          <w:rFonts w:hint="eastAsia" w:ascii="方正仿宋_GBK" w:hAnsi="宋体" w:eastAsia="方正仿宋_GBK" w:cs="宋体"/>
          <w:color w:val="auto"/>
          <w:kern w:val="2"/>
          <w:sz w:val="28"/>
          <w:szCs w:val="28"/>
          <w:highlight w:val="none"/>
          <w:lang w:val="en-US" w:eastAsia="zh-CN" w:bidi="ar-SA"/>
        </w:rPr>
      </w:pPr>
      <w:bookmarkStart w:id="269" w:name="_Toc4793"/>
      <w:r>
        <w:rPr>
          <w:rFonts w:hint="eastAsia" w:ascii="方正仿宋_GBK" w:hAnsi="宋体" w:eastAsia="方正仿宋_GBK" w:cs="宋体"/>
          <w:color w:val="auto"/>
          <w:kern w:val="2"/>
          <w:sz w:val="28"/>
          <w:szCs w:val="28"/>
          <w:highlight w:val="none"/>
          <w:lang w:val="en-US" w:eastAsia="zh-CN" w:bidi="ar-SA"/>
        </w:rPr>
        <w:t>供应商成交后向重庆市公共资源交易中心武隆分中心缴纳交易服务费，交易服务费的收取标准按渝发改收费〔2023〕115号执行。</w:t>
      </w:r>
      <w:bookmarkEnd w:id="269"/>
    </w:p>
    <w:p>
      <w:pPr>
        <w:pStyle w:val="3"/>
        <w:spacing w:line="480" w:lineRule="exact"/>
        <w:ind w:firstLine="560" w:firstLineChars="200"/>
        <w:rPr>
          <w:rFonts w:hint="default" w:ascii="方正仿宋_GBK" w:hAnsi="宋体" w:eastAsia="方正仿宋_GBK" w:cs="宋体"/>
          <w:color w:val="auto"/>
          <w:kern w:val="2"/>
          <w:sz w:val="28"/>
          <w:szCs w:val="28"/>
          <w:highlight w:val="none"/>
          <w:lang w:val="en-US" w:eastAsia="zh-CN" w:bidi="ar-SA"/>
        </w:rPr>
      </w:pPr>
      <w:bookmarkStart w:id="270" w:name="_Toc8507"/>
      <w:r>
        <w:rPr>
          <w:rFonts w:hint="eastAsia" w:ascii="方正仿宋_GBK" w:hAnsi="宋体" w:eastAsia="方正仿宋_GBK" w:cs="宋体"/>
          <w:color w:val="auto"/>
          <w:kern w:val="2"/>
          <w:sz w:val="28"/>
          <w:szCs w:val="28"/>
          <w:highlight w:val="none"/>
          <w:lang w:val="en-US" w:eastAsia="zh-CN" w:bidi="ar-SA"/>
        </w:rPr>
        <w:t>重庆市公共资源交易中心武隆分中心咨询电话：023-77822690。</w:t>
      </w:r>
      <w:bookmarkEnd w:id="270"/>
    </w:p>
    <w:p>
      <w:pPr>
        <w:spacing w:line="400" w:lineRule="exact"/>
        <w:ind w:firstLine="560" w:firstLineChars="200"/>
        <w:rPr>
          <w:rFonts w:hint="eastAsia" w:ascii="方正仿宋_GBK" w:hAnsi="宋体" w:eastAsia="方正仿宋_GBK" w:cs="宋体"/>
          <w:color w:val="auto"/>
          <w:kern w:val="2"/>
          <w:sz w:val="28"/>
          <w:szCs w:val="28"/>
          <w:highlight w:val="none"/>
          <w:lang w:val="en-US" w:eastAsia="zh-CN" w:bidi="ar-SA"/>
        </w:rPr>
      </w:pPr>
    </w:p>
    <w:bookmarkEnd w:id="268"/>
    <w:p>
      <w:pPr>
        <w:pStyle w:val="2"/>
        <w:keepNext/>
        <w:keepLines w:val="0"/>
        <w:pageBreakBefore w:val="0"/>
        <w:widowControl w:val="0"/>
        <w:kinsoku/>
        <w:wordWrap/>
        <w:overflowPunct/>
        <w:topLinePunct w:val="0"/>
        <w:autoSpaceDE/>
        <w:autoSpaceDN/>
        <w:bidi w:val="0"/>
        <w:adjustRightInd/>
        <w:snapToGrid w:val="0"/>
        <w:spacing w:before="240" w:after="120" w:line="480" w:lineRule="exact"/>
        <w:jc w:val="center"/>
        <w:textAlignment w:val="auto"/>
        <w:rPr>
          <w:rFonts w:hint="eastAsia" w:ascii="方正小标宋_GBK" w:eastAsia="方正小标宋_GBK"/>
          <w:b/>
          <w:color w:val="auto"/>
          <w:sz w:val="32"/>
          <w:szCs w:val="32"/>
          <w:highlight w:val="none"/>
        </w:rPr>
      </w:pPr>
      <w:r>
        <w:rPr>
          <w:rFonts w:hint="eastAsia" w:ascii="宋体" w:hAnsi="宋体" w:cs="宋体"/>
          <w:color w:val="auto"/>
          <w:sz w:val="24"/>
          <w:highlight w:val="none"/>
        </w:rPr>
        <w:br w:type="page"/>
      </w:r>
      <w:bookmarkStart w:id="271" w:name="_Toc26710"/>
      <w:bookmarkStart w:id="272" w:name="_Toc277084870"/>
      <w:bookmarkStart w:id="273" w:name="_Toc285722712"/>
      <w:bookmarkStart w:id="274" w:name="_Toc31798"/>
      <w:bookmarkStart w:id="275" w:name="_Toc75793536"/>
      <w:bookmarkStart w:id="276" w:name="_Toc169703213"/>
      <w:r>
        <w:rPr>
          <w:rFonts w:hint="eastAsia" w:ascii="宋体" w:hAnsi="宋体" w:cs="宋体"/>
          <w:color w:val="auto"/>
          <w:sz w:val="32"/>
          <w:szCs w:val="32"/>
          <w:highlight w:val="none"/>
          <w:lang w:val="en-US" w:eastAsia="zh-CN"/>
        </w:rPr>
        <w:t xml:space="preserve"> </w:t>
      </w:r>
      <w:r>
        <w:rPr>
          <w:rFonts w:hint="eastAsia" w:ascii="方正小标宋_GBK" w:hAnsi="宋体" w:eastAsia="方正小标宋_GBK" w:cs="宋体"/>
          <w:b/>
          <w:color w:val="auto"/>
          <w:kern w:val="2"/>
          <w:sz w:val="32"/>
          <w:szCs w:val="32"/>
          <w:highlight w:val="none"/>
          <w:lang w:val="en-US" w:eastAsia="zh-CN" w:bidi="ar-SA"/>
        </w:rPr>
        <w:t xml:space="preserve"> </w:t>
      </w:r>
      <w:bookmarkStart w:id="277" w:name="_Toc11641055"/>
      <w:bookmarkStart w:id="278" w:name="_Toc12789059"/>
      <w:bookmarkStart w:id="279" w:name="_Toc87007374"/>
      <w:bookmarkStart w:id="280" w:name="_Toc28832"/>
      <w:bookmarkStart w:id="281" w:name="_Toc148968907"/>
      <w:bookmarkStart w:id="282" w:name="_Toc99622272"/>
      <w:r>
        <w:rPr>
          <w:rFonts w:hint="eastAsia" w:ascii="方正小标宋_GBK" w:eastAsia="方正小标宋_GBK"/>
          <w:b/>
          <w:color w:val="auto"/>
          <w:sz w:val="32"/>
          <w:szCs w:val="32"/>
          <w:highlight w:val="none"/>
        </w:rPr>
        <w:t xml:space="preserve">第六篇 </w:t>
      </w:r>
      <w:bookmarkEnd w:id="277"/>
      <w:bookmarkEnd w:id="278"/>
      <w:r>
        <w:rPr>
          <w:rFonts w:hint="eastAsia" w:ascii="方正小标宋_GBK" w:eastAsia="方正小标宋_GBK"/>
          <w:b/>
          <w:color w:val="auto"/>
          <w:sz w:val="32"/>
          <w:szCs w:val="32"/>
          <w:highlight w:val="none"/>
        </w:rPr>
        <w:t>合同草案条款</w:t>
      </w:r>
      <w:bookmarkEnd w:id="279"/>
      <w:r>
        <w:rPr>
          <w:rFonts w:hint="eastAsia" w:ascii="方正小标宋_GBK" w:eastAsia="方正小标宋_GBK"/>
          <w:b/>
          <w:color w:val="auto"/>
          <w:sz w:val="32"/>
          <w:szCs w:val="32"/>
          <w:highlight w:val="none"/>
        </w:rPr>
        <w:t>和采购</w:t>
      </w:r>
      <w:r>
        <w:rPr>
          <w:rFonts w:hint="eastAsia" w:ascii="方正小标宋_GBK" w:hAnsi="Times New Roman" w:eastAsia="方正小标宋_GBK" w:cs="Times New Roman"/>
          <w:b/>
          <w:color w:val="auto"/>
          <w:sz w:val="32"/>
          <w:szCs w:val="32"/>
          <w:highlight w:val="none"/>
        </w:rPr>
        <w:t>合同</w:t>
      </w:r>
      <w:r>
        <w:rPr>
          <w:rFonts w:hint="eastAsia" w:ascii="方正小标宋_GBK" w:eastAsia="方正小标宋_GBK"/>
          <w:b/>
          <w:color w:val="auto"/>
          <w:sz w:val="32"/>
          <w:szCs w:val="32"/>
          <w:highlight w:val="none"/>
        </w:rPr>
        <w:t>范本（格式）</w:t>
      </w:r>
      <w:bookmarkEnd w:id="280"/>
      <w:bookmarkEnd w:id="281"/>
      <w:bookmarkEnd w:id="282"/>
    </w:p>
    <w:p>
      <w:pPr>
        <w:spacing w:line="400" w:lineRule="exact"/>
        <w:ind w:firstLine="562" w:firstLineChars="200"/>
        <w:rPr>
          <w:rStyle w:val="69"/>
          <w:rFonts w:hint="eastAsia" w:ascii="方正仿宋_GBK" w:eastAsia="方正仿宋_GBK" w:cs="宋体"/>
          <w:b/>
          <w:bCs/>
          <w:color w:val="auto"/>
          <w:szCs w:val="28"/>
          <w:highlight w:val="none"/>
        </w:rPr>
      </w:pPr>
      <w:bookmarkStart w:id="283" w:name="_Toc30177"/>
      <w:r>
        <w:rPr>
          <w:rStyle w:val="69"/>
          <w:rFonts w:hint="eastAsia" w:ascii="方正仿宋_GBK" w:eastAsia="方正仿宋_GBK" w:cs="宋体"/>
          <w:b/>
          <w:bCs/>
          <w:color w:val="auto"/>
          <w:szCs w:val="28"/>
          <w:highlight w:val="none"/>
        </w:rPr>
        <w:t>一、合同草案条款</w:t>
      </w:r>
    </w:p>
    <w:bookmarkEnd w:id="283"/>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1.定义</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1.1甲方（需方）即采购人，是指通过招标采购，接受合同货物及服务的各级国家机关、事业单位和团体组织。</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1.2乙方（供方）即成交人，是指成交后提供合同货物和服务的自然人、法人及其他组织。</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1.3合同是指由甲乙双方按照询价通知书和响应文件的实质性内容，通过协商一致达成的书面协议。</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1.4合同价格指以成交价格为依据，在供方全面履行合同义务后，需方（或财政部门）应支付给供方的金额。</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1.5技术资料是指合同货物及其相关的设计、制造、监造、检验、验收等文件（包括图纸、各种文字说明、标准）。</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2.货物内容</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合同包括以下内容：货物名称、型号规格、技术参数、数量（单位）等内容。</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3.合同价格</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3.1合同价格即合同总价。</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3.2合同价格包括合同货物、技术资料、合同货物的税费、运杂费、保险费、包装费、装卸费及与货物有关的供方应纳的税费，所有税费由乙方负担。</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3.3合同货物单价为不变价。</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4.转包或分包</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4.1本合同范围的货物，应由乙方直接供应，不得转让他人供应；</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4.2非经甲方书面同意，乙方不得将本合同范围的货物全部或部分分包给他人供应；</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4.3如有转让和未经甲方同意的分包行为，甲方有权解除合同，没收履约保证金并追究乙方的违约责任。</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5.质量保证及售后服务</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5.1乙方应按询价通知书规定的货物性能、技术要求、质量标准向甲方提供未经使用的全新产品。</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5.2乙方提供的货物在质保期内因货物本身的质量问题发生故障，乙方应负责免费更换。对达不到技术要求者，根据实际情况，经双方协商，可按以下办法处理：</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5.2.1更换：由乙方承担所发生的全部费用。</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5.2.2贬值处理：由甲乙双方合议定价。</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5.2.3退货处理：乙方应退还甲方支付的合同款，同时应承担该货物的直接费用（运输、保险、检验、货款利息及银行手续费等）。</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5.3如在使用过程中发生质量问题，乙方应按本项目“第三篇 项目商务要求”中的要求处理。</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5.4在质保期内，乙方应对货物出现的质量及安全问题负责处理解决并承担一切费用。</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5.5 如甲方要求乙方提供履约保证金的，履约保证金的收取和退还应按本项目“第三篇 项目商务要求”中的要求处理。</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6.付款</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6.1本合同使用货币币制如未作特别说明均为人民币。</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6.2付款方式：银行转账、现金支票。</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6.3付款方法：同本项目“第三篇 商务条款”中关于付款方式的约定。</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7.检查验收</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7.1供方应随货物提供合格证和质量证明文件，如是国外进口的货物还须提供入关证明。</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7.2货物验收</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供方所交货物的各种质量指标不得低于供方提供样品的质量指标（无样品时按</w:t>
      </w:r>
      <w:r>
        <w:rPr>
          <w:rFonts w:hint="eastAsia" w:ascii="方正仿宋_GBK" w:hAnsi="方正仿宋_GBK" w:eastAsia="方正仿宋_GBK"/>
          <w:color w:val="auto"/>
          <w:szCs w:val="28"/>
          <w:highlight w:val="none"/>
          <w:lang w:eastAsia="zh-CN"/>
        </w:rPr>
        <w:t>供方</w:t>
      </w:r>
      <w:r>
        <w:rPr>
          <w:rFonts w:hint="eastAsia" w:ascii="方正仿宋_GBK" w:hAnsi="方正仿宋_GBK" w:eastAsia="方正仿宋_GBK"/>
          <w:color w:val="auto"/>
          <w:szCs w:val="28"/>
          <w:highlight w:val="none"/>
        </w:rPr>
        <w:t>投标时提供的“技术文件”执行），售后服务质量要求按照询价通知书和响应文件的内容执行。供方交货时，需方可根据需要随机抽取一部分货物送有关权威检测部门检测，如检测不合格，供方负责赔偿需方一切损失。</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7.3货物验收报告应由需方、供方经办人签字，并加盖双方公章，以此作为支付凭据。</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8.索赔</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供方对货物与合同要求不符负有责任，并且需方已于规定交货内和质量保证期内提出索赔，供方应按需方同意的下述一种或多种方法解决索赔事宜。</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8.1供方同意需方拒收货物并把拒收货物的金额以合同规定的同类货币付给需方，供方负担发生的一切损失和费用，包括利息、运输和保险费、检验费、仓储和装卸费以及为保管和保护被拒绝货物所需要的</w:t>
      </w:r>
      <w:r>
        <w:rPr>
          <w:rFonts w:hint="eastAsia" w:ascii="方正仿宋_GBK" w:hAnsi="方正仿宋_GBK" w:eastAsia="方正仿宋_GBK"/>
          <w:color w:val="auto"/>
          <w:szCs w:val="28"/>
          <w:highlight w:val="none"/>
          <w:lang w:eastAsia="zh-CN"/>
        </w:rPr>
        <w:t>其他</w:t>
      </w:r>
      <w:r>
        <w:rPr>
          <w:rFonts w:hint="eastAsia" w:ascii="方正仿宋_GBK" w:hAnsi="方正仿宋_GBK" w:eastAsia="方正仿宋_GBK"/>
          <w:color w:val="auto"/>
          <w:szCs w:val="28"/>
          <w:highlight w:val="none"/>
        </w:rPr>
        <w:t>必要费用。</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8.2根据货物的疵劣和受损程度以及需方遭受损失的金额，经双方同意降低货物价格。</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9.知识产权</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甲方在中华人民共和国境内使用乙方提供的货物及服务时免受第三方提出的侵犯其专利权或</w:t>
      </w:r>
      <w:r>
        <w:rPr>
          <w:rFonts w:hint="eastAsia" w:ascii="方正仿宋_GBK" w:hAnsi="方正仿宋_GBK" w:eastAsia="方正仿宋_GBK"/>
          <w:color w:val="auto"/>
          <w:szCs w:val="28"/>
          <w:highlight w:val="none"/>
          <w:lang w:eastAsia="zh-CN"/>
        </w:rPr>
        <w:t>其他</w:t>
      </w:r>
      <w:r>
        <w:rPr>
          <w:rFonts w:hint="eastAsia" w:ascii="方正仿宋_GBK" w:hAnsi="方正仿宋_GBK" w:eastAsia="方正仿宋_GBK"/>
          <w:color w:val="auto"/>
          <w:szCs w:val="28"/>
          <w:highlight w:val="none"/>
        </w:rPr>
        <w:t>知识产权的起诉。如果第三方提出侵权指控，乙方应承担由此而引起的一切法律责任和费用。</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10.合同争议的解决</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10.1当事人友好协商达成一致</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10.2在60天内当事人协商不能达成协议的，可提请采购人当地仲裁机构仲裁。</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11.违约责任</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按《中华人民共和国民法典</w:t>
      </w:r>
      <w:r>
        <w:rPr>
          <w:rFonts w:hint="eastAsia" w:ascii="方正仿宋_GBK" w:hAnsi="方正仿宋_GBK" w:eastAsia="方正仿宋_GBK"/>
          <w:color w:val="auto"/>
          <w:szCs w:val="28"/>
          <w:highlight w:val="none"/>
          <w:lang w:eastAsia="zh-CN"/>
        </w:rPr>
        <w:t>》《</w:t>
      </w:r>
      <w:r>
        <w:rPr>
          <w:rFonts w:hint="eastAsia" w:ascii="方正仿宋_GBK" w:hAnsi="方正仿宋_GBK" w:eastAsia="方正仿宋_GBK"/>
          <w:color w:val="auto"/>
          <w:szCs w:val="28"/>
          <w:highlight w:val="none"/>
        </w:rPr>
        <w:t>中华人民共和国政府采购法》有关条款，或由供需双方约定。</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12.合同生效及其</w:t>
      </w:r>
      <w:r>
        <w:rPr>
          <w:rFonts w:hint="eastAsia" w:ascii="方正仿宋_GBK" w:hAnsi="方正仿宋_GBK" w:eastAsia="方正仿宋_GBK"/>
          <w:color w:val="auto"/>
          <w:szCs w:val="28"/>
          <w:highlight w:val="none"/>
          <w:lang w:eastAsia="zh-CN"/>
        </w:rPr>
        <w:t>他</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12.1合同生效及其效力应符合《中华人民共和国民法典》有关规定。</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12.2合同应经当事人法定代表人或委托代理人签字，加盖双方合同专用章或公章。</w:t>
      </w:r>
    </w:p>
    <w:p>
      <w:pPr>
        <w:spacing w:line="400" w:lineRule="exact"/>
        <w:ind w:firstLine="560" w:firstLineChars="200"/>
        <w:rPr>
          <w:rFonts w:hint="eastAsia" w:ascii="方正仿宋_GBK" w:hAnsi="方正仿宋_GBK" w:eastAsia="方正仿宋_GBK"/>
          <w:color w:val="auto"/>
          <w:szCs w:val="28"/>
          <w:highlight w:val="none"/>
        </w:rPr>
      </w:pPr>
      <w:r>
        <w:rPr>
          <w:rFonts w:hint="eastAsia" w:ascii="方正仿宋_GBK" w:hAnsi="方正仿宋_GBK" w:eastAsia="方正仿宋_GBK"/>
          <w:color w:val="auto"/>
          <w:szCs w:val="28"/>
          <w:highlight w:val="none"/>
        </w:rPr>
        <w:t>12.3合同所包括附件，是合同不可分割的一部分，具有</w:t>
      </w:r>
      <w:r>
        <w:rPr>
          <w:rFonts w:hint="eastAsia" w:ascii="方正仿宋_GBK" w:hAnsi="方正仿宋_GBK" w:eastAsia="方正仿宋_GBK"/>
          <w:color w:val="auto"/>
          <w:szCs w:val="28"/>
          <w:highlight w:val="none"/>
          <w:lang w:eastAsia="zh-CN"/>
        </w:rPr>
        <w:t>同等</w:t>
      </w:r>
      <w:r>
        <w:rPr>
          <w:rFonts w:hint="eastAsia" w:ascii="方正仿宋_GBK" w:hAnsi="方正仿宋_GBK" w:eastAsia="方正仿宋_GBK"/>
          <w:color w:val="auto"/>
          <w:szCs w:val="28"/>
          <w:highlight w:val="none"/>
        </w:rPr>
        <w:t>法律效力。</w:t>
      </w:r>
    </w:p>
    <w:p>
      <w:pPr>
        <w:spacing w:line="400" w:lineRule="exact"/>
        <w:ind w:right="12" w:firstLine="480"/>
        <w:rPr>
          <w:rFonts w:hint="eastAsia" w:ascii="方正仿宋_GBK" w:hAnsi="仿宋" w:eastAsia="方正仿宋_GBK" w:cs="仿宋"/>
          <w:color w:val="auto"/>
          <w:szCs w:val="28"/>
          <w:highlight w:val="none"/>
        </w:rPr>
      </w:pPr>
      <w:r>
        <w:rPr>
          <w:rFonts w:hint="eastAsia" w:ascii="方正仿宋_GBK" w:hAnsi="方正仿宋_GBK" w:eastAsia="方正仿宋_GBK"/>
          <w:color w:val="auto"/>
          <w:szCs w:val="28"/>
          <w:highlight w:val="none"/>
        </w:rPr>
        <w:t>12.4本合同条件未尽事宜依照《中华人民共和国民法典》，由供需双方共同协商确定。</w:t>
      </w: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pStyle w:val="2"/>
        <w:spacing w:before="0" w:beforeLines="0" w:after="0" w:afterLines="0" w:line="500" w:lineRule="exact"/>
        <w:jc w:val="both"/>
        <w:rPr>
          <w:rFonts w:hint="eastAsia" w:ascii="宋体" w:hAnsi="宋体" w:eastAsia="宋体" w:cs="宋体"/>
          <w:b/>
          <w:color w:val="auto"/>
          <w:highlight w:val="none"/>
        </w:rPr>
      </w:pPr>
    </w:p>
    <w:p>
      <w:pPr>
        <w:rPr>
          <w:rFonts w:hint="eastAsia" w:ascii="宋体" w:hAnsi="宋体" w:eastAsia="宋体" w:cs="宋体"/>
          <w:b/>
          <w:color w:val="auto"/>
          <w:highlight w:val="none"/>
        </w:rPr>
      </w:pPr>
    </w:p>
    <w:p>
      <w:pPr>
        <w:pStyle w:val="22"/>
        <w:rPr>
          <w:rFonts w:hint="eastAsia"/>
        </w:rPr>
      </w:pPr>
    </w:p>
    <w:p>
      <w:pPr>
        <w:pStyle w:val="22"/>
        <w:rPr>
          <w:rFonts w:hint="eastAsia"/>
        </w:rPr>
      </w:pPr>
    </w:p>
    <w:p>
      <w:pPr>
        <w:rPr>
          <w:rFonts w:hint="eastAsia" w:ascii="宋体" w:hAnsi="宋体" w:cs="宋体"/>
          <w:b/>
          <w:color w:val="auto"/>
          <w:highlight w:val="none"/>
        </w:rPr>
      </w:pPr>
    </w:p>
    <w:p>
      <w:pPr>
        <w:rPr>
          <w:rFonts w:hint="eastAsia"/>
          <w:color w:val="auto"/>
          <w:highlight w:val="none"/>
        </w:rPr>
      </w:pPr>
    </w:p>
    <w:p>
      <w:pPr>
        <w:spacing w:line="400" w:lineRule="exact"/>
        <w:ind w:firstLine="482" w:firstLineChars="200"/>
        <w:rPr>
          <w:rStyle w:val="69"/>
          <w:rFonts w:hint="eastAsia" w:cs="宋体"/>
          <w:b/>
          <w:bCs/>
          <w:color w:val="auto"/>
          <w:sz w:val="24"/>
          <w:szCs w:val="24"/>
          <w:highlight w:val="none"/>
        </w:rPr>
      </w:pPr>
      <w:bookmarkStart w:id="284" w:name="_Toc148968909"/>
      <w:bookmarkStart w:id="285" w:name="_Toc499304042"/>
      <w:bookmarkStart w:id="286" w:name="_Toc8004"/>
      <w:r>
        <w:rPr>
          <w:rStyle w:val="69"/>
          <w:rFonts w:hint="eastAsia" w:cs="宋体"/>
          <w:b/>
          <w:bCs/>
          <w:color w:val="auto"/>
          <w:sz w:val="24"/>
          <w:szCs w:val="24"/>
          <w:highlight w:val="none"/>
        </w:rPr>
        <w:t>二、政府采购合同（格式）</w:t>
      </w:r>
      <w:bookmarkEnd w:id="284"/>
      <w:bookmarkEnd w:id="285"/>
    </w:p>
    <w:bookmarkEnd w:id="286"/>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重庆市武隆区政府采购合同（格式）</w:t>
      </w:r>
    </w:p>
    <w:p>
      <w:pPr>
        <w:jc w:val="center"/>
        <w:rPr>
          <w:rFonts w:hint="eastAsia" w:ascii="宋体" w:hAnsi="宋体" w:cs="宋体"/>
          <w:color w:val="auto"/>
          <w:sz w:val="44"/>
          <w:szCs w:val="44"/>
          <w:highlight w:val="none"/>
        </w:rPr>
      </w:pPr>
    </w:p>
    <w:p>
      <w:pPr>
        <w:rPr>
          <w:rFonts w:hint="eastAsia" w:ascii="宋体" w:hAnsi="宋体" w:cs="宋体"/>
          <w:color w:val="auto"/>
          <w:sz w:val="24"/>
          <w:highlight w:val="none"/>
          <w:u w:val="single"/>
        </w:rPr>
      </w:pPr>
      <w:r>
        <w:rPr>
          <w:rFonts w:hint="eastAsia" w:ascii="宋体" w:hAnsi="宋体" w:cs="宋体"/>
          <w:color w:val="auto"/>
          <w:sz w:val="24"/>
          <w:highlight w:val="none"/>
        </w:rPr>
        <w:t>采购项目名称：</w:t>
      </w:r>
      <w:r>
        <w:rPr>
          <w:rFonts w:hint="eastAsia" w:ascii="宋体" w:hAnsi="宋体" w:cs="宋体"/>
          <w:color w:val="auto"/>
          <w:sz w:val="24"/>
          <w:highlight w:val="none"/>
          <w:u w:val="single"/>
        </w:rPr>
        <w:t xml:space="preserve">                     </w:t>
      </w:r>
    </w:p>
    <w:p>
      <w:pPr>
        <w:rPr>
          <w:rFonts w:hint="eastAsia" w:ascii="宋体" w:hAnsi="宋体" w:cs="宋体"/>
          <w:color w:val="auto"/>
          <w:sz w:val="24"/>
          <w:highlight w:val="none"/>
          <w:u w:val="single"/>
        </w:rPr>
      </w:pPr>
      <w:r>
        <w:rPr>
          <w:rFonts w:hint="eastAsia" w:ascii="宋体" w:hAnsi="宋体" w:cs="宋体"/>
          <w:color w:val="auto"/>
          <w:sz w:val="24"/>
          <w:highlight w:val="none"/>
        </w:rPr>
        <w:t>采购计划编号：</w:t>
      </w:r>
      <w:r>
        <w:rPr>
          <w:rFonts w:hint="eastAsia" w:ascii="宋体" w:hAnsi="宋体" w:cs="宋体"/>
          <w:color w:val="auto"/>
          <w:sz w:val="24"/>
          <w:highlight w:val="none"/>
          <w:u w:val="single"/>
        </w:rPr>
        <w:t xml:space="preserve">                     </w:t>
      </w:r>
    </w:p>
    <w:p>
      <w:pPr>
        <w:rPr>
          <w:rFonts w:hint="eastAsia" w:ascii="宋体" w:hAnsi="宋体" w:cs="宋体"/>
          <w:color w:val="auto"/>
          <w:sz w:val="24"/>
          <w:highlight w:val="none"/>
          <w:u w:val="single"/>
        </w:rPr>
      </w:pPr>
      <w:r>
        <w:rPr>
          <w:rFonts w:hint="eastAsia" w:ascii="宋体" w:hAnsi="宋体" w:cs="宋体"/>
          <w:color w:val="auto"/>
          <w:sz w:val="24"/>
          <w:highlight w:val="none"/>
        </w:rPr>
        <w:t>采购文件编号：</w:t>
      </w:r>
      <w:r>
        <w:rPr>
          <w:rFonts w:hint="eastAsia" w:ascii="宋体" w:hAnsi="宋体" w:cs="宋体"/>
          <w:color w:val="auto"/>
          <w:sz w:val="24"/>
          <w:highlight w:val="none"/>
          <w:u w:val="single"/>
        </w:rPr>
        <w:t xml:space="preserve">                     </w:t>
      </w:r>
    </w:p>
    <w:p>
      <w:pPr>
        <w:rPr>
          <w:rFonts w:hint="eastAsia" w:ascii="宋体" w:hAnsi="宋体" w:cs="宋体"/>
          <w:color w:val="auto"/>
          <w:sz w:val="24"/>
          <w:highlight w:val="none"/>
        </w:rPr>
      </w:pPr>
    </w:p>
    <w:p>
      <w:pPr>
        <w:rPr>
          <w:rFonts w:hint="eastAsia" w:ascii="宋体" w:hAnsi="宋体" w:cs="宋体"/>
          <w:color w:val="auto"/>
          <w:sz w:val="24"/>
          <w:highlight w:val="non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采购人</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计价单位：____________</w:t>
      </w:r>
    </w:p>
    <w:p>
      <w:pPr>
        <w:rPr>
          <w:rFonts w:hint="eastAsia" w:ascii="宋体" w:hAnsi="宋体" w:cs="宋体"/>
          <w:color w:val="auto"/>
          <w:sz w:val="24"/>
          <w:highlight w:val="non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w:t>
      </w:r>
      <w:r>
        <w:rPr>
          <w:rFonts w:hint="eastAsia" w:ascii="宋体" w:hAnsi="宋体" w:cs="宋体"/>
          <w:color w:val="auto"/>
          <w:sz w:val="24"/>
          <w:highlight w:val="none"/>
        </w:rPr>
        <w:t>供应商</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计量单位：____________</w:t>
      </w:r>
    </w:p>
    <w:p>
      <w:pPr>
        <w:rPr>
          <w:rFonts w:hint="eastAsia" w:ascii="宋体" w:hAnsi="宋体" w:cs="宋体"/>
          <w:color w:val="auto"/>
          <w:sz w:val="24"/>
          <w:highlight w:val="none"/>
        </w:rPr>
      </w:pPr>
    </w:p>
    <w:p>
      <w:pPr>
        <w:rPr>
          <w:rFonts w:hint="eastAsia" w:ascii="宋体" w:hAnsi="宋体" w:cs="宋体"/>
          <w:color w:val="auto"/>
          <w:sz w:val="24"/>
          <w:highlight w:val="none"/>
        </w:rPr>
      </w:pPr>
      <w:r>
        <w:rPr>
          <w:rFonts w:hint="eastAsia" w:ascii="宋体" w:hAnsi="宋体" w:cs="宋体"/>
          <w:color w:val="auto"/>
          <w:sz w:val="24"/>
          <w:highlight w:val="none"/>
        </w:rPr>
        <w:t>采购代理机构：</w:t>
      </w:r>
      <w:r>
        <w:rPr>
          <w:rFonts w:hint="eastAsia" w:ascii="宋体" w:hAnsi="宋体" w:cs="宋体"/>
          <w:color w:val="auto"/>
          <w:sz w:val="24"/>
          <w:highlight w:val="none"/>
          <w:u w:val="single"/>
        </w:rPr>
        <w:t xml:space="preserve">                          </w:t>
      </w:r>
    </w:p>
    <w:p>
      <w:pPr>
        <w:rPr>
          <w:rFonts w:hint="eastAsia" w:ascii="宋体" w:hAnsi="宋体" w:cs="宋体"/>
          <w:color w:val="auto"/>
          <w:sz w:val="24"/>
          <w:highlight w:val="none"/>
        </w:rPr>
      </w:pPr>
      <w:r>
        <w:rPr>
          <w:rFonts w:hint="eastAsia" w:ascii="宋体" w:hAnsi="宋体" w:cs="宋体"/>
          <w:color w:val="auto"/>
          <w:sz w:val="24"/>
          <w:highlight w:val="none"/>
        </w:rPr>
        <w:t>经甲乙双方协商一致，达成以下购销合同：</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1591"/>
        <w:gridCol w:w="900"/>
        <w:gridCol w:w="511"/>
        <w:gridCol w:w="209"/>
        <w:gridCol w:w="900"/>
        <w:gridCol w:w="1440"/>
        <w:gridCol w:w="2020"/>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52" w:hRule="atLeast"/>
        </w:trPr>
        <w:tc>
          <w:tcPr>
            <w:tcW w:w="1217"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商品名称</w:t>
            </w:r>
          </w:p>
        </w:tc>
        <w:tc>
          <w:tcPr>
            <w:tcW w:w="1591"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规格型号</w:t>
            </w:r>
          </w:p>
        </w:tc>
        <w:tc>
          <w:tcPr>
            <w:tcW w:w="900"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数量</w:t>
            </w:r>
          </w:p>
        </w:tc>
        <w:tc>
          <w:tcPr>
            <w:tcW w:w="720" w:type="dxa"/>
            <w:gridSpan w:val="2"/>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单价</w:t>
            </w:r>
          </w:p>
        </w:tc>
        <w:tc>
          <w:tcPr>
            <w:tcW w:w="900"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总价</w:t>
            </w:r>
          </w:p>
        </w:tc>
        <w:tc>
          <w:tcPr>
            <w:tcW w:w="1440"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交货时间</w:t>
            </w:r>
          </w:p>
        </w:tc>
        <w:tc>
          <w:tcPr>
            <w:tcW w:w="2020" w:type="dxa"/>
            <w:noWrap w:val="0"/>
            <w:vAlign w:val="center"/>
          </w:tcPr>
          <w:p>
            <w:pPr>
              <w:jc w:val="center"/>
              <w:rPr>
                <w:rFonts w:hint="eastAsia" w:ascii="宋体" w:hAnsi="宋体" w:cs="宋体"/>
                <w:color w:val="auto"/>
                <w:sz w:val="24"/>
                <w:highlight w:val="none"/>
              </w:rPr>
            </w:pPr>
            <w:r>
              <w:rPr>
                <w:rFonts w:hint="eastAsia" w:ascii="宋体" w:hAnsi="宋体" w:cs="宋体"/>
                <w:color w:val="auto"/>
                <w:sz w:val="24"/>
                <w:highlight w:val="none"/>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217" w:type="dxa"/>
            <w:noWrap w:val="0"/>
            <w:vAlign w:val="center"/>
          </w:tcPr>
          <w:p>
            <w:pPr>
              <w:jc w:val="center"/>
              <w:rPr>
                <w:rFonts w:hint="eastAsia" w:ascii="宋体" w:hAnsi="宋体" w:cs="宋体"/>
                <w:color w:val="auto"/>
                <w:sz w:val="24"/>
                <w:highlight w:val="none"/>
              </w:rPr>
            </w:pPr>
          </w:p>
        </w:tc>
        <w:tc>
          <w:tcPr>
            <w:tcW w:w="1591" w:type="dxa"/>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720" w:type="dxa"/>
            <w:gridSpan w:val="2"/>
            <w:noWrap w:val="0"/>
            <w:vAlign w:val="center"/>
          </w:tcPr>
          <w:p>
            <w:pPr>
              <w:jc w:val="center"/>
              <w:rPr>
                <w:rFonts w:hint="eastAsia" w:ascii="宋体" w:hAnsi="宋体" w:cs="宋体"/>
                <w:color w:val="auto"/>
                <w:sz w:val="24"/>
                <w:highlight w:val="none"/>
              </w:rPr>
            </w:pPr>
          </w:p>
        </w:tc>
        <w:tc>
          <w:tcPr>
            <w:tcW w:w="900" w:type="dxa"/>
            <w:noWrap w:val="0"/>
            <w:vAlign w:val="center"/>
          </w:tcPr>
          <w:p>
            <w:pPr>
              <w:jc w:val="center"/>
              <w:rPr>
                <w:rFonts w:hint="eastAsia" w:ascii="宋体" w:hAnsi="宋体" w:cs="宋体"/>
                <w:color w:val="auto"/>
                <w:sz w:val="24"/>
                <w:highlight w:val="none"/>
              </w:rPr>
            </w:pPr>
          </w:p>
        </w:tc>
        <w:tc>
          <w:tcPr>
            <w:tcW w:w="1440" w:type="dxa"/>
            <w:noWrap w:val="0"/>
            <w:vAlign w:val="center"/>
          </w:tcPr>
          <w:p>
            <w:pPr>
              <w:jc w:val="center"/>
              <w:rPr>
                <w:rFonts w:hint="eastAsia" w:ascii="宋体" w:hAnsi="宋体" w:cs="宋体"/>
                <w:color w:val="auto"/>
                <w:sz w:val="24"/>
                <w:highlight w:val="none"/>
              </w:rPr>
            </w:pPr>
          </w:p>
        </w:tc>
        <w:tc>
          <w:tcPr>
            <w:tcW w:w="2020" w:type="dxa"/>
            <w:noWrap w:val="0"/>
            <w:vAlign w:val="center"/>
          </w:tcPr>
          <w:p>
            <w:pPr>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cantSplit/>
        </w:trPr>
        <w:tc>
          <w:tcPr>
            <w:tcW w:w="8788" w:type="dxa"/>
            <w:gridSpan w:val="8"/>
            <w:noWrap w:val="0"/>
            <w:vAlign w:val="center"/>
          </w:tcPr>
          <w:p>
            <w:pPr>
              <w:rPr>
                <w:rFonts w:hint="eastAsia" w:ascii="宋体" w:hAnsi="宋体" w:cs="宋体"/>
                <w:color w:val="auto"/>
                <w:sz w:val="24"/>
                <w:highlight w:val="none"/>
              </w:rPr>
            </w:pPr>
            <w:r>
              <w:rPr>
                <w:rFonts w:hint="eastAsia" w:ascii="宋体" w:hAnsi="宋体" w:cs="宋体"/>
                <w:color w:val="auto"/>
                <w:sz w:val="24"/>
                <w:highlight w:val="none"/>
              </w:rPr>
              <w:t>合计人民币（小写）：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cantSplit/>
        </w:trPr>
        <w:tc>
          <w:tcPr>
            <w:tcW w:w="8788" w:type="dxa"/>
            <w:gridSpan w:val="8"/>
            <w:noWrap w:val="0"/>
            <w:vAlign w:val="center"/>
          </w:tcPr>
          <w:p>
            <w:pPr>
              <w:rPr>
                <w:rFonts w:hint="eastAsia" w:ascii="宋体" w:hAnsi="宋体" w:cs="宋体"/>
                <w:color w:val="auto"/>
                <w:sz w:val="24"/>
                <w:highlight w:val="none"/>
              </w:rPr>
            </w:pPr>
            <w:r>
              <w:rPr>
                <w:rFonts w:hint="eastAsia" w:ascii="宋体" w:hAnsi="宋体" w:cs="宋体"/>
                <w:color w:val="auto"/>
                <w:sz w:val="24"/>
                <w:highlight w:val="none"/>
              </w:rPr>
              <w:t>合计人民币（大写）：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cantSplit/>
          <w:trHeight w:val="2052" w:hRule="atLeast"/>
        </w:trPr>
        <w:tc>
          <w:tcPr>
            <w:tcW w:w="8788" w:type="dxa"/>
            <w:gridSpan w:val="8"/>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一、质量要求和技术标准。供方提供的商品必须是全新的，完全符合国家有关技术标准，供方的质量保证及售后服务承诺如下：</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1.质保期限：</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2.保修范围：</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3.服务措施：</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4.质保期后服务：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cantSplit/>
          <w:trHeight w:val="622" w:hRule="atLeast"/>
        </w:trPr>
        <w:tc>
          <w:tcPr>
            <w:tcW w:w="8788" w:type="dxa"/>
            <w:gridSpan w:val="8"/>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二、随机备品、附件、工具数量及供应方法：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cantSplit/>
          <w:trHeight w:val="794" w:hRule="atLeast"/>
        </w:trPr>
        <w:tc>
          <w:tcPr>
            <w:tcW w:w="8788" w:type="dxa"/>
            <w:gridSpan w:val="8"/>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三、交提货方式：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8802" w:type="dxa"/>
            <w:gridSpan w:val="9"/>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四、验收标准、方法：</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如有异议，请于      日内提出。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8802" w:type="dxa"/>
            <w:gridSpan w:val="9"/>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五、履约验收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8802" w:type="dxa"/>
            <w:gridSpan w:val="9"/>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六、付款方式：</w:t>
            </w:r>
          </w:p>
          <w:p>
            <w:pPr>
              <w:spacing w:line="240" w:lineRule="atLeast"/>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一）合同签订时乙方向甲方缴纳</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履约保证金（以</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形式提交）。履约保证金无息退还时间：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pPr>
              <w:spacing w:line="240" w:lineRule="atLeast"/>
              <w:rPr>
                <w:rFonts w:hint="eastAsia" w:ascii="宋体" w:hAnsi="宋体" w:cs="宋体"/>
                <w:color w:val="auto"/>
                <w:highlight w:val="none"/>
              </w:rPr>
            </w:pPr>
            <w:r>
              <w:rPr>
                <w:rFonts w:hint="eastAsia" w:ascii="宋体" w:hAnsi="宋体" w:cs="宋体"/>
                <w:color w:val="auto"/>
                <w:sz w:val="21"/>
                <w:szCs w:val="21"/>
                <w:highlight w:val="none"/>
              </w:rPr>
              <w:t>（二）乙方向甲方开具发票，甲方以</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方式向乙方支付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（按财政支付、采购人支付及支付方式等分别填列）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trPr>
        <w:tc>
          <w:tcPr>
            <w:tcW w:w="8802" w:type="dxa"/>
            <w:gridSpan w:val="9"/>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六、违约责任：</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按《中华人民共和国民法典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中华人民共和国政府采购法》执行，或按双方约定。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trPr>
        <w:tc>
          <w:tcPr>
            <w:tcW w:w="8802" w:type="dxa"/>
            <w:gridSpan w:val="9"/>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七、其他约定事项：</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询价通知书及其澄清文件、电子响应文件和承诺是本合同不可分割的部分。</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本合同如发生争议由双方协商解决，协商不成向需方所在仲裁机构</w:t>
            </w:r>
            <w:r>
              <w:rPr>
                <w:rFonts w:hint="eastAsia" w:ascii="宋体" w:hAnsi="宋体" w:cs="宋体"/>
                <w:color w:val="auto"/>
                <w:sz w:val="24"/>
                <w:highlight w:val="none"/>
              </w:rPr>
              <w:t>提请仲裁</w:t>
            </w:r>
            <w:r>
              <w:rPr>
                <w:rFonts w:hint="eastAsia" w:ascii="宋体" w:hAnsi="宋体" w:cs="宋体"/>
                <w:color w:val="auto"/>
                <w:sz w:val="24"/>
                <w:szCs w:val="24"/>
                <w:highlight w:val="none"/>
              </w:rPr>
              <w:t>。</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本合同一式叁份， 需方__份，供方__份，采购代理机构壹份，具同等法律效力。</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1" w:hRule="atLeast"/>
        </w:trPr>
        <w:tc>
          <w:tcPr>
            <w:tcW w:w="4219" w:type="dxa"/>
            <w:gridSpan w:val="4"/>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需方：</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授权代表：</w:t>
            </w:r>
          </w:p>
        </w:tc>
        <w:tc>
          <w:tcPr>
            <w:tcW w:w="4583" w:type="dxa"/>
            <w:gridSpan w:val="5"/>
            <w:noWrap w:val="0"/>
            <w:vAlign w:val="top"/>
          </w:tcPr>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供方：</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电话：</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传真：</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账号：</w:t>
            </w:r>
          </w:p>
          <w:p>
            <w:pPr>
              <w:tabs>
                <w:tab w:val="left" w:pos="360"/>
              </w:tabs>
              <w:rPr>
                <w:rFonts w:hint="eastAsia" w:ascii="宋体" w:hAnsi="宋体" w:cs="宋体"/>
                <w:color w:val="auto"/>
                <w:sz w:val="24"/>
                <w:szCs w:val="24"/>
                <w:highlight w:val="none"/>
              </w:rPr>
            </w:pPr>
            <w:r>
              <w:rPr>
                <w:rFonts w:hint="eastAsia" w:ascii="宋体" w:hAnsi="宋体" w:cs="宋体"/>
                <w:color w:val="auto"/>
                <w:sz w:val="24"/>
                <w:szCs w:val="24"/>
                <w:highlight w:val="none"/>
              </w:rPr>
              <w:t>授权代表：</w:t>
            </w:r>
          </w:p>
          <w:p>
            <w:pPr>
              <w:tabs>
                <w:tab w:val="left" w:pos="360"/>
              </w:tabs>
              <w:rPr>
                <w:rFonts w:hint="eastAsia" w:ascii="宋体" w:hAnsi="宋体" w:cs="宋体"/>
                <w:color w:val="auto"/>
                <w:sz w:val="24"/>
                <w:szCs w:val="24"/>
                <w:highlight w:val="none"/>
              </w:rPr>
            </w:pPr>
          </w:p>
          <w:p>
            <w:pPr>
              <w:tabs>
                <w:tab w:val="left" w:pos="360"/>
              </w:tabs>
              <w:rPr>
                <w:rFonts w:hint="eastAsia" w:ascii="宋体" w:hAnsi="宋体" w:cs="宋体"/>
                <w:color w:val="auto"/>
                <w:sz w:val="24"/>
                <w:szCs w:val="24"/>
                <w:highlight w:val="none"/>
              </w:rPr>
            </w:pPr>
          </w:p>
          <w:p>
            <w:pPr>
              <w:rPr>
                <w:rFonts w:hint="eastAsia" w:ascii="宋体" w:hAnsi="宋体" w:cs="宋体"/>
                <w:color w:val="auto"/>
                <w:highlight w:val="none"/>
              </w:rPr>
            </w:pPr>
            <w:r>
              <w:rPr>
                <w:rFonts w:hint="eastAsia" w:ascii="宋体" w:hAnsi="宋体" w:cs="宋体"/>
                <w:color w:val="auto"/>
                <w:sz w:val="24"/>
                <w:szCs w:val="24"/>
                <w:highlight w:val="none"/>
              </w:rPr>
              <w:t>（本栏请用计算机打印以便于准确付款）</w:t>
            </w:r>
          </w:p>
          <w:p>
            <w:pPr>
              <w:tabs>
                <w:tab w:val="left" w:pos="360"/>
              </w:tabs>
              <w:rPr>
                <w:rFonts w:hint="eastAsia"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8802" w:type="dxa"/>
            <w:gridSpan w:val="9"/>
            <w:noWrap w:val="0"/>
            <w:vAlign w:val="top"/>
          </w:tcPr>
          <w:p>
            <w:pPr>
              <w:rPr>
                <w:rFonts w:hint="eastAsia" w:ascii="宋体" w:hAnsi="宋体" w:cs="宋体"/>
                <w:color w:val="auto"/>
                <w:sz w:val="24"/>
                <w:highlight w:val="none"/>
              </w:rPr>
            </w:pPr>
            <w:r>
              <w:rPr>
                <w:rFonts w:hint="eastAsia" w:ascii="宋体" w:hAnsi="宋体" w:cs="宋体"/>
                <w:color w:val="auto"/>
                <w:sz w:val="24"/>
                <w:highlight w:val="none"/>
              </w:rPr>
              <w:t>备注：</w:t>
            </w:r>
          </w:p>
        </w:tc>
      </w:tr>
    </w:tbl>
    <w:p>
      <w:pPr>
        <w:spacing w:line="560" w:lineRule="atLeast"/>
        <w:ind w:firstLine="480" w:firstLineChars="200"/>
        <w:jc w:val="left"/>
        <w:rPr>
          <w:rFonts w:hint="eastAsia" w:ascii="宋体" w:hAnsi="宋体" w:cs="宋体"/>
          <w:color w:val="auto"/>
          <w:sz w:val="21"/>
          <w:szCs w:val="21"/>
          <w:highlight w:val="none"/>
        </w:rPr>
        <w:sectPr>
          <w:footerReference r:id="rId9" w:type="default"/>
          <w:pgSz w:w="11907" w:h="16840"/>
          <w:pgMar w:top="1134" w:right="1191" w:bottom="1134" w:left="1304" w:header="964" w:footer="992" w:gutter="0"/>
          <w:pgNumType w:fmt="numberInDash"/>
          <w:cols w:space="720" w:num="1"/>
          <w:docGrid w:linePitch="312" w:charSpace="0"/>
        </w:sectPr>
      </w:pPr>
      <w:r>
        <w:rPr>
          <w:rFonts w:hint="eastAsia" w:ascii="宋体" w:hAnsi="宋体" w:cs="宋体"/>
          <w:color w:val="auto"/>
          <w:sz w:val="24"/>
          <w:highlight w:val="none"/>
        </w:rPr>
        <w:t>签约时间：</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年   月   日</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签约地点：</w:t>
      </w:r>
    </w:p>
    <w:bookmarkEnd w:id="271"/>
    <w:bookmarkEnd w:id="272"/>
    <w:bookmarkEnd w:id="273"/>
    <w:bookmarkEnd w:id="274"/>
    <w:bookmarkEnd w:id="275"/>
    <w:bookmarkEnd w:id="276"/>
    <w:p>
      <w:pPr>
        <w:pStyle w:val="2"/>
        <w:keepNext/>
        <w:keepLines w:val="0"/>
        <w:pageBreakBefore w:val="0"/>
        <w:widowControl w:val="0"/>
        <w:kinsoku/>
        <w:wordWrap/>
        <w:overflowPunct/>
        <w:topLinePunct w:val="0"/>
        <w:autoSpaceDE/>
        <w:autoSpaceDN/>
        <w:bidi w:val="0"/>
        <w:adjustRightInd/>
        <w:snapToGrid w:val="0"/>
        <w:spacing w:before="240" w:after="120" w:line="480" w:lineRule="exact"/>
        <w:jc w:val="center"/>
        <w:textAlignment w:val="auto"/>
        <w:rPr>
          <w:rFonts w:hint="eastAsia" w:ascii="方正小标宋_GBK" w:hAnsi="Times New Roman" w:eastAsia="方正小标宋_GBK" w:cs="Times New Roman"/>
          <w:b/>
          <w:color w:val="auto"/>
          <w:sz w:val="32"/>
          <w:szCs w:val="32"/>
          <w:highlight w:val="none"/>
        </w:rPr>
      </w:pPr>
      <w:bookmarkStart w:id="287" w:name="_Toc25915"/>
      <w:bookmarkStart w:id="288" w:name="_Toc32089"/>
      <w:bookmarkStart w:id="289" w:name="_Toc5648"/>
      <w:bookmarkStart w:id="290" w:name="_Toc169703216"/>
      <w:r>
        <w:rPr>
          <w:rFonts w:hint="eastAsia" w:ascii="方正小标宋_GBK" w:hAnsi="Times New Roman" w:eastAsia="方正小标宋_GBK" w:cs="Times New Roman"/>
          <w:b/>
          <w:color w:val="auto"/>
          <w:sz w:val="32"/>
          <w:szCs w:val="32"/>
          <w:highlight w:val="none"/>
        </w:rPr>
        <w:t>第七篇  电子投标文件格式</w:t>
      </w:r>
      <w:bookmarkEnd w:id="287"/>
      <w:bookmarkEnd w:id="288"/>
      <w:bookmarkEnd w:id="289"/>
      <w:bookmarkEnd w:id="290"/>
    </w:p>
    <w:p>
      <w:pPr>
        <w:pStyle w:val="3"/>
        <w:spacing w:line="400" w:lineRule="exact"/>
        <w:ind w:firstLine="562" w:firstLineChars="200"/>
        <w:rPr>
          <w:rFonts w:hint="eastAsia" w:cs="宋体"/>
          <w:b/>
          <w:bCs/>
          <w:color w:val="auto"/>
          <w:highlight w:val="none"/>
        </w:rPr>
      </w:pPr>
      <w:bookmarkStart w:id="291" w:name="_Toc844"/>
      <w:bookmarkStart w:id="292" w:name="_Toc169703217"/>
      <w:r>
        <w:rPr>
          <w:rFonts w:hint="eastAsia" w:cs="宋体"/>
          <w:b/>
          <w:bCs/>
          <w:color w:val="auto"/>
          <w:highlight w:val="none"/>
        </w:rPr>
        <w:t>一、经济文件</w:t>
      </w:r>
      <w:bookmarkEnd w:id="291"/>
      <w:bookmarkEnd w:id="292"/>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（一）开标一览表</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（二）分项报价明细表</w:t>
      </w:r>
    </w:p>
    <w:p>
      <w:pPr>
        <w:pStyle w:val="3"/>
        <w:spacing w:line="400" w:lineRule="exact"/>
        <w:ind w:firstLine="562" w:firstLineChars="200"/>
        <w:rPr>
          <w:rFonts w:hint="eastAsia"/>
          <w:b/>
          <w:bCs/>
          <w:color w:val="auto"/>
          <w:szCs w:val="28"/>
          <w:highlight w:val="none"/>
        </w:rPr>
      </w:pPr>
      <w:bookmarkStart w:id="293" w:name="_Toc17419"/>
      <w:bookmarkStart w:id="294" w:name="_Toc169703218"/>
      <w:r>
        <w:rPr>
          <w:rFonts w:hint="eastAsia"/>
          <w:b/>
          <w:bCs/>
          <w:color w:val="auto"/>
          <w:szCs w:val="28"/>
          <w:highlight w:val="none"/>
        </w:rPr>
        <w:t>二、技术（质量）文件</w:t>
      </w:r>
      <w:bookmarkEnd w:id="293"/>
      <w:bookmarkEnd w:id="294"/>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（一）技术</w:t>
      </w:r>
      <w:r>
        <w:rPr>
          <w:rFonts w:hint="eastAsia" w:ascii="宋体" w:hAnsi="宋体" w:cs="宋体"/>
          <w:color w:val="auto"/>
          <w:sz w:val="24"/>
          <w:szCs w:val="28"/>
          <w:highlight w:val="none"/>
        </w:rPr>
        <w:t>（质量）</w:t>
      </w:r>
      <w:r>
        <w:rPr>
          <w:rFonts w:hint="eastAsia" w:ascii="宋体" w:hAnsi="宋体" w:cs="宋体"/>
          <w:color w:val="auto"/>
          <w:sz w:val="24"/>
          <w:szCs w:val="24"/>
          <w:highlight w:val="none"/>
        </w:rPr>
        <w:t>条款差异表</w:t>
      </w:r>
    </w:p>
    <w:p>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w:t>
      </w:r>
      <w:r>
        <w:rPr>
          <w:rFonts w:hint="eastAsia" w:ascii="宋体" w:hAnsi="宋体" w:cs="宋体"/>
          <w:color w:val="auto"/>
          <w:sz w:val="24"/>
          <w:szCs w:val="28"/>
          <w:highlight w:val="none"/>
        </w:rPr>
        <w:t>其他技术（质量）资料</w:t>
      </w:r>
    </w:p>
    <w:p>
      <w:pPr>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pPr>
        <w:pStyle w:val="3"/>
        <w:spacing w:line="400" w:lineRule="exact"/>
        <w:ind w:firstLine="562" w:firstLineChars="200"/>
        <w:rPr>
          <w:rFonts w:hint="eastAsia"/>
          <w:b/>
          <w:bCs/>
          <w:color w:val="auto"/>
          <w:highlight w:val="none"/>
        </w:rPr>
      </w:pPr>
      <w:bookmarkStart w:id="295" w:name="_Toc12409"/>
      <w:bookmarkStart w:id="296" w:name="_Toc169703219"/>
      <w:r>
        <w:rPr>
          <w:rFonts w:hint="eastAsia"/>
          <w:b/>
          <w:bCs/>
          <w:color w:val="auto"/>
          <w:highlight w:val="none"/>
        </w:rPr>
        <w:t>三、商务文件</w:t>
      </w:r>
      <w:bookmarkEnd w:id="295"/>
      <w:bookmarkEnd w:id="296"/>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（一）投标函（格式）</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（二）商务条款差异表</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（三）其他商务资料</w:t>
      </w:r>
    </w:p>
    <w:p>
      <w:pPr>
        <w:pStyle w:val="3"/>
        <w:spacing w:line="400" w:lineRule="exact"/>
        <w:ind w:firstLine="562" w:firstLineChars="200"/>
        <w:rPr>
          <w:rFonts w:hint="eastAsia"/>
          <w:b/>
          <w:bCs/>
          <w:color w:val="auto"/>
          <w:highlight w:val="none"/>
        </w:rPr>
      </w:pPr>
      <w:bookmarkStart w:id="297" w:name="_Toc11228"/>
      <w:bookmarkStart w:id="298" w:name="_Toc169703220"/>
      <w:r>
        <w:rPr>
          <w:rFonts w:hint="eastAsia"/>
          <w:b/>
          <w:bCs/>
          <w:color w:val="auto"/>
          <w:highlight w:val="none"/>
        </w:rPr>
        <w:t>四、其他</w:t>
      </w:r>
      <w:bookmarkEnd w:id="297"/>
      <w:bookmarkEnd w:id="298"/>
    </w:p>
    <w:p>
      <w:pPr>
        <w:tabs>
          <w:tab w:val="left" w:pos="6300"/>
        </w:tabs>
        <w:snapToGrid w:val="0"/>
        <w:spacing w:line="400" w:lineRule="exact"/>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（一）中小微企业声明函、监狱企业证明文件、残疾人福利性单位声明函</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（二）其他与项目有关的资料（自附）</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（三）联合体协议或分包意向协议（如有，格式自定）</w:t>
      </w:r>
    </w:p>
    <w:p>
      <w:pPr>
        <w:pStyle w:val="3"/>
        <w:spacing w:line="400" w:lineRule="exact"/>
        <w:ind w:firstLine="562" w:firstLineChars="200"/>
        <w:rPr>
          <w:rFonts w:hint="eastAsia"/>
          <w:b/>
          <w:bCs/>
          <w:color w:val="auto"/>
          <w:highlight w:val="none"/>
        </w:rPr>
      </w:pPr>
      <w:bookmarkStart w:id="299" w:name="_Toc169703221"/>
      <w:bookmarkStart w:id="300" w:name="_Toc20892"/>
      <w:r>
        <w:rPr>
          <w:rFonts w:hint="eastAsia"/>
          <w:b/>
          <w:bCs/>
          <w:color w:val="auto"/>
          <w:highlight w:val="none"/>
        </w:rPr>
        <w:t>五、资格文件</w:t>
      </w:r>
      <w:bookmarkEnd w:id="299"/>
      <w:bookmarkEnd w:id="300"/>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（二）法定代表人身份证明书（格式）</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（三）法定代表人授权委托书（格式）</w:t>
      </w:r>
    </w:p>
    <w:p>
      <w:pPr>
        <w:spacing w:line="440" w:lineRule="exact"/>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rPr>
        <w:t>（四）基本资格条件承诺函（格式）</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（五）落实政府采购政策需满足的资格要求文件（如有）</w:t>
      </w:r>
    </w:p>
    <w:p>
      <w:pPr>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（六）特定资格条件证书或证明文件（如有）</w:t>
      </w:r>
    </w:p>
    <w:p>
      <w:pPr>
        <w:snapToGrid w:val="0"/>
        <w:spacing w:line="500" w:lineRule="exact"/>
        <w:jc w:val="center"/>
        <w:rPr>
          <w:rFonts w:hint="eastAsia" w:ascii="宋体" w:hAnsi="宋体" w:cs="宋体"/>
          <w:color w:val="auto"/>
          <w:szCs w:val="36"/>
          <w:highlight w:val="none"/>
        </w:rPr>
      </w:pPr>
    </w:p>
    <w:p>
      <w:pPr>
        <w:snapToGrid w:val="0"/>
        <w:spacing w:line="500" w:lineRule="exact"/>
        <w:jc w:val="center"/>
        <w:rPr>
          <w:rFonts w:hint="eastAsia" w:ascii="宋体" w:hAnsi="宋体" w:cs="宋体"/>
          <w:color w:val="auto"/>
          <w:szCs w:val="36"/>
          <w:highlight w:val="none"/>
        </w:rPr>
      </w:pPr>
    </w:p>
    <w:p>
      <w:pPr>
        <w:snapToGrid w:val="0"/>
        <w:spacing w:line="500" w:lineRule="exact"/>
        <w:jc w:val="center"/>
        <w:rPr>
          <w:rFonts w:hint="eastAsia" w:ascii="宋体" w:hAnsi="宋体" w:cs="宋体"/>
          <w:color w:val="auto"/>
          <w:szCs w:val="36"/>
          <w:highlight w:val="none"/>
        </w:rPr>
      </w:pPr>
    </w:p>
    <w:p>
      <w:pPr>
        <w:snapToGrid w:val="0"/>
        <w:spacing w:line="500" w:lineRule="exact"/>
        <w:jc w:val="center"/>
        <w:rPr>
          <w:rFonts w:hint="eastAsia" w:ascii="宋体" w:hAnsi="宋体" w:cs="宋体"/>
          <w:color w:val="auto"/>
          <w:szCs w:val="36"/>
          <w:highlight w:val="none"/>
        </w:rPr>
      </w:pPr>
    </w:p>
    <w:p>
      <w:pPr>
        <w:snapToGrid w:val="0"/>
        <w:spacing w:line="500" w:lineRule="exact"/>
        <w:jc w:val="center"/>
        <w:rPr>
          <w:rFonts w:hint="eastAsia" w:ascii="宋体" w:hAnsi="宋体" w:cs="宋体"/>
          <w:color w:val="auto"/>
          <w:szCs w:val="36"/>
          <w:highlight w:val="none"/>
        </w:rPr>
      </w:pPr>
    </w:p>
    <w:p>
      <w:pPr>
        <w:snapToGrid w:val="0"/>
        <w:spacing w:line="500" w:lineRule="exact"/>
        <w:jc w:val="center"/>
        <w:rPr>
          <w:rFonts w:hint="eastAsia" w:ascii="宋体" w:hAnsi="宋体" w:cs="宋体"/>
          <w:color w:val="auto"/>
          <w:szCs w:val="36"/>
          <w:highlight w:val="none"/>
        </w:rPr>
      </w:pPr>
    </w:p>
    <w:p>
      <w:pPr>
        <w:snapToGrid w:val="0"/>
        <w:spacing w:line="500" w:lineRule="exact"/>
        <w:jc w:val="center"/>
        <w:rPr>
          <w:rFonts w:hint="eastAsia" w:ascii="宋体" w:hAnsi="宋体" w:cs="宋体"/>
          <w:color w:val="auto"/>
          <w:szCs w:val="36"/>
          <w:highlight w:val="none"/>
        </w:rPr>
      </w:pPr>
    </w:p>
    <w:p>
      <w:pPr>
        <w:numPr>
          <w:ilvl w:val="0"/>
          <w:numId w:val="20"/>
        </w:numPr>
        <w:snapToGrid w:val="0"/>
        <w:spacing w:line="500" w:lineRule="exact"/>
        <w:rPr>
          <w:rFonts w:hint="eastAsia" w:ascii="宋体" w:hAnsi="宋体" w:cs="宋体"/>
          <w:b/>
          <w:color w:val="auto"/>
          <w:szCs w:val="28"/>
          <w:highlight w:val="none"/>
        </w:rPr>
      </w:pPr>
      <w:r>
        <w:rPr>
          <w:rFonts w:hint="eastAsia" w:ascii="宋体" w:hAnsi="宋体" w:cs="宋体"/>
          <w:b/>
          <w:color w:val="auto"/>
          <w:szCs w:val="28"/>
          <w:highlight w:val="none"/>
        </w:rPr>
        <w:t>经济文件</w:t>
      </w:r>
    </w:p>
    <w:p>
      <w:pPr>
        <w:snapToGrid w:val="0"/>
        <w:spacing w:line="500" w:lineRule="exact"/>
        <w:jc w:val="center"/>
        <w:rPr>
          <w:rFonts w:hint="eastAsia" w:ascii="宋体" w:hAnsi="宋体" w:cs="宋体"/>
          <w:color w:val="auto"/>
          <w:szCs w:val="36"/>
          <w:highlight w:val="none"/>
        </w:rPr>
      </w:pPr>
      <w:r>
        <w:rPr>
          <w:rFonts w:hint="eastAsia" w:ascii="宋体" w:hAnsi="宋体" w:cs="宋体"/>
          <w:color w:val="auto"/>
          <w:szCs w:val="36"/>
          <w:highlight w:val="none"/>
        </w:rPr>
        <w:t>（一）开标一览表</w:t>
      </w:r>
    </w:p>
    <w:p>
      <w:pPr>
        <w:snapToGrid w:val="0"/>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项目计划编号：</w:t>
      </w:r>
    </w:p>
    <w:p>
      <w:pPr>
        <w:snapToGrid w:val="0"/>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招标项目名称：</w:t>
      </w:r>
    </w:p>
    <w:tbl>
      <w:tblPr>
        <w:tblStyle w:val="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8"/>
        <w:gridCol w:w="2148"/>
        <w:gridCol w:w="932"/>
        <w:gridCol w:w="4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0" w:hRule="atLeast"/>
        </w:trPr>
        <w:tc>
          <w:tcPr>
            <w:tcW w:w="1788" w:type="dxa"/>
            <w:noWrap w:val="0"/>
            <w:vAlign w:val="center"/>
          </w:tcPr>
          <w:p>
            <w:pPr>
              <w:spacing w:line="500" w:lineRule="exact"/>
              <w:jc w:val="center"/>
              <w:rPr>
                <w:rFonts w:hint="eastAsia" w:ascii="宋体" w:hAnsi="宋体" w:cs="宋体"/>
                <w:color w:val="auto"/>
                <w:sz w:val="21"/>
                <w:szCs w:val="28"/>
                <w:highlight w:val="none"/>
              </w:rPr>
            </w:pPr>
            <w:r>
              <w:rPr>
                <w:rFonts w:hint="eastAsia" w:ascii="宋体" w:hAnsi="宋体" w:cs="宋体"/>
                <w:color w:val="auto"/>
                <w:sz w:val="21"/>
                <w:szCs w:val="28"/>
                <w:highlight w:val="none"/>
              </w:rPr>
              <w:t>投标人名称</w:t>
            </w:r>
          </w:p>
        </w:tc>
        <w:tc>
          <w:tcPr>
            <w:tcW w:w="7840" w:type="dxa"/>
            <w:gridSpan w:val="3"/>
            <w:noWrap w:val="0"/>
            <w:vAlign w:val="center"/>
          </w:tcPr>
          <w:p>
            <w:pPr>
              <w:spacing w:line="500" w:lineRule="exact"/>
              <w:jc w:val="center"/>
              <w:rPr>
                <w:rFonts w:hint="eastAsia" w:ascii="宋体" w:hAnsi="宋体" w:cs="宋体"/>
                <w:color w:val="auto"/>
                <w:sz w:val="21"/>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3936" w:type="dxa"/>
            <w:gridSpan w:val="2"/>
            <w:noWrap w:val="0"/>
            <w:vAlign w:val="center"/>
          </w:tcPr>
          <w:p>
            <w:pPr>
              <w:spacing w:line="500" w:lineRule="exact"/>
              <w:jc w:val="center"/>
              <w:rPr>
                <w:rFonts w:hint="eastAsia" w:ascii="宋体" w:hAnsi="宋体" w:cs="宋体"/>
                <w:color w:val="auto"/>
                <w:sz w:val="21"/>
                <w:szCs w:val="28"/>
                <w:highlight w:val="none"/>
              </w:rPr>
            </w:pPr>
            <w:r>
              <w:rPr>
                <w:rFonts w:hint="eastAsia" w:ascii="宋体" w:hAnsi="宋体" w:cs="宋体"/>
                <w:color w:val="auto"/>
                <w:sz w:val="21"/>
                <w:szCs w:val="28"/>
                <w:highlight w:val="none"/>
              </w:rPr>
              <w:t>包号及名称</w:t>
            </w:r>
          </w:p>
        </w:tc>
        <w:tc>
          <w:tcPr>
            <w:tcW w:w="932" w:type="dxa"/>
            <w:noWrap w:val="0"/>
            <w:vAlign w:val="center"/>
          </w:tcPr>
          <w:p>
            <w:pPr>
              <w:spacing w:line="500" w:lineRule="exact"/>
              <w:jc w:val="center"/>
              <w:rPr>
                <w:rFonts w:hint="eastAsia" w:ascii="宋体" w:hAnsi="宋体" w:cs="宋体"/>
                <w:color w:val="auto"/>
                <w:sz w:val="21"/>
                <w:szCs w:val="28"/>
                <w:highlight w:val="none"/>
              </w:rPr>
            </w:pPr>
            <w:r>
              <w:rPr>
                <w:rFonts w:hint="eastAsia" w:ascii="宋体" w:hAnsi="宋体" w:cs="宋体"/>
                <w:color w:val="auto"/>
                <w:sz w:val="21"/>
                <w:szCs w:val="28"/>
                <w:highlight w:val="none"/>
              </w:rPr>
              <w:t>数量</w:t>
            </w:r>
          </w:p>
        </w:tc>
        <w:tc>
          <w:tcPr>
            <w:tcW w:w="4760" w:type="dxa"/>
            <w:noWrap w:val="0"/>
            <w:vAlign w:val="center"/>
          </w:tcPr>
          <w:p>
            <w:pPr>
              <w:spacing w:line="500" w:lineRule="exact"/>
              <w:jc w:val="center"/>
              <w:rPr>
                <w:rFonts w:hint="eastAsia" w:ascii="宋体" w:hAnsi="宋体" w:cs="宋体"/>
                <w:color w:val="auto"/>
                <w:sz w:val="21"/>
                <w:szCs w:val="28"/>
                <w:highlight w:val="none"/>
              </w:rPr>
            </w:pPr>
            <w:r>
              <w:rPr>
                <w:rFonts w:hint="eastAsia" w:ascii="宋体" w:hAnsi="宋体" w:cs="宋体"/>
                <w:color w:val="auto"/>
                <w:sz w:val="21"/>
                <w:szCs w:val="28"/>
                <w:highlight w:val="none"/>
              </w:rPr>
              <w:t>投标报价（小写）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trPr>
        <w:tc>
          <w:tcPr>
            <w:tcW w:w="3936" w:type="dxa"/>
            <w:gridSpan w:val="2"/>
            <w:tcBorders>
              <w:bottom w:val="single" w:color="auto" w:sz="4" w:space="0"/>
            </w:tcBorders>
            <w:noWrap w:val="0"/>
            <w:vAlign w:val="center"/>
          </w:tcPr>
          <w:p>
            <w:pPr>
              <w:spacing w:line="500" w:lineRule="exact"/>
              <w:rPr>
                <w:rFonts w:hint="eastAsia" w:ascii="宋体" w:hAnsi="宋体" w:cs="宋体"/>
                <w:color w:val="auto"/>
                <w:sz w:val="21"/>
                <w:szCs w:val="28"/>
                <w:highlight w:val="none"/>
              </w:rPr>
            </w:pPr>
          </w:p>
        </w:tc>
        <w:tc>
          <w:tcPr>
            <w:tcW w:w="932" w:type="dxa"/>
            <w:tcBorders>
              <w:bottom w:val="single" w:color="auto" w:sz="4" w:space="0"/>
            </w:tcBorders>
            <w:noWrap w:val="0"/>
            <w:vAlign w:val="top"/>
          </w:tcPr>
          <w:p>
            <w:pPr>
              <w:spacing w:line="500" w:lineRule="exact"/>
              <w:rPr>
                <w:rFonts w:hint="eastAsia" w:ascii="宋体" w:hAnsi="宋体" w:cs="宋体"/>
                <w:color w:val="auto"/>
                <w:sz w:val="21"/>
                <w:szCs w:val="28"/>
                <w:highlight w:val="none"/>
              </w:rPr>
            </w:pPr>
          </w:p>
        </w:tc>
        <w:tc>
          <w:tcPr>
            <w:tcW w:w="4760" w:type="dxa"/>
            <w:tcBorders>
              <w:bottom w:val="single" w:color="auto" w:sz="4" w:space="0"/>
            </w:tcBorders>
            <w:noWrap w:val="0"/>
            <w:vAlign w:val="top"/>
          </w:tcPr>
          <w:p>
            <w:pPr>
              <w:spacing w:line="500" w:lineRule="exact"/>
              <w:rPr>
                <w:rFonts w:hint="eastAsia" w:ascii="宋体" w:hAnsi="宋体" w:cs="宋体"/>
                <w:color w:val="auto"/>
                <w:sz w:val="21"/>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8" w:hRule="atLeast"/>
        </w:trPr>
        <w:tc>
          <w:tcPr>
            <w:tcW w:w="9628" w:type="dxa"/>
            <w:gridSpan w:val="4"/>
            <w:tcBorders>
              <w:bottom w:val="single" w:color="auto" w:sz="4" w:space="0"/>
            </w:tcBorders>
            <w:noWrap w:val="0"/>
            <w:vAlign w:val="center"/>
          </w:tcPr>
          <w:p>
            <w:pPr>
              <w:spacing w:line="560" w:lineRule="exact"/>
              <w:rPr>
                <w:rFonts w:hint="eastAsia" w:ascii="宋体" w:hAnsi="宋体" w:cs="宋体"/>
                <w:color w:val="auto"/>
                <w:sz w:val="21"/>
                <w:szCs w:val="28"/>
                <w:highlight w:val="none"/>
              </w:rPr>
            </w:pPr>
            <w:r>
              <w:rPr>
                <w:rFonts w:hint="eastAsia" w:ascii="宋体" w:hAnsi="宋体" w:cs="宋体"/>
                <w:color w:val="auto"/>
                <w:sz w:val="21"/>
                <w:szCs w:val="28"/>
                <w:highlight w:val="none"/>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9628" w:type="dxa"/>
            <w:gridSpan w:val="4"/>
            <w:noWrap w:val="0"/>
            <w:vAlign w:val="center"/>
          </w:tcPr>
          <w:p>
            <w:pPr>
              <w:pStyle w:val="35"/>
              <w:spacing w:line="500" w:lineRule="exact"/>
              <w:rPr>
                <w:rFonts w:hint="eastAsia" w:ascii="宋体" w:hAnsi="宋体" w:cs="宋体"/>
                <w:color w:val="auto"/>
                <w:sz w:val="21"/>
                <w:szCs w:val="28"/>
                <w:highlight w:val="none"/>
                <w:lang w:val="en-US" w:eastAsia="zh-CN"/>
              </w:rPr>
            </w:pPr>
            <w:r>
              <w:rPr>
                <w:rFonts w:hint="eastAsia" w:ascii="宋体" w:hAnsi="宋体" w:cs="宋体"/>
                <w:color w:val="auto"/>
                <w:sz w:val="21"/>
                <w:szCs w:val="28"/>
                <w:highlight w:val="none"/>
                <w:lang w:val="en-US" w:eastAsia="zh-CN"/>
              </w:rPr>
              <w:t>备注：</w:t>
            </w:r>
          </w:p>
        </w:tc>
      </w:tr>
    </w:tbl>
    <w:p>
      <w:pPr>
        <w:pStyle w:val="35"/>
        <w:spacing w:line="500" w:lineRule="exact"/>
        <w:rPr>
          <w:rFonts w:hint="eastAsia" w:ascii="宋体" w:hAnsi="宋体" w:cs="宋体"/>
          <w:color w:val="auto"/>
          <w:sz w:val="24"/>
          <w:szCs w:val="28"/>
          <w:highlight w:val="none"/>
        </w:rPr>
      </w:pPr>
    </w:p>
    <w:p>
      <w:pPr>
        <w:rPr>
          <w:rFonts w:hint="eastAsia" w:ascii="宋体" w:hAnsi="宋体" w:cs="宋体"/>
          <w:color w:val="auto"/>
          <w:highlight w:val="none"/>
        </w:rPr>
      </w:pPr>
    </w:p>
    <w:p>
      <w:pPr>
        <w:spacing w:line="500" w:lineRule="exact"/>
        <w:rPr>
          <w:rFonts w:hint="eastAsia" w:ascii="宋体" w:hAnsi="宋体" w:cs="宋体"/>
          <w:color w:val="auto"/>
          <w:sz w:val="24"/>
          <w:szCs w:val="28"/>
          <w:highlight w:val="none"/>
        </w:rPr>
      </w:pPr>
    </w:p>
    <w:p>
      <w:pPr>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法定代表人（或法定代表人授权代表）或自然人：</w:t>
      </w: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（投标人公章）                               （签署或盖章）</w:t>
      </w:r>
    </w:p>
    <w:p>
      <w:pPr>
        <w:spacing w:line="500" w:lineRule="exact"/>
        <w:rPr>
          <w:rFonts w:hint="eastAsia" w:ascii="宋体" w:hAnsi="宋体" w:cs="宋体"/>
          <w:color w:val="auto"/>
          <w:sz w:val="24"/>
          <w:szCs w:val="28"/>
          <w:highlight w:val="none"/>
        </w:rPr>
      </w:pPr>
    </w:p>
    <w:p>
      <w:pPr>
        <w:spacing w:line="500" w:lineRule="exact"/>
        <w:rPr>
          <w:rFonts w:hint="eastAsia" w:ascii="宋体" w:hAnsi="宋体" w:cs="宋体"/>
          <w:color w:val="auto"/>
          <w:sz w:val="24"/>
          <w:szCs w:val="28"/>
          <w:highlight w:val="none"/>
        </w:rPr>
      </w:pP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pPr>
        <w:snapToGrid w:val="0"/>
        <w:spacing w:line="500" w:lineRule="exact"/>
        <w:rPr>
          <w:rFonts w:hint="eastAsia" w:ascii="宋体" w:hAnsi="宋体" w:cs="宋体"/>
          <w:color w:val="auto"/>
          <w:sz w:val="24"/>
          <w:szCs w:val="28"/>
          <w:highlight w:val="none"/>
        </w:rPr>
      </w:pPr>
    </w:p>
    <w:p>
      <w:pPr>
        <w:snapToGrid w:val="0"/>
        <w:spacing w:line="500" w:lineRule="exact"/>
        <w:ind w:firstLine="480" w:firstLineChars="200"/>
        <w:rPr>
          <w:rFonts w:hint="eastAsia" w:ascii="宋体" w:hAnsi="宋体" w:cs="宋体"/>
          <w:color w:val="auto"/>
          <w:sz w:val="24"/>
          <w:szCs w:val="28"/>
          <w:highlight w:val="none"/>
        </w:rPr>
      </w:pP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说明：</w:t>
      </w: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1.开标一览表按格式填列；</w:t>
      </w: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2.开标一览表在开标大会上当众宣读，务必填写清楚，准确无误；</w:t>
      </w: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3.若以联合体参与投标的，应在“投标人名称”处注明所有联合体名称。“投标人”处至少应加盖联合体主办方（主体）公章。</w:t>
      </w:r>
    </w:p>
    <w:p>
      <w:pPr>
        <w:snapToGrid w:val="0"/>
        <w:spacing w:line="500" w:lineRule="exact"/>
        <w:ind w:firstLine="560" w:firstLineChars="200"/>
        <w:rPr>
          <w:rFonts w:hint="eastAsia" w:ascii="宋体" w:hAnsi="宋体" w:cs="宋体"/>
          <w:color w:val="auto"/>
          <w:sz w:val="24"/>
          <w:szCs w:val="28"/>
          <w:highlight w:val="none"/>
        </w:rPr>
      </w:pPr>
      <w:r>
        <w:rPr>
          <w:rFonts w:hint="eastAsia" w:ascii="宋体" w:hAnsi="宋体" w:cs="宋体"/>
          <w:color w:val="auto"/>
          <w:szCs w:val="28"/>
          <w:highlight w:val="none"/>
        </w:rPr>
        <w:br w:type="page"/>
      </w:r>
      <w:r>
        <w:rPr>
          <w:rFonts w:hint="eastAsia" w:ascii="宋体" w:hAnsi="宋体" w:cs="宋体"/>
          <w:color w:val="auto"/>
          <w:szCs w:val="36"/>
          <w:highlight w:val="none"/>
        </w:rPr>
        <w:t>（二）分项报价明细表</w:t>
      </w: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项目计划编号</w:t>
      </w: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招标项目名称：</w:t>
      </w: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单位：元</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
        <w:gridCol w:w="934"/>
        <w:gridCol w:w="2474"/>
        <w:gridCol w:w="1242"/>
        <w:gridCol w:w="1242"/>
        <w:gridCol w:w="934"/>
        <w:gridCol w:w="934"/>
        <w:gridCol w:w="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535" w:hRule="exact"/>
          <w:jc w:val="center"/>
        </w:trPr>
        <w:tc>
          <w:tcPr>
            <w:tcW w:w="934"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934"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名称</w:t>
            </w:r>
          </w:p>
        </w:tc>
        <w:tc>
          <w:tcPr>
            <w:tcW w:w="2474"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品牌、规格型号</w:t>
            </w:r>
          </w:p>
        </w:tc>
        <w:tc>
          <w:tcPr>
            <w:tcW w:w="1242"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制造商</w:t>
            </w:r>
          </w:p>
        </w:tc>
        <w:tc>
          <w:tcPr>
            <w:tcW w:w="1242"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生产地</w:t>
            </w:r>
          </w:p>
        </w:tc>
        <w:tc>
          <w:tcPr>
            <w:tcW w:w="934"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数量</w:t>
            </w:r>
          </w:p>
        </w:tc>
        <w:tc>
          <w:tcPr>
            <w:tcW w:w="934"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单价</w:t>
            </w:r>
          </w:p>
        </w:tc>
        <w:tc>
          <w:tcPr>
            <w:tcW w:w="934" w:type="dxa"/>
            <w:noWrap w:val="0"/>
            <w:vAlign w:val="center"/>
          </w:tcPr>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1</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2</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3</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4</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5</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6</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7</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8</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9</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10</w:t>
            </w:r>
          </w:p>
        </w:tc>
        <w:tc>
          <w:tcPr>
            <w:tcW w:w="934" w:type="dxa"/>
            <w:noWrap w:val="0"/>
            <w:vAlign w:val="center"/>
          </w:tcPr>
          <w:p>
            <w:pPr>
              <w:jc w:val="center"/>
              <w:rPr>
                <w:rFonts w:hint="eastAsia" w:ascii="宋体" w:hAnsi="宋体" w:cs="宋体"/>
                <w:color w:val="auto"/>
                <w:sz w:val="21"/>
                <w:szCs w:val="21"/>
                <w:highlight w:val="none"/>
              </w:rPr>
            </w:pP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11</w:t>
            </w:r>
          </w:p>
        </w:tc>
        <w:tc>
          <w:tcPr>
            <w:tcW w:w="934"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2474"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1242" w:type="dxa"/>
            <w:noWrap w:val="0"/>
            <w:vAlign w:val="top"/>
          </w:tcPr>
          <w:p>
            <w:pPr>
              <w:jc w:val="center"/>
              <w:rPr>
                <w:rFonts w:hint="eastAsia" w:ascii="宋体" w:hAnsi="宋体" w:cs="宋体"/>
                <w:color w:val="auto"/>
                <w:sz w:val="21"/>
                <w:szCs w:val="21"/>
                <w:highlight w:val="none"/>
              </w:rPr>
            </w:pPr>
          </w:p>
        </w:tc>
        <w:tc>
          <w:tcPr>
            <w:tcW w:w="934"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w:t>
            </w:r>
          </w:p>
        </w:tc>
        <w:tc>
          <w:tcPr>
            <w:tcW w:w="934" w:type="dxa"/>
            <w:noWrap w:val="0"/>
            <w:vAlign w:val="top"/>
          </w:tcPr>
          <w:p>
            <w:pPr>
              <w:jc w:val="center"/>
              <w:rPr>
                <w:rFonts w:hint="eastAsia" w:ascii="宋体" w:hAnsi="宋体" w:cs="宋体"/>
                <w:color w:val="auto"/>
                <w:sz w:val="21"/>
                <w:szCs w:val="21"/>
                <w:highlight w:val="none"/>
              </w:rPr>
            </w:pPr>
          </w:p>
        </w:tc>
        <w:tc>
          <w:tcPr>
            <w:tcW w:w="934" w:type="dxa"/>
            <w:noWrap w:val="0"/>
            <w:vAlign w:val="top"/>
          </w:tcPr>
          <w:p>
            <w:pPr>
              <w:jc w:val="center"/>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397" w:hRule="exact"/>
          <w:jc w:val="center"/>
        </w:trPr>
        <w:tc>
          <w:tcPr>
            <w:tcW w:w="934" w:type="dxa"/>
            <w:noWrap w:val="0"/>
            <w:vAlign w:val="center"/>
          </w:tcPr>
          <w:p>
            <w:pPr>
              <w:pStyle w:val="23"/>
              <w:spacing w:line="240" w:lineRule="atLeast"/>
              <w:ind w:left="0"/>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12</w:t>
            </w:r>
          </w:p>
        </w:tc>
        <w:tc>
          <w:tcPr>
            <w:tcW w:w="934" w:type="dxa"/>
            <w:noWrap w:val="0"/>
            <w:vAlign w:val="center"/>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总计</w:t>
            </w:r>
          </w:p>
        </w:tc>
        <w:tc>
          <w:tcPr>
            <w:tcW w:w="7760" w:type="dxa"/>
            <w:gridSpan w:val="6"/>
            <w:noWrap w:val="0"/>
            <w:vAlign w:val="top"/>
          </w:tcPr>
          <w:p>
            <w:pPr>
              <w:rPr>
                <w:rFonts w:hint="eastAsia" w:ascii="宋体" w:hAnsi="宋体" w:cs="宋体"/>
                <w:color w:val="auto"/>
                <w:sz w:val="21"/>
                <w:szCs w:val="21"/>
                <w:highlight w:val="none"/>
              </w:rPr>
            </w:pPr>
          </w:p>
        </w:tc>
      </w:tr>
    </w:tbl>
    <w:p>
      <w:pPr>
        <w:spacing w:line="500" w:lineRule="exact"/>
        <w:ind w:firstLine="480" w:firstLineChars="200"/>
        <w:rPr>
          <w:rFonts w:hint="eastAsia" w:ascii="宋体" w:hAnsi="宋体" w:cs="宋体"/>
          <w:color w:val="auto"/>
          <w:sz w:val="24"/>
          <w:szCs w:val="28"/>
          <w:highlight w:val="none"/>
        </w:rPr>
      </w:pPr>
    </w:p>
    <w:p>
      <w:pPr>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法定代表人（或法定代表人授权代表）或自然人：</w:t>
      </w: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（投标人公章）                               （签署或盖章）</w:t>
      </w:r>
    </w:p>
    <w:p>
      <w:pPr>
        <w:spacing w:line="500" w:lineRule="exact"/>
        <w:rPr>
          <w:rFonts w:hint="eastAsia" w:ascii="宋体" w:hAnsi="宋体" w:cs="宋体"/>
          <w:color w:val="auto"/>
          <w:sz w:val="24"/>
          <w:szCs w:val="28"/>
          <w:highlight w:val="none"/>
        </w:rPr>
      </w:pPr>
    </w:p>
    <w:p>
      <w:pPr>
        <w:spacing w:line="500" w:lineRule="exact"/>
        <w:rPr>
          <w:rFonts w:hint="eastAsia" w:ascii="宋体" w:hAnsi="宋体" w:cs="宋体"/>
          <w:color w:val="auto"/>
          <w:sz w:val="24"/>
          <w:szCs w:val="28"/>
          <w:highlight w:val="none"/>
        </w:rPr>
      </w:pP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pPr>
        <w:snapToGrid w:val="0"/>
        <w:spacing w:line="500" w:lineRule="exact"/>
        <w:ind w:firstLine="480" w:firstLineChars="200"/>
        <w:rPr>
          <w:rFonts w:hint="eastAsia" w:ascii="宋体" w:hAnsi="宋体" w:cs="宋体"/>
          <w:color w:val="auto"/>
          <w:sz w:val="24"/>
          <w:szCs w:val="28"/>
          <w:highlight w:val="none"/>
        </w:rPr>
      </w:pP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注：</w:t>
      </w: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1.请投标人完整填写本表；</w:t>
      </w: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2.该表可扩展，并逐页签字或盖章。</w:t>
      </w:r>
    </w:p>
    <w:p>
      <w:pPr>
        <w:snapToGrid w:val="0"/>
        <w:spacing w:line="500" w:lineRule="exact"/>
        <w:ind w:firstLine="480" w:firstLineChars="200"/>
        <w:rPr>
          <w:rFonts w:hint="eastAsia" w:ascii="宋体" w:hAnsi="宋体" w:cs="宋体"/>
          <w:color w:val="auto"/>
          <w:sz w:val="24"/>
          <w:szCs w:val="28"/>
          <w:highlight w:val="none"/>
        </w:rPr>
      </w:pPr>
    </w:p>
    <w:p>
      <w:pPr>
        <w:snapToGrid w:val="0"/>
        <w:spacing w:line="500" w:lineRule="exact"/>
        <w:ind w:firstLine="480" w:firstLineChars="200"/>
        <w:rPr>
          <w:rFonts w:hint="eastAsia" w:ascii="宋体" w:hAnsi="宋体" w:cs="宋体"/>
          <w:color w:val="auto"/>
          <w:sz w:val="24"/>
          <w:szCs w:val="28"/>
          <w:highlight w:val="none"/>
        </w:rPr>
      </w:pPr>
    </w:p>
    <w:p>
      <w:pPr>
        <w:snapToGrid w:val="0"/>
        <w:spacing w:line="500" w:lineRule="exact"/>
        <w:rPr>
          <w:rFonts w:hint="eastAsia" w:ascii="宋体" w:hAnsi="宋体" w:cs="宋体"/>
          <w:color w:val="auto"/>
          <w:sz w:val="24"/>
          <w:szCs w:val="28"/>
          <w:highlight w:val="none"/>
        </w:rPr>
      </w:pPr>
    </w:p>
    <w:p>
      <w:pPr>
        <w:rPr>
          <w:rFonts w:hint="eastAsia"/>
          <w:color w:val="auto"/>
          <w:highlight w:val="none"/>
        </w:rPr>
      </w:pPr>
      <w:bookmarkStart w:id="301" w:name="_Toc19230"/>
      <w:bookmarkStart w:id="302" w:name="_Toc9681"/>
    </w:p>
    <w:p>
      <w:pPr>
        <w:rPr>
          <w:rFonts w:hint="eastAsia"/>
          <w:b/>
          <w:bCs/>
          <w:color w:val="auto"/>
          <w:highlight w:val="none"/>
        </w:rPr>
      </w:pPr>
      <w:r>
        <w:rPr>
          <w:rFonts w:hint="eastAsia"/>
          <w:b/>
          <w:bCs/>
          <w:color w:val="auto"/>
          <w:highlight w:val="none"/>
        </w:rPr>
        <w:t>二、技术（质量）文件</w:t>
      </w:r>
      <w:bookmarkEnd w:id="301"/>
      <w:bookmarkEnd w:id="302"/>
    </w:p>
    <w:p>
      <w:pPr>
        <w:tabs>
          <w:tab w:val="left" w:pos="6300"/>
        </w:tabs>
        <w:snapToGrid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（一）技术（质量）条款差异表</w:t>
      </w:r>
    </w:p>
    <w:p>
      <w:pPr>
        <w:pStyle w:val="35"/>
        <w:tabs>
          <w:tab w:val="left" w:pos="6300"/>
        </w:tabs>
        <w:snapToGrid w:val="0"/>
        <w:spacing w:line="500" w:lineRule="exact"/>
        <w:ind w:firstLine="480" w:firstLineChars="20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项目计划编号</w:t>
      </w:r>
    </w:p>
    <w:p>
      <w:pPr>
        <w:pStyle w:val="35"/>
        <w:tabs>
          <w:tab w:val="left" w:pos="6300"/>
        </w:tabs>
        <w:snapToGrid w:val="0"/>
        <w:spacing w:line="500" w:lineRule="exact"/>
        <w:ind w:firstLine="480" w:firstLineChars="200"/>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t>招标项目名称：</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066"/>
        <w:gridCol w:w="2882"/>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16"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招标要求</w:t>
            </w: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投标应答</w:t>
            </w: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提醒：请注明技术参数或具体内容以及投标文件中技术参数或具体内容的位置（页码）</w:t>
            </w: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6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882"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888"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bl>
    <w:p>
      <w:pPr>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法定代表人（或法定代表人授权代表）或自然人：</w:t>
      </w: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（投标人公章）                               （签署或盖章）</w:t>
      </w:r>
    </w:p>
    <w:p>
      <w:pPr>
        <w:tabs>
          <w:tab w:val="left" w:pos="6300"/>
        </w:tabs>
        <w:snapToGrid w:val="0"/>
        <w:spacing w:line="500" w:lineRule="exact"/>
        <w:ind w:firstLine="570"/>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pPr>
        <w:tabs>
          <w:tab w:val="left" w:pos="6300"/>
        </w:tabs>
        <w:snapToGrid w:val="0"/>
        <w:spacing w:line="500" w:lineRule="exact"/>
        <w:ind w:firstLine="570"/>
        <w:rPr>
          <w:rFonts w:hint="eastAsia" w:ascii="宋体" w:hAnsi="宋体" w:cs="宋体"/>
          <w:color w:val="auto"/>
          <w:sz w:val="24"/>
          <w:szCs w:val="28"/>
          <w:highlight w:val="none"/>
        </w:rPr>
      </w:pPr>
      <w:r>
        <w:rPr>
          <w:rFonts w:hint="eastAsia" w:ascii="宋体" w:hAnsi="宋体" w:cs="宋体"/>
          <w:color w:val="auto"/>
          <w:sz w:val="24"/>
          <w:szCs w:val="28"/>
          <w:highlight w:val="none"/>
        </w:rPr>
        <w:t>注：</w:t>
      </w:r>
    </w:p>
    <w:p>
      <w:pPr>
        <w:tabs>
          <w:tab w:val="left" w:pos="6300"/>
        </w:tabs>
        <w:snapToGrid w:val="0"/>
        <w:spacing w:line="500" w:lineRule="exact"/>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1.本表即为对本项目“第二篇  项目技术（质量）需求”中所列条款进行比较和响应；</w:t>
      </w:r>
    </w:p>
    <w:p>
      <w:pPr>
        <w:tabs>
          <w:tab w:val="left" w:pos="6300"/>
        </w:tabs>
        <w:snapToGrid w:val="0"/>
        <w:spacing w:line="500" w:lineRule="exact"/>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2.本表可扩展；</w:t>
      </w:r>
    </w:p>
    <w:p>
      <w:pPr>
        <w:tabs>
          <w:tab w:val="left" w:pos="6300"/>
        </w:tabs>
        <w:snapToGrid w:val="0"/>
        <w:spacing w:line="500" w:lineRule="exact"/>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3.可附相关技术支撑材料。（格式自定）</w:t>
      </w:r>
    </w:p>
    <w:p>
      <w:pPr>
        <w:tabs>
          <w:tab w:val="left" w:pos="6300"/>
        </w:tabs>
        <w:snapToGrid w:val="0"/>
        <w:spacing w:line="500" w:lineRule="exact"/>
        <w:ind w:firstLine="570"/>
        <w:rPr>
          <w:rFonts w:hint="eastAsia" w:ascii="宋体" w:hAnsi="宋体" w:cs="宋体"/>
          <w:color w:val="auto"/>
          <w:szCs w:val="24"/>
          <w:highlight w:val="none"/>
        </w:rPr>
      </w:pPr>
      <w:r>
        <w:rPr>
          <w:rFonts w:hint="eastAsia" w:ascii="宋体" w:hAnsi="宋体" w:cs="宋体"/>
          <w:color w:val="auto"/>
          <w:sz w:val="24"/>
          <w:szCs w:val="28"/>
          <w:highlight w:val="none"/>
        </w:rPr>
        <w:t>4.投标应答栏中应当注明技术参数或具体内容，且必须标注技术参数或具体内容在投标文件中的位置（页码）。</w:t>
      </w:r>
    </w:p>
    <w:p>
      <w:pPr>
        <w:tabs>
          <w:tab w:val="left" w:pos="6300"/>
        </w:tabs>
        <w:snapToGrid w:val="0"/>
        <w:spacing w:line="500" w:lineRule="exact"/>
        <w:rPr>
          <w:rFonts w:hint="eastAsia" w:ascii="宋体" w:hAnsi="宋体" w:cs="宋体"/>
          <w:color w:val="auto"/>
          <w:sz w:val="24"/>
          <w:szCs w:val="24"/>
          <w:highlight w:val="none"/>
        </w:rPr>
      </w:pPr>
      <w:r>
        <w:rPr>
          <w:rFonts w:hint="eastAsia" w:ascii="宋体" w:hAnsi="宋体" w:cs="宋体"/>
          <w:color w:val="auto"/>
          <w:sz w:val="24"/>
          <w:szCs w:val="28"/>
          <w:highlight w:val="none"/>
        </w:rPr>
        <w:t>（二）其他技术（质量）资料（如果有）</w:t>
      </w: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p>
    <w:p>
      <w:pPr>
        <w:snapToGrid w:val="0"/>
        <w:spacing w:line="4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（三）所投产品属于《财政部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pPr>
        <w:snapToGrid w:val="0"/>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说明：</w:t>
      </w:r>
    </w:p>
    <w:p>
      <w:pPr>
        <w:snapToGrid w:val="0"/>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1.提供所投产品列入《财政部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pPr>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2.提供所投产品列入《财政部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pPr>
        <w:rPr>
          <w:rFonts w:hint="eastAsia"/>
          <w:color w:val="auto"/>
          <w:highlight w:val="none"/>
        </w:rPr>
      </w:pPr>
      <w:bookmarkStart w:id="303" w:name="_Toc493178791"/>
      <w:bookmarkStart w:id="304" w:name="_Toc14628"/>
      <w:bookmarkStart w:id="305" w:name="_Toc25332"/>
      <w:bookmarkStart w:id="306" w:name="_Toc492721039"/>
      <w:bookmarkStart w:id="307" w:name="_Toc75793542"/>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b/>
          <w:bCs/>
          <w:color w:val="auto"/>
          <w:highlight w:val="none"/>
        </w:rPr>
      </w:pPr>
      <w:r>
        <w:rPr>
          <w:rFonts w:hint="eastAsia"/>
          <w:b/>
          <w:bCs/>
          <w:color w:val="auto"/>
          <w:highlight w:val="none"/>
        </w:rPr>
        <w:t>三、商务文件</w:t>
      </w:r>
      <w:bookmarkEnd w:id="303"/>
      <w:bookmarkEnd w:id="304"/>
      <w:bookmarkEnd w:id="305"/>
      <w:bookmarkEnd w:id="306"/>
      <w:bookmarkEnd w:id="307"/>
    </w:p>
    <w:p>
      <w:pPr>
        <w:snapToGrid w:val="0"/>
        <w:spacing w:before="120" w:beforeLines="50" w:line="500" w:lineRule="exact"/>
        <w:jc w:val="center"/>
        <w:rPr>
          <w:rFonts w:hint="eastAsia" w:ascii="宋体" w:hAnsi="宋体" w:cs="宋体"/>
          <w:color w:val="auto"/>
          <w:szCs w:val="28"/>
          <w:highlight w:val="none"/>
        </w:rPr>
      </w:pPr>
      <w:r>
        <w:rPr>
          <w:rFonts w:hint="eastAsia" w:ascii="宋体" w:hAnsi="宋体" w:cs="宋体"/>
          <w:color w:val="auto"/>
          <w:szCs w:val="28"/>
          <w:highlight w:val="none"/>
        </w:rPr>
        <w:t>（一）投标函（格式）</w:t>
      </w:r>
    </w:p>
    <w:p>
      <w:pPr>
        <w:spacing w:line="500" w:lineRule="exact"/>
        <w:rPr>
          <w:rFonts w:hint="eastAsia" w:ascii="宋体" w:hAnsi="宋体" w:cs="宋体"/>
          <w:color w:val="auto"/>
          <w:sz w:val="24"/>
          <w:szCs w:val="28"/>
          <w:highlight w:val="none"/>
        </w:rPr>
      </w:pPr>
    </w:p>
    <w:p>
      <w:pPr>
        <w:spacing w:line="500" w:lineRule="exact"/>
        <w:ind w:firstLine="480" w:firstLineChars="200"/>
        <w:rPr>
          <w:rFonts w:hint="eastAsia" w:ascii="宋体" w:hAnsi="宋体" w:cs="宋体"/>
          <w:color w:val="auto"/>
          <w:sz w:val="24"/>
          <w:szCs w:val="28"/>
          <w:highlight w:val="none"/>
          <w:u w:val="single"/>
        </w:rPr>
      </w:pPr>
      <w:r>
        <w:rPr>
          <w:rFonts w:hint="eastAsia" w:ascii="宋体" w:hAnsi="宋体" w:cs="宋体"/>
          <w:color w:val="auto"/>
          <w:sz w:val="24"/>
          <w:szCs w:val="28"/>
          <w:highlight w:val="none"/>
        </w:rPr>
        <w:t>招标项目名称：</w:t>
      </w:r>
      <w:r>
        <w:rPr>
          <w:rFonts w:hint="eastAsia" w:ascii="宋体" w:hAnsi="宋体" w:cs="宋体"/>
          <w:color w:val="auto"/>
          <w:sz w:val="24"/>
          <w:szCs w:val="28"/>
          <w:highlight w:val="none"/>
          <w:u w:val="single"/>
        </w:rPr>
        <w:t xml:space="preserve">                                             </w:t>
      </w:r>
    </w:p>
    <w:p>
      <w:pPr>
        <w:spacing w:line="500" w:lineRule="exact"/>
        <w:rPr>
          <w:rFonts w:hint="eastAsia" w:ascii="宋体" w:hAnsi="宋体" w:cs="宋体"/>
          <w:color w:val="auto"/>
          <w:sz w:val="24"/>
          <w:szCs w:val="28"/>
          <w:highlight w:val="none"/>
        </w:rPr>
      </w:pPr>
    </w:p>
    <w:p>
      <w:pPr>
        <w:tabs>
          <w:tab w:val="left" w:pos="6300"/>
        </w:tabs>
        <w:snapToGrid w:val="0"/>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致：</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（采购代理机构名称）：</w:t>
      </w:r>
    </w:p>
    <w:p>
      <w:pPr>
        <w:snapToGrid w:val="0"/>
        <w:spacing w:before="120" w:beforeLines="50"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（投标人名称）系中华人民共和国合法企业，注册地址：</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。我方就参加本次投标有关事项郑重声明如下：</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一、我方完全理解并接受该项目招标文件所有要求。</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二、我方提交的所有投标文件、资料都是准确和真实的，如有虚假或隐瞒，我方愿意承担一切法律责任。</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三、我方承诺按照招标文件要求，提供招标项目的技术（质量）服务。</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四、</w:t>
      </w:r>
      <w:bookmarkStart w:id="308" w:name="_Hlk148217035"/>
      <w:r>
        <w:rPr>
          <w:rFonts w:hint="eastAsia" w:ascii="宋体" w:hAnsi="宋体" w:cs="宋体"/>
          <w:color w:val="auto"/>
          <w:sz w:val="24"/>
          <w:szCs w:val="28"/>
          <w:highlight w:val="none"/>
        </w:rPr>
        <w:t>我方按招标文件要求提交的投标文件为：电子投标文件</w:t>
      </w:r>
      <w:r>
        <w:rPr>
          <w:rFonts w:hint="eastAsia" w:ascii="宋体" w:hAnsi="宋体" w:cs="宋体"/>
          <w:color w:val="auto"/>
          <w:sz w:val="24"/>
          <w:szCs w:val="28"/>
          <w:highlight w:val="none"/>
          <w:u w:val="single"/>
        </w:rPr>
        <w:t>壹</w:t>
      </w:r>
      <w:r>
        <w:rPr>
          <w:rFonts w:hint="eastAsia" w:ascii="宋体" w:hAnsi="宋体" w:cs="宋体"/>
          <w:color w:val="auto"/>
          <w:sz w:val="24"/>
          <w:szCs w:val="28"/>
          <w:highlight w:val="none"/>
        </w:rPr>
        <w:t>份</w:t>
      </w:r>
      <w:bookmarkEnd w:id="308"/>
      <w:r>
        <w:rPr>
          <w:rFonts w:hint="eastAsia" w:ascii="宋体" w:hAnsi="宋体" w:cs="宋体"/>
          <w:color w:val="auto"/>
          <w:sz w:val="24"/>
          <w:szCs w:val="28"/>
          <w:highlight w:val="none"/>
        </w:rPr>
        <w:t>。</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五、我方承诺：本次投标的投标有效期为电子</w:t>
      </w:r>
      <w:r>
        <w:rPr>
          <w:rFonts w:hint="eastAsia" w:ascii="宋体" w:hAnsi="宋体" w:cs="宋体"/>
          <w:color w:val="auto"/>
          <w:sz w:val="24"/>
          <w:highlight w:val="none"/>
        </w:rPr>
        <w:t>投标文件递交截止时间</w:t>
      </w:r>
      <w:r>
        <w:rPr>
          <w:rFonts w:hint="eastAsia" w:ascii="宋体" w:hAnsi="宋体" w:cs="宋体"/>
          <w:color w:val="auto"/>
          <w:sz w:val="24"/>
          <w:szCs w:val="28"/>
          <w:highlight w:val="none"/>
        </w:rPr>
        <w:t>起90天。</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六、我方投标报价为闭口价。即在投标有效期和合同有效期内，该报价固定不变。</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七、如果我方中标，我方将履行招标文件中规定的各项要求以及我方投标文件的各项承诺，按《中华人民共和国政府采购法</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中华人民共和国民法典》及合同约定条款承担我方责任。</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八、我方未</w:t>
      </w:r>
      <w:r>
        <w:rPr>
          <w:rFonts w:hint="eastAsia" w:ascii="宋体" w:hAnsi="宋体" w:cs="宋体"/>
          <w:color w:val="auto"/>
          <w:sz w:val="24"/>
          <w:szCs w:val="24"/>
          <w:highlight w:val="none"/>
        </w:rPr>
        <w:t>为采购项目提供整体设计、规范编制或者项目管理、监理、检测等服务。</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九、我方理解，最低报价不是中标的唯一条件。</w:t>
      </w:r>
    </w:p>
    <w:p>
      <w:pPr>
        <w:tabs>
          <w:tab w:val="left" w:pos="6300"/>
        </w:tabs>
        <w:snapToGrid w:val="0"/>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十、我方同意按有关规定及招标文件要求，交纳足额投标保证金。</w:t>
      </w:r>
    </w:p>
    <w:p>
      <w:pPr>
        <w:tabs>
          <w:tab w:val="left" w:pos="6300"/>
        </w:tabs>
        <w:snapToGrid w:val="0"/>
        <w:spacing w:line="500" w:lineRule="exact"/>
        <w:ind w:firstLine="570"/>
        <w:rPr>
          <w:rFonts w:hint="eastAsia" w:ascii="宋体" w:hAnsi="宋体" w:cs="宋体"/>
          <w:color w:val="auto"/>
          <w:sz w:val="24"/>
          <w:szCs w:val="28"/>
          <w:highlight w:val="none"/>
        </w:rPr>
      </w:pPr>
    </w:p>
    <w:p>
      <w:pPr>
        <w:tabs>
          <w:tab w:val="left" w:pos="6300"/>
        </w:tabs>
        <w:snapToGrid w:val="0"/>
        <w:spacing w:line="500" w:lineRule="exact"/>
        <w:ind w:firstLine="5460" w:firstLineChars="2275"/>
        <w:rPr>
          <w:rFonts w:hint="eastAsia" w:ascii="宋体" w:hAnsi="宋体" w:cs="宋体"/>
          <w:color w:val="auto"/>
          <w:sz w:val="24"/>
          <w:szCs w:val="28"/>
          <w:highlight w:val="none"/>
        </w:rPr>
      </w:pPr>
      <w:r>
        <w:rPr>
          <w:rFonts w:hint="eastAsia" w:ascii="宋体" w:hAnsi="宋体" w:cs="宋体"/>
          <w:color w:val="auto"/>
          <w:sz w:val="24"/>
          <w:szCs w:val="28"/>
          <w:highlight w:val="none"/>
        </w:rPr>
        <w:t>（投标人公章或自然人签署）</w:t>
      </w:r>
    </w:p>
    <w:p>
      <w:pPr>
        <w:tabs>
          <w:tab w:val="left" w:pos="6300"/>
        </w:tabs>
        <w:snapToGrid w:val="0"/>
        <w:spacing w:line="500" w:lineRule="exact"/>
        <w:ind w:firstLine="5760" w:firstLineChars="2400"/>
        <w:rPr>
          <w:rFonts w:hint="eastAsia" w:ascii="宋体" w:hAnsi="宋体" w:cs="宋体"/>
          <w:color w:val="auto"/>
          <w:szCs w:val="28"/>
          <w:highlight w:val="none"/>
        </w:rPr>
      </w:pPr>
      <w:r>
        <w:rPr>
          <w:rFonts w:hint="eastAsia" w:ascii="宋体" w:hAnsi="宋体" w:cs="宋体"/>
          <w:color w:val="auto"/>
          <w:sz w:val="24"/>
          <w:szCs w:val="28"/>
          <w:highlight w:val="none"/>
        </w:rPr>
        <w:t>年    月   日</w:t>
      </w:r>
    </w:p>
    <w:p>
      <w:pPr>
        <w:tabs>
          <w:tab w:val="left" w:pos="6300"/>
        </w:tabs>
        <w:snapToGrid w:val="0"/>
        <w:spacing w:line="500" w:lineRule="exact"/>
        <w:ind w:firstLine="570"/>
        <w:rPr>
          <w:rFonts w:hint="eastAsia" w:ascii="宋体" w:hAnsi="宋体" w:cs="宋体"/>
          <w:color w:val="auto"/>
          <w:sz w:val="24"/>
          <w:szCs w:val="28"/>
          <w:highlight w:val="none"/>
        </w:rPr>
      </w:pPr>
    </w:p>
    <w:p>
      <w:pPr>
        <w:tabs>
          <w:tab w:val="left" w:pos="6300"/>
        </w:tabs>
        <w:snapToGrid w:val="0"/>
        <w:spacing w:line="500" w:lineRule="exact"/>
        <w:ind w:firstLine="570"/>
        <w:rPr>
          <w:rFonts w:hint="eastAsia" w:ascii="宋体" w:hAnsi="宋体" w:cs="宋体"/>
          <w:color w:val="auto"/>
          <w:sz w:val="24"/>
          <w:szCs w:val="28"/>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r>
        <w:rPr>
          <w:rFonts w:hint="eastAsia" w:ascii="宋体" w:hAnsi="宋体" w:cs="宋体"/>
          <w:color w:val="auto"/>
          <w:szCs w:val="44"/>
          <w:highlight w:val="none"/>
        </w:rPr>
        <w:br w:type="page"/>
      </w:r>
      <w:r>
        <w:rPr>
          <w:rFonts w:hint="eastAsia" w:ascii="宋体" w:hAnsi="宋体" w:cs="宋体"/>
          <w:color w:val="auto"/>
          <w:sz w:val="24"/>
          <w:szCs w:val="24"/>
          <w:highlight w:val="none"/>
        </w:rPr>
        <w:t>（二）商务条款差异表</w:t>
      </w:r>
    </w:p>
    <w:p>
      <w:pPr>
        <w:pStyle w:val="35"/>
        <w:tabs>
          <w:tab w:val="left" w:pos="6300"/>
        </w:tabs>
        <w:snapToGrid w:val="0"/>
        <w:spacing w:line="500" w:lineRule="exact"/>
        <w:ind w:firstLine="480" w:firstLineChars="200"/>
        <w:outlineLvl w:val="0"/>
        <w:rPr>
          <w:rFonts w:hint="eastAsia" w:ascii="宋体" w:hAnsi="宋体" w:cs="宋体"/>
          <w:color w:val="auto"/>
          <w:sz w:val="24"/>
          <w:szCs w:val="28"/>
          <w:highlight w:val="none"/>
        </w:rPr>
      </w:pPr>
      <w:r>
        <w:rPr>
          <w:rFonts w:hint="eastAsia" w:ascii="宋体" w:hAnsi="宋体" w:cs="宋体"/>
          <w:color w:val="auto"/>
          <w:sz w:val="24"/>
          <w:szCs w:val="28"/>
          <w:highlight w:val="none"/>
        </w:rPr>
        <w:t>项目计划编号</w:t>
      </w:r>
    </w:p>
    <w:p>
      <w:pPr>
        <w:pStyle w:val="35"/>
        <w:tabs>
          <w:tab w:val="left" w:pos="6300"/>
        </w:tabs>
        <w:snapToGrid w:val="0"/>
        <w:spacing w:line="500" w:lineRule="exact"/>
        <w:ind w:firstLine="480" w:firstLineChars="200"/>
        <w:outlineLvl w:val="0"/>
        <w:rPr>
          <w:rFonts w:hint="eastAsia" w:ascii="宋体" w:hAnsi="宋体" w:cs="宋体"/>
          <w:color w:val="auto"/>
          <w:sz w:val="24"/>
          <w:highlight w:val="none"/>
        </w:rPr>
      </w:pPr>
      <w:r>
        <w:rPr>
          <w:rFonts w:hint="eastAsia" w:ascii="宋体" w:hAnsi="宋体" w:cs="宋体"/>
          <w:color w:val="auto"/>
          <w:sz w:val="24"/>
          <w:szCs w:val="28"/>
          <w:highlight w:val="none"/>
        </w:rPr>
        <w:t>招标项目名称</w:t>
      </w:r>
      <w:r>
        <w:rPr>
          <w:rFonts w:hint="eastAsia" w:ascii="宋体" w:hAnsi="宋体" w:cs="宋体"/>
          <w:color w:val="auto"/>
          <w:sz w:val="24"/>
          <w:highlight w:val="none"/>
        </w:rPr>
        <w:t>：</w:t>
      </w:r>
    </w:p>
    <w:tbl>
      <w:tblPr>
        <w:tblStyle w:val="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006"/>
        <w:gridCol w:w="3075"/>
        <w:gridCol w:w="1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16"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序号</w:t>
            </w: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招标商务要求</w:t>
            </w: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投标商务应答</w:t>
            </w: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r>
              <w:rPr>
                <w:rFonts w:hint="eastAsia" w:ascii="宋体" w:hAnsi="宋体" w:cs="宋体"/>
                <w:color w:val="auto"/>
                <w:sz w:val="21"/>
                <w:szCs w:val="21"/>
                <w:highlight w:val="none"/>
              </w:rPr>
              <w:t>提醒：请注明具体内容以及投标文件中具体内容的位置（页码）</w:t>
            </w: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6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15"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0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5"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0" w:hRule="atLeast"/>
          <w:jc w:val="center"/>
        </w:trPr>
        <w:tc>
          <w:tcPr>
            <w:tcW w:w="1039"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2006"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307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c>
          <w:tcPr>
            <w:tcW w:w="1755" w:type="dxa"/>
            <w:noWrap w:val="0"/>
            <w:vAlign w:val="center"/>
          </w:tcPr>
          <w:p>
            <w:pPr>
              <w:tabs>
                <w:tab w:val="left" w:pos="6300"/>
              </w:tabs>
              <w:snapToGrid w:val="0"/>
              <w:spacing w:line="500" w:lineRule="exact"/>
              <w:jc w:val="center"/>
              <w:outlineLvl w:val="0"/>
              <w:rPr>
                <w:rFonts w:hint="eastAsia" w:ascii="宋体" w:hAnsi="宋体" w:cs="宋体"/>
                <w:color w:val="auto"/>
                <w:sz w:val="21"/>
                <w:szCs w:val="21"/>
                <w:highlight w:val="none"/>
              </w:rPr>
            </w:pPr>
          </w:p>
        </w:tc>
      </w:tr>
    </w:tbl>
    <w:p>
      <w:pPr>
        <w:spacing w:line="5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投标人：                     法定代表人（或法定代表人授权代表）或自然人：</w:t>
      </w:r>
    </w:p>
    <w:p>
      <w:pPr>
        <w:spacing w:line="500" w:lineRule="exac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（投标人公章）                               （签署或盖章）</w:t>
      </w:r>
    </w:p>
    <w:p>
      <w:pPr>
        <w:tabs>
          <w:tab w:val="left" w:pos="6300"/>
        </w:tabs>
        <w:snapToGrid w:val="0"/>
        <w:spacing w:line="500" w:lineRule="exact"/>
        <w:ind w:firstLine="570"/>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年     月     日</w:t>
      </w:r>
    </w:p>
    <w:p>
      <w:pPr>
        <w:tabs>
          <w:tab w:val="left" w:pos="6300"/>
        </w:tabs>
        <w:snapToGrid w:val="0"/>
        <w:spacing w:line="500" w:lineRule="exact"/>
        <w:ind w:firstLine="570"/>
        <w:rPr>
          <w:rFonts w:hint="eastAsia" w:ascii="宋体" w:hAnsi="宋体" w:cs="宋体"/>
          <w:color w:val="auto"/>
          <w:sz w:val="24"/>
          <w:szCs w:val="28"/>
          <w:highlight w:val="none"/>
        </w:rPr>
      </w:pPr>
      <w:r>
        <w:rPr>
          <w:rFonts w:hint="eastAsia" w:ascii="宋体" w:hAnsi="宋体" w:cs="宋体"/>
          <w:color w:val="auto"/>
          <w:sz w:val="24"/>
          <w:szCs w:val="28"/>
          <w:highlight w:val="none"/>
        </w:rPr>
        <w:t>注：</w:t>
      </w:r>
    </w:p>
    <w:p>
      <w:pPr>
        <w:tabs>
          <w:tab w:val="left" w:pos="6300"/>
        </w:tabs>
        <w:snapToGrid w:val="0"/>
        <w:spacing w:line="500" w:lineRule="exact"/>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1.本表即为对本项目“第三篇 项目商务要求”中所列条款进行比较和响应；</w:t>
      </w:r>
    </w:p>
    <w:p>
      <w:pPr>
        <w:tabs>
          <w:tab w:val="left" w:pos="6300"/>
        </w:tabs>
        <w:snapToGrid w:val="0"/>
        <w:spacing w:line="500" w:lineRule="exact"/>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2.该表可扩展。</w:t>
      </w:r>
    </w:p>
    <w:p>
      <w:pPr>
        <w:tabs>
          <w:tab w:val="left" w:pos="6300"/>
        </w:tabs>
        <w:snapToGrid w:val="0"/>
        <w:spacing w:line="500" w:lineRule="exact"/>
        <w:ind w:firstLine="570"/>
        <w:rPr>
          <w:rFonts w:hint="eastAsia" w:ascii="宋体" w:hAnsi="宋体" w:cs="宋体"/>
          <w:color w:val="auto"/>
          <w:sz w:val="24"/>
          <w:szCs w:val="24"/>
          <w:highlight w:val="none"/>
        </w:rPr>
      </w:pPr>
      <w:r>
        <w:rPr>
          <w:rFonts w:hint="eastAsia" w:ascii="宋体" w:hAnsi="宋体" w:cs="宋体"/>
          <w:color w:val="auto"/>
          <w:sz w:val="24"/>
          <w:szCs w:val="28"/>
          <w:highlight w:val="none"/>
        </w:rPr>
        <w:t>3.投标应答栏中应当注明具体内容，且必须标注具体内容在投标文件中的位置（页码）。</w:t>
      </w:r>
    </w:p>
    <w:p>
      <w:pPr>
        <w:tabs>
          <w:tab w:val="left" w:pos="6300"/>
        </w:tabs>
        <w:snapToGrid w:val="0"/>
        <w:spacing w:line="500" w:lineRule="exact"/>
        <w:ind w:firstLine="560" w:firstLineChars="200"/>
        <w:outlineLvl w:val="0"/>
        <w:rPr>
          <w:rFonts w:hint="eastAsia" w:ascii="宋体" w:hAnsi="宋体" w:cs="宋体"/>
          <w:color w:val="auto"/>
          <w:highlight w:val="none"/>
        </w:rPr>
      </w:pPr>
      <w:r>
        <w:rPr>
          <w:rFonts w:hint="eastAsia" w:ascii="宋体" w:hAnsi="宋体" w:cs="宋体"/>
          <w:color w:val="auto"/>
          <w:szCs w:val="28"/>
          <w:highlight w:val="none"/>
        </w:rPr>
        <w:br w:type="page"/>
      </w:r>
      <w:r>
        <w:rPr>
          <w:rFonts w:hint="eastAsia" w:ascii="宋体" w:hAnsi="宋体" w:cs="宋体"/>
          <w:color w:val="auto"/>
          <w:sz w:val="24"/>
          <w:szCs w:val="24"/>
          <w:highlight w:val="none"/>
        </w:rPr>
        <w:t>（三）其他</w:t>
      </w:r>
      <w:r>
        <w:rPr>
          <w:rFonts w:hint="eastAsia" w:ascii="宋体" w:hAnsi="宋体" w:cs="宋体"/>
          <w:color w:val="auto"/>
          <w:sz w:val="24"/>
          <w:szCs w:val="28"/>
          <w:highlight w:val="none"/>
        </w:rPr>
        <w:t>商务资料</w:t>
      </w:r>
      <w:r>
        <w:rPr>
          <w:rFonts w:hint="eastAsia" w:ascii="宋体" w:hAnsi="宋体" w:cs="宋体"/>
          <w:color w:val="auto"/>
          <w:highlight w:val="none"/>
        </w:rPr>
        <w:t>：</w:t>
      </w:r>
    </w:p>
    <w:p>
      <w:pPr>
        <w:tabs>
          <w:tab w:val="left" w:pos="6300"/>
        </w:tabs>
        <w:snapToGrid w:val="0"/>
        <w:spacing w:line="500" w:lineRule="exact"/>
        <w:ind w:firstLine="480" w:firstLineChars="200"/>
        <w:outlineLvl w:val="0"/>
        <w:rPr>
          <w:rFonts w:hint="eastAsia" w:ascii="宋体" w:hAnsi="宋体" w:cs="宋体"/>
          <w:color w:val="auto"/>
          <w:sz w:val="24"/>
          <w:highlight w:val="none"/>
        </w:rPr>
      </w:pPr>
      <w:r>
        <w:rPr>
          <w:rFonts w:hint="eastAsia" w:ascii="宋体" w:hAnsi="宋体" w:cs="宋体"/>
          <w:color w:val="auto"/>
          <w:sz w:val="24"/>
          <w:highlight w:val="none"/>
        </w:rPr>
        <w:t xml:space="preserve"> </w:t>
      </w: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highlight w:val="none"/>
        </w:rPr>
      </w:pPr>
    </w:p>
    <w:p>
      <w:pPr>
        <w:rPr>
          <w:rFonts w:hint="eastAsia"/>
          <w:b/>
          <w:bCs/>
          <w:color w:val="auto"/>
          <w:highlight w:val="none"/>
        </w:rPr>
      </w:pPr>
      <w:bookmarkStart w:id="309" w:name="_Toc429584888"/>
      <w:bookmarkStart w:id="310" w:name="_Toc492721041"/>
      <w:bookmarkStart w:id="311" w:name="_Toc4711"/>
      <w:bookmarkStart w:id="312" w:name="_Toc21335"/>
      <w:r>
        <w:rPr>
          <w:rFonts w:hint="eastAsia"/>
          <w:b/>
          <w:bCs/>
          <w:color w:val="auto"/>
          <w:highlight w:val="none"/>
        </w:rPr>
        <w:t>四、其他</w:t>
      </w:r>
      <w:bookmarkEnd w:id="309"/>
      <w:bookmarkEnd w:id="310"/>
      <w:bookmarkEnd w:id="311"/>
      <w:bookmarkEnd w:id="312"/>
    </w:p>
    <w:p>
      <w:pPr>
        <w:tabs>
          <w:tab w:val="left" w:pos="6300"/>
        </w:tabs>
        <w:snapToGrid w:val="0"/>
        <w:spacing w:line="500" w:lineRule="exact"/>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（一）中小微企业声明函、监狱企业证明文件、残疾人福利性单位声明函</w:t>
      </w:r>
    </w:p>
    <w:p>
      <w:pPr>
        <w:tabs>
          <w:tab w:val="left" w:pos="6300"/>
        </w:tabs>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1.中小企业声明函：</w:t>
      </w:r>
      <w:r>
        <w:rPr>
          <w:rFonts w:hint="eastAsia" w:ascii="宋体" w:hAnsi="宋体" w:cs="宋体"/>
          <w:color w:val="auto"/>
          <w:sz w:val="24"/>
          <w:szCs w:val="24"/>
          <w:highlight w:val="none"/>
        </w:rPr>
        <w:t xml:space="preserve"> </w:t>
      </w:r>
    </w:p>
    <w:p>
      <w:pPr>
        <w:tabs>
          <w:tab w:val="left" w:pos="6300"/>
        </w:tabs>
        <w:snapToGrid w:val="0"/>
        <w:spacing w:line="500" w:lineRule="exact"/>
        <w:rPr>
          <w:rFonts w:hint="eastAsia" w:ascii="宋体" w:hAnsi="宋体" w:cs="宋体"/>
          <w:color w:val="auto"/>
          <w:sz w:val="24"/>
          <w:szCs w:val="24"/>
          <w:highlight w:val="none"/>
        </w:rPr>
      </w:pPr>
    </w:p>
    <w:p>
      <w:pPr>
        <w:widowControl/>
        <w:autoSpaceDE w:val="0"/>
        <w:spacing w:line="360" w:lineRule="auto"/>
        <w:ind w:firstLine="482" w:firstLineChars="200"/>
        <w:jc w:val="center"/>
        <w:rPr>
          <w:rFonts w:hint="eastAsia" w:ascii="宋体" w:hAnsi="宋体" w:cs="宋体"/>
          <w:color w:val="auto"/>
          <w:sz w:val="24"/>
          <w:szCs w:val="24"/>
          <w:highlight w:val="none"/>
        </w:rPr>
      </w:pPr>
      <w:r>
        <w:rPr>
          <w:rFonts w:hint="eastAsia" w:ascii="宋体" w:hAnsi="宋体" w:cs="宋体"/>
          <w:b/>
          <w:bCs/>
          <w:color w:val="auto"/>
          <w:kern w:val="0"/>
          <w:sz w:val="24"/>
          <w:szCs w:val="24"/>
          <w:highlight w:val="none"/>
        </w:rPr>
        <w:t>中小企业声明函（货物类）</w:t>
      </w:r>
    </w:p>
    <w:p>
      <w:pPr>
        <w:widowControl/>
        <w:autoSpaceDE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本公司（联合体）郑重声明，根据《政府采购促进中小企业发展管理办法</w:t>
      </w:r>
      <w:r>
        <w:rPr>
          <w:rFonts w:hint="eastAsia" w:ascii="宋体" w:hAnsi="宋体" w:cs="宋体"/>
          <w:color w:val="auto"/>
          <w:sz w:val="24"/>
          <w:szCs w:val="28"/>
          <w:highlight w:val="none"/>
        </w:rPr>
        <w:t>》</w:t>
      </w:r>
      <w:r>
        <w:rPr>
          <w:rFonts w:hint="eastAsia" w:ascii="宋体" w:hAnsi="宋体" w:cs="宋体"/>
          <w:color w:val="auto"/>
          <w:kern w:val="0"/>
          <w:sz w:val="24"/>
          <w:szCs w:val="24"/>
          <w:highlight w:val="none"/>
        </w:rPr>
        <w:t>（财库﹝2020﹞46 号）的规定，本公司（联合体）参加</w:t>
      </w:r>
      <w:r>
        <w:rPr>
          <w:rFonts w:hint="eastAsia" w:ascii="宋体" w:hAnsi="宋体" w:cs="宋体"/>
          <w:i/>
          <w:iCs/>
          <w:color w:val="auto"/>
          <w:kern w:val="0"/>
          <w:sz w:val="24"/>
          <w:szCs w:val="24"/>
          <w:highlight w:val="none"/>
        </w:rPr>
        <w:t>（单位名称）</w:t>
      </w:r>
      <w:r>
        <w:rPr>
          <w:rFonts w:hint="eastAsia" w:ascii="宋体" w:hAnsi="宋体" w:cs="宋体"/>
          <w:color w:val="auto"/>
          <w:kern w:val="0"/>
          <w:sz w:val="24"/>
          <w:szCs w:val="24"/>
          <w:highlight w:val="none"/>
        </w:rPr>
        <w:t>的</w:t>
      </w:r>
      <w:r>
        <w:rPr>
          <w:rFonts w:hint="eastAsia" w:ascii="宋体" w:hAnsi="宋体" w:cs="宋体"/>
          <w:i/>
          <w:iCs/>
          <w:color w:val="auto"/>
          <w:kern w:val="0"/>
          <w:sz w:val="24"/>
          <w:szCs w:val="24"/>
          <w:highlight w:val="none"/>
        </w:rPr>
        <w:t>（项目名称）</w:t>
      </w:r>
      <w:r>
        <w:rPr>
          <w:rFonts w:hint="eastAsia" w:ascii="宋体" w:hAnsi="宋体" w:cs="宋体"/>
          <w:color w:val="auto"/>
          <w:kern w:val="0"/>
          <w:sz w:val="24"/>
          <w:szCs w:val="24"/>
          <w:highlight w:val="none"/>
        </w:rPr>
        <w:t xml:space="preserve">采购活动，提供的货物全部由符合政策要求的中小企业制造。相关企业（含联合体中的中小企业、签订分包意向协议的中小企业）的具体情况如下： </w:t>
      </w:r>
    </w:p>
    <w:p>
      <w:pPr>
        <w:widowControl/>
        <w:autoSpaceDE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 xml:space="preserve"> </w:t>
      </w:r>
      <w:r>
        <w:rPr>
          <w:rFonts w:hint="eastAsia" w:ascii="宋体" w:hAnsi="宋体" w:cs="宋体"/>
          <w:i/>
          <w:iCs/>
          <w:color w:val="auto"/>
          <w:kern w:val="0"/>
          <w:sz w:val="24"/>
          <w:szCs w:val="24"/>
          <w:highlight w:val="none"/>
          <w:u w:val="single"/>
        </w:rPr>
        <w:t xml:space="preserve">（标的名称） </w:t>
      </w:r>
      <w:r>
        <w:rPr>
          <w:rFonts w:hint="eastAsia" w:ascii="宋体" w:hAnsi="宋体" w:cs="宋体"/>
          <w:color w:val="auto"/>
          <w:kern w:val="0"/>
          <w:sz w:val="24"/>
          <w:szCs w:val="24"/>
          <w:highlight w:val="none"/>
        </w:rPr>
        <w:t>，属于</w:t>
      </w:r>
      <w:r>
        <w:rPr>
          <w:rFonts w:hint="eastAsia" w:ascii="宋体" w:hAnsi="宋体" w:cs="宋体"/>
          <w:i/>
          <w:iCs/>
          <w:color w:val="auto"/>
          <w:kern w:val="0"/>
          <w:sz w:val="24"/>
          <w:szCs w:val="24"/>
          <w:highlight w:val="none"/>
          <w:u w:val="single"/>
        </w:rPr>
        <w:t xml:space="preserve">（采购文件中明确的所属行业） </w:t>
      </w:r>
      <w:r>
        <w:rPr>
          <w:rFonts w:hint="eastAsia" w:ascii="宋体" w:hAnsi="宋体" w:cs="宋体"/>
          <w:i/>
          <w:iCs/>
          <w:color w:val="auto"/>
          <w:kern w:val="0"/>
          <w:sz w:val="24"/>
          <w:szCs w:val="24"/>
          <w:highlight w:val="none"/>
        </w:rPr>
        <w:t>行业</w:t>
      </w:r>
      <w:r>
        <w:rPr>
          <w:rFonts w:hint="eastAsia" w:ascii="宋体" w:hAnsi="宋体" w:cs="宋体"/>
          <w:color w:val="auto"/>
          <w:kern w:val="0"/>
          <w:sz w:val="24"/>
          <w:szCs w:val="24"/>
          <w:highlight w:val="none"/>
        </w:rPr>
        <w:t>；制造商为</w:t>
      </w:r>
      <w:r>
        <w:rPr>
          <w:rFonts w:hint="eastAsia" w:ascii="宋体" w:hAnsi="宋体" w:cs="宋体"/>
          <w:i/>
          <w:iCs/>
          <w:color w:val="auto"/>
          <w:kern w:val="0"/>
          <w:sz w:val="24"/>
          <w:szCs w:val="24"/>
          <w:highlight w:val="none"/>
          <w:u w:val="single"/>
        </w:rPr>
        <w:t xml:space="preserve">（企业名称）  </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万元，属于</w:t>
      </w:r>
      <w:r>
        <w:rPr>
          <w:rFonts w:hint="eastAsia" w:ascii="宋体" w:hAnsi="宋体" w:cs="宋体"/>
          <w:color w:val="auto"/>
          <w:kern w:val="0"/>
          <w:sz w:val="24"/>
          <w:szCs w:val="24"/>
          <w:highlight w:val="none"/>
          <w:u w:val="single"/>
        </w:rPr>
        <w:t xml:space="preserve">  </w:t>
      </w:r>
      <w:r>
        <w:rPr>
          <w:rFonts w:hint="eastAsia" w:ascii="宋体" w:hAnsi="宋体" w:cs="宋体"/>
          <w:i/>
          <w:iCs/>
          <w:color w:val="auto"/>
          <w:kern w:val="0"/>
          <w:sz w:val="24"/>
          <w:szCs w:val="24"/>
          <w:highlight w:val="none"/>
          <w:u w:val="single"/>
        </w:rPr>
        <w:t xml:space="preserve">（中型企业、小 型企业、微型企业）    </w:t>
      </w:r>
      <w:r>
        <w:rPr>
          <w:rFonts w:hint="eastAsia" w:ascii="宋体" w:hAnsi="宋体" w:cs="宋体"/>
          <w:color w:val="auto"/>
          <w:kern w:val="0"/>
          <w:sz w:val="24"/>
          <w:szCs w:val="24"/>
          <w:highlight w:val="none"/>
        </w:rPr>
        <w:t xml:space="preserve">； </w:t>
      </w:r>
    </w:p>
    <w:p>
      <w:pPr>
        <w:widowControl/>
        <w:autoSpaceDE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 xml:space="preserve"> </w:t>
      </w:r>
      <w:r>
        <w:rPr>
          <w:rFonts w:hint="eastAsia" w:ascii="宋体" w:hAnsi="宋体" w:cs="宋体"/>
          <w:i/>
          <w:iCs/>
          <w:color w:val="auto"/>
          <w:kern w:val="0"/>
          <w:sz w:val="24"/>
          <w:szCs w:val="24"/>
          <w:highlight w:val="none"/>
          <w:u w:val="single"/>
        </w:rPr>
        <w:t xml:space="preserve">（标的名称） </w:t>
      </w:r>
      <w:r>
        <w:rPr>
          <w:rFonts w:hint="eastAsia" w:ascii="宋体" w:hAnsi="宋体" w:cs="宋体"/>
          <w:color w:val="auto"/>
          <w:kern w:val="0"/>
          <w:sz w:val="24"/>
          <w:szCs w:val="24"/>
          <w:highlight w:val="none"/>
        </w:rPr>
        <w:t>，属于</w:t>
      </w:r>
      <w:r>
        <w:rPr>
          <w:rFonts w:hint="eastAsia" w:ascii="宋体" w:hAnsi="宋体" w:cs="宋体"/>
          <w:i/>
          <w:iCs/>
          <w:color w:val="auto"/>
          <w:kern w:val="0"/>
          <w:sz w:val="24"/>
          <w:szCs w:val="24"/>
          <w:highlight w:val="none"/>
          <w:u w:val="single"/>
        </w:rPr>
        <w:t xml:space="preserve">（采购文件中明确的所属行业） </w:t>
      </w:r>
      <w:r>
        <w:rPr>
          <w:rFonts w:hint="eastAsia" w:ascii="宋体" w:hAnsi="宋体" w:cs="宋体"/>
          <w:i/>
          <w:iCs/>
          <w:color w:val="auto"/>
          <w:kern w:val="0"/>
          <w:sz w:val="24"/>
          <w:szCs w:val="24"/>
          <w:highlight w:val="none"/>
        </w:rPr>
        <w:t>行业</w:t>
      </w:r>
      <w:r>
        <w:rPr>
          <w:rFonts w:hint="eastAsia" w:ascii="宋体" w:hAnsi="宋体" w:cs="宋体"/>
          <w:color w:val="auto"/>
          <w:kern w:val="0"/>
          <w:sz w:val="24"/>
          <w:szCs w:val="24"/>
          <w:highlight w:val="none"/>
        </w:rPr>
        <w:t>；制造商为</w:t>
      </w:r>
      <w:r>
        <w:rPr>
          <w:rFonts w:hint="eastAsia" w:ascii="宋体" w:hAnsi="宋体" w:cs="宋体"/>
          <w:i/>
          <w:iCs/>
          <w:color w:val="auto"/>
          <w:kern w:val="0"/>
          <w:sz w:val="24"/>
          <w:szCs w:val="24"/>
          <w:highlight w:val="none"/>
          <w:u w:val="single"/>
        </w:rPr>
        <w:t xml:space="preserve">（企业名称）   </w:t>
      </w:r>
      <w:r>
        <w:rPr>
          <w:rFonts w:hint="eastAsia" w:ascii="宋体" w:hAnsi="宋体" w:cs="宋体"/>
          <w:color w:val="auto"/>
          <w:kern w:val="0"/>
          <w:sz w:val="24"/>
          <w:szCs w:val="24"/>
          <w:highlight w:val="none"/>
        </w:rPr>
        <w:t>，从业人员</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人，营业收入为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万元，资产总额为</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rPr>
        <w:t>万元，属于</w:t>
      </w:r>
      <w:r>
        <w:rPr>
          <w:rFonts w:hint="eastAsia" w:ascii="宋体" w:hAnsi="宋体" w:cs="宋体"/>
          <w:i/>
          <w:iCs/>
          <w:color w:val="auto"/>
          <w:kern w:val="0"/>
          <w:sz w:val="24"/>
          <w:szCs w:val="24"/>
          <w:highlight w:val="none"/>
          <w:u w:val="single"/>
        </w:rPr>
        <w:t xml:space="preserve">（中型企业、小型 企业、微型企业）   </w:t>
      </w:r>
      <w:r>
        <w:rPr>
          <w:rFonts w:hint="eastAsia" w:ascii="宋体" w:hAnsi="宋体" w:cs="宋体"/>
          <w:color w:val="auto"/>
          <w:kern w:val="0"/>
          <w:sz w:val="24"/>
          <w:szCs w:val="24"/>
          <w:highlight w:val="none"/>
        </w:rPr>
        <w:t xml:space="preserve">； </w:t>
      </w:r>
    </w:p>
    <w:p>
      <w:pPr>
        <w:widowControl/>
        <w:autoSpaceDE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w:t>
      </w:r>
    </w:p>
    <w:p>
      <w:pPr>
        <w:widowControl/>
        <w:autoSpaceDE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以上企业，不属于大企业的分支机构，不存在控股股东 为大企业的情形，也不存在与大企业的负责人为同一人的情 形。</w:t>
      </w:r>
    </w:p>
    <w:p>
      <w:pPr>
        <w:widowControl/>
        <w:autoSpaceDE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本企业对上述声明内容的真实性负责。如有虚假，将依 法承担相应责任。 </w:t>
      </w:r>
    </w:p>
    <w:p>
      <w:pPr>
        <w:widowControl/>
        <w:autoSpaceDE w:val="0"/>
        <w:spacing w:line="360" w:lineRule="auto"/>
        <w:ind w:firstLine="480" w:firstLineChars="200"/>
        <w:jc w:val="left"/>
        <w:rPr>
          <w:rFonts w:hint="eastAsia" w:ascii="宋体" w:hAnsi="宋体" w:cs="宋体"/>
          <w:color w:val="auto"/>
          <w:kern w:val="0"/>
          <w:sz w:val="24"/>
          <w:szCs w:val="24"/>
          <w:highlight w:val="none"/>
        </w:rPr>
      </w:pPr>
    </w:p>
    <w:p>
      <w:pPr>
        <w:widowControl/>
        <w:autoSpaceDE w:val="0"/>
        <w:spacing w:line="360" w:lineRule="auto"/>
        <w:ind w:firstLine="4560" w:firstLineChars="190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 xml:space="preserve">企业名称（盖章）： </w:t>
      </w:r>
    </w:p>
    <w:p>
      <w:pPr>
        <w:widowControl/>
        <w:autoSpaceDE w:val="0"/>
        <w:spacing w:line="360" w:lineRule="auto"/>
        <w:ind w:firstLine="4560" w:firstLineChars="19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日 期： </w:t>
      </w:r>
    </w:p>
    <w:p>
      <w:pPr>
        <w:widowControl/>
        <w:autoSpaceDE w:val="0"/>
        <w:spacing w:line="360" w:lineRule="auto"/>
        <w:ind w:firstLine="4578" w:firstLineChars="1900"/>
        <w:jc w:val="left"/>
        <w:rPr>
          <w:rFonts w:hint="eastAsia" w:ascii="宋体" w:hAnsi="宋体" w:cs="宋体"/>
          <w:b/>
          <w:color w:val="auto"/>
          <w:kern w:val="0"/>
          <w:sz w:val="24"/>
          <w:szCs w:val="24"/>
          <w:highlight w:val="none"/>
        </w:rPr>
      </w:pPr>
    </w:p>
    <w:p>
      <w:pPr>
        <w:tabs>
          <w:tab w:val="left" w:pos="6300"/>
        </w:tabs>
        <w:snapToGrid w:val="0"/>
        <w:spacing w:line="420" w:lineRule="exact"/>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填写时应注意以下事项：</w:t>
      </w:r>
    </w:p>
    <w:p>
      <w:pPr>
        <w:tabs>
          <w:tab w:val="left" w:pos="6300"/>
        </w:tabs>
        <w:snapToGrid w:val="0"/>
        <w:spacing w:line="420" w:lineRule="exact"/>
        <w:ind w:firstLine="420" w:firstLineChars="200"/>
        <w:jc w:val="left"/>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1.从业人员、营业收入、资产总额填报上一年度数据，无上一年度数据的新成立企业可不填报。</w:t>
      </w:r>
    </w:p>
    <w:p>
      <w:pPr>
        <w:tabs>
          <w:tab w:val="left" w:pos="6300"/>
        </w:tabs>
        <w:snapToGrid w:val="0"/>
        <w:spacing w:line="420" w:lineRule="exact"/>
        <w:ind w:firstLine="420" w:firstLineChars="200"/>
        <w:jc w:val="left"/>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2.中小企业应当按照《中小企业划型标准规定》（工信部联企业〔2011〕300号），如实填写并提交《中小企业声明函》。</w:t>
      </w:r>
    </w:p>
    <w:p>
      <w:pPr>
        <w:tabs>
          <w:tab w:val="left" w:pos="6300"/>
        </w:tabs>
        <w:snapToGrid w:val="0"/>
        <w:spacing w:line="420" w:lineRule="exact"/>
        <w:ind w:firstLine="420" w:firstLineChars="200"/>
        <w:jc w:val="left"/>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3.投标人填写《中小企业声明函》中所属行业时，应与采购文件第一篇“采购标的对应的中小企业划分标准所属行业”中填写的所属行业一致。</w:t>
      </w:r>
    </w:p>
    <w:p>
      <w:pPr>
        <w:widowControl/>
        <w:tabs>
          <w:tab w:val="left" w:pos="6300"/>
        </w:tabs>
        <w:snapToGrid w:val="0"/>
        <w:spacing w:line="420" w:lineRule="exact"/>
        <w:ind w:firstLine="420" w:firstLineChars="200"/>
        <w:jc w:val="left"/>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4.本声明函“企业名称（盖章）”处为投标人盖章。</w:t>
      </w:r>
    </w:p>
    <w:p>
      <w:pPr>
        <w:widowControl/>
        <w:autoSpaceDE w:val="0"/>
        <w:spacing w:line="360" w:lineRule="auto"/>
        <w:rPr>
          <w:rFonts w:hint="eastAsia" w:ascii="宋体" w:hAnsi="宋体" w:cs="宋体"/>
          <w:b/>
          <w:bCs/>
          <w:color w:val="auto"/>
          <w:kern w:val="0"/>
          <w:sz w:val="24"/>
          <w:szCs w:val="24"/>
          <w:highlight w:val="none"/>
        </w:rPr>
      </w:pPr>
    </w:p>
    <w:p>
      <w:pPr>
        <w:tabs>
          <w:tab w:val="left" w:pos="6300"/>
        </w:tabs>
        <w:snapToGrid w:val="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注：各行业划型标准：</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tabs>
          <w:tab w:val="left" w:pos="6300"/>
        </w:tabs>
        <w:snapToGrid w:val="0"/>
        <w:spacing w:line="400" w:lineRule="exact"/>
        <w:ind w:firstLine="420" w:firstLineChars="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（十六）其他未列明行业。从业人员300人以下的为中小微型企业。其中，从业人员100人及以上的为中型企业；从业人员10人及以上的为小型企业；从业人员10人以下的为微型企业。</w:t>
      </w: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560" w:firstLineChars="200"/>
        <w:outlineLvl w:val="0"/>
        <w:rPr>
          <w:rFonts w:hint="eastAsia" w:ascii="宋体" w:hAnsi="宋体" w:cs="宋体"/>
          <w:color w:val="auto"/>
          <w:highlight w:val="none"/>
        </w:rPr>
      </w:pPr>
    </w:p>
    <w:p>
      <w:pPr>
        <w:tabs>
          <w:tab w:val="left" w:pos="6300"/>
        </w:tabs>
        <w:snapToGrid w:val="0"/>
        <w:spacing w:line="500" w:lineRule="exact"/>
        <w:ind w:firstLine="480" w:firstLineChars="200"/>
        <w:outlineLvl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监狱企业证明文件</w:t>
      </w:r>
      <w:r>
        <w:rPr>
          <w:rFonts w:hint="eastAsia" w:ascii="宋体" w:hAnsi="宋体" w:cs="宋体"/>
          <w:color w:val="auto"/>
          <w:sz w:val="24"/>
          <w:szCs w:val="24"/>
          <w:highlight w:val="none"/>
          <w:lang w:eastAsia="zh-CN"/>
        </w:rPr>
        <w:t>：</w:t>
      </w:r>
    </w:p>
    <w:p>
      <w:pPr>
        <w:tabs>
          <w:tab w:val="left" w:pos="6300"/>
        </w:tabs>
        <w:snapToGrid w:val="0"/>
        <w:spacing w:line="400" w:lineRule="exact"/>
        <w:ind w:firstLine="561"/>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【以省级以上监狱管理局、戒毒管理局（含新疆生产建设兵团）出具的属于监狱企业的证明文件为准】</w:t>
      </w:r>
    </w:p>
    <w:p>
      <w:pPr>
        <w:tabs>
          <w:tab w:val="left" w:pos="6300"/>
        </w:tabs>
        <w:snapToGrid w:val="0"/>
        <w:spacing w:line="400" w:lineRule="exact"/>
        <w:ind w:firstLine="561"/>
        <w:jc w:val="left"/>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cs="宋体"/>
          <w:color w:val="auto"/>
          <w:sz w:val="24"/>
          <w:szCs w:val="24"/>
          <w:highlight w:val="none"/>
        </w:rPr>
      </w:pPr>
    </w:p>
    <w:p>
      <w:pPr>
        <w:tabs>
          <w:tab w:val="left" w:pos="6300"/>
        </w:tabs>
        <w:snapToGrid w:val="0"/>
        <w:spacing w:line="500" w:lineRule="exact"/>
        <w:ind w:firstLine="480" w:firstLineChars="200"/>
        <w:outlineLvl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残疾人福利性单位声明函</w:t>
      </w:r>
      <w:r>
        <w:rPr>
          <w:rFonts w:hint="eastAsia" w:ascii="宋体" w:hAnsi="宋体" w:cs="宋体"/>
          <w:color w:val="auto"/>
          <w:sz w:val="24"/>
          <w:szCs w:val="24"/>
          <w:highlight w:val="none"/>
          <w:lang w:eastAsia="zh-CN"/>
        </w:rPr>
        <w:t>：</w:t>
      </w:r>
    </w:p>
    <w:p>
      <w:pPr>
        <w:tabs>
          <w:tab w:val="left" w:pos="6300"/>
        </w:tabs>
        <w:snapToGrid w:val="0"/>
        <w:spacing w:line="400" w:lineRule="exact"/>
        <w:ind w:firstLine="561"/>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残疾人福利性单位声明函</w:t>
      </w:r>
    </w:p>
    <w:p>
      <w:pPr>
        <w:tabs>
          <w:tab w:val="left" w:pos="6300"/>
        </w:tabs>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lang w:eastAsia="zh-CN"/>
        </w:rPr>
        <w:t>〔2017〕141号</w:t>
      </w:r>
      <w:r>
        <w:rPr>
          <w:rFonts w:hint="eastAsia" w:ascii="宋体" w:hAnsi="宋体" w:cs="宋体"/>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abs>
          <w:tab w:val="left" w:pos="6300"/>
        </w:tabs>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本单位对上述声明的真实性负责。如有虚假，将依法承担相应责任。</w:t>
      </w:r>
    </w:p>
    <w:p>
      <w:pPr>
        <w:tabs>
          <w:tab w:val="left" w:pos="6300"/>
        </w:tabs>
        <w:snapToGrid w:val="0"/>
        <w:spacing w:line="500" w:lineRule="exact"/>
        <w:ind w:firstLine="480" w:firstLineChars="200"/>
        <w:rPr>
          <w:rFonts w:hint="eastAsia" w:ascii="宋体" w:hAnsi="宋体" w:cs="宋体"/>
          <w:color w:val="auto"/>
          <w:sz w:val="24"/>
          <w:szCs w:val="24"/>
          <w:highlight w:val="none"/>
        </w:rPr>
      </w:pPr>
    </w:p>
    <w:p>
      <w:pPr>
        <w:tabs>
          <w:tab w:val="left" w:pos="6300"/>
        </w:tabs>
        <w:snapToGrid w:val="0"/>
        <w:spacing w:line="500" w:lineRule="exact"/>
        <w:ind w:firstLine="480" w:firstLineChars="200"/>
        <w:rPr>
          <w:rFonts w:hint="eastAsia" w:ascii="宋体" w:hAnsi="宋体" w:cs="宋体"/>
          <w:color w:val="auto"/>
          <w:sz w:val="24"/>
          <w:szCs w:val="24"/>
          <w:highlight w:val="none"/>
        </w:rPr>
      </w:pPr>
    </w:p>
    <w:p>
      <w:pPr>
        <w:tabs>
          <w:tab w:val="left" w:pos="6300"/>
        </w:tabs>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tabs>
          <w:tab w:val="left" w:pos="6300"/>
        </w:tabs>
        <w:snapToGrid w:val="0"/>
        <w:spacing w:line="500" w:lineRule="exact"/>
        <w:ind w:firstLine="57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   期：</w:t>
      </w:r>
    </w:p>
    <w:p>
      <w:pPr>
        <w:tabs>
          <w:tab w:val="left" w:pos="6300"/>
        </w:tabs>
        <w:snapToGrid w:val="0"/>
        <w:spacing w:line="500" w:lineRule="exact"/>
        <w:jc w:val="left"/>
        <w:rPr>
          <w:rFonts w:hint="eastAsia" w:ascii="宋体" w:hAnsi="宋体" w:cs="宋体"/>
          <w:color w:val="auto"/>
          <w:sz w:val="24"/>
          <w:szCs w:val="24"/>
          <w:highlight w:val="none"/>
        </w:rPr>
      </w:pPr>
    </w:p>
    <w:p>
      <w:pPr>
        <w:tabs>
          <w:tab w:val="left" w:pos="6300"/>
        </w:tabs>
        <w:snapToGrid w:val="0"/>
        <w:spacing w:line="500" w:lineRule="exact"/>
        <w:jc w:val="left"/>
        <w:rPr>
          <w:rFonts w:hint="eastAsia" w:ascii="宋体" w:hAnsi="宋体" w:cs="宋体"/>
          <w:color w:val="auto"/>
          <w:sz w:val="24"/>
          <w:szCs w:val="24"/>
          <w:highlight w:val="none"/>
        </w:rPr>
      </w:pPr>
    </w:p>
    <w:p>
      <w:pPr>
        <w:tabs>
          <w:tab w:val="left" w:pos="6300"/>
        </w:tabs>
        <w:snapToGrid w:val="0"/>
        <w:spacing w:line="500" w:lineRule="exact"/>
        <w:jc w:val="left"/>
        <w:rPr>
          <w:rFonts w:hint="eastAsia" w:ascii="宋体" w:hAnsi="宋体" w:cs="宋体"/>
          <w:color w:val="auto"/>
          <w:sz w:val="24"/>
          <w:szCs w:val="24"/>
          <w:highlight w:val="none"/>
        </w:rPr>
      </w:pPr>
    </w:p>
    <w:p>
      <w:pPr>
        <w:tabs>
          <w:tab w:val="left" w:pos="6300"/>
        </w:tabs>
        <w:snapToGrid w:val="0"/>
        <w:spacing w:line="500" w:lineRule="exact"/>
        <w:ind w:firstLine="570"/>
        <w:jc w:val="left"/>
        <w:rPr>
          <w:rFonts w:hint="eastAsia" w:ascii="宋体" w:hAnsi="宋体" w:cs="宋体"/>
          <w:color w:val="auto"/>
          <w:sz w:val="24"/>
          <w:szCs w:val="24"/>
          <w:highlight w:val="none"/>
        </w:rPr>
      </w:pPr>
      <w:r>
        <w:rPr>
          <w:rFonts w:hint="eastAsia" w:ascii="宋体" w:hAnsi="宋体" w:cs="宋体"/>
          <w:color w:val="auto"/>
          <w:kern w:val="0"/>
          <w:sz w:val="24"/>
          <w:szCs w:val="24"/>
          <w:highlight w:val="none"/>
        </w:rPr>
        <w:t>若中标人为残疾人福利性单位的，将在结果公告时公告其《残疾人福利性单位声明函》。</w:t>
      </w:r>
    </w:p>
    <w:p>
      <w:pPr>
        <w:numPr>
          <w:ilvl w:val="0"/>
          <w:numId w:val="21"/>
        </w:numPr>
        <w:tabs>
          <w:tab w:val="left" w:pos="6300"/>
        </w:tabs>
        <w:snapToGrid w:val="0"/>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其他与项目有关的资料（自附）</w:t>
      </w: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tabs>
          <w:tab w:val="left" w:pos="6300"/>
        </w:tabs>
        <w:snapToGrid w:val="0"/>
        <w:spacing w:line="500" w:lineRule="exact"/>
        <w:ind w:left="502"/>
        <w:jc w:val="left"/>
        <w:rPr>
          <w:rFonts w:hint="eastAsia" w:ascii="宋体" w:hAnsi="宋体" w:cs="宋体"/>
          <w:color w:val="auto"/>
          <w:sz w:val="24"/>
          <w:szCs w:val="24"/>
          <w:highlight w:val="none"/>
        </w:rPr>
      </w:pPr>
    </w:p>
    <w:p>
      <w:pPr>
        <w:numPr>
          <w:ilvl w:val="0"/>
          <w:numId w:val="21"/>
        </w:numPr>
        <w:tabs>
          <w:tab w:val="left" w:pos="6300"/>
        </w:tabs>
        <w:snapToGrid w:val="0"/>
        <w:spacing w:line="5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联合体协议或分包意向协议（格式自定）</w:t>
      </w: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tabs>
          <w:tab w:val="left" w:pos="6300"/>
        </w:tabs>
        <w:snapToGrid w:val="0"/>
        <w:spacing w:line="500" w:lineRule="exact"/>
        <w:jc w:val="left"/>
        <w:rPr>
          <w:rFonts w:hint="eastAsia" w:ascii="宋体" w:hAnsi="宋体" w:cs="宋体"/>
          <w:color w:val="auto"/>
          <w:highlight w:val="none"/>
        </w:rPr>
      </w:pPr>
    </w:p>
    <w:p>
      <w:pPr>
        <w:rPr>
          <w:rFonts w:hint="eastAsia"/>
          <w:b/>
          <w:bCs/>
          <w:color w:val="auto"/>
          <w:highlight w:val="none"/>
        </w:rPr>
      </w:pPr>
      <w:bookmarkStart w:id="313" w:name="_Toc25819"/>
      <w:bookmarkStart w:id="314" w:name="_Toc429584885"/>
      <w:bookmarkStart w:id="315" w:name="_Toc492721038"/>
      <w:bookmarkStart w:id="316" w:name="_Toc29800"/>
      <w:r>
        <w:rPr>
          <w:rFonts w:hint="eastAsia"/>
          <w:b/>
          <w:bCs/>
          <w:color w:val="auto"/>
          <w:highlight w:val="none"/>
        </w:rPr>
        <w:t>五、资格文件</w:t>
      </w:r>
      <w:bookmarkEnd w:id="313"/>
      <w:bookmarkEnd w:id="314"/>
      <w:bookmarkEnd w:id="315"/>
      <w:bookmarkEnd w:id="316"/>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4"/>
          <w:highlight w:val="none"/>
        </w:rPr>
        <w:t>（一）法人营业执照（副本）或事业单位法人证书（副本）或个体工商</w:t>
      </w:r>
      <w:r>
        <w:rPr>
          <w:rFonts w:hint="eastAsia" w:ascii="宋体" w:hAnsi="宋体" w:cs="宋体"/>
          <w:color w:val="auto"/>
          <w:sz w:val="24"/>
          <w:szCs w:val="28"/>
          <w:highlight w:val="none"/>
        </w:rPr>
        <w:t>户营业执照或有效的自然人身份证明或社会团体法人登记证书复印件</w:t>
      </w:r>
    </w:p>
    <w:p>
      <w:pPr>
        <w:tabs>
          <w:tab w:val="left" w:pos="6300"/>
        </w:tabs>
        <w:snapToGrid w:val="0"/>
        <w:spacing w:line="500" w:lineRule="exact"/>
        <w:ind w:firstLine="570"/>
        <w:rPr>
          <w:rFonts w:hint="eastAsia" w:ascii="宋体" w:hAnsi="宋体" w:cs="宋体"/>
          <w:color w:val="auto"/>
          <w:highlight w:val="none"/>
        </w:rPr>
      </w:pPr>
    </w:p>
    <w:p>
      <w:pPr>
        <w:tabs>
          <w:tab w:val="left" w:pos="6300"/>
        </w:tabs>
        <w:snapToGrid w:val="0"/>
        <w:spacing w:line="500" w:lineRule="exact"/>
        <w:ind w:firstLine="570"/>
        <w:rPr>
          <w:rFonts w:hint="eastAsia" w:ascii="宋体" w:hAnsi="宋体" w:cs="宋体"/>
          <w:color w:val="auto"/>
          <w:highlight w:val="none"/>
        </w:rPr>
      </w:pPr>
    </w:p>
    <w:p>
      <w:pPr>
        <w:tabs>
          <w:tab w:val="left" w:pos="6300"/>
        </w:tabs>
        <w:snapToGrid w:val="0"/>
        <w:spacing w:line="500" w:lineRule="exact"/>
        <w:ind w:firstLine="570"/>
        <w:rPr>
          <w:rFonts w:hint="eastAsia" w:ascii="宋体" w:hAnsi="宋体" w:cs="宋体"/>
          <w:color w:val="auto"/>
          <w:highlight w:val="none"/>
        </w:rPr>
      </w:pPr>
    </w:p>
    <w:p>
      <w:pPr>
        <w:tabs>
          <w:tab w:val="left" w:pos="6300"/>
        </w:tabs>
        <w:snapToGrid w:val="0"/>
        <w:spacing w:line="500" w:lineRule="exact"/>
        <w:ind w:firstLine="570"/>
        <w:rPr>
          <w:rFonts w:hint="eastAsia" w:ascii="宋体" w:hAnsi="宋体" w:cs="宋体"/>
          <w:color w:val="auto"/>
          <w:highlight w:val="none"/>
        </w:rPr>
      </w:pPr>
    </w:p>
    <w:p>
      <w:pPr>
        <w:spacing w:line="400" w:lineRule="exact"/>
        <w:ind w:firstLine="560" w:firstLineChars="200"/>
        <w:rPr>
          <w:rFonts w:hint="eastAsia" w:ascii="宋体" w:hAnsi="宋体" w:cs="宋体"/>
          <w:color w:val="auto"/>
          <w:sz w:val="24"/>
          <w:szCs w:val="28"/>
          <w:highlight w:val="none"/>
        </w:rPr>
      </w:pPr>
      <w:r>
        <w:rPr>
          <w:rFonts w:hint="eastAsia" w:ascii="宋体" w:hAnsi="宋体" w:cs="宋体"/>
          <w:color w:val="auto"/>
          <w:highlight w:val="none"/>
        </w:rPr>
        <w:br w:type="page"/>
      </w:r>
      <w:r>
        <w:rPr>
          <w:rFonts w:hint="eastAsia" w:ascii="宋体" w:hAnsi="宋体" w:cs="宋体"/>
          <w:color w:val="auto"/>
          <w:sz w:val="24"/>
          <w:szCs w:val="28"/>
          <w:highlight w:val="none"/>
        </w:rPr>
        <w:t>（二）法定代表人身份证明书（格式）</w:t>
      </w: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招标项目名称：</w:t>
      </w:r>
      <w:r>
        <w:rPr>
          <w:rFonts w:hint="eastAsia" w:ascii="宋体" w:hAnsi="宋体" w:cs="宋体"/>
          <w:color w:val="auto"/>
          <w:sz w:val="24"/>
          <w:highlight w:val="none"/>
          <w:u w:val="single"/>
        </w:rPr>
        <w:t xml:space="preserve">                                                </w:t>
      </w: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（采购代理机构名称）：</w:t>
      </w:r>
    </w:p>
    <w:p>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（法定代表人姓名）在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（职务名称）职务，是（投标人名称）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的法定代表人。</w:t>
      </w: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特此证明。</w:t>
      </w: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 xml:space="preserve">                                             投标人：</w:t>
      </w:r>
    </w:p>
    <w:p>
      <w:pPr>
        <w:tabs>
          <w:tab w:val="left" w:pos="6300"/>
        </w:tabs>
        <w:snapToGrid w:val="0"/>
        <w:spacing w:line="500" w:lineRule="exact"/>
        <w:ind w:firstLine="5848" w:firstLineChars="2437"/>
        <w:rPr>
          <w:rFonts w:hint="eastAsia" w:ascii="宋体" w:hAnsi="宋体" w:cs="宋体"/>
          <w:color w:val="auto"/>
          <w:sz w:val="24"/>
          <w:highlight w:val="none"/>
        </w:rPr>
      </w:pPr>
      <w:r>
        <w:rPr>
          <w:rFonts w:hint="eastAsia" w:ascii="宋体" w:hAnsi="宋体" w:cs="宋体"/>
          <w:color w:val="auto"/>
          <w:sz w:val="24"/>
          <w:highlight w:val="none"/>
        </w:rPr>
        <w:t>（投标人公章）</w:t>
      </w: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法定代表人电话：XXXXXXX      电子邮箱：XXXXXX@XXXXX（若授权他人办理并签署投标文件的可不填写）</w:t>
      </w:r>
    </w:p>
    <w:p>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（附：法定代表人身份证正反面复印件）</w:t>
      </w: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firstLine="570"/>
        <w:rPr>
          <w:rFonts w:hint="eastAsia" w:ascii="宋体" w:hAnsi="宋体" w:cs="宋体"/>
          <w:color w:val="auto"/>
          <w:sz w:val="24"/>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highlight w:val="none"/>
        </w:rPr>
        <w:br w:type="column"/>
      </w:r>
      <w:r>
        <w:rPr>
          <w:rFonts w:hint="eastAsia" w:ascii="宋体" w:hAnsi="宋体" w:cs="宋体"/>
          <w:color w:val="auto"/>
          <w:sz w:val="24"/>
          <w:szCs w:val="28"/>
          <w:highlight w:val="none"/>
        </w:rPr>
        <w:t>（三）法定代表人授权委托书（格式）</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    </w:t>
      </w:r>
    </w:p>
    <w:p>
      <w:pPr>
        <w:tabs>
          <w:tab w:val="left" w:pos="6300"/>
        </w:tabs>
        <w:snapToGrid w:val="0"/>
        <w:spacing w:line="500" w:lineRule="exact"/>
        <w:ind w:right="480" w:firstLine="570"/>
        <w:jc w:val="left"/>
        <w:rPr>
          <w:rFonts w:hint="eastAsia" w:ascii="宋体" w:hAnsi="宋体" w:cs="宋体"/>
          <w:color w:val="auto"/>
          <w:sz w:val="24"/>
          <w:szCs w:val="28"/>
          <w:highlight w:val="none"/>
          <w:u w:val="single"/>
        </w:rPr>
      </w:pPr>
      <w:r>
        <w:rPr>
          <w:rFonts w:hint="eastAsia" w:ascii="宋体" w:hAnsi="宋体" w:cs="宋体"/>
          <w:color w:val="auto"/>
          <w:sz w:val="24"/>
          <w:szCs w:val="28"/>
          <w:highlight w:val="none"/>
        </w:rPr>
        <w:t>招标项目名称：</w:t>
      </w:r>
      <w:r>
        <w:rPr>
          <w:rFonts w:hint="eastAsia" w:ascii="宋体" w:hAnsi="宋体" w:cs="宋体"/>
          <w:color w:val="auto"/>
          <w:sz w:val="24"/>
          <w:szCs w:val="28"/>
          <w:highlight w:val="none"/>
          <w:u w:val="single"/>
        </w:rPr>
        <w:t xml:space="preserve">                                                </w:t>
      </w: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致</w:t>
      </w:r>
      <w:r>
        <w:rPr>
          <w:rFonts w:hint="eastAsia" w:ascii="宋体" w:hAnsi="宋体" w:cs="宋体"/>
          <w:color w:val="auto"/>
          <w:sz w:val="24"/>
          <w:szCs w:val="28"/>
          <w:highlight w:val="none"/>
          <w:u w:val="single"/>
        </w:rPr>
        <w:t>：                     （</w:t>
      </w:r>
      <w:r>
        <w:rPr>
          <w:rFonts w:hint="eastAsia" w:ascii="宋体" w:hAnsi="宋体" w:cs="宋体"/>
          <w:color w:val="auto"/>
          <w:sz w:val="24"/>
          <w:szCs w:val="28"/>
          <w:highlight w:val="none"/>
        </w:rPr>
        <w:t>采购代理机构名称）：</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（投标人法定代表人名称）是</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（投标人名称）的法定代表人，特授权</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被授权人姓名及身份证代码）代表我单位全权办理上述项目的投标、谈判、签约等具体工作，并签署全部有关文件、协议及合同。</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我单位对被授权人的签署负全部责任。</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在</w:t>
      </w:r>
      <w:r>
        <w:rPr>
          <w:rFonts w:hint="eastAsia" w:ascii="宋体" w:hAnsi="宋体" w:cs="宋体"/>
          <w:color w:val="auto"/>
          <w:sz w:val="24"/>
          <w:szCs w:val="28"/>
          <w:highlight w:val="none"/>
          <w:lang w:eastAsia="zh-CN"/>
        </w:rPr>
        <w:t>撤销</w:t>
      </w:r>
      <w:r>
        <w:rPr>
          <w:rFonts w:hint="eastAsia" w:ascii="宋体" w:hAnsi="宋体" w:cs="宋体"/>
          <w:color w:val="auto"/>
          <w:sz w:val="24"/>
          <w:szCs w:val="28"/>
          <w:highlight w:val="none"/>
        </w:rPr>
        <w:t>授权的书面通知以前，本授权书一直有效。被授权人在授权书有效期内签署的所有文件不因授权</w:t>
      </w:r>
      <w:r>
        <w:rPr>
          <w:rFonts w:hint="eastAsia" w:ascii="宋体" w:hAnsi="宋体" w:cs="宋体"/>
          <w:color w:val="auto"/>
          <w:sz w:val="24"/>
          <w:szCs w:val="28"/>
          <w:highlight w:val="none"/>
          <w:lang w:eastAsia="zh-CN"/>
        </w:rPr>
        <w:t>的撤销</w:t>
      </w:r>
      <w:r>
        <w:rPr>
          <w:rFonts w:hint="eastAsia" w:ascii="宋体" w:hAnsi="宋体" w:cs="宋体"/>
          <w:color w:val="auto"/>
          <w:sz w:val="24"/>
          <w:szCs w:val="28"/>
          <w:highlight w:val="none"/>
        </w:rPr>
        <w:t>而失效。</w:t>
      </w: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被授权人：                                 投标人法定代表人：</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（签署或盖章）                                （签署或盖章）</w:t>
      </w: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（附：被授权人身份证正反面复印件）</w:t>
      </w: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（投标人公章）</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年   月   日</w:t>
      </w:r>
    </w:p>
    <w:p>
      <w:pPr>
        <w:tabs>
          <w:tab w:val="left" w:pos="6300"/>
        </w:tabs>
        <w:snapToGrid w:val="0"/>
        <w:spacing w:line="500" w:lineRule="exact"/>
        <w:ind w:right="480" w:firstLine="570"/>
        <w:jc w:val="left"/>
        <w:rPr>
          <w:rFonts w:hint="eastAsia" w:ascii="宋体" w:hAnsi="宋体" w:cs="宋体"/>
          <w:color w:val="auto"/>
          <w:sz w:val="24"/>
          <w:szCs w:val="28"/>
          <w:highlight w:val="none"/>
        </w:rPr>
      </w:pP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被授权人电话：XXXXXXX     电子邮箱：XXXXXX@XXXXX（若法定代表人办理并签署投标文件的可不填写）</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注：</w:t>
      </w:r>
    </w:p>
    <w:p>
      <w:pPr>
        <w:tabs>
          <w:tab w:val="left" w:pos="6300"/>
        </w:tabs>
        <w:snapToGrid w:val="0"/>
        <w:spacing w:line="500" w:lineRule="exact"/>
        <w:ind w:right="480" w:firstLine="570"/>
        <w:jc w:val="left"/>
        <w:rPr>
          <w:rFonts w:hint="eastAsia" w:ascii="宋体" w:hAnsi="宋体" w:cs="宋体"/>
          <w:color w:val="auto"/>
          <w:sz w:val="24"/>
          <w:szCs w:val="28"/>
          <w:highlight w:val="none"/>
        </w:rPr>
      </w:pPr>
      <w:r>
        <w:rPr>
          <w:rFonts w:hint="eastAsia" w:ascii="宋体" w:hAnsi="宋体" w:cs="宋体"/>
          <w:color w:val="auto"/>
          <w:sz w:val="24"/>
          <w:szCs w:val="28"/>
          <w:highlight w:val="none"/>
        </w:rPr>
        <w:t>1.若为法定代表人办理并签署投标文件的，不提供此文件。</w:t>
      </w:r>
    </w:p>
    <w:p>
      <w:pPr>
        <w:tabs>
          <w:tab w:val="left" w:pos="6300"/>
        </w:tabs>
        <w:snapToGrid w:val="0"/>
        <w:spacing w:line="500" w:lineRule="exact"/>
        <w:ind w:right="480" w:firstLine="570"/>
        <w:jc w:val="left"/>
        <w:rPr>
          <w:rFonts w:hint="eastAsia" w:ascii="宋体" w:hAnsi="宋体" w:cs="宋体"/>
          <w:color w:val="auto"/>
          <w:sz w:val="24"/>
          <w:highlight w:val="none"/>
        </w:rPr>
      </w:pPr>
      <w:r>
        <w:rPr>
          <w:rFonts w:hint="eastAsia" w:ascii="宋体" w:hAnsi="宋体" w:cs="宋体"/>
          <w:color w:val="auto"/>
          <w:sz w:val="24"/>
          <w:szCs w:val="28"/>
          <w:highlight w:val="none"/>
        </w:rPr>
        <w:t>2.若为联合体投标的，法定代表人授权委托书由联合体主办方（主体）出具。</w:t>
      </w:r>
    </w:p>
    <w:p>
      <w:pPr>
        <w:spacing w:line="400" w:lineRule="exact"/>
        <w:ind w:firstLine="560" w:firstLineChars="200"/>
        <w:rPr>
          <w:rFonts w:hint="eastAsia" w:ascii="宋体" w:hAnsi="宋体" w:cs="宋体"/>
          <w:color w:val="auto"/>
          <w:sz w:val="24"/>
          <w:szCs w:val="28"/>
          <w:highlight w:val="none"/>
        </w:rPr>
      </w:pPr>
      <w:r>
        <w:rPr>
          <w:rFonts w:hint="eastAsia" w:ascii="宋体" w:hAnsi="宋体" w:cs="宋体"/>
          <w:color w:val="auto"/>
          <w:highlight w:val="none"/>
        </w:rPr>
        <w:br w:type="column"/>
      </w:r>
      <w:r>
        <w:rPr>
          <w:rFonts w:hint="eastAsia" w:ascii="宋体" w:hAnsi="宋体" w:cs="宋体"/>
          <w:color w:val="auto"/>
          <w:sz w:val="24"/>
          <w:szCs w:val="28"/>
          <w:highlight w:val="none"/>
        </w:rPr>
        <w:t>（四）基本资格条件承诺函（格式）</w:t>
      </w:r>
    </w:p>
    <w:p>
      <w:pPr>
        <w:spacing w:line="400" w:lineRule="exact"/>
        <w:ind w:firstLine="480" w:firstLineChars="200"/>
        <w:rPr>
          <w:rFonts w:hint="eastAsia" w:ascii="宋体" w:hAnsi="宋体" w:cs="宋体"/>
          <w:color w:val="auto"/>
          <w:sz w:val="24"/>
          <w:szCs w:val="28"/>
          <w:highlight w:val="none"/>
        </w:rPr>
      </w:pPr>
    </w:p>
    <w:p>
      <w:pPr>
        <w:spacing w:line="400" w:lineRule="exact"/>
        <w:ind w:firstLine="480" w:firstLineChars="200"/>
        <w:rPr>
          <w:rFonts w:hint="eastAsia" w:ascii="宋体" w:hAnsi="宋体" w:cs="宋体"/>
          <w:color w:val="auto"/>
          <w:sz w:val="24"/>
          <w:szCs w:val="28"/>
          <w:highlight w:val="none"/>
        </w:rPr>
      </w:pPr>
    </w:p>
    <w:p>
      <w:pPr>
        <w:spacing w:line="400" w:lineRule="exact"/>
        <w:ind w:firstLine="480" w:firstLineChars="200"/>
        <w:jc w:val="center"/>
        <w:rPr>
          <w:rFonts w:hint="eastAsia" w:ascii="宋体" w:hAnsi="宋体" w:cs="宋体"/>
          <w:color w:val="auto"/>
          <w:sz w:val="24"/>
          <w:szCs w:val="28"/>
          <w:highlight w:val="none"/>
        </w:rPr>
      </w:pPr>
      <w:r>
        <w:rPr>
          <w:rFonts w:hint="eastAsia" w:ascii="宋体" w:hAnsi="宋体" w:cs="宋体"/>
          <w:color w:val="auto"/>
          <w:sz w:val="24"/>
          <w:szCs w:val="28"/>
          <w:highlight w:val="none"/>
        </w:rPr>
        <w:t>基本资格条件承诺函</w:t>
      </w:r>
    </w:p>
    <w:p>
      <w:pPr>
        <w:spacing w:line="400" w:lineRule="exact"/>
        <w:ind w:firstLine="480" w:firstLineChars="200"/>
        <w:rPr>
          <w:rFonts w:hint="eastAsia" w:ascii="宋体" w:hAnsi="宋体" w:cs="宋体"/>
          <w:color w:val="auto"/>
          <w:sz w:val="24"/>
          <w:szCs w:val="28"/>
          <w:highlight w:val="none"/>
        </w:rPr>
      </w:pPr>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致</w:t>
      </w: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（采购代理机构名称）：</w:t>
      </w:r>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u w:val="single"/>
        </w:rPr>
        <w:t xml:space="preserve">                      </w:t>
      </w:r>
      <w:r>
        <w:rPr>
          <w:rFonts w:hint="eastAsia" w:ascii="宋体" w:hAnsi="宋体" w:cs="宋体"/>
          <w:color w:val="auto"/>
          <w:sz w:val="24"/>
          <w:szCs w:val="28"/>
          <w:highlight w:val="none"/>
        </w:rPr>
        <w:t>（投标人名称）郑重承诺：</w:t>
      </w:r>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1.我方具有良好的商业信誉和健全的财务会计制度，具有履行合同所必需的设备和专业技术能力，具有依法缴纳税收和社会保障金的良好记录，参加本项目采购活动前三年内无重大违法活动记录。</w:t>
      </w:r>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2.我方未列入在信用中国网站（www.creditchina.gov.cn）“失信被执行人</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重大税收违法案件当事人名单”中，也未列入中国政府采购网（www.ccgp.gov.cn）“政府采购严重违法失信行为记录名单”中。</w:t>
      </w:r>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3.我方在采购项目评审（评标）环节结束后，随时接受采购人、采购代理机构的检查验证，配合提供相关证明材料，证明符合《中华人民共和国政府采购法》规定的投标人基本资格条件。</w:t>
      </w:r>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我方对以上承诺负全部法律责任。</w:t>
      </w:r>
    </w:p>
    <w:p>
      <w:pPr>
        <w:spacing w:line="400" w:lineRule="exact"/>
        <w:ind w:firstLine="480" w:firstLineChars="200"/>
        <w:rPr>
          <w:rFonts w:hint="eastAsia" w:ascii="宋体" w:hAnsi="宋体" w:cs="宋体"/>
          <w:color w:val="auto"/>
          <w:sz w:val="24"/>
          <w:szCs w:val="28"/>
          <w:highlight w:val="none"/>
        </w:rPr>
      </w:pPr>
      <w:r>
        <w:rPr>
          <w:rFonts w:hint="eastAsia" w:ascii="宋体" w:hAnsi="宋体" w:cs="宋体"/>
          <w:color w:val="auto"/>
          <w:sz w:val="24"/>
          <w:szCs w:val="28"/>
          <w:highlight w:val="none"/>
        </w:rPr>
        <w:t>特此承诺。</w:t>
      </w:r>
    </w:p>
    <w:p>
      <w:pPr>
        <w:spacing w:line="400" w:lineRule="exact"/>
        <w:ind w:firstLine="480" w:firstLineChars="200"/>
        <w:rPr>
          <w:rFonts w:hint="eastAsia" w:ascii="宋体" w:hAnsi="宋体" w:cs="宋体"/>
          <w:color w:val="auto"/>
          <w:sz w:val="24"/>
          <w:szCs w:val="28"/>
          <w:highlight w:val="none"/>
        </w:rPr>
      </w:pPr>
    </w:p>
    <w:p>
      <w:pPr>
        <w:spacing w:line="400" w:lineRule="exact"/>
        <w:ind w:firstLine="480" w:firstLineChars="200"/>
        <w:rPr>
          <w:rFonts w:hint="eastAsia" w:ascii="宋体" w:hAnsi="宋体" w:cs="宋体"/>
          <w:color w:val="auto"/>
          <w:sz w:val="24"/>
          <w:szCs w:val="28"/>
          <w:highlight w:val="none"/>
        </w:rPr>
      </w:pPr>
    </w:p>
    <w:p>
      <w:pPr>
        <w:spacing w:line="400" w:lineRule="exact"/>
        <w:ind w:firstLine="480" w:firstLineChars="200"/>
        <w:rPr>
          <w:rFonts w:hint="eastAsia" w:ascii="宋体" w:hAnsi="宋体" w:cs="宋体"/>
          <w:color w:val="auto"/>
          <w:sz w:val="24"/>
          <w:szCs w:val="28"/>
          <w:highlight w:val="none"/>
        </w:rPr>
      </w:pPr>
    </w:p>
    <w:p>
      <w:pPr>
        <w:spacing w:line="400" w:lineRule="exact"/>
        <w:ind w:firstLine="6000" w:firstLineChars="2500"/>
        <w:rPr>
          <w:rFonts w:hint="eastAsia" w:ascii="宋体" w:hAnsi="宋体" w:cs="宋体"/>
          <w:color w:val="auto"/>
          <w:sz w:val="24"/>
          <w:szCs w:val="28"/>
          <w:highlight w:val="none"/>
        </w:rPr>
      </w:pPr>
      <w:r>
        <w:rPr>
          <w:rFonts w:hint="eastAsia" w:ascii="宋体" w:hAnsi="宋体" w:cs="宋体"/>
          <w:color w:val="auto"/>
          <w:sz w:val="24"/>
          <w:szCs w:val="28"/>
          <w:highlight w:val="none"/>
        </w:rPr>
        <w:t>（投标人公章）</w:t>
      </w:r>
    </w:p>
    <w:p>
      <w:pPr>
        <w:spacing w:line="400" w:lineRule="exact"/>
        <w:ind w:firstLine="480" w:firstLineChars="200"/>
        <w:rPr>
          <w:rFonts w:hint="eastAsia" w:ascii="宋体" w:hAnsi="宋体" w:cs="宋体"/>
          <w:color w:val="auto"/>
          <w:sz w:val="24"/>
          <w:szCs w:val="28"/>
          <w:highlight w:val="none"/>
        </w:rPr>
      </w:pPr>
    </w:p>
    <w:p>
      <w:pPr>
        <w:spacing w:line="400" w:lineRule="exact"/>
        <w:ind w:firstLine="6240" w:firstLineChars="2600"/>
        <w:rPr>
          <w:rFonts w:hint="eastAsia" w:ascii="宋体" w:hAnsi="宋体" w:cs="宋体"/>
          <w:color w:val="auto"/>
          <w:sz w:val="24"/>
          <w:szCs w:val="24"/>
          <w:highlight w:val="none"/>
        </w:rPr>
      </w:pPr>
      <w:r>
        <w:rPr>
          <w:rFonts w:hint="eastAsia" w:ascii="宋体" w:hAnsi="宋体" w:cs="宋体"/>
          <w:color w:val="auto"/>
          <w:sz w:val="24"/>
          <w:szCs w:val="28"/>
          <w:highlight w:val="none"/>
        </w:rPr>
        <w:t>年   月   日</w:t>
      </w:r>
    </w:p>
    <w:p>
      <w:pPr>
        <w:tabs>
          <w:tab w:val="left" w:pos="6300"/>
        </w:tabs>
        <w:snapToGrid w:val="0"/>
        <w:spacing w:line="500" w:lineRule="exact"/>
        <w:ind w:firstLine="480" w:firstLineChars="200"/>
        <w:rPr>
          <w:rFonts w:hint="eastAsia" w:ascii="宋体" w:hAnsi="宋体" w:cs="宋体"/>
          <w:color w:val="auto"/>
          <w:sz w:val="24"/>
          <w:szCs w:val="28"/>
          <w:highlight w:val="none"/>
        </w:rPr>
      </w:pPr>
    </w:p>
    <w:p>
      <w:pPr>
        <w:tabs>
          <w:tab w:val="left" w:pos="6300"/>
        </w:tabs>
        <w:snapToGrid w:val="0"/>
        <w:spacing w:line="500" w:lineRule="exact"/>
        <w:ind w:firstLine="480" w:firstLineChars="200"/>
        <w:rPr>
          <w:rFonts w:hint="eastAsia" w:ascii="宋体" w:hAnsi="宋体" w:cs="宋体"/>
          <w:color w:val="auto"/>
          <w:sz w:val="24"/>
          <w:szCs w:val="28"/>
          <w:highlight w:val="none"/>
        </w:rPr>
      </w:pPr>
    </w:p>
    <w:p>
      <w:pPr>
        <w:tabs>
          <w:tab w:val="left" w:pos="6300"/>
        </w:tabs>
        <w:snapToGrid w:val="0"/>
        <w:spacing w:line="360" w:lineRule="auto"/>
        <w:ind w:firstLine="570"/>
        <w:jc w:val="center"/>
        <w:rPr>
          <w:rFonts w:hint="eastAsia" w:ascii="宋体" w:hAnsi="宋体" w:cs="宋体"/>
          <w:color w:val="auto"/>
          <w:sz w:val="24"/>
          <w:highlight w:val="none"/>
        </w:rPr>
      </w:pPr>
      <w:r>
        <w:rPr>
          <w:rFonts w:hint="eastAsia" w:ascii="宋体" w:hAnsi="宋体" w:cs="宋体"/>
          <w:color w:val="auto"/>
          <w:sz w:val="24"/>
          <w:highlight w:val="none"/>
        </w:rPr>
        <w:t>注：</w:t>
      </w:r>
      <w:r>
        <w:rPr>
          <w:rFonts w:ascii="方正仿宋_GBK" w:hAnsi="宋体" w:eastAsia="方正仿宋_GBK"/>
          <w:color w:val="auto"/>
          <w:sz w:val="24"/>
          <w:szCs w:val="24"/>
          <w:highlight w:val="none"/>
        </w:rPr>
        <w:t>两个以上的自然人、法人或者其他组织组成一个联合体，以一个</w:t>
      </w:r>
      <w:r>
        <w:rPr>
          <w:rFonts w:hint="eastAsia" w:ascii="方正仿宋_GBK" w:hAnsi="宋体" w:eastAsia="方正仿宋_GBK"/>
          <w:color w:val="auto"/>
          <w:sz w:val="24"/>
          <w:szCs w:val="24"/>
          <w:highlight w:val="none"/>
        </w:rPr>
        <w:t>投标人</w:t>
      </w:r>
      <w:r>
        <w:rPr>
          <w:rFonts w:ascii="方正仿宋_GBK" w:hAnsi="宋体" w:eastAsia="方正仿宋_GBK"/>
          <w:color w:val="auto"/>
          <w:sz w:val="24"/>
          <w:szCs w:val="24"/>
          <w:highlight w:val="none"/>
        </w:rPr>
        <w:t>的身份共同参加政府采购活动的，所有联合体成员</w:t>
      </w:r>
      <w:r>
        <w:rPr>
          <w:rFonts w:hint="eastAsia" w:ascii="方正仿宋_GBK" w:hAnsi="宋体" w:eastAsia="方正仿宋_GBK"/>
          <w:color w:val="auto"/>
          <w:sz w:val="24"/>
          <w:szCs w:val="24"/>
          <w:highlight w:val="none"/>
        </w:rPr>
        <w:t>均须提供《基本资格条件承诺函》。</w:t>
      </w:r>
    </w:p>
    <w:p>
      <w:pPr>
        <w:tabs>
          <w:tab w:val="left" w:pos="6300"/>
        </w:tabs>
        <w:snapToGrid w:val="0"/>
        <w:spacing w:line="500" w:lineRule="exact"/>
        <w:ind w:firstLine="480" w:firstLineChars="200"/>
        <w:rPr>
          <w:rFonts w:hint="eastAsia" w:ascii="宋体" w:hAnsi="宋体" w:cs="宋体"/>
          <w:color w:val="auto"/>
          <w:sz w:val="24"/>
          <w:szCs w:val="28"/>
          <w:highlight w:val="none"/>
        </w:rPr>
      </w:pPr>
    </w:p>
    <w:p>
      <w:pPr>
        <w:tabs>
          <w:tab w:val="left" w:pos="6300"/>
        </w:tabs>
        <w:snapToGrid w:val="0"/>
        <w:spacing w:line="500" w:lineRule="exact"/>
        <w:ind w:firstLine="480" w:firstLineChars="200"/>
        <w:rPr>
          <w:rFonts w:hint="eastAsia" w:ascii="宋体" w:hAnsi="宋体" w:cs="宋体"/>
          <w:color w:val="auto"/>
          <w:sz w:val="24"/>
          <w:szCs w:val="28"/>
          <w:highlight w:val="none"/>
        </w:rPr>
      </w:pPr>
    </w:p>
    <w:p>
      <w:pPr>
        <w:tabs>
          <w:tab w:val="left" w:pos="6300"/>
        </w:tabs>
        <w:snapToGrid w:val="0"/>
        <w:spacing w:line="500" w:lineRule="exact"/>
        <w:ind w:firstLine="480" w:firstLineChars="200"/>
        <w:rPr>
          <w:rFonts w:hint="eastAsia" w:ascii="宋体" w:hAnsi="宋体" w:cs="宋体"/>
          <w:color w:val="auto"/>
          <w:sz w:val="24"/>
          <w:szCs w:val="28"/>
          <w:highlight w:val="none"/>
        </w:rPr>
      </w:pPr>
    </w:p>
    <w:p>
      <w:pPr>
        <w:tabs>
          <w:tab w:val="left" w:pos="6300"/>
        </w:tabs>
        <w:snapToGrid w:val="0"/>
        <w:spacing w:line="500" w:lineRule="exact"/>
        <w:ind w:firstLine="480" w:firstLineChars="200"/>
        <w:rPr>
          <w:rFonts w:hint="eastAsia" w:ascii="宋体" w:hAnsi="宋体" w:cs="宋体"/>
          <w:color w:val="auto"/>
          <w:sz w:val="24"/>
          <w:szCs w:val="28"/>
          <w:highlight w:val="none"/>
        </w:rPr>
      </w:pPr>
    </w:p>
    <w:p>
      <w:pPr>
        <w:tabs>
          <w:tab w:val="left" w:pos="6300"/>
        </w:tabs>
        <w:snapToGrid w:val="0"/>
        <w:spacing w:line="500" w:lineRule="exact"/>
        <w:ind w:firstLine="480" w:firstLineChars="200"/>
        <w:rPr>
          <w:rFonts w:hint="eastAsia" w:ascii="宋体" w:hAnsi="宋体" w:cs="宋体"/>
          <w:color w:val="auto"/>
          <w:sz w:val="24"/>
          <w:szCs w:val="28"/>
          <w:highlight w:val="none"/>
        </w:rPr>
      </w:pPr>
    </w:p>
    <w:p>
      <w:pPr>
        <w:tabs>
          <w:tab w:val="left" w:pos="6300"/>
        </w:tabs>
        <w:snapToGrid w:val="0"/>
        <w:spacing w:line="500" w:lineRule="exact"/>
        <w:ind w:left="502"/>
        <w:rPr>
          <w:rFonts w:hint="eastAsia" w:ascii="宋体" w:hAnsi="宋体" w:cs="宋体"/>
          <w:color w:val="auto"/>
          <w:sz w:val="24"/>
          <w:szCs w:val="28"/>
          <w:highlight w:val="none"/>
        </w:rPr>
      </w:pPr>
      <w:r>
        <w:rPr>
          <w:rFonts w:hint="eastAsia" w:ascii="宋体" w:hAnsi="宋体" w:cs="宋体"/>
          <w:color w:val="auto"/>
          <w:sz w:val="24"/>
          <w:szCs w:val="28"/>
          <w:highlight w:val="none"/>
        </w:rPr>
        <w:t>（五）落实政府采购政策需满足的资格要求文件（如有）</w:t>
      </w:r>
    </w:p>
    <w:p>
      <w:pPr>
        <w:tabs>
          <w:tab w:val="left" w:pos="6300"/>
        </w:tabs>
        <w:snapToGrid w:val="0"/>
        <w:spacing w:line="500" w:lineRule="exact"/>
        <w:rPr>
          <w:rFonts w:hint="eastAsia" w:ascii="宋体" w:hAnsi="宋体" w:cs="宋体"/>
          <w:color w:val="auto"/>
          <w:sz w:val="24"/>
          <w:szCs w:val="28"/>
          <w:highlight w:val="none"/>
        </w:rPr>
      </w:pPr>
    </w:p>
    <w:p>
      <w:pPr>
        <w:tabs>
          <w:tab w:val="left" w:pos="6300"/>
        </w:tabs>
        <w:snapToGrid w:val="0"/>
        <w:spacing w:line="500" w:lineRule="exact"/>
        <w:rPr>
          <w:rFonts w:hint="eastAsia" w:ascii="宋体" w:hAnsi="宋体" w:cs="宋体"/>
          <w:color w:val="auto"/>
          <w:sz w:val="24"/>
          <w:szCs w:val="28"/>
          <w:highlight w:val="none"/>
        </w:rPr>
      </w:pPr>
    </w:p>
    <w:p>
      <w:pPr>
        <w:tabs>
          <w:tab w:val="left" w:pos="6300"/>
        </w:tabs>
        <w:snapToGrid w:val="0"/>
        <w:spacing w:line="500" w:lineRule="exact"/>
        <w:rPr>
          <w:rFonts w:hint="eastAsia" w:ascii="宋体" w:hAnsi="宋体" w:cs="宋体"/>
          <w:color w:val="auto"/>
          <w:sz w:val="24"/>
          <w:szCs w:val="28"/>
          <w:highlight w:val="none"/>
        </w:rPr>
      </w:pPr>
    </w:p>
    <w:p>
      <w:pPr>
        <w:tabs>
          <w:tab w:val="left" w:pos="6300"/>
        </w:tabs>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8"/>
          <w:highlight w:val="none"/>
        </w:rPr>
        <w:t>（六）特定资格条件证书或证明文件（如有）</w:t>
      </w: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jc w:val="left"/>
        <w:rPr>
          <w:rFonts w:hint="eastAsia" w:ascii="宋体" w:hAnsi="宋体" w:cs="宋体"/>
          <w:color w:val="auto"/>
          <w:sz w:val="24"/>
          <w:highlight w:val="none"/>
        </w:rPr>
      </w:pPr>
    </w:p>
    <w:p>
      <w:pPr>
        <w:tabs>
          <w:tab w:val="left" w:pos="6300"/>
        </w:tabs>
        <w:snapToGrid w:val="0"/>
        <w:spacing w:line="500" w:lineRule="exact"/>
        <w:ind w:firstLine="570"/>
        <w:jc w:val="left"/>
        <w:rPr>
          <w:rFonts w:hint="eastAsia" w:ascii="宋体" w:hAnsi="宋体" w:cs="宋体"/>
          <w:color w:val="auto"/>
          <w:sz w:val="24"/>
          <w:highlight w:val="none"/>
        </w:rPr>
      </w:pPr>
    </w:p>
    <w:p>
      <w:pPr>
        <w:tabs>
          <w:tab w:val="left" w:pos="6300"/>
        </w:tabs>
        <w:snapToGrid w:val="0"/>
        <w:spacing w:line="500" w:lineRule="exact"/>
        <w:jc w:val="center"/>
        <w:rPr>
          <w:rFonts w:hint="eastAsia" w:ascii="宋体" w:hAnsi="宋体" w:cs="宋体"/>
          <w:color w:val="auto"/>
          <w:highlight w:val="none"/>
        </w:rPr>
      </w:pPr>
      <w:r>
        <w:rPr>
          <w:rFonts w:hint="eastAsia" w:ascii="宋体" w:hAnsi="宋体" w:cs="宋体"/>
          <w:color w:val="auto"/>
          <w:highlight w:val="none"/>
        </w:rPr>
        <w:t>（结束）</w:t>
      </w:r>
    </w:p>
    <w:sectPr>
      <w:headerReference r:id="rId10" w:type="default"/>
      <w:footerReference r:id="rId11" w:type="default"/>
      <w:type w:val="nextColumn"/>
      <w:pgSz w:w="11907" w:h="16840"/>
      <w:pgMar w:top="1134" w:right="1191" w:bottom="1134" w:left="1304" w:header="964"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D8070583-DE1E-4636-9051-69301EFF52F1}"/>
  </w:font>
  <w:font w:name="Arial">
    <w:panose1 w:val="020B0604020202020204"/>
    <w:charset w:val="00"/>
    <w:family w:val="swiss"/>
    <w:pitch w:val="default"/>
    <w:sig w:usb0="E0002A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PMingLiU">
    <w:panose1 w:val="02020500000000000000"/>
    <w:charset w:val="88"/>
    <w:family w:val="roman"/>
    <w:pitch w:val="default"/>
    <w:sig w:usb0="A00002FF" w:usb1="28CFFCFA" w:usb2="00000016" w:usb3="00000000" w:csb0="00100001" w:csb1="00000000"/>
  </w:font>
  <w:font w:name="Courier New">
    <w:panose1 w:val="02070309020205020404"/>
    <w:charset w:val="00"/>
    <w:family w:val="modern"/>
    <w:pitch w:val="default"/>
    <w:sig w:usb0="E0002AFF" w:usb1="C0007843" w:usb2="00000009" w:usb3="00000000" w:csb0="400001FF" w:csb1="FFFF0000"/>
  </w:font>
  <w:font w:name="Arial Unicode MS">
    <w:altName w:val="Arial"/>
    <w:panose1 w:val="020B0604020202020204"/>
    <w:charset w:val="00"/>
    <w:family w:val="roman"/>
    <w:pitch w:val="default"/>
    <w:sig w:usb0="00000003" w:usb1="00000000" w:usb2="00000000" w:usb3="00000000" w:csb0="00000001" w:csb1="00000000"/>
  </w:font>
  <w:font w:name="_x000B__x000C_">
    <w:altName w:val="Times New Roman"/>
    <w:panose1 w:val="00000000000000000000"/>
    <w:charset w:val="00"/>
    <w:family w:val="roman"/>
    <w:pitch w:val="default"/>
    <w:sig w:usb0="00000003" w:usb1="00000000" w:usb2="00000000" w:usb3="00000000" w:csb0="00000001" w:csb1="00000000"/>
  </w:font>
  <w:font w:name="Arial Narrow">
    <w:altName w:val="Arial"/>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楷体">
    <w:altName w:val="宋体"/>
    <w:panose1 w:val="02010600040101010101"/>
    <w:charset w:val="86"/>
    <w:family w:val="auto"/>
    <w:pitch w:val="default"/>
    <w:sig w:usb0="00000287" w:usb1="080F0000" w:usb2="00000000" w:usb3="00000000" w:csb0="0004009F" w:csb1="DFD70000"/>
  </w:font>
  <w:font w:name="文鼎粗黑">
    <w:altName w:val="黑体"/>
    <w:panose1 w:val="020B0609010101010101"/>
    <w:charset w:val="86"/>
    <w:family w:val="modern"/>
    <w:pitch w:val="default"/>
    <w:sig w:usb0="00000001" w:usb1="080E0000" w:usb2="00000010" w:usb3="00000000" w:csb0="00040000" w:csb1="00000000"/>
  </w:font>
  <w:font w:name="昆仑楷体">
    <w:altName w:val="宋体"/>
    <w:panose1 w:val="02010609000101010101"/>
    <w:charset w:val="86"/>
    <w:family w:val="modern"/>
    <w:pitch w:val="default"/>
    <w:sig w:usb0="00000001" w:usb1="080E0000" w:usb2="00000010" w:usb3="00000000" w:csb0="00040000" w:csb1="00000000"/>
  </w:font>
  <w:font w:name="楷体_GB2312">
    <w:altName w:val="楷体"/>
    <w:panose1 w:val="02010609030101010101"/>
    <w:charset w:val="86"/>
    <w:family w:val="modern"/>
    <w:pitch w:val="default"/>
    <w:sig w:usb0="00000001" w:usb1="080E0000" w:usb2="00000010" w:usb3="00000000" w:csb0="00040000" w:csb1="00000000"/>
  </w:font>
  <w:font w:name="方正仿宋_GBK">
    <w:panose1 w:val="03000509000000000000"/>
    <w:charset w:val="86"/>
    <w:family w:val="script"/>
    <w:pitch w:val="default"/>
    <w:sig w:usb0="00000001" w:usb1="080E0000" w:usb2="00000000" w:usb3="00000000" w:csb0="00040000" w:csb1="00000000"/>
    <w:embedRegular r:id="rId2" w:fontKey="{153DDC93-C438-4912-A642-E61A4B51423A}"/>
  </w:font>
  <w:font w:name="方正小标宋_GBK">
    <w:panose1 w:val="03000509000000000000"/>
    <w:charset w:val="86"/>
    <w:family w:val="script"/>
    <w:pitch w:val="default"/>
    <w:sig w:usb0="00000001" w:usb1="080E0000" w:usb2="00000000" w:usb3="00000000" w:csb0="00040000" w:csb1="00000000"/>
    <w:embedRegular r:id="rId3" w:fontKey="{922E26D7-4F1C-4167-9251-9A230DCA702C}"/>
  </w:font>
  <w:font w:name="方正黑体_GBK">
    <w:panose1 w:val="03000509000000000000"/>
    <w:charset w:val="86"/>
    <w:family w:val="script"/>
    <w:pitch w:val="default"/>
    <w:sig w:usb0="00000001" w:usb1="080E0000" w:usb2="00000000" w:usb3="00000000" w:csb0="00040000" w:csb1="00000000"/>
    <w:embedRegular r:id="rId4" w:fontKey="{DAC954CB-F025-466A-AFC4-20948A0E6245}"/>
  </w:font>
  <w:font w:name="方正楷体_GBK">
    <w:panose1 w:val="03000509000000000000"/>
    <w:charset w:val="86"/>
    <w:family w:val="script"/>
    <w:pitch w:val="default"/>
    <w:sig w:usb0="00000001" w:usb1="080E0000" w:usb2="00000000" w:usb3="00000000" w:csb0="00040000" w:csb1="00000000"/>
    <w:embedRegular r:id="rId5" w:fontKey="{F606B6DB-42B3-4F9C-A13D-1CDFCBA1B0B1}"/>
  </w:font>
  <w:font w:name="仿宋">
    <w:panose1 w:val="02010609060101010101"/>
    <w:charset w:val="86"/>
    <w:family w:val="modern"/>
    <w:pitch w:val="default"/>
    <w:sig w:usb0="800002BF" w:usb1="38CF7CFA" w:usb2="00000016" w:usb3="00000000" w:csb0="00040001" w:csb1="00000000"/>
    <w:embedRegular r:id="rId6" w:fontKey="{50223AEE-080F-46F5-888D-6DB92CABEAD5}"/>
  </w:font>
  <w:font w:name="方正仿宋_GB2312">
    <w:panose1 w:val="02000000000000000000"/>
    <w:charset w:val="86"/>
    <w:family w:val="auto"/>
    <w:pitch w:val="default"/>
    <w:sig w:usb0="A00002BF" w:usb1="184F6CFA" w:usb2="00000012" w:usb3="00000000" w:csb0="00040001" w:csb1="00000000"/>
    <w:embedRegular r:id="rId7" w:fontKey="{6E32BC9D-9834-4894-8999-5A619476ADCA}"/>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rPr>
        <w:rFonts w:hint="eastAsia"/>
        <w:sz w:val="24"/>
      </w:rPr>
    </w:pPr>
    <w:r>
      <w:rPr>
        <w:sz w:val="24"/>
      </w:rPr>
      <w:fldChar w:fldCharType="begin"/>
    </w:r>
    <w:r>
      <w:rPr>
        <w:rStyle w:val="63"/>
        <w:sz w:val="24"/>
      </w:rPr>
      <w:instrText xml:space="preserve"> PAGE </w:instrText>
    </w:r>
    <w:r>
      <w:rPr>
        <w:sz w:val="24"/>
      </w:rPr>
      <w:fldChar w:fldCharType="separate"/>
    </w:r>
    <w:r>
      <w:rPr>
        <w:rStyle w:val="63"/>
        <w:sz w:val="24"/>
        <w:lang/>
      </w:rPr>
      <w:t>3</w:t>
    </w:r>
    <w:r>
      <w:rPr>
        <w:sz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center" w:y="1"/>
      <w:rPr>
        <w:rStyle w:val="63"/>
      </w:rPr>
    </w:pPr>
    <w:r>
      <w:fldChar w:fldCharType="begin"/>
    </w:r>
    <w:r>
      <w:rPr>
        <w:rStyle w:val="63"/>
      </w:rPr>
      <w:instrText xml:space="preserve">PAGE  </w:instrText>
    </w:r>
    <w:r>
      <w:fldChar w:fldCharType="separate"/>
    </w:r>
    <w:r>
      <w:fldChar w:fldCharType="end"/>
    </w:r>
  </w:p>
  <w:p>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rPr>
        <w:rFonts w:hint="eastAsia"/>
        <w:sz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rPr>
        <w:rFonts w:hint="eastAsia"/>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8"/>
                            <w:jc w:val="center"/>
                          </w:pPr>
                          <w:r>
                            <w:rPr>
                              <w:sz w:val="24"/>
                            </w:rPr>
                            <w:fldChar w:fldCharType="begin"/>
                          </w:r>
                          <w:r>
                            <w:rPr>
                              <w:rStyle w:val="63"/>
                              <w:sz w:val="24"/>
                            </w:rPr>
                            <w:instrText xml:space="preserve"> PAGE </w:instrText>
                          </w:r>
                          <w:r>
                            <w:rPr>
                              <w:sz w:val="24"/>
                            </w:rPr>
                            <w:fldChar w:fldCharType="separate"/>
                          </w:r>
                          <w:r>
                            <w:rPr>
                              <w:rStyle w:val="63"/>
                              <w:sz w:val="24"/>
                            </w:rPr>
                            <w:t>3</w:t>
                          </w:r>
                          <w:r>
                            <w:rPr>
                              <w:sz w:val="24"/>
                            </w:rPr>
                            <w:fldChar w:fldCharType="end"/>
                          </w:r>
                        </w:p>
                      </w:txbxContent>
                    </wps:txbx>
                    <wps:bodyPr wrap="none" lIns="0" tIns="0" rIns="0" bIns="0" upright="0">
                      <a:spAutoFit/>
                    </wps:bodyPr>
                  </wps:wsp>
                </a:graphicData>
              </a:graphic>
            </wp:anchor>
          </w:drawing>
        </mc:Choice>
        <mc:Fallback>
          <w:pict>
            <v:shape id="文本框 205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CR4UPLAQAAnAMAAA4AAAAAAAAAAQAgAAAAHgEAAGRycy9lMm9E&#10;b2MueG1sUEsFBgAAAAAGAAYAWQEAAFsFAAAAAA==&#10;">
              <v:fill on="f" focussize="0,0"/>
              <v:stroke on="f"/>
              <v:imagedata o:title=""/>
              <o:lock v:ext="edit" aspectratio="f"/>
              <v:textbox inset="0mm,0mm,0mm,0mm" style="mso-fit-shape-to-text:t;">
                <w:txbxContent>
                  <w:p>
                    <w:pPr>
                      <w:pStyle w:val="38"/>
                      <w:jc w:val="center"/>
                    </w:pPr>
                    <w:r>
                      <w:rPr>
                        <w:sz w:val="24"/>
                      </w:rPr>
                      <w:fldChar w:fldCharType="begin"/>
                    </w:r>
                    <w:r>
                      <w:rPr>
                        <w:rStyle w:val="63"/>
                        <w:sz w:val="24"/>
                      </w:rPr>
                      <w:instrText xml:space="preserve"> PAGE </w:instrText>
                    </w:r>
                    <w:r>
                      <w:rPr>
                        <w:sz w:val="24"/>
                      </w:rPr>
                      <w:fldChar w:fldCharType="separate"/>
                    </w:r>
                    <w:r>
                      <w:rPr>
                        <w:rStyle w:val="63"/>
                        <w:sz w:val="24"/>
                      </w:rPr>
                      <w:t>3</w:t>
                    </w:r>
                    <w:r>
                      <w:rPr>
                        <w:sz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8"/>
                          </w:pPr>
                          <w:r>
                            <w:t xml:space="preserve"> </w:t>
                          </w:r>
                          <w:r>
                            <w:fldChar w:fldCharType="begin"/>
                          </w:r>
                          <w:r>
                            <w:instrText xml:space="preserve"> PAGE  \* MERGEFORMAT </w:instrText>
                          </w:r>
                          <w:r>
                            <w:fldChar w:fldCharType="separate"/>
                          </w:r>
                          <w:r>
                            <w:t>- 31 -</w:t>
                          </w:r>
                          <w:r>
                            <w:fldChar w:fldCharType="end"/>
                          </w:r>
                          <w:r>
                            <w:t xml:space="preserve"> </w:t>
                          </w:r>
                        </w:p>
                        <w:p>
                          <w:pPr>
                            <w:pStyle w:val="38"/>
                          </w:pPr>
                        </w:p>
                      </w:txbxContent>
                    </wps:txbx>
                    <wps:bodyPr vert="horz" wrap="none" lIns="0" tIns="0" rIns="0" bIns="0" anchor="t" anchorCtr="0" upright="0">
                      <a:spAutoFit/>
                    </wps:bodyPr>
                  </wps:wsp>
                </a:graphicData>
              </a:graphic>
            </wp:anchor>
          </w:drawing>
        </mc:Choice>
        <mc:Fallback>
          <w:pict>
            <v:shape id="文本框 205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MQiS63gEAAMEDAAAOAAAAAAAA&#10;AAEAIAAAAB4BAABkcnMvZTJvRG9jLnhtbFBLBQYAAAAABgAGAFkBAABuBQAAAAA=&#10;">
              <v:fill on="f" focussize="0,0"/>
              <v:stroke on="f"/>
              <v:imagedata o:title=""/>
              <o:lock v:ext="edit" aspectratio="f"/>
              <v:textbox inset="0mm,0mm,0mm,0mm" style="mso-fit-shape-to-text:t;">
                <w:txbxContent>
                  <w:p>
                    <w:pPr>
                      <w:pStyle w:val="38"/>
                    </w:pPr>
                    <w:r>
                      <w:t xml:space="preserve"> </w:t>
                    </w:r>
                    <w:r>
                      <w:fldChar w:fldCharType="begin"/>
                    </w:r>
                    <w:r>
                      <w:instrText xml:space="preserve"> PAGE  \* MERGEFORMAT </w:instrText>
                    </w:r>
                    <w:r>
                      <w:fldChar w:fldCharType="separate"/>
                    </w:r>
                    <w:r>
                      <w:t>- 31 -</w:t>
                    </w:r>
                    <w:r>
                      <w:fldChar w:fldCharType="end"/>
                    </w:r>
                    <w:r>
                      <w:t xml:space="preserve"> </w:t>
                    </w:r>
                  </w:p>
                  <w:p>
                    <w:pPr>
                      <w:pStyle w:val="3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8"/>
                            <w:jc w:val="center"/>
                          </w:pPr>
                          <w:r>
                            <w:rPr>
                              <w:sz w:val="24"/>
                            </w:rPr>
                            <w:fldChar w:fldCharType="begin"/>
                          </w:r>
                          <w:r>
                            <w:rPr>
                              <w:rStyle w:val="63"/>
                              <w:sz w:val="24"/>
                            </w:rPr>
                            <w:instrText xml:space="preserve"> PAGE </w:instrText>
                          </w:r>
                          <w:r>
                            <w:rPr>
                              <w:sz w:val="24"/>
                            </w:rPr>
                            <w:fldChar w:fldCharType="separate"/>
                          </w:r>
                          <w:r>
                            <w:rPr>
                              <w:rStyle w:val="63"/>
                              <w:sz w:val="24"/>
                            </w:rPr>
                            <w:t>- 72 -</w:t>
                          </w:r>
                          <w:r>
                            <w:rPr>
                              <w:sz w:val="24"/>
                            </w:rPr>
                            <w:fldChar w:fldCharType="end"/>
                          </w:r>
                        </w:p>
                      </w:txbxContent>
                    </wps:txbx>
                    <wps:bodyPr vert="horz" wrap="none" lIns="0" tIns="0" rIns="0" bIns="0" anchor="t" anchorCtr="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ARLLajgAQAAwQMAAA4AAAAA&#10;AAAAAQAgAAAAHgEAAGRycy9lMm9Eb2MueG1sUEsFBgAAAAAGAAYAWQEAAHAFAAAAAA==&#10;">
              <v:fill on="f" focussize="0,0"/>
              <v:stroke on="f"/>
              <v:imagedata o:title=""/>
              <o:lock v:ext="edit" aspectratio="f"/>
              <v:textbox inset="0mm,0mm,0mm,0mm" style="mso-fit-shape-to-text:t;">
                <w:txbxContent>
                  <w:p>
                    <w:pPr>
                      <w:pStyle w:val="38"/>
                      <w:jc w:val="center"/>
                    </w:pPr>
                    <w:r>
                      <w:rPr>
                        <w:sz w:val="24"/>
                      </w:rPr>
                      <w:fldChar w:fldCharType="begin"/>
                    </w:r>
                    <w:r>
                      <w:rPr>
                        <w:rStyle w:val="63"/>
                        <w:sz w:val="24"/>
                      </w:rPr>
                      <w:instrText xml:space="preserve"> PAGE </w:instrText>
                    </w:r>
                    <w:r>
                      <w:rPr>
                        <w:sz w:val="24"/>
                      </w:rPr>
                      <w:fldChar w:fldCharType="separate"/>
                    </w:r>
                    <w:r>
                      <w:rPr>
                        <w:rStyle w:val="63"/>
                        <w:sz w:val="24"/>
                      </w:rPr>
                      <w:t>- 72 -</w:t>
                    </w:r>
                    <w:r>
                      <w:rPr>
                        <w:sz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single" w:color="auto" w:sz="4" w:space="1"/>
      </w:pBdr>
      <w:jc w:val="left"/>
      <w:rPr>
        <w:rFonts w:hint="eastAsia" w:ascii="方正仿宋_GBK" w:eastAsia="方正仿宋_GBK"/>
        <w:sz w:val="21"/>
        <w:szCs w:val="24"/>
      </w:rPr>
    </w:pPr>
    <w:r>
      <w:rPr>
        <w:rFonts w:hint="eastAsia" w:ascii="方正仿宋_GBK" w:eastAsia="方正仿宋_GBK"/>
        <w:sz w:val="21"/>
        <w:szCs w:val="24"/>
      </w:rPr>
      <w:t>重庆市武隆区教育技术与服务中心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jc w:val="both"/>
      <w:rPr>
        <w:rFonts w:hint="eastAsia" w:ascii="方正仿宋_GBK" w:eastAsia="方正仿宋_GBK"/>
        <w:sz w:val="21"/>
        <w:szCs w:val="24"/>
      </w:rPr>
    </w:pPr>
    <w:r>
      <w:rPr>
        <w:rFonts w:hint="eastAsia" w:ascii="方正仿宋_GBK" w:eastAsia="方正仿宋_GBK"/>
        <w:sz w:val="21"/>
        <w:szCs w:val="24"/>
      </w:rPr>
      <w:t>重庆市武隆区教育信息技术与服务中心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247D02"/>
    <w:multiLevelType w:val="singleLevel"/>
    <w:tmpl w:val="96247D02"/>
    <w:lvl w:ilvl="0" w:tentative="0">
      <w:start w:val="1"/>
      <w:numFmt w:val="chineseCounting"/>
      <w:suff w:val="nothing"/>
      <w:lvlText w:val="（%1）"/>
      <w:lvlJc w:val="left"/>
      <w:pPr>
        <w:ind w:left="22"/>
      </w:pPr>
      <w:rPr>
        <w:rFonts w:hint="eastAsia"/>
      </w:rPr>
    </w:lvl>
  </w:abstractNum>
  <w:abstractNum w:abstractNumId="1">
    <w:nsid w:val="A002EBDA"/>
    <w:multiLevelType w:val="singleLevel"/>
    <w:tmpl w:val="A002EBDA"/>
    <w:lvl w:ilvl="0" w:tentative="0">
      <w:start w:val="1"/>
      <w:numFmt w:val="chineseCounting"/>
      <w:suff w:val="nothing"/>
      <w:lvlText w:val="%1、"/>
      <w:lvlJc w:val="left"/>
      <w:rPr>
        <w:rFonts w:hint="eastAsia"/>
      </w:rPr>
    </w:lvl>
  </w:abstractNum>
  <w:abstractNum w:abstractNumId="2">
    <w:nsid w:val="D3814465"/>
    <w:multiLevelType w:val="singleLevel"/>
    <w:tmpl w:val="D3814465"/>
    <w:lvl w:ilvl="0" w:tentative="0">
      <w:start w:val="3"/>
      <w:numFmt w:val="decimal"/>
      <w:lvlText w:val="%1."/>
      <w:lvlJc w:val="left"/>
      <w:pPr>
        <w:tabs>
          <w:tab w:val="left" w:pos="312"/>
        </w:tabs>
      </w:pPr>
    </w:lvl>
  </w:abstractNum>
  <w:abstractNum w:abstractNumId="3">
    <w:nsid w:val="DFE282B3"/>
    <w:multiLevelType w:val="singleLevel"/>
    <w:tmpl w:val="DFE282B3"/>
    <w:lvl w:ilvl="0" w:tentative="0">
      <w:start w:val="1"/>
      <w:numFmt w:val="decimal"/>
      <w:pStyle w:val="31"/>
      <w:lvlText w:val="%1."/>
      <w:lvlJc w:val="left"/>
      <w:pPr>
        <w:tabs>
          <w:tab w:val="left" w:pos="1620"/>
        </w:tabs>
        <w:ind w:left="1620" w:hanging="360"/>
      </w:pPr>
    </w:lvl>
  </w:abstractNum>
  <w:abstractNum w:abstractNumId="4">
    <w:nsid w:val="00000003"/>
    <w:multiLevelType w:val="singleLevel"/>
    <w:tmpl w:val="00000003"/>
    <w:lvl w:ilvl="0" w:tentative="0">
      <w:start w:val="1"/>
      <w:numFmt w:val="decimal"/>
      <w:pStyle w:val="13"/>
      <w:lvlText w:val="%1."/>
      <w:lvlJc w:val="left"/>
      <w:pPr>
        <w:tabs>
          <w:tab w:val="left" w:pos="780"/>
        </w:tabs>
        <w:ind w:left="780" w:hanging="360"/>
      </w:pPr>
    </w:lvl>
  </w:abstractNum>
  <w:abstractNum w:abstractNumId="5">
    <w:nsid w:val="00000005"/>
    <w:multiLevelType w:val="multilevel"/>
    <w:tmpl w:val="00000005"/>
    <w:lvl w:ilvl="0" w:tentative="0">
      <w:start w:val="1"/>
      <w:numFmt w:val="bullet"/>
      <w:pStyle w:val="191"/>
      <w:lvlText w:val=""/>
      <w:lvlJc w:val="left"/>
      <w:pPr>
        <w:tabs>
          <w:tab w:val="left" w:pos="980"/>
        </w:tabs>
        <w:ind w:left="980" w:hanging="36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
    <w:nsid w:val="00000006"/>
    <w:multiLevelType w:val="singleLevel"/>
    <w:tmpl w:val="00000006"/>
    <w:lvl w:ilvl="0" w:tentative="0">
      <w:start w:val="1"/>
      <w:numFmt w:val="bullet"/>
      <w:pStyle w:val="14"/>
      <w:lvlText w:val=""/>
      <w:lvlJc w:val="left"/>
      <w:pPr>
        <w:tabs>
          <w:tab w:val="left" w:pos="1620"/>
        </w:tabs>
        <w:ind w:left="1620" w:hanging="360"/>
      </w:pPr>
      <w:rPr>
        <w:rFonts w:hint="default" w:ascii="Wingdings" w:hAnsi="Wingdings"/>
      </w:rPr>
    </w:lvl>
  </w:abstractNum>
  <w:abstractNum w:abstractNumId="7">
    <w:nsid w:val="00000007"/>
    <w:multiLevelType w:val="multilevel"/>
    <w:tmpl w:val="00000007"/>
    <w:lvl w:ilvl="0" w:tentative="0">
      <w:start w:val="1"/>
      <w:numFmt w:val="bullet"/>
      <w:pStyle w:val="127"/>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8"/>
    <w:multiLevelType w:val="multilevel"/>
    <w:tmpl w:val="00000008"/>
    <w:lvl w:ilvl="0" w:tentative="0">
      <w:start w:val="1"/>
      <w:numFmt w:val="chineseCountingThousand"/>
      <w:pStyle w:val="5"/>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9"/>
    <w:multiLevelType w:val="multilevel"/>
    <w:tmpl w:val="00000009"/>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pStyle w:val="165"/>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0A"/>
    <w:multiLevelType w:val="multilevel"/>
    <w:tmpl w:val="0000000A"/>
    <w:lvl w:ilvl="0" w:tentative="0">
      <w:start w:val="8"/>
      <w:numFmt w:val="decimal"/>
      <w:pStyle w:val="110"/>
      <w:lvlText w:val="%1."/>
      <w:lvlJc w:val="left"/>
      <w:pPr>
        <w:tabs>
          <w:tab w:val="left" w:pos="425"/>
        </w:tabs>
        <w:ind w:left="425" w:hanging="425"/>
      </w:pPr>
      <w:rPr>
        <w:rFonts w:hint="eastAsia"/>
      </w:rPr>
    </w:lvl>
    <w:lvl w:ilvl="1" w:tentative="0">
      <w:start w:val="1"/>
      <w:numFmt w:val="decimal"/>
      <w:lvlText w:val="%1.%2."/>
      <w:lvlJc w:val="left"/>
      <w:pPr>
        <w:tabs>
          <w:tab w:val="left" w:pos="747"/>
        </w:tabs>
        <w:ind w:left="747" w:hanging="567"/>
      </w:pPr>
      <w:rPr>
        <w:rFonts w:hint="eastAsia"/>
      </w:rPr>
    </w:lvl>
    <w:lvl w:ilvl="2" w:tentative="0">
      <w:start w:val="1"/>
      <w:numFmt w:val="decimal"/>
      <w:pStyle w:val="122"/>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00000012"/>
    <w:multiLevelType w:val="singleLevel"/>
    <w:tmpl w:val="00000012"/>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2">
    <w:nsid w:val="00000013"/>
    <w:multiLevelType w:val="multilevel"/>
    <w:tmpl w:val="00000013"/>
    <w:lvl w:ilvl="0" w:tentative="0">
      <w:start w:val="1"/>
      <w:numFmt w:val="bullet"/>
      <w:pStyle w:val="21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3">
    <w:nsid w:val="00000015"/>
    <w:multiLevelType w:val="multilevel"/>
    <w:tmpl w:val="00000015"/>
    <w:lvl w:ilvl="0" w:tentative="0">
      <w:start w:val="1"/>
      <w:numFmt w:val="decimal"/>
      <w:pStyle w:val="140"/>
      <w:lvlText w:val="(%1)"/>
      <w:lvlJc w:val="left"/>
      <w:pPr>
        <w:tabs>
          <w:tab w:val="left" w:pos="397"/>
        </w:tabs>
        <w:ind w:left="397" w:hanging="397"/>
      </w:pPr>
      <w:rPr>
        <w:rFonts w:hint="default" w:ascii="Arial" w:hAnsi="Arial" w:eastAsia="宋体"/>
        <w:b w:val="0"/>
        <w:i w:val="0"/>
        <w:color w:val="auto"/>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00000016"/>
    <w:multiLevelType w:val="singleLevel"/>
    <w:tmpl w:val="00000016"/>
    <w:lvl w:ilvl="0" w:tentative="0">
      <w:start w:val="1"/>
      <w:numFmt w:val="bullet"/>
      <w:pStyle w:val="145"/>
      <w:lvlText w:val=""/>
      <w:lvlJc w:val="left"/>
      <w:pPr>
        <w:tabs>
          <w:tab w:val="left" w:pos="360"/>
        </w:tabs>
        <w:ind w:left="360" w:hanging="360"/>
      </w:pPr>
      <w:rPr>
        <w:rFonts w:hint="default" w:ascii="Wingdings" w:hAnsi="Wingdings"/>
      </w:rPr>
    </w:lvl>
  </w:abstractNum>
  <w:abstractNum w:abstractNumId="15">
    <w:nsid w:val="00000017"/>
    <w:multiLevelType w:val="singleLevel"/>
    <w:tmpl w:val="00000017"/>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6">
    <w:nsid w:val="00000019"/>
    <w:multiLevelType w:val="singleLevel"/>
    <w:tmpl w:val="00000019"/>
    <w:lvl w:ilvl="0" w:tentative="0">
      <w:start w:val="1"/>
      <w:numFmt w:val="decimal"/>
      <w:pStyle w:val="158"/>
      <w:lvlText w:val="%1)"/>
      <w:lvlJc w:val="left"/>
      <w:pPr>
        <w:tabs>
          <w:tab w:val="left" w:pos="425"/>
        </w:tabs>
        <w:ind w:left="425" w:hanging="425"/>
      </w:pPr>
      <w:rPr>
        <w:rFonts w:hint="eastAsia"/>
      </w:rPr>
    </w:lvl>
  </w:abstractNum>
  <w:abstractNum w:abstractNumId="17">
    <w:nsid w:val="0000001A"/>
    <w:multiLevelType w:val="multilevel"/>
    <w:tmpl w:val="0000001A"/>
    <w:lvl w:ilvl="0" w:tentative="0">
      <w:start w:val="1"/>
      <w:numFmt w:val="decimal"/>
      <w:pStyle w:val="20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0000001D"/>
    <w:multiLevelType w:val="multilevel"/>
    <w:tmpl w:val="0000001D"/>
    <w:lvl w:ilvl="0" w:tentative="0">
      <w:start w:val="1"/>
      <w:numFmt w:val="chineseCountingThousand"/>
      <w:pStyle w:val="132"/>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4949D94C"/>
    <w:multiLevelType w:val="singleLevel"/>
    <w:tmpl w:val="4949D94C"/>
    <w:lvl w:ilvl="0" w:tentative="0">
      <w:start w:val="1"/>
      <w:numFmt w:val="chineseCounting"/>
      <w:suff w:val="nothing"/>
      <w:lvlText w:val="%1、"/>
      <w:lvlJc w:val="left"/>
      <w:rPr>
        <w:rFonts w:hint="eastAsia"/>
      </w:rPr>
    </w:lvl>
  </w:abstractNum>
  <w:abstractNum w:abstractNumId="20">
    <w:nsid w:val="582702B4"/>
    <w:multiLevelType w:val="singleLevel"/>
    <w:tmpl w:val="582702B4"/>
    <w:lvl w:ilvl="0" w:tentative="0">
      <w:start w:val="1"/>
      <w:numFmt w:val="chineseCounting"/>
      <w:suff w:val="nothing"/>
      <w:lvlText w:val="（%1）"/>
      <w:lvlJc w:val="left"/>
      <w:rPr>
        <w:rFonts w:hint="eastAsia"/>
      </w:rPr>
    </w:lvl>
  </w:abstractNum>
  <w:num w:numId="1">
    <w:abstractNumId w:val="8"/>
  </w:num>
  <w:num w:numId="2">
    <w:abstractNumId w:val="4"/>
  </w:num>
  <w:num w:numId="3">
    <w:abstractNumId w:val="6"/>
  </w:num>
  <w:num w:numId="4">
    <w:abstractNumId w:val="15"/>
  </w:num>
  <w:num w:numId="5">
    <w:abstractNumId w:val="11"/>
  </w:num>
  <w:num w:numId="6">
    <w:abstractNumId w:val="3"/>
  </w:num>
  <w:num w:numId="7">
    <w:abstractNumId w:val="10"/>
  </w:num>
  <w:num w:numId="8">
    <w:abstractNumId w:val="7"/>
  </w:num>
  <w:num w:numId="9">
    <w:abstractNumId w:val="18"/>
  </w:num>
  <w:num w:numId="10">
    <w:abstractNumId w:val="13"/>
  </w:num>
  <w:num w:numId="11">
    <w:abstractNumId w:val="14"/>
  </w:num>
  <w:num w:numId="12">
    <w:abstractNumId w:val="16"/>
  </w:num>
  <w:num w:numId="13">
    <w:abstractNumId w:val="9"/>
  </w:num>
  <w:num w:numId="14">
    <w:abstractNumId w:val="5"/>
  </w:num>
  <w:num w:numId="15">
    <w:abstractNumId w:val="17"/>
  </w:num>
  <w:num w:numId="16">
    <w:abstractNumId w:val="12"/>
  </w:num>
  <w:num w:numId="17">
    <w:abstractNumId w:val="19"/>
  </w:num>
  <w:num w:numId="18">
    <w:abstractNumId w:val="2"/>
  </w:num>
  <w:num w:numId="19">
    <w:abstractNumId w:val="20"/>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280"/>
  <w:hyphenationZone w:val="360"/>
  <w:drawingGridHorizontalSpacing w:val="140"/>
  <w:drawingGridVerticalSpacing w:val="381"/>
  <w:displayHorizontalDrawingGridEvery w:val="1"/>
  <w:displayVerticalDrawingGridEvery w:val="1"/>
  <w:noPunctuationKerning w:val="1"/>
  <w:characterSpacingControl w:val="compressPunctuation"/>
  <w:doNotValidateAgainstSchema/>
  <w:doNotDemarcateInvalidXml/>
  <w:hdrShapeDefaults>
    <o:shapelayout v:ext="edit">
      <o:idmap v:ext="edit" data="1,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2NGQ1YTk2MWEzMDBkNTMxMTgxMzI4MWJmZGJmMjcifQ=="/>
  </w:docVars>
  <w:rsids>
    <w:rsidRoot w:val="00172A27"/>
    <w:rsid w:val="00004E02"/>
    <w:rsid w:val="000050CA"/>
    <w:rsid w:val="000072F0"/>
    <w:rsid w:val="00010FA3"/>
    <w:rsid w:val="00011AF1"/>
    <w:rsid w:val="00020335"/>
    <w:rsid w:val="00021946"/>
    <w:rsid w:val="00025C8E"/>
    <w:rsid w:val="000266A1"/>
    <w:rsid w:val="00030366"/>
    <w:rsid w:val="0003075E"/>
    <w:rsid w:val="0003282A"/>
    <w:rsid w:val="00034A67"/>
    <w:rsid w:val="0003767C"/>
    <w:rsid w:val="000376BA"/>
    <w:rsid w:val="000404EF"/>
    <w:rsid w:val="00042250"/>
    <w:rsid w:val="00043311"/>
    <w:rsid w:val="00046BA6"/>
    <w:rsid w:val="00054BCC"/>
    <w:rsid w:val="00055129"/>
    <w:rsid w:val="00056058"/>
    <w:rsid w:val="00057565"/>
    <w:rsid w:val="00060807"/>
    <w:rsid w:val="00064EA7"/>
    <w:rsid w:val="0006572E"/>
    <w:rsid w:val="0007182E"/>
    <w:rsid w:val="00074705"/>
    <w:rsid w:val="00075520"/>
    <w:rsid w:val="000767EB"/>
    <w:rsid w:val="00080809"/>
    <w:rsid w:val="000820EF"/>
    <w:rsid w:val="000946BD"/>
    <w:rsid w:val="00094D91"/>
    <w:rsid w:val="000A07BA"/>
    <w:rsid w:val="000A3134"/>
    <w:rsid w:val="000A4082"/>
    <w:rsid w:val="000A5589"/>
    <w:rsid w:val="000B2716"/>
    <w:rsid w:val="000B2827"/>
    <w:rsid w:val="000B7999"/>
    <w:rsid w:val="000C06D1"/>
    <w:rsid w:val="000C2017"/>
    <w:rsid w:val="000C2306"/>
    <w:rsid w:val="000C2606"/>
    <w:rsid w:val="000C4016"/>
    <w:rsid w:val="000C47BC"/>
    <w:rsid w:val="000C4E9A"/>
    <w:rsid w:val="000D1C0F"/>
    <w:rsid w:val="000D21B8"/>
    <w:rsid w:val="000D5394"/>
    <w:rsid w:val="000D568F"/>
    <w:rsid w:val="000D66BE"/>
    <w:rsid w:val="000E14D0"/>
    <w:rsid w:val="000E32C9"/>
    <w:rsid w:val="000E43DC"/>
    <w:rsid w:val="000E5F3D"/>
    <w:rsid w:val="000E6331"/>
    <w:rsid w:val="000E7123"/>
    <w:rsid w:val="000E725C"/>
    <w:rsid w:val="000E774F"/>
    <w:rsid w:val="000F16AA"/>
    <w:rsid w:val="000F176A"/>
    <w:rsid w:val="000F30CC"/>
    <w:rsid w:val="000F3783"/>
    <w:rsid w:val="000F391C"/>
    <w:rsid w:val="000F3C13"/>
    <w:rsid w:val="000F482B"/>
    <w:rsid w:val="001103D7"/>
    <w:rsid w:val="00110AA3"/>
    <w:rsid w:val="00111819"/>
    <w:rsid w:val="0011194D"/>
    <w:rsid w:val="00112522"/>
    <w:rsid w:val="001125BF"/>
    <w:rsid w:val="00113C81"/>
    <w:rsid w:val="00114F5F"/>
    <w:rsid w:val="0012297F"/>
    <w:rsid w:val="00122FAE"/>
    <w:rsid w:val="001241E6"/>
    <w:rsid w:val="001256A8"/>
    <w:rsid w:val="00127B97"/>
    <w:rsid w:val="001329C4"/>
    <w:rsid w:val="00135250"/>
    <w:rsid w:val="0014045A"/>
    <w:rsid w:val="001407F6"/>
    <w:rsid w:val="00146ED4"/>
    <w:rsid w:val="0015271E"/>
    <w:rsid w:val="001528E5"/>
    <w:rsid w:val="00161645"/>
    <w:rsid w:val="00163467"/>
    <w:rsid w:val="00165D21"/>
    <w:rsid w:val="001723A0"/>
    <w:rsid w:val="00174787"/>
    <w:rsid w:val="001767A8"/>
    <w:rsid w:val="00176AE6"/>
    <w:rsid w:val="0018194D"/>
    <w:rsid w:val="00185507"/>
    <w:rsid w:val="001864B0"/>
    <w:rsid w:val="00186A28"/>
    <w:rsid w:val="00187F68"/>
    <w:rsid w:val="00191EDB"/>
    <w:rsid w:val="00195BAD"/>
    <w:rsid w:val="001961B5"/>
    <w:rsid w:val="00197B4A"/>
    <w:rsid w:val="001A0940"/>
    <w:rsid w:val="001A4064"/>
    <w:rsid w:val="001A4207"/>
    <w:rsid w:val="001A675D"/>
    <w:rsid w:val="001B0FF3"/>
    <w:rsid w:val="001B4A20"/>
    <w:rsid w:val="001B6F50"/>
    <w:rsid w:val="001C08B0"/>
    <w:rsid w:val="001C2080"/>
    <w:rsid w:val="001C42F9"/>
    <w:rsid w:val="001C5088"/>
    <w:rsid w:val="001C6A1E"/>
    <w:rsid w:val="001C6A2B"/>
    <w:rsid w:val="001D2C91"/>
    <w:rsid w:val="001D3224"/>
    <w:rsid w:val="001D3B7E"/>
    <w:rsid w:val="001D521F"/>
    <w:rsid w:val="001E0A8B"/>
    <w:rsid w:val="001E2993"/>
    <w:rsid w:val="001E4F32"/>
    <w:rsid w:val="001E66FF"/>
    <w:rsid w:val="001E69EF"/>
    <w:rsid w:val="001E7195"/>
    <w:rsid w:val="001F07F7"/>
    <w:rsid w:val="001F1B54"/>
    <w:rsid w:val="001F20CC"/>
    <w:rsid w:val="001F26ED"/>
    <w:rsid w:val="001F2CAB"/>
    <w:rsid w:val="001F381D"/>
    <w:rsid w:val="001F4A5E"/>
    <w:rsid w:val="001F5A8A"/>
    <w:rsid w:val="001F5D78"/>
    <w:rsid w:val="001F6E3F"/>
    <w:rsid w:val="001F707E"/>
    <w:rsid w:val="002101B3"/>
    <w:rsid w:val="0021649F"/>
    <w:rsid w:val="00217C0F"/>
    <w:rsid w:val="00220225"/>
    <w:rsid w:val="00223B03"/>
    <w:rsid w:val="00225BF7"/>
    <w:rsid w:val="0022640C"/>
    <w:rsid w:val="002266E6"/>
    <w:rsid w:val="0022711C"/>
    <w:rsid w:val="00227158"/>
    <w:rsid w:val="00227651"/>
    <w:rsid w:val="00230CE6"/>
    <w:rsid w:val="002315AB"/>
    <w:rsid w:val="00233AFE"/>
    <w:rsid w:val="00236E09"/>
    <w:rsid w:val="00237468"/>
    <w:rsid w:val="0024340E"/>
    <w:rsid w:val="002435D0"/>
    <w:rsid w:val="00243F8F"/>
    <w:rsid w:val="00244300"/>
    <w:rsid w:val="002474A9"/>
    <w:rsid w:val="00252999"/>
    <w:rsid w:val="00252E9D"/>
    <w:rsid w:val="0025308A"/>
    <w:rsid w:val="0025601D"/>
    <w:rsid w:val="00256F4A"/>
    <w:rsid w:val="00257257"/>
    <w:rsid w:val="00257FF1"/>
    <w:rsid w:val="00261D69"/>
    <w:rsid w:val="00262267"/>
    <w:rsid w:val="00262CB5"/>
    <w:rsid w:val="002638E5"/>
    <w:rsid w:val="00263F00"/>
    <w:rsid w:val="00264A68"/>
    <w:rsid w:val="00265244"/>
    <w:rsid w:val="00266BCA"/>
    <w:rsid w:val="0027076B"/>
    <w:rsid w:val="00272681"/>
    <w:rsid w:val="00275F04"/>
    <w:rsid w:val="00277A7F"/>
    <w:rsid w:val="0028066C"/>
    <w:rsid w:val="00282E57"/>
    <w:rsid w:val="00282F6A"/>
    <w:rsid w:val="002833CF"/>
    <w:rsid w:val="00284842"/>
    <w:rsid w:val="002864A7"/>
    <w:rsid w:val="0029022C"/>
    <w:rsid w:val="00293471"/>
    <w:rsid w:val="0029515A"/>
    <w:rsid w:val="002A008C"/>
    <w:rsid w:val="002A0576"/>
    <w:rsid w:val="002A17F5"/>
    <w:rsid w:val="002B228A"/>
    <w:rsid w:val="002B26F0"/>
    <w:rsid w:val="002B31D4"/>
    <w:rsid w:val="002C07DE"/>
    <w:rsid w:val="002C5C0E"/>
    <w:rsid w:val="002C6836"/>
    <w:rsid w:val="002C7F2B"/>
    <w:rsid w:val="002D2F75"/>
    <w:rsid w:val="002D36E9"/>
    <w:rsid w:val="002D518A"/>
    <w:rsid w:val="002E0FB6"/>
    <w:rsid w:val="002E1597"/>
    <w:rsid w:val="002E2816"/>
    <w:rsid w:val="002E41DF"/>
    <w:rsid w:val="002E52CC"/>
    <w:rsid w:val="002E6DFA"/>
    <w:rsid w:val="002F1086"/>
    <w:rsid w:val="002F1557"/>
    <w:rsid w:val="002F5691"/>
    <w:rsid w:val="002F5EEF"/>
    <w:rsid w:val="00300A88"/>
    <w:rsid w:val="00301FF8"/>
    <w:rsid w:val="003055FB"/>
    <w:rsid w:val="00305F51"/>
    <w:rsid w:val="003075D9"/>
    <w:rsid w:val="003078AE"/>
    <w:rsid w:val="003144DF"/>
    <w:rsid w:val="00314FBE"/>
    <w:rsid w:val="00316C9A"/>
    <w:rsid w:val="00317BBE"/>
    <w:rsid w:val="00321104"/>
    <w:rsid w:val="003220FF"/>
    <w:rsid w:val="003231A8"/>
    <w:rsid w:val="00323DC1"/>
    <w:rsid w:val="0032444A"/>
    <w:rsid w:val="00327355"/>
    <w:rsid w:val="00331597"/>
    <w:rsid w:val="0033162D"/>
    <w:rsid w:val="003340BB"/>
    <w:rsid w:val="003431D8"/>
    <w:rsid w:val="00344FF3"/>
    <w:rsid w:val="003455F1"/>
    <w:rsid w:val="00347CE1"/>
    <w:rsid w:val="00350EC1"/>
    <w:rsid w:val="00350F6A"/>
    <w:rsid w:val="00362559"/>
    <w:rsid w:val="00363B13"/>
    <w:rsid w:val="003657B2"/>
    <w:rsid w:val="00370BF4"/>
    <w:rsid w:val="0037169E"/>
    <w:rsid w:val="00372DC7"/>
    <w:rsid w:val="003731F2"/>
    <w:rsid w:val="003754CD"/>
    <w:rsid w:val="00375B6A"/>
    <w:rsid w:val="00375B89"/>
    <w:rsid w:val="00380667"/>
    <w:rsid w:val="00383C9F"/>
    <w:rsid w:val="003846F7"/>
    <w:rsid w:val="003858EE"/>
    <w:rsid w:val="00386295"/>
    <w:rsid w:val="0038635F"/>
    <w:rsid w:val="003902F6"/>
    <w:rsid w:val="00392A5E"/>
    <w:rsid w:val="003968A8"/>
    <w:rsid w:val="003A3E82"/>
    <w:rsid w:val="003A4636"/>
    <w:rsid w:val="003A6A32"/>
    <w:rsid w:val="003B2994"/>
    <w:rsid w:val="003B33BD"/>
    <w:rsid w:val="003B35D0"/>
    <w:rsid w:val="003C2CAD"/>
    <w:rsid w:val="003C3995"/>
    <w:rsid w:val="003C6D9E"/>
    <w:rsid w:val="003D0992"/>
    <w:rsid w:val="003D1210"/>
    <w:rsid w:val="003D1857"/>
    <w:rsid w:val="003D1F45"/>
    <w:rsid w:val="003D55A0"/>
    <w:rsid w:val="003D6FF0"/>
    <w:rsid w:val="003E39B8"/>
    <w:rsid w:val="003E554C"/>
    <w:rsid w:val="003E5E95"/>
    <w:rsid w:val="003E699F"/>
    <w:rsid w:val="003E70FB"/>
    <w:rsid w:val="003F0C5B"/>
    <w:rsid w:val="003F2CFF"/>
    <w:rsid w:val="003F5BC7"/>
    <w:rsid w:val="0040154D"/>
    <w:rsid w:val="00404747"/>
    <w:rsid w:val="004047F8"/>
    <w:rsid w:val="00404924"/>
    <w:rsid w:val="00404FF8"/>
    <w:rsid w:val="0040799A"/>
    <w:rsid w:val="0041006C"/>
    <w:rsid w:val="00410D92"/>
    <w:rsid w:val="00411C41"/>
    <w:rsid w:val="004157DD"/>
    <w:rsid w:val="00415899"/>
    <w:rsid w:val="0041711E"/>
    <w:rsid w:val="00420FC9"/>
    <w:rsid w:val="00421875"/>
    <w:rsid w:val="00421FE4"/>
    <w:rsid w:val="00422860"/>
    <w:rsid w:val="00425990"/>
    <w:rsid w:val="00425B08"/>
    <w:rsid w:val="00426AE1"/>
    <w:rsid w:val="0042774A"/>
    <w:rsid w:val="00434D3D"/>
    <w:rsid w:val="00436C86"/>
    <w:rsid w:val="00442474"/>
    <w:rsid w:val="0044361E"/>
    <w:rsid w:val="00443757"/>
    <w:rsid w:val="00446B28"/>
    <w:rsid w:val="00450152"/>
    <w:rsid w:val="0045181E"/>
    <w:rsid w:val="004523F5"/>
    <w:rsid w:val="00452BD6"/>
    <w:rsid w:val="00454511"/>
    <w:rsid w:val="004557DB"/>
    <w:rsid w:val="004558F5"/>
    <w:rsid w:val="0045590E"/>
    <w:rsid w:val="00462A3C"/>
    <w:rsid w:val="00462D63"/>
    <w:rsid w:val="00466D5A"/>
    <w:rsid w:val="00470306"/>
    <w:rsid w:val="00475385"/>
    <w:rsid w:val="0047562B"/>
    <w:rsid w:val="00475E68"/>
    <w:rsid w:val="00477BF3"/>
    <w:rsid w:val="0048396B"/>
    <w:rsid w:val="00485174"/>
    <w:rsid w:val="00486AAC"/>
    <w:rsid w:val="00486EC6"/>
    <w:rsid w:val="00487CDA"/>
    <w:rsid w:val="004915E3"/>
    <w:rsid w:val="00491AED"/>
    <w:rsid w:val="00495B37"/>
    <w:rsid w:val="004978F0"/>
    <w:rsid w:val="004A0052"/>
    <w:rsid w:val="004A0D6D"/>
    <w:rsid w:val="004A2306"/>
    <w:rsid w:val="004A263F"/>
    <w:rsid w:val="004A55C3"/>
    <w:rsid w:val="004A5BBC"/>
    <w:rsid w:val="004B1497"/>
    <w:rsid w:val="004B159F"/>
    <w:rsid w:val="004B2831"/>
    <w:rsid w:val="004B66A1"/>
    <w:rsid w:val="004B6CA6"/>
    <w:rsid w:val="004B7FE0"/>
    <w:rsid w:val="004C1FC5"/>
    <w:rsid w:val="004C2A6E"/>
    <w:rsid w:val="004C2FEB"/>
    <w:rsid w:val="004D009E"/>
    <w:rsid w:val="004D32AF"/>
    <w:rsid w:val="004D3D52"/>
    <w:rsid w:val="004D5A6E"/>
    <w:rsid w:val="004E0174"/>
    <w:rsid w:val="004E0781"/>
    <w:rsid w:val="004E191A"/>
    <w:rsid w:val="004E257E"/>
    <w:rsid w:val="004E576D"/>
    <w:rsid w:val="004F22B4"/>
    <w:rsid w:val="004F234A"/>
    <w:rsid w:val="004F2721"/>
    <w:rsid w:val="004F2BA7"/>
    <w:rsid w:val="00500E9B"/>
    <w:rsid w:val="005016D9"/>
    <w:rsid w:val="0050253D"/>
    <w:rsid w:val="00502629"/>
    <w:rsid w:val="00503149"/>
    <w:rsid w:val="00506833"/>
    <w:rsid w:val="005102E2"/>
    <w:rsid w:val="00512C2F"/>
    <w:rsid w:val="00513CBD"/>
    <w:rsid w:val="00515415"/>
    <w:rsid w:val="00522FA5"/>
    <w:rsid w:val="00525E4A"/>
    <w:rsid w:val="005262AC"/>
    <w:rsid w:val="00526C0A"/>
    <w:rsid w:val="005310E4"/>
    <w:rsid w:val="005316F9"/>
    <w:rsid w:val="0053343F"/>
    <w:rsid w:val="00533F51"/>
    <w:rsid w:val="00536251"/>
    <w:rsid w:val="0053716F"/>
    <w:rsid w:val="005375CE"/>
    <w:rsid w:val="005378DE"/>
    <w:rsid w:val="00537C42"/>
    <w:rsid w:val="00541107"/>
    <w:rsid w:val="00541231"/>
    <w:rsid w:val="00546C36"/>
    <w:rsid w:val="0055311C"/>
    <w:rsid w:val="005573FF"/>
    <w:rsid w:val="00560807"/>
    <w:rsid w:val="00563153"/>
    <w:rsid w:val="005645D3"/>
    <w:rsid w:val="005663BA"/>
    <w:rsid w:val="00566CBB"/>
    <w:rsid w:val="00572817"/>
    <w:rsid w:val="005829DE"/>
    <w:rsid w:val="00582A3A"/>
    <w:rsid w:val="00583A49"/>
    <w:rsid w:val="00586DA9"/>
    <w:rsid w:val="00587496"/>
    <w:rsid w:val="005943B0"/>
    <w:rsid w:val="005963E8"/>
    <w:rsid w:val="005A18A4"/>
    <w:rsid w:val="005A19DA"/>
    <w:rsid w:val="005A4766"/>
    <w:rsid w:val="005A6846"/>
    <w:rsid w:val="005A7181"/>
    <w:rsid w:val="005B1105"/>
    <w:rsid w:val="005B1829"/>
    <w:rsid w:val="005B435B"/>
    <w:rsid w:val="005B5D00"/>
    <w:rsid w:val="005C00AC"/>
    <w:rsid w:val="005C13B8"/>
    <w:rsid w:val="005C2350"/>
    <w:rsid w:val="005C317F"/>
    <w:rsid w:val="005C4345"/>
    <w:rsid w:val="005C466D"/>
    <w:rsid w:val="005C789B"/>
    <w:rsid w:val="005D2F52"/>
    <w:rsid w:val="005D4E6B"/>
    <w:rsid w:val="005D6BEE"/>
    <w:rsid w:val="005E117E"/>
    <w:rsid w:val="005E12B4"/>
    <w:rsid w:val="005E7B12"/>
    <w:rsid w:val="005E7BCC"/>
    <w:rsid w:val="005F230B"/>
    <w:rsid w:val="005F5262"/>
    <w:rsid w:val="005F65A7"/>
    <w:rsid w:val="00600DF2"/>
    <w:rsid w:val="00601283"/>
    <w:rsid w:val="006016E0"/>
    <w:rsid w:val="00601AD6"/>
    <w:rsid w:val="0060469C"/>
    <w:rsid w:val="00606612"/>
    <w:rsid w:val="006069DE"/>
    <w:rsid w:val="00616EC6"/>
    <w:rsid w:val="006213A3"/>
    <w:rsid w:val="00622C37"/>
    <w:rsid w:val="00627401"/>
    <w:rsid w:val="00633632"/>
    <w:rsid w:val="006341BD"/>
    <w:rsid w:val="006347BE"/>
    <w:rsid w:val="00636C1F"/>
    <w:rsid w:val="00641FD5"/>
    <w:rsid w:val="0064263E"/>
    <w:rsid w:val="0064330C"/>
    <w:rsid w:val="006452D5"/>
    <w:rsid w:val="006456C7"/>
    <w:rsid w:val="0064797D"/>
    <w:rsid w:val="00653993"/>
    <w:rsid w:val="00653FC4"/>
    <w:rsid w:val="00655645"/>
    <w:rsid w:val="006558D7"/>
    <w:rsid w:val="00655CB3"/>
    <w:rsid w:val="00656487"/>
    <w:rsid w:val="00662357"/>
    <w:rsid w:val="00664D6E"/>
    <w:rsid w:val="006661A4"/>
    <w:rsid w:val="0066764A"/>
    <w:rsid w:val="006676CE"/>
    <w:rsid w:val="00673285"/>
    <w:rsid w:val="006742E9"/>
    <w:rsid w:val="00674857"/>
    <w:rsid w:val="006752A0"/>
    <w:rsid w:val="00675735"/>
    <w:rsid w:val="00675E52"/>
    <w:rsid w:val="006800A2"/>
    <w:rsid w:val="00680CC4"/>
    <w:rsid w:val="00680EEC"/>
    <w:rsid w:val="0068128E"/>
    <w:rsid w:val="00682230"/>
    <w:rsid w:val="00683021"/>
    <w:rsid w:val="006830A1"/>
    <w:rsid w:val="0068367F"/>
    <w:rsid w:val="00683DDF"/>
    <w:rsid w:val="00684ABC"/>
    <w:rsid w:val="00687999"/>
    <w:rsid w:val="00692295"/>
    <w:rsid w:val="006931D7"/>
    <w:rsid w:val="00696EEA"/>
    <w:rsid w:val="00697647"/>
    <w:rsid w:val="006A0741"/>
    <w:rsid w:val="006A0B45"/>
    <w:rsid w:val="006A3B56"/>
    <w:rsid w:val="006A3DC1"/>
    <w:rsid w:val="006A5644"/>
    <w:rsid w:val="006A71EB"/>
    <w:rsid w:val="006B2265"/>
    <w:rsid w:val="006B4021"/>
    <w:rsid w:val="006B6054"/>
    <w:rsid w:val="006C1973"/>
    <w:rsid w:val="006C32BC"/>
    <w:rsid w:val="006C4663"/>
    <w:rsid w:val="006C4D2A"/>
    <w:rsid w:val="006C7755"/>
    <w:rsid w:val="006D3608"/>
    <w:rsid w:val="006D3828"/>
    <w:rsid w:val="006D7125"/>
    <w:rsid w:val="006E016E"/>
    <w:rsid w:val="006E1550"/>
    <w:rsid w:val="006E2574"/>
    <w:rsid w:val="006E2F2B"/>
    <w:rsid w:val="006E6808"/>
    <w:rsid w:val="006F1A60"/>
    <w:rsid w:val="006F5F05"/>
    <w:rsid w:val="006F7B0F"/>
    <w:rsid w:val="00701E8B"/>
    <w:rsid w:val="00705A0B"/>
    <w:rsid w:val="007070E3"/>
    <w:rsid w:val="007101F0"/>
    <w:rsid w:val="00712F4F"/>
    <w:rsid w:val="00717D8B"/>
    <w:rsid w:val="0072680A"/>
    <w:rsid w:val="00726CCC"/>
    <w:rsid w:val="00727554"/>
    <w:rsid w:val="00730019"/>
    <w:rsid w:val="00730AB1"/>
    <w:rsid w:val="0073144B"/>
    <w:rsid w:val="00731E6E"/>
    <w:rsid w:val="007329A7"/>
    <w:rsid w:val="00733B6B"/>
    <w:rsid w:val="00735BA5"/>
    <w:rsid w:val="00740DB5"/>
    <w:rsid w:val="00742F59"/>
    <w:rsid w:val="007440E6"/>
    <w:rsid w:val="007445DB"/>
    <w:rsid w:val="00746150"/>
    <w:rsid w:val="00750D5B"/>
    <w:rsid w:val="007570BB"/>
    <w:rsid w:val="00757139"/>
    <w:rsid w:val="007613AA"/>
    <w:rsid w:val="007615A8"/>
    <w:rsid w:val="007619F1"/>
    <w:rsid w:val="00761E7F"/>
    <w:rsid w:val="007629D1"/>
    <w:rsid w:val="007641FC"/>
    <w:rsid w:val="00765EEB"/>
    <w:rsid w:val="00771887"/>
    <w:rsid w:val="00774830"/>
    <w:rsid w:val="0077586D"/>
    <w:rsid w:val="00781E90"/>
    <w:rsid w:val="007843B7"/>
    <w:rsid w:val="007849C7"/>
    <w:rsid w:val="0078590A"/>
    <w:rsid w:val="007859FF"/>
    <w:rsid w:val="00790422"/>
    <w:rsid w:val="0079150F"/>
    <w:rsid w:val="0079163F"/>
    <w:rsid w:val="00793F0B"/>
    <w:rsid w:val="007953B5"/>
    <w:rsid w:val="007977A7"/>
    <w:rsid w:val="007A00B5"/>
    <w:rsid w:val="007A09E7"/>
    <w:rsid w:val="007A1958"/>
    <w:rsid w:val="007A1D16"/>
    <w:rsid w:val="007A4D8F"/>
    <w:rsid w:val="007B08DC"/>
    <w:rsid w:val="007B12C5"/>
    <w:rsid w:val="007B198C"/>
    <w:rsid w:val="007B3332"/>
    <w:rsid w:val="007B346A"/>
    <w:rsid w:val="007B6CDF"/>
    <w:rsid w:val="007C051C"/>
    <w:rsid w:val="007C1EAE"/>
    <w:rsid w:val="007C7FA8"/>
    <w:rsid w:val="007D0DB6"/>
    <w:rsid w:val="007D5328"/>
    <w:rsid w:val="007E0353"/>
    <w:rsid w:val="007E0FF7"/>
    <w:rsid w:val="007E6851"/>
    <w:rsid w:val="007E7604"/>
    <w:rsid w:val="007E798C"/>
    <w:rsid w:val="007F13DC"/>
    <w:rsid w:val="007F396F"/>
    <w:rsid w:val="007F3ED7"/>
    <w:rsid w:val="007F4318"/>
    <w:rsid w:val="007F4B37"/>
    <w:rsid w:val="00800A7E"/>
    <w:rsid w:val="00801B63"/>
    <w:rsid w:val="00805E84"/>
    <w:rsid w:val="00806A0C"/>
    <w:rsid w:val="00810596"/>
    <w:rsid w:val="00812EF9"/>
    <w:rsid w:val="00813DCB"/>
    <w:rsid w:val="00814828"/>
    <w:rsid w:val="00815DF8"/>
    <w:rsid w:val="008179D0"/>
    <w:rsid w:val="008214A4"/>
    <w:rsid w:val="00822952"/>
    <w:rsid w:val="00823323"/>
    <w:rsid w:val="00823F06"/>
    <w:rsid w:val="00825E3B"/>
    <w:rsid w:val="00830EE4"/>
    <w:rsid w:val="00831DEF"/>
    <w:rsid w:val="0083206E"/>
    <w:rsid w:val="00835631"/>
    <w:rsid w:val="008356FF"/>
    <w:rsid w:val="00835C4B"/>
    <w:rsid w:val="00836907"/>
    <w:rsid w:val="00841A10"/>
    <w:rsid w:val="0084235F"/>
    <w:rsid w:val="0084441C"/>
    <w:rsid w:val="00847436"/>
    <w:rsid w:val="00850495"/>
    <w:rsid w:val="00850EC5"/>
    <w:rsid w:val="00851796"/>
    <w:rsid w:val="00852259"/>
    <w:rsid w:val="00852511"/>
    <w:rsid w:val="00852CCF"/>
    <w:rsid w:val="00860FA0"/>
    <w:rsid w:val="0086213D"/>
    <w:rsid w:val="00867A5C"/>
    <w:rsid w:val="00872CE0"/>
    <w:rsid w:val="00873265"/>
    <w:rsid w:val="0087638F"/>
    <w:rsid w:val="008805E7"/>
    <w:rsid w:val="00885CBF"/>
    <w:rsid w:val="00887F44"/>
    <w:rsid w:val="008922A1"/>
    <w:rsid w:val="00895467"/>
    <w:rsid w:val="0089637F"/>
    <w:rsid w:val="008A0540"/>
    <w:rsid w:val="008A056B"/>
    <w:rsid w:val="008A0CEB"/>
    <w:rsid w:val="008A1349"/>
    <w:rsid w:val="008A6DB1"/>
    <w:rsid w:val="008B255D"/>
    <w:rsid w:val="008B2DD5"/>
    <w:rsid w:val="008B7076"/>
    <w:rsid w:val="008B77BC"/>
    <w:rsid w:val="008C0166"/>
    <w:rsid w:val="008C0317"/>
    <w:rsid w:val="008C4238"/>
    <w:rsid w:val="008C54D0"/>
    <w:rsid w:val="008C57FA"/>
    <w:rsid w:val="008C5917"/>
    <w:rsid w:val="008C7ECA"/>
    <w:rsid w:val="008D2B71"/>
    <w:rsid w:val="008D2FB6"/>
    <w:rsid w:val="008D4BC1"/>
    <w:rsid w:val="008D5D99"/>
    <w:rsid w:val="008D62C4"/>
    <w:rsid w:val="008D6F10"/>
    <w:rsid w:val="008D72F8"/>
    <w:rsid w:val="008E0401"/>
    <w:rsid w:val="008E05FF"/>
    <w:rsid w:val="008E19F1"/>
    <w:rsid w:val="008E1C57"/>
    <w:rsid w:val="008E3775"/>
    <w:rsid w:val="008E4A4A"/>
    <w:rsid w:val="008E50F9"/>
    <w:rsid w:val="008E7E0B"/>
    <w:rsid w:val="008F0944"/>
    <w:rsid w:val="008F0CB3"/>
    <w:rsid w:val="008F51B6"/>
    <w:rsid w:val="008F6B0B"/>
    <w:rsid w:val="008F7FC7"/>
    <w:rsid w:val="00903862"/>
    <w:rsid w:val="00904097"/>
    <w:rsid w:val="009060B1"/>
    <w:rsid w:val="00906A06"/>
    <w:rsid w:val="00906CF9"/>
    <w:rsid w:val="00907D95"/>
    <w:rsid w:val="009111F7"/>
    <w:rsid w:val="00917A39"/>
    <w:rsid w:val="0092098F"/>
    <w:rsid w:val="00920E34"/>
    <w:rsid w:val="00923C4C"/>
    <w:rsid w:val="0092759C"/>
    <w:rsid w:val="00927881"/>
    <w:rsid w:val="00932194"/>
    <w:rsid w:val="00932299"/>
    <w:rsid w:val="009431CE"/>
    <w:rsid w:val="009434F5"/>
    <w:rsid w:val="00952A37"/>
    <w:rsid w:val="0095360A"/>
    <w:rsid w:val="009548FE"/>
    <w:rsid w:val="00955FF1"/>
    <w:rsid w:val="0096361A"/>
    <w:rsid w:val="00964EE0"/>
    <w:rsid w:val="00965D3C"/>
    <w:rsid w:val="009704E8"/>
    <w:rsid w:val="00973743"/>
    <w:rsid w:val="009778EF"/>
    <w:rsid w:val="00977EA2"/>
    <w:rsid w:val="009815D1"/>
    <w:rsid w:val="009847F2"/>
    <w:rsid w:val="00986FC8"/>
    <w:rsid w:val="009903A3"/>
    <w:rsid w:val="00991D3F"/>
    <w:rsid w:val="0099205D"/>
    <w:rsid w:val="009925D3"/>
    <w:rsid w:val="009931BD"/>
    <w:rsid w:val="0099391B"/>
    <w:rsid w:val="00993E75"/>
    <w:rsid w:val="00995543"/>
    <w:rsid w:val="009961AF"/>
    <w:rsid w:val="00997ED7"/>
    <w:rsid w:val="009A19B4"/>
    <w:rsid w:val="009A2F0C"/>
    <w:rsid w:val="009A559F"/>
    <w:rsid w:val="009A56AB"/>
    <w:rsid w:val="009B01ED"/>
    <w:rsid w:val="009B25D5"/>
    <w:rsid w:val="009B7144"/>
    <w:rsid w:val="009C3340"/>
    <w:rsid w:val="009C33FD"/>
    <w:rsid w:val="009C44B4"/>
    <w:rsid w:val="009C6566"/>
    <w:rsid w:val="009C6636"/>
    <w:rsid w:val="009D3468"/>
    <w:rsid w:val="009D3B7C"/>
    <w:rsid w:val="009E61DB"/>
    <w:rsid w:val="009E6755"/>
    <w:rsid w:val="009E7274"/>
    <w:rsid w:val="009F3F85"/>
    <w:rsid w:val="00A035CA"/>
    <w:rsid w:val="00A05776"/>
    <w:rsid w:val="00A16E9C"/>
    <w:rsid w:val="00A216BD"/>
    <w:rsid w:val="00A2600F"/>
    <w:rsid w:val="00A331D1"/>
    <w:rsid w:val="00A33341"/>
    <w:rsid w:val="00A336ED"/>
    <w:rsid w:val="00A338C7"/>
    <w:rsid w:val="00A33DAC"/>
    <w:rsid w:val="00A3470D"/>
    <w:rsid w:val="00A348D5"/>
    <w:rsid w:val="00A360CB"/>
    <w:rsid w:val="00A36250"/>
    <w:rsid w:val="00A36EAF"/>
    <w:rsid w:val="00A376AF"/>
    <w:rsid w:val="00A42D9F"/>
    <w:rsid w:val="00A43B02"/>
    <w:rsid w:val="00A43BFA"/>
    <w:rsid w:val="00A50283"/>
    <w:rsid w:val="00A51E87"/>
    <w:rsid w:val="00A52466"/>
    <w:rsid w:val="00A52485"/>
    <w:rsid w:val="00A52858"/>
    <w:rsid w:val="00A56894"/>
    <w:rsid w:val="00A66F28"/>
    <w:rsid w:val="00A70CFF"/>
    <w:rsid w:val="00A724F9"/>
    <w:rsid w:val="00A7449F"/>
    <w:rsid w:val="00A84CC4"/>
    <w:rsid w:val="00A85534"/>
    <w:rsid w:val="00A85AFE"/>
    <w:rsid w:val="00A87965"/>
    <w:rsid w:val="00A91249"/>
    <w:rsid w:val="00A926AD"/>
    <w:rsid w:val="00A93FB2"/>
    <w:rsid w:val="00A96FAC"/>
    <w:rsid w:val="00A97379"/>
    <w:rsid w:val="00AA135C"/>
    <w:rsid w:val="00AA178F"/>
    <w:rsid w:val="00AA19BE"/>
    <w:rsid w:val="00AA29D5"/>
    <w:rsid w:val="00AA3559"/>
    <w:rsid w:val="00AA3A39"/>
    <w:rsid w:val="00AA3DB5"/>
    <w:rsid w:val="00AA3EA9"/>
    <w:rsid w:val="00AA5FAE"/>
    <w:rsid w:val="00AB3539"/>
    <w:rsid w:val="00AB4705"/>
    <w:rsid w:val="00AB5320"/>
    <w:rsid w:val="00AB6574"/>
    <w:rsid w:val="00AB65A4"/>
    <w:rsid w:val="00AB6BE9"/>
    <w:rsid w:val="00AC0D4B"/>
    <w:rsid w:val="00AC34CB"/>
    <w:rsid w:val="00AC686A"/>
    <w:rsid w:val="00AC6BF3"/>
    <w:rsid w:val="00AC76E8"/>
    <w:rsid w:val="00AC7E13"/>
    <w:rsid w:val="00AD0043"/>
    <w:rsid w:val="00AD76F4"/>
    <w:rsid w:val="00AE317A"/>
    <w:rsid w:val="00AE3756"/>
    <w:rsid w:val="00AE5807"/>
    <w:rsid w:val="00AE6D6B"/>
    <w:rsid w:val="00AF0EB0"/>
    <w:rsid w:val="00AF34DE"/>
    <w:rsid w:val="00AF4FAB"/>
    <w:rsid w:val="00AF54C3"/>
    <w:rsid w:val="00B01DC4"/>
    <w:rsid w:val="00B02390"/>
    <w:rsid w:val="00B033F1"/>
    <w:rsid w:val="00B03427"/>
    <w:rsid w:val="00B07CB7"/>
    <w:rsid w:val="00B10447"/>
    <w:rsid w:val="00B1131B"/>
    <w:rsid w:val="00B15773"/>
    <w:rsid w:val="00B15C2A"/>
    <w:rsid w:val="00B20D2D"/>
    <w:rsid w:val="00B20DE3"/>
    <w:rsid w:val="00B22925"/>
    <w:rsid w:val="00B242BF"/>
    <w:rsid w:val="00B31094"/>
    <w:rsid w:val="00B313B3"/>
    <w:rsid w:val="00B32216"/>
    <w:rsid w:val="00B332F8"/>
    <w:rsid w:val="00B40E48"/>
    <w:rsid w:val="00B44B63"/>
    <w:rsid w:val="00B46AE5"/>
    <w:rsid w:val="00B47211"/>
    <w:rsid w:val="00B477F3"/>
    <w:rsid w:val="00B479A2"/>
    <w:rsid w:val="00B47EE6"/>
    <w:rsid w:val="00B50125"/>
    <w:rsid w:val="00B52319"/>
    <w:rsid w:val="00B54C95"/>
    <w:rsid w:val="00B57186"/>
    <w:rsid w:val="00B61D5E"/>
    <w:rsid w:val="00B6252D"/>
    <w:rsid w:val="00B66F07"/>
    <w:rsid w:val="00B70F19"/>
    <w:rsid w:val="00B731B8"/>
    <w:rsid w:val="00B7368D"/>
    <w:rsid w:val="00B73EC9"/>
    <w:rsid w:val="00B744BA"/>
    <w:rsid w:val="00B74E30"/>
    <w:rsid w:val="00B82429"/>
    <w:rsid w:val="00B82C14"/>
    <w:rsid w:val="00B8350B"/>
    <w:rsid w:val="00B83766"/>
    <w:rsid w:val="00B83E7A"/>
    <w:rsid w:val="00B862E4"/>
    <w:rsid w:val="00B86553"/>
    <w:rsid w:val="00B86683"/>
    <w:rsid w:val="00B9347F"/>
    <w:rsid w:val="00B94DDB"/>
    <w:rsid w:val="00B95CBD"/>
    <w:rsid w:val="00B95DA3"/>
    <w:rsid w:val="00B964E1"/>
    <w:rsid w:val="00BA0493"/>
    <w:rsid w:val="00BA2364"/>
    <w:rsid w:val="00BA23A2"/>
    <w:rsid w:val="00BA33A9"/>
    <w:rsid w:val="00BA4C26"/>
    <w:rsid w:val="00BB5658"/>
    <w:rsid w:val="00BB70A1"/>
    <w:rsid w:val="00BB7BDB"/>
    <w:rsid w:val="00BB7EE0"/>
    <w:rsid w:val="00BC1F99"/>
    <w:rsid w:val="00BC2B9C"/>
    <w:rsid w:val="00BC2C36"/>
    <w:rsid w:val="00BC44E4"/>
    <w:rsid w:val="00BC4871"/>
    <w:rsid w:val="00BC48BE"/>
    <w:rsid w:val="00BC4D5D"/>
    <w:rsid w:val="00BC4F21"/>
    <w:rsid w:val="00BC7CD5"/>
    <w:rsid w:val="00BD25B6"/>
    <w:rsid w:val="00BD46CA"/>
    <w:rsid w:val="00BD4CD2"/>
    <w:rsid w:val="00BD4F18"/>
    <w:rsid w:val="00BD5761"/>
    <w:rsid w:val="00BD6D76"/>
    <w:rsid w:val="00BE1046"/>
    <w:rsid w:val="00BE1321"/>
    <w:rsid w:val="00BE200A"/>
    <w:rsid w:val="00BE3AEC"/>
    <w:rsid w:val="00BF312A"/>
    <w:rsid w:val="00BF4212"/>
    <w:rsid w:val="00BF7BAE"/>
    <w:rsid w:val="00C0011C"/>
    <w:rsid w:val="00C02AE8"/>
    <w:rsid w:val="00C11DF3"/>
    <w:rsid w:val="00C11EC1"/>
    <w:rsid w:val="00C15757"/>
    <w:rsid w:val="00C165A1"/>
    <w:rsid w:val="00C22FB5"/>
    <w:rsid w:val="00C230BD"/>
    <w:rsid w:val="00C23C59"/>
    <w:rsid w:val="00C3192A"/>
    <w:rsid w:val="00C33173"/>
    <w:rsid w:val="00C33FB1"/>
    <w:rsid w:val="00C35F43"/>
    <w:rsid w:val="00C423BA"/>
    <w:rsid w:val="00C45ACD"/>
    <w:rsid w:val="00C50D1D"/>
    <w:rsid w:val="00C52853"/>
    <w:rsid w:val="00C53C69"/>
    <w:rsid w:val="00C54522"/>
    <w:rsid w:val="00C558E6"/>
    <w:rsid w:val="00C56A16"/>
    <w:rsid w:val="00C56F90"/>
    <w:rsid w:val="00C57CD6"/>
    <w:rsid w:val="00C62071"/>
    <w:rsid w:val="00C62A1C"/>
    <w:rsid w:val="00C645D3"/>
    <w:rsid w:val="00C700A6"/>
    <w:rsid w:val="00C701B9"/>
    <w:rsid w:val="00C71166"/>
    <w:rsid w:val="00C71788"/>
    <w:rsid w:val="00C73A35"/>
    <w:rsid w:val="00C74BE1"/>
    <w:rsid w:val="00C751FB"/>
    <w:rsid w:val="00C778A3"/>
    <w:rsid w:val="00C7796A"/>
    <w:rsid w:val="00C815BF"/>
    <w:rsid w:val="00C826B3"/>
    <w:rsid w:val="00C934D1"/>
    <w:rsid w:val="00C95622"/>
    <w:rsid w:val="00C96695"/>
    <w:rsid w:val="00C97E72"/>
    <w:rsid w:val="00CA1E5E"/>
    <w:rsid w:val="00CA35F2"/>
    <w:rsid w:val="00CA4768"/>
    <w:rsid w:val="00CB1B17"/>
    <w:rsid w:val="00CB67EF"/>
    <w:rsid w:val="00CB732D"/>
    <w:rsid w:val="00CC658E"/>
    <w:rsid w:val="00CC686C"/>
    <w:rsid w:val="00CC738B"/>
    <w:rsid w:val="00CD07B0"/>
    <w:rsid w:val="00CD0F11"/>
    <w:rsid w:val="00CD3D3E"/>
    <w:rsid w:val="00CD49C3"/>
    <w:rsid w:val="00CD5E38"/>
    <w:rsid w:val="00CE6621"/>
    <w:rsid w:val="00CE69EB"/>
    <w:rsid w:val="00CE6A29"/>
    <w:rsid w:val="00CE6FA6"/>
    <w:rsid w:val="00CE7EBD"/>
    <w:rsid w:val="00CF5500"/>
    <w:rsid w:val="00CF7D09"/>
    <w:rsid w:val="00D00074"/>
    <w:rsid w:val="00D004DE"/>
    <w:rsid w:val="00D05050"/>
    <w:rsid w:val="00D054B6"/>
    <w:rsid w:val="00D06AE0"/>
    <w:rsid w:val="00D165A3"/>
    <w:rsid w:val="00D175BD"/>
    <w:rsid w:val="00D175E6"/>
    <w:rsid w:val="00D23195"/>
    <w:rsid w:val="00D2387A"/>
    <w:rsid w:val="00D2477F"/>
    <w:rsid w:val="00D26177"/>
    <w:rsid w:val="00D30783"/>
    <w:rsid w:val="00D30DCE"/>
    <w:rsid w:val="00D3134E"/>
    <w:rsid w:val="00D32E09"/>
    <w:rsid w:val="00D33903"/>
    <w:rsid w:val="00D33981"/>
    <w:rsid w:val="00D3724C"/>
    <w:rsid w:val="00D40B9B"/>
    <w:rsid w:val="00D40ED4"/>
    <w:rsid w:val="00D41C19"/>
    <w:rsid w:val="00D4222E"/>
    <w:rsid w:val="00D46AD2"/>
    <w:rsid w:val="00D47A2B"/>
    <w:rsid w:val="00D50A6B"/>
    <w:rsid w:val="00D52469"/>
    <w:rsid w:val="00D5467F"/>
    <w:rsid w:val="00D5598F"/>
    <w:rsid w:val="00D56691"/>
    <w:rsid w:val="00D61D7B"/>
    <w:rsid w:val="00D62543"/>
    <w:rsid w:val="00D629C4"/>
    <w:rsid w:val="00D649E5"/>
    <w:rsid w:val="00D70362"/>
    <w:rsid w:val="00D7187D"/>
    <w:rsid w:val="00D72A76"/>
    <w:rsid w:val="00D75720"/>
    <w:rsid w:val="00D771DD"/>
    <w:rsid w:val="00D805F6"/>
    <w:rsid w:val="00D81485"/>
    <w:rsid w:val="00D83251"/>
    <w:rsid w:val="00D8326A"/>
    <w:rsid w:val="00D852F9"/>
    <w:rsid w:val="00D868BD"/>
    <w:rsid w:val="00D93E8A"/>
    <w:rsid w:val="00D9538D"/>
    <w:rsid w:val="00D95EF5"/>
    <w:rsid w:val="00D96D4D"/>
    <w:rsid w:val="00D97966"/>
    <w:rsid w:val="00DA255D"/>
    <w:rsid w:val="00DA4157"/>
    <w:rsid w:val="00DA454A"/>
    <w:rsid w:val="00DA46EA"/>
    <w:rsid w:val="00DA473D"/>
    <w:rsid w:val="00DA5311"/>
    <w:rsid w:val="00DA5EE0"/>
    <w:rsid w:val="00DA6696"/>
    <w:rsid w:val="00DB142F"/>
    <w:rsid w:val="00DB1DD6"/>
    <w:rsid w:val="00DB2FE8"/>
    <w:rsid w:val="00DB361F"/>
    <w:rsid w:val="00DB4665"/>
    <w:rsid w:val="00DB54D4"/>
    <w:rsid w:val="00DB5600"/>
    <w:rsid w:val="00DB7DF8"/>
    <w:rsid w:val="00DC07D5"/>
    <w:rsid w:val="00DC16CA"/>
    <w:rsid w:val="00DC1FE7"/>
    <w:rsid w:val="00DC37D1"/>
    <w:rsid w:val="00DC458E"/>
    <w:rsid w:val="00DC663A"/>
    <w:rsid w:val="00DD0496"/>
    <w:rsid w:val="00DD0B06"/>
    <w:rsid w:val="00DD16EF"/>
    <w:rsid w:val="00DD4AE8"/>
    <w:rsid w:val="00DD4FD9"/>
    <w:rsid w:val="00DE4196"/>
    <w:rsid w:val="00DE4404"/>
    <w:rsid w:val="00DE4E0A"/>
    <w:rsid w:val="00DE63D8"/>
    <w:rsid w:val="00DF1F97"/>
    <w:rsid w:val="00DF461B"/>
    <w:rsid w:val="00DF5645"/>
    <w:rsid w:val="00DF785F"/>
    <w:rsid w:val="00E00184"/>
    <w:rsid w:val="00E01B5C"/>
    <w:rsid w:val="00E024BE"/>
    <w:rsid w:val="00E0374D"/>
    <w:rsid w:val="00E03A0F"/>
    <w:rsid w:val="00E0434C"/>
    <w:rsid w:val="00E059BE"/>
    <w:rsid w:val="00E05C58"/>
    <w:rsid w:val="00E070B4"/>
    <w:rsid w:val="00E14B21"/>
    <w:rsid w:val="00E15AE5"/>
    <w:rsid w:val="00E17DCF"/>
    <w:rsid w:val="00E17FA3"/>
    <w:rsid w:val="00E209E7"/>
    <w:rsid w:val="00E2321E"/>
    <w:rsid w:val="00E3013B"/>
    <w:rsid w:val="00E30B66"/>
    <w:rsid w:val="00E34309"/>
    <w:rsid w:val="00E3776E"/>
    <w:rsid w:val="00E37AF0"/>
    <w:rsid w:val="00E44C37"/>
    <w:rsid w:val="00E45E7B"/>
    <w:rsid w:val="00E525AC"/>
    <w:rsid w:val="00E54008"/>
    <w:rsid w:val="00E60B6E"/>
    <w:rsid w:val="00E61E33"/>
    <w:rsid w:val="00E626F9"/>
    <w:rsid w:val="00E65610"/>
    <w:rsid w:val="00E672FA"/>
    <w:rsid w:val="00E713BB"/>
    <w:rsid w:val="00E74456"/>
    <w:rsid w:val="00E77C00"/>
    <w:rsid w:val="00E81582"/>
    <w:rsid w:val="00E84715"/>
    <w:rsid w:val="00E873E0"/>
    <w:rsid w:val="00E87BB9"/>
    <w:rsid w:val="00E901ED"/>
    <w:rsid w:val="00E91361"/>
    <w:rsid w:val="00E93790"/>
    <w:rsid w:val="00E952C0"/>
    <w:rsid w:val="00EA09A7"/>
    <w:rsid w:val="00EA229F"/>
    <w:rsid w:val="00EA5253"/>
    <w:rsid w:val="00EB0239"/>
    <w:rsid w:val="00EB0DCB"/>
    <w:rsid w:val="00EB3F57"/>
    <w:rsid w:val="00EB4CFF"/>
    <w:rsid w:val="00EB5698"/>
    <w:rsid w:val="00EB640D"/>
    <w:rsid w:val="00EC272E"/>
    <w:rsid w:val="00EC53CC"/>
    <w:rsid w:val="00EC6822"/>
    <w:rsid w:val="00EC7CC1"/>
    <w:rsid w:val="00ED3CCE"/>
    <w:rsid w:val="00ED450A"/>
    <w:rsid w:val="00ED51FD"/>
    <w:rsid w:val="00ED6153"/>
    <w:rsid w:val="00ED6679"/>
    <w:rsid w:val="00EE09CD"/>
    <w:rsid w:val="00EE1B5B"/>
    <w:rsid w:val="00EE471E"/>
    <w:rsid w:val="00EE4B26"/>
    <w:rsid w:val="00EE50D3"/>
    <w:rsid w:val="00EE6FB0"/>
    <w:rsid w:val="00EE719A"/>
    <w:rsid w:val="00EF1FD9"/>
    <w:rsid w:val="00EF7700"/>
    <w:rsid w:val="00EF7D65"/>
    <w:rsid w:val="00F001E6"/>
    <w:rsid w:val="00F028F2"/>
    <w:rsid w:val="00F03A90"/>
    <w:rsid w:val="00F03B5D"/>
    <w:rsid w:val="00F06FCC"/>
    <w:rsid w:val="00F07AB9"/>
    <w:rsid w:val="00F11682"/>
    <w:rsid w:val="00F12DE8"/>
    <w:rsid w:val="00F155FF"/>
    <w:rsid w:val="00F15A69"/>
    <w:rsid w:val="00F15DD7"/>
    <w:rsid w:val="00F241B4"/>
    <w:rsid w:val="00F243EE"/>
    <w:rsid w:val="00F27AF2"/>
    <w:rsid w:val="00F30D73"/>
    <w:rsid w:val="00F32D45"/>
    <w:rsid w:val="00F34E5F"/>
    <w:rsid w:val="00F40CE1"/>
    <w:rsid w:val="00F419E7"/>
    <w:rsid w:val="00F44170"/>
    <w:rsid w:val="00F46D86"/>
    <w:rsid w:val="00F476D5"/>
    <w:rsid w:val="00F47900"/>
    <w:rsid w:val="00F5045C"/>
    <w:rsid w:val="00F5092F"/>
    <w:rsid w:val="00F518F4"/>
    <w:rsid w:val="00F52093"/>
    <w:rsid w:val="00F53286"/>
    <w:rsid w:val="00F6182F"/>
    <w:rsid w:val="00F626E3"/>
    <w:rsid w:val="00F62E96"/>
    <w:rsid w:val="00F70218"/>
    <w:rsid w:val="00F71635"/>
    <w:rsid w:val="00F72579"/>
    <w:rsid w:val="00F753A8"/>
    <w:rsid w:val="00F75D74"/>
    <w:rsid w:val="00F76D1C"/>
    <w:rsid w:val="00F7735B"/>
    <w:rsid w:val="00F830A4"/>
    <w:rsid w:val="00F8738A"/>
    <w:rsid w:val="00F923B8"/>
    <w:rsid w:val="00F9324C"/>
    <w:rsid w:val="00FA341C"/>
    <w:rsid w:val="00FA3477"/>
    <w:rsid w:val="00FA422E"/>
    <w:rsid w:val="00FA450B"/>
    <w:rsid w:val="00FA65AC"/>
    <w:rsid w:val="00FA694B"/>
    <w:rsid w:val="00FA72B1"/>
    <w:rsid w:val="00FB1182"/>
    <w:rsid w:val="00FB18AC"/>
    <w:rsid w:val="00FB26B3"/>
    <w:rsid w:val="00FB3516"/>
    <w:rsid w:val="00FB4960"/>
    <w:rsid w:val="00FB501D"/>
    <w:rsid w:val="00FB78CF"/>
    <w:rsid w:val="00FB7965"/>
    <w:rsid w:val="00FC058B"/>
    <w:rsid w:val="00FC059C"/>
    <w:rsid w:val="00FC0D67"/>
    <w:rsid w:val="00FC10F7"/>
    <w:rsid w:val="00FC1F8D"/>
    <w:rsid w:val="00FC21FA"/>
    <w:rsid w:val="00FC2EBF"/>
    <w:rsid w:val="00FC3120"/>
    <w:rsid w:val="00FC6A7B"/>
    <w:rsid w:val="00FC6D42"/>
    <w:rsid w:val="00FD07BB"/>
    <w:rsid w:val="00FD0AA1"/>
    <w:rsid w:val="00FD13BB"/>
    <w:rsid w:val="00FD347D"/>
    <w:rsid w:val="00FD5C43"/>
    <w:rsid w:val="00FD5FA9"/>
    <w:rsid w:val="00FE1AB1"/>
    <w:rsid w:val="00FE21C0"/>
    <w:rsid w:val="00FE2A3E"/>
    <w:rsid w:val="00FE735B"/>
    <w:rsid w:val="00FF19E5"/>
    <w:rsid w:val="00FF2D68"/>
    <w:rsid w:val="00FF4C64"/>
    <w:rsid w:val="00FF7EB1"/>
    <w:rsid w:val="00FF7ECD"/>
    <w:rsid w:val="01422176"/>
    <w:rsid w:val="01B64117"/>
    <w:rsid w:val="01EC35E8"/>
    <w:rsid w:val="02013831"/>
    <w:rsid w:val="024C0DD3"/>
    <w:rsid w:val="02945412"/>
    <w:rsid w:val="02C734C1"/>
    <w:rsid w:val="03B451B2"/>
    <w:rsid w:val="03C16079"/>
    <w:rsid w:val="03DE14E8"/>
    <w:rsid w:val="0448432F"/>
    <w:rsid w:val="045502A5"/>
    <w:rsid w:val="04A722F0"/>
    <w:rsid w:val="04EB2FA7"/>
    <w:rsid w:val="04F25C61"/>
    <w:rsid w:val="05355B4E"/>
    <w:rsid w:val="0537095A"/>
    <w:rsid w:val="05450206"/>
    <w:rsid w:val="0580326D"/>
    <w:rsid w:val="05B64EE1"/>
    <w:rsid w:val="060624DB"/>
    <w:rsid w:val="06143947"/>
    <w:rsid w:val="062F57E4"/>
    <w:rsid w:val="064E29B6"/>
    <w:rsid w:val="068C0C3E"/>
    <w:rsid w:val="07117C41"/>
    <w:rsid w:val="07306DA6"/>
    <w:rsid w:val="075950A4"/>
    <w:rsid w:val="076170CE"/>
    <w:rsid w:val="07DC0503"/>
    <w:rsid w:val="07E04497"/>
    <w:rsid w:val="07E94BA5"/>
    <w:rsid w:val="07F92E63"/>
    <w:rsid w:val="08387E2F"/>
    <w:rsid w:val="085B1CE1"/>
    <w:rsid w:val="087E03CF"/>
    <w:rsid w:val="08A61104"/>
    <w:rsid w:val="08DD1F34"/>
    <w:rsid w:val="091762CC"/>
    <w:rsid w:val="09212671"/>
    <w:rsid w:val="09543D90"/>
    <w:rsid w:val="09577918"/>
    <w:rsid w:val="096855D9"/>
    <w:rsid w:val="09733A0D"/>
    <w:rsid w:val="097F2E41"/>
    <w:rsid w:val="09BD18CD"/>
    <w:rsid w:val="09F47D86"/>
    <w:rsid w:val="0A116B8A"/>
    <w:rsid w:val="0A913826"/>
    <w:rsid w:val="0B1934B2"/>
    <w:rsid w:val="0B230C52"/>
    <w:rsid w:val="0B42008F"/>
    <w:rsid w:val="0B9F1F73"/>
    <w:rsid w:val="0C406CD9"/>
    <w:rsid w:val="0C6C395D"/>
    <w:rsid w:val="0C8379C6"/>
    <w:rsid w:val="0D222E5C"/>
    <w:rsid w:val="0D4D642B"/>
    <w:rsid w:val="0D8B264B"/>
    <w:rsid w:val="0DEE4052"/>
    <w:rsid w:val="0E387F49"/>
    <w:rsid w:val="0E4F5ED2"/>
    <w:rsid w:val="0EA14555"/>
    <w:rsid w:val="0ED40FCC"/>
    <w:rsid w:val="0ED555BE"/>
    <w:rsid w:val="0EDD528C"/>
    <w:rsid w:val="0F465BAB"/>
    <w:rsid w:val="0F6D215D"/>
    <w:rsid w:val="0F713C26"/>
    <w:rsid w:val="0FB32491"/>
    <w:rsid w:val="0FB55705"/>
    <w:rsid w:val="108B1F1B"/>
    <w:rsid w:val="10952F9A"/>
    <w:rsid w:val="10967668"/>
    <w:rsid w:val="111725AC"/>
    <w:rsid w:val="116C6D9B"/>
    <w:rsid w:val="120C4BEE"/>
    <w:rsid w:val="122506DB"/>
    <w:rsid w:val="12AC2DCF"/>
    <w:rsid w:val="136466D9"/>
    <w:rsid w:val="14130894"/>
    <w:rsid w:val="14361C78"/>
    <w:rsid w:val="14643D5A"/>
    <w:rsid w:val="14900FF3"/>
    <w:rsid w:val="14C56CDB"/>
    <w:rsid w:val="150E4BCC"/>
    <w:rsid w:val="151A4155"/>
    <w:rsid w:val="152A0AFF"/>
    <w:rsid w:val="155F6DC9"/>
    <w:rsid w:val="156E1C2F"/>
    <w:rsid w:val="1572564C"/>
    <w:rsid w:val="15BB6228"/>
    <w:rsid w:val="160D31F3"/>
    <w:rsid w:val="160E56A5"/>
    <w:rsid w:val="162E763B"/>
    <w:rsid w:val="168B3820"/>
    <w:rsid w:val="1715758D"/>
    <w:rsid w:val="176E4F69"/>
    <w:rsid w:val="18025D64"/>
    <w:rsid w:val="18CD14F3"/>
    <w:rsid w:val="18D91042"/>
    <w:rsid w:val="190A0615"/>
    <w:rsid w:val="194A11DA"/>
    <w:rsid w:val="195C4084"/>
    <w:rsid w:val="19BF13D8"/>
    <w:rsid w:val="19C77B0E"/>
    <w:rsid w:val="1AA438CD"/>
    <w:rsid w:val="1ABD6B41"/>
    <w:rsid w:val="1AF21037"/>
    <w:rsid w:val="1AFA69D5"/>
    <w:rsid w:val="1B1A1E14"/>
    <w:rsid w:val="1B261D69"/>
    <w:rsid w:val="1B5E7755"/>
    <w:rsid w:val="1BC9588A"/>
    <w:rsid w:val="1BD46128"/>
    <w:rsid w:val="1BEC4CA5"/>
    <w:rsid w:val="1BF27E9D"/>
    <w:rsid w:val="1BFA19C9"/>
    <w:rsid w:val="1CFE11EF"/>
    <w:rsid w:val="1D156539"/>
    <w:rsid w:val="1D1C3424"/>
    <w:rsid w:val="1D7112F0"/>
    <w:rsid w:val="1D9E208B"/>
    <w:rsid w:val="1DED5616"/>
    <w:rsid w:val="1E276AE1"/>
    <w:rsid w:val="1E5E4DE4"/>
    <w:rsid w:val="1F1A2BE9"/>
    <w:rsid w:val="1F592802"/>
    <w:rsid w:val="1F5B574A"/>
    <w:rsid w:val="1F652C5F"/>
    <w:rsid w:val="1FA83694"/>
    <w:rsid w:val="203411F8"/>
    <w:rsid w:val="204343AE"/>
    <w:rsid w:val="20574D60"/>
    <w:rsid w:val="205D2845"/>
    <w:rsid w:val="20B00359"/>
    <w:rsid w:val="217D4DD4"/>
    <w:rsid w:val="219C2D85"/>
    <w:rsid w:val="227319DD"/>
    <w:rsid w:val="22870815"/>
    <w:rsid w:val="230E7CB2"/>
    <w:rsid w:val="239F090A"/>
    <w:rsid w:val="23A3270E"/>
    <w:rsid w:val="23D123AC"/>
    <w:rsid w:val="2492046F"/>
    <w:rsid w:val="25177FFE"/>
    <w:rsid w:val="25A16BBC"/>
    <w:rsid w:val="260943C9"/>
    <w:rsid w:val="260C556F"/>
    <w:rsid w:val="26172C91"/>
    <w:rsid w:val="263C13D7"/>
    <w:rsid w:val="268044A6"/>
    <w:rsid w:val="269379CF"/>
    <w:rsid w:val="26BA4300"/>
    <w:rsid w:val="26BB1EFF"/>
    <w:rsid w:val="26CA3EF0"/>
    <w:rsid w:val="272B3244"/>
    <w:rsid w:val="279D7857"/>
    <w:rsid w:val="28D01566"/>
    <w:rsid w:val="29451DEE"/>
    <w:rsid w:val="29600B3C"/>
    <w:rsid w:val="29792DD6"/>
    <w:rsid w:val="298B76A6"/>
    <w:rsid w:val="29A0362E"/>
    <w:rsid w:val="29D41059"/>
    <w:rsid w:val="2A2C401D"/>
    <w:rsid w:val="2A816F66"/>
    <w:rsid w:val="2ACE2788"/>
    <w:rsid w:val="2B361B54"/>
    <w:rsid w:val="2B577EAE"/>
    <w:rsid w:val="2B9E708F"/>
    <w:rsid w:val="2BAC0068"/>
    <w:rsid w:val="2BD17ACF"/>
    <w:rsid w:val="2BFA3059"/>
    <w:rsid w:val="2C41735F"/>
    <w:rsid w:val="2C5B2BCF"/>
    <w:rsid w:val="2CFA3C18"/>
    <w:rsid w:val="2D0843A5"/>
    <w:rsid w:val="2D393B7E"/>
    <w:rsid w:val="2D6230D5"/>
    <w:rsid w:val="2D695B77"/>
    <w:rsid w:val="2D7D16EA"/>
    <w:rsid w:val="2DA84919"/>
    <w:rsid w:val="2DDC5EC4"/>
    <w:rsid w:val="2DE1681A"/>
    <w:rsid w:val="2DF37A67"/>
    <w:rsid w:val="2E1A5B74"/>
    <w:rsid w:val="2E3A7BAD"/>
    <w:rsid w:val="2E5A0250"/>
    <w:rsid w:val="2E734E6D"/>
    <w:rsid w:val="2F03778B"/>
    <w:rsid w:val="2F4D7D91"/>
    <w:rsid w:val="2F5663D2"/>
    <w:rsid w:val="2F69628E"/>
    <w:rsid w:val="2F996B56"/>
    <w:rsid w:val="2FC6229A"/>
    <w:rsid w:val="308C3842"/>
    <w:rsid w:val="30A91DE9"/>
    <w:rsid w:val="30B003FB"/>
    <w:rsid w:val="30C23E8A"/>
    <w:rsid w:val="30DD0CC4"/>
    <w:rsid w:val="30EB466F"/>
    <w:rsid w:val="30EF2B28"/>
    <w:rsid w:val="30FB16A0"/>
    <w:rsid w:val="311F5BBB"/>
    <w:rsid w:val="31307046"/>
    <w:rsid w:val="328E04C8"/>
    <w:rsid w:val="328E38E7"/>
    <w:rsid w:val="329C36B3"/>
    <w:rsid w:val="32D96661"/>
    <w:rsid w:val="339F04C5"/>
    <w:rsid w:val="33A153FC"/>
    <w:rsid w:val="33CF25C8"/>
    <w:rsid w:val="34464A1D"/>
    <w:rsid w:val="345B6AD0"/>
    <w:rsid w:val="348576A9"/>
    <w:rsid w:val="348A4CBF"/>
    <w:rsid w:val="34DD1293"/>
    <w:rsid w:val="34E17974"/>
    <w:rsid w:val="34E42621"/>
    <w:rsid w:val="362C2FEF"/>
    <w:rsid w:val="36B17988"/>
    <w:rsid w:val="36EC6FCD"/>
    <w:rsid w:val="375A6BCB"/>
    <w:rsid w:val="37A6647E"/>
    <w:rsid w:val="37AD20F5"/>
    <w:rsid w:val="39007C46"/>
    <w:rsid w:val="397E57E5"/>
    <w:rsid w:val="39867AED"/>
    <w:rsid w:val="398873CF"/>
    <w:rsid w:val="3A5B714B"/>
    <w:rsid w:val="3AAF54BB"/>
    <w:rsid w:val="3ACD3B57"/>
    <w:rsid w:val="3BC15750"/>
    <w:rsid w:val="3C1557B6"/>
    <w:rsid w:val="3C1C0485"/>
    <w:rsid w:val="3C3F52C0"/>
    <w:rsid w:val="3CA408E8"/>
    <w:rsid w:val="3CBA5DE8"/>
    <w:rsid w:val="3CC456FE"/>
    <w:rsid w:val="3CDF0917"/>
    <w:rsid w:val="3DE23940"/>
    <w:rsid w:val="3E1C1DB1"/>
    <w:rsid w:val="3E3F6B1A"/>
    <w:rsid w:val="3EF75800"/>
    <w:rsid w:val="3F43263A"/>
    <w:rsid w:val="3F802314"/>
    <w:rsid w:val="3FED184D"/>
    <w:rsid w:val="400F658C"/>
    <w:rsid w:val="403326AF"/>
    <w:rsid w:val="406960D0"/>
    <w:rsid w:val="40787BF5"/>
    <w:rsid w:val="40813C8C"/>
    <w:rsid w:val="41357109"/>
    <w:rsid w:val="416D114A"/>
    <w:rsid w:val="416F5E32"/>
    <w:rsid w:val="420C2038"/>
    <w:rsid w:val="422420A8"/>
    <w:rsid w:val="42B91DBA"/>
    <w:rsid w:val="42DC77AB"/>
    <w:rsid w:val="43075C9C"/>
    <w:rsid w:val="438374A9"/>
    <w:rsid w:val="439C6410"/>
    <w:rsid w:val="43F108B7"/>
    <w:rsid w:val="43F233CE"/>
    <w:rsid w:val="43F3068C"/>
    <w:rsid w:val="43F565F9"/>
    <w:rsid w:val="44260AC8"/>
    <w:rsid w:val="44561A7D"/>
    <w:rsid w:val="446841A8"/>
    <w:rsid w:val="44E73661"/>
    <w:rsid w:val="44FF0DB1"/>
    <w:rsid w:val="455657F9"/>
    <w:rsid w:val="45BB5620"/>
    <w:rsid w:val="45C06792"/>
    <w:rsid w:val="463E05A9"/>
    <w:rsid w:val="466503D8"/>
    <w:rsid w:val="466E4440"/>
    <w:rsid w:val="46840F58"/>
    <w:rsid w:val="46893D5A"/>
    <w:rsid w:val="46E841F3"/>
    <w:rsid w:val="46FA14B6"/>
    <w:rsid w:val="47633879"/>
    <w:rsid w:val="476E524E"/>
    <w:rsid w:val="479E2B03"/>
    <w:rsid w:val="47A65E5C"/>
    <w:rsid w:val="47BC3B1C"/>
    <w:rsid w:val="47C14DA8"/>
    <w:rsid w:val="480A0199"/>
    <w:rsid w:val="486F1ADC"/>
    <w:rsid w:val="48873598"/>
    <w:rsid w:val="48CA1975"/>
    <w:rsid w:val="48CB7E72"/>
    <w:rsid w:val="49163E29"/>
    <w:rsid w:val="492F37BC"/>
    <w:rsid w:val="49891FF1"/>
    <w:rsid w:val="49935F23"/>
    <w:rsid w:val="49C235F2"/>
    <w:rsid w:val="49CA7BE0"/>
    <w:rsid w:val="4A4D17F9"/>
    <w:rsid w:val="4A506A7B"/>
    <w:rsid w:val="4AAD2984"/>
    <w:rsid w:val="4AB10DA0"/>
    <w:rsid w:val="4AB755A1"/>
    <w:rsid w:val="4B112983"/>
    <w:rsid w:val="4B3177B3"/>
    <w:rsid w:val="4BAD652A"/>
    <w:rsid w:val="4BBA1A7C"/>
    <w:rsid w:val="4BC750D6"/>
    <w:rsid w:val="4C700FE3"/>
    <w:rsid w:val="4C994398"/>
    <w:rsid w:val="4D132BB0"/>
    <w:rsid w:val="4D63403C"/>
    <w:rsid w:val="4DFE1055"/>
    <w:rsid w:val="4E0833CC"/>
    <w:rsid w:val="4E121B55"/>
    <w:rsid w:val="4E2535D8"/>
    <w:rsid w:val="4E457088"/>
    <w:rsid w:val="4F0B47DE"/>
    <w:rsid w:val="4F147B4F"/>
    <w:rsid w:val="4F1D7913"/>
    <w:rsid w:val="4F26249D"/>
    <w:rsid w:val="4F432073"/>
    <w:rsid w:val="4F9111A0"/>
    <w:rsid w:val="4FBE653F"/>
    <w:rsid w:val="4FCB2904"/>
    <w:rsid w:val="501047BA"/>
    <w:rsid w:val="504B459B"/>
    <w:rsid w:val="50EF43D0"/>
    <w:rsid w:val="51594A1F"/>
    <w:rsid w:val="515963A1"/>
    <w:rsid w:val="51EC2B9C"/>
    <w:rsid w:val="52374BE8"/>
    <w:rsid w:val="525F31D9"/>
    <w:rsid w:val="529B1558"/>
    <w:rsid w:val="52D675F5"/>
    <w:rsid w:val="53013EB7"/>
    <w:rsid w:val="5352408C"/>
    <w:rsid w:val="53C80F4C"/>
    <w:rsid w:val="53D224B3"/>
    <w:rsid w:val="54B21449"/>
    <w:rsid w:val="54B73456"/>
    <w:rsid w:val="552A00CC"/>
    <w:rsid w:val="552E3353"/>
    <w:rsid w:val="555A4BB6"/>
    <w:rsid w:val="55684751"/>
    <w:rsid w:val="55972E2F"/>
    <w:rsid w:val="55F44190"/>
    <w:rsid w:val="562033FD"/>
    <w:rsid w:val="56757125"/>
    <w:rsid w:val="567E5E79"/>
    <w:rsid w:val="56AF59FF"/>
    <w:rsid w:val="56E17ED1"/>
    <w:rsid w:val="56FA3178"/>
    <w:rsid w:val="57331229"/>
    <w:rsid w:val="57707762"/>
    <w:rsid w:val="577B2762"/>
    <w:rsid w:val="57882E88"/>
    <w:rsid w:val="57CF6D09"/>
    <w:rsid w:val="57D277B4"/>
    <w:rsid w:val="58184C3F"/>
    <w:rsid w:val="583763FA"/>
    <w:rsid w:val="59513E7A"/>
    <w:rsid w:val="595426A2"/>
    <w:rsid w:val="59741916"/>
    <w:rsid w:val="5A007D02"/>
    <w:rsid w:val="5A0270F3"/>
    <w:rsid w:val="5A8A2DB2"/>
    <w:rsid w:val="5A9B1124"/>
    <w:rsid w:val="5AA76D5E"/>
    <w:rsid w:val="5AC9142F"/>
    <w:rsid w:val="5B056FC1"/>
    <w:rsid w:val="5B0B094C"/>
    <w:rsid w:val="5B2B4256"/>
    <w:rsid w:val="5B471EC8"/>
    <w:rsid w:val="5B85499A"/>
    <w:rsid w:val="5B863B83"/>
    <w:rsid w:val="5BA62908"/>
    <w:rsid w:val="5C0E028F"/>
    <w:rsid w:val="5C2F08CC"/>
    <w:rsid w:val="5C425CFC"/>
    <w:rsid w:val="5C641296"/>
    <w:rsid w:val="5C991E80"/>
    <w:rsid w:val="5CCD306E"/>
    <w:rsid w:val="5CEF31C2"/>
    <w:rsid w:val="5D403429"/>
    <w:rsid w:val="5D610CA4"/>
    <w:rsid w:val="5D910AEF"/>
    <w:rsid w:val="5DA87AC5"/>
    <w:rsid w:val="5DC27C6C"/>
    <w:rsid w:val="5DD46363"/>
    <w:rsid w:val="5E1603AA"/>
    <w:rsid w:val="5E2C6C63"/>
    <w:rsid w:val="5EA539DE"/>
    <w:rsid w:val="5F1C2834"/>
    <w:rsid w:val="5F36418B"/>
    <w:rsid w:val="5F84683C"/>
    <w:rsid w:val="5FA40A7B"/>
    <w:rsid w:val="604044B7"/>
    <w:rsid w:val="60903B68"/>
    <w:rsid w:val="60AB2B75"/>
    <w:rsid w:val="60E46705"/>
    <w:rsid w:val="617F3D89"/>
    <w:rsid w:val="619743F4"/>
    <w:rsid w:val="61B74947"/>
    <w:rsid w:val="628250A4"/>
    <w:rsid w:val="62961753"/>
    <w:rsid w:val="62A9366C"/>
    <w:rsid w:val="62AA36D8"/>
    <w:rsid w:val="62BB47C0"/>
    <w:rsid w:val="62D93292"/>
    <w:rsid w:val="62E95123"/>
    <w:rsid w:val="62EB29D9"/>
    <w:rsid w:val="63515B06"/>
    <w:rsid w:val="64195594"/>
    <w:rsid w:val="64205DB3"/>
    <w:rsid w:val="64E919DD"/>
    <w:rsid w:val="65045C09"/>
    <w:rsid w:val="650E0E82"/>
    <w:rsid w:val="656C485C"/>
    <w:rsid w:val="657D42D4"/>
    <w:rsid w:val="66D8213A"/>
    <w:rsid w:val="672901E4"/>
    <w:rsid w:val="67663B5E"/>
    <w:rsid w:val="67722CAB"/>
    <w:rsid w:val="67856DD9"/>
    <w:rsid w:val="67C53FF5"/>
    <w:rsid w:val="67F9207E"/>
    <w:rsid w:val="680C6DAD"/>
    <w:rsid w:val="689364B7"/>
    <w:rsid w:val="68AC32F3"/>
    <w:rsid w:val="68F930C3"/>
    <w:rsid w:val="6A097E59"/>
    <w:rsid w:val="6A3D1DC1"/>
    <w:rsid w:val="6A983935"/>
    <w:rsid w:val="6AA34F65"/>
    <w:rsid w:val="6ABE50E7"/>
    <w:rsid w:val="6AC961EE"/>
    <w:rsid w:val="6AE6019A"/>
    <w:rsid w:val="6C176741"/>
    <w:rsid w:val="6C8955AB"/>
    <w:rsid w:val="6CE572CF"/>
    <w:rsid w:val="6D1E5121"/>
    <w:rsid w:val="6D316434"/>
    <w:rsid w:val="6D460487"/>
    <w:rsid w:val="6D8E6FF3"/>
    <w:rsid w:val="6DA16D85"/>
    <w:rsid w:val="6DF14F62"/>
    <w:rsid w:val="6DF4355B"/>
    <w:rsid w:val="6E223F58"/>
    <w:rsid w:val="6E8757F0"/>
    <w:rsid w:val="6E91666F"/>
    <w:rsid w:val="6E9F0D8B"/>
    <w:rsid w:val="6EA463A2"/>
    <w:rsid w:val="6F08415C"/>
    <w:rsid w:val="6F093B5F"/>
    <w:rsid w:val="6F57709E"/>
    <w:rsid w:val="6F734F9B"/>
    <w:rsid w:val="6F8908EA"/>
    <w:rsid w:val="6FFE7D34"/>
    <w:rsid w:val="700C211E"/>
    <w:rsid w:val="703F7A05"/>
    <w:rsid w:val="70860455"/>
    <w:rsid w:val="708741CD"/>
    <w:rsid w:val="708C5A95"/>
    <w:rsid w:val="70A84867"/>
    <w:rsid w:val="713E0A4C"/>
    <w:rsid w:val="717E2EDA"/>
    <w:rsid w:val="71FE711A"/>
    <w:rsid w:val="7218521C"/>
    <w:rsid w:val="72391DA2"/>
    <w:rsid w:val="724164E1"/>
    <w:rsid w:val="72D16CC0"/>
    <w:rsid w:val="73267CF0"/>
    <w:rsid w:val="73726B40"/>
    <w:rsid w:val="73734827"/>
    <w:rsid w:val="737E3665"/>
    <w:rsid w:val="73CF5C6F"/>
    <w:rsid w:val="743522C5"/>
    <w:rsid w:val="74A77EA7"/>
    <w:rsid w:val="74D00654"/>
    <w:rsid w:val="753A5792"/>
    <w:rsid w:val="753F71C5"/>
    <w:rsid w:val="756305CB"/>
    <w:rsid w:val="756743CC"/>
    <w:rsid w:val="757F74BA"/>
    <w:rsid w:val="759040CD"/>
    <w:rsid w:val="75B650C4"/>
    <w:rsid w:val="76037371"/>
    <w:rsid w:val="761D7A0B"/>
    <w:rsid w:val="76962C4F"/>
    <w:rsid w:val="76AF2545"/>
    <w:rsid w:val="76AF3B36"/>
    <w:rsid w:val="76B4488B"/>
    <w:rsid w:val="76C9106D"/>
    <w:rsid w:val="76E22853"/>
    <w:rsid w:val="76E52575"/>
    <w:rsid w:val="774B6096"/>
    <w:rsid w:val="775D47AF"/>
    <w:rsid w:val="77756B2D"/>
    <w:rsid w:val="77D0645A"/>
    <w:rsid w:val="77D07F42"/>
    <w:rsid w:val="77D60990"/>
    <w:rsid w:val="782A5848"/>
    <w:rsid w:val="7866781A"/>
    <w:rsid w:val="78872FBC"/>
    <w:rsid w:val="78C064CE"/>
    <w:rsid w:val="792A046E"/>
    <w:rsid w:val="793A26E6"/>
    <w:rsid w:val="796E1A86"/>
    <w:rsid w:val="79A523CA"/>
    <w:rsid w:val="79BF22E2"/>
    <w:rsid w:val="7A1563A4"/>
    <w:rsid w:val="7A29721E"/>
    <w:rsid w:val="7A416E2E"/>
    <w:rsid w:val="7A552C46"/>
    <w:rsid w:val="7A9233A3"/>
    <w:rsid w:val="7AB22715"/>
    <w:rsid w:val="7AC24540"/>
    <w:rsid w:val="7AF406B1"/>
    <w:rsid w:val="7B0E1773"/>
    <w:rsid w:val="7B1E1601"/>
    <w:rsid w:val="7B241EDA"/>
    <w:rsid w:val="7B3C1EAA"/>
    <w:rsid w:val="7B91019F"/>
    <w:rsid w:val="7C146430"/>
    <w:rsid w:val="7CC876FF"/>
    <w:rsid w:val="7D5316BF"/>
    <w:rsid w:val="7E175D48"/>
    <w:rsid w:val="7E525E1A"/>
    <w:rsid w:val="7ECA3028"/>
    <w:rsid w:val="7EDB4C71"/>
    <w:rsid w:val="7F0F7B48"/>
    <w:rsid w:val="7F5A42F8"/>
    <w:rsid w:val="7F7E36D8"/>
    <w:rsid w:val="7F895286"/>
    <w:rsid w:val="7FA82E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iPriority="99" w:name="index heading"/>
    <w:lsdException w:qFormat="1" w:unhideWhenUsed="0" w:uiPriority="0" w:semiHidden="0" w:name="caption"/>
    <w:lsdException w:unhideWhenUsed="0" w:uiPriority="0" w:semiHidden="0" w:name="table of figures"/>
    <w:lsdException w:uiPriority="99" w:name="envelope address"/>
    <w:lsdException w:uiPriority="99" w:name="envelope return"/>
    <w:lsdException w:unhideWhenUsed="0" w:uiPriority="0" w:semiHidden="0" w:name="footnote reference"/>
    <w:lsdException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nhideWhenUsed="0" w:uiPriority="0" w:semiHidden="0" w:name="toa heading"/>
    <w:lsdException w:uiPriority="99" w:name="List"/>
    <w:lsdException w:uiPriority="99" w:name="List Bullet"/>
    <w:lsdException w:uiPriority="99"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iPriority="99" w:name="List Bullet 5"/>
    <w:lsdException w:unhideWhenUsed="0" w:uiPriority="0" w:semiHidden="0" w:name="List Number 2"/>
    <w:lsdException w:unhideWhenUsed="0" w:uiPriority="0" w:semiHidden="0" w:name="List Number 3"/>
    <w:lsdException w:uiPriority="99" w:semiHidden="0"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iPriority="99" w:name="List Continue 5"/>
    <w:lsdException w:uiPriority="99" w:name="Message Header"/>
    <w:lsdException w:qFormat="1" w:unhideWhenUsed="0" w:uiPriority="11" w:semiHidden="0" w:name="Subtitle"/>
    <w:lsdException w:uiPriority="99"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8"/>
      <w:lang w:val="en-US" w:eastAsia="zh-CN" w:bidi="ar-SA"/>
    </w:rPr>
  </w:style>
  <w:style w:type="paragraph" w:styleId="2">
    <w:name w:val="heading 1"/>
    <w:basedOn w:val="1"/>
    <w:next w:val="1"/>
    <w:qFormat/>
    <w:uiPriority w:val="0"/>
    <w:pPr>
      <w:keepNext/>
      <w:tabs>
        <w:tab w:val="left" w:pos="3360"/>
      </w:tabs>
      <w:snapToGrid w:val="0"/>
      <w:spacing w:before="312" w:beforeLines="100" w:beforeAutospacing="0" w:after="156" w:afterLines="50" w:afterAutospacing="0" w:line="800" w:lineRule="atLeast"/>
      <w:jc w:val="center"/>
      <w:outlineLvl w:val="0"/>
    </w:pPr>
    <w:rPr>
      <w:rFonts w:eastAsia="黑体"/>
      <w:sz w:val="44"/>
    </w:rPr>
  </w:style>
  <w:style w:type="paragraph" w:styleId="3">
    <w:name w:val="heading 2"/>
    <w:basedOn w:val="1"/>
    <w:next w:val="1"/>
    <w:link w:val="69"/>
    <w:qFormat/>
    <w:uiPriority w:val="0"/>
    <w:pPr>
      <w:keepNext/>
      <w:keepLines/>
      <w:adjustRightInd w:val="0"/>
      <w:snapToGrid w:val="0"/>
      <w:spacing w:line="360" w:lineRule="auto"/>
      <w:outlineLvl w:val="1"/>
    </w:pPr>
    <w:rPr>
      <w:rFonts w:ascii="宋体" w:hAnsi="宋体"/>
    </w:rPr>
  </w:style>
  <w:style w:type="paragraph" w:styleId="4">
    <w:name w:val="heading 3"/>
    <w:basedOn w:val="1"/>
    <w:next w:val="1"/>
    <w:qFormat/>
    <w:uiPriority w:val="0"/>
    <w:pPr>
      <w:keepNext/>
      <w:keepLines/>
      <w:spacing w:before="260" w:beforeLines="0" w:beforeAutospacing="0" w:after="260" w:afterLines="0" w:afterAutospacing="0" w:line="413" w:lineRule="auto"/>
      <w:jc w:val="center"/>
      <w:outlineLvl w:val="2"/>
    </w:pPr>
    <w:rPr>
      <w:b/>
      <w:sz w:val="44"/>
    </w:rPr>
  </w:style>
  <w:style w:type="paragraph" w:styleId="5">
    <w:name w:val="heading 4"/>
    <w:basedOn w:val="1"/>
    <w:next w:val="1"/>
    <w:qFormat/>
    <w:uiPriority w:val="0"/>
    <w:pPr>
      <w:keepNext/>
      <w:keepLines/>
      <w:numPr>
        <w:ilvl w:val="0"/>
        <w:numId w:val="1"/>
      </w:numPr>
      <w:spacing w:before="560" w:beforeLines="0" w:after="290" w:afterLines="0" w:line="377" w:lineRule="auto"/>
      <w:outlineLvl w:val="3"/>
    </w:pPr>
    <w:rPr>
      <w:rFonts w:ascii="Arial" w:hAnsi="Arial" w:eastAsia="黑体"/>
      <w:b/>
    </w:rPr>
  </w:style>
  <w:style w:type="paragraph" w:styleId="6">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7">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8">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9">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0">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1">
    <w:name w:val="Default Paragraph Font"/>
    <w:uiPriority w:val="0"/>
  </w:style>
  <w:style w:type="table" w:default="1" w:styleId="59">
    <w:name w:val="Normal Table"/>
    <w:unhideWhenUsed/>
    <w:uiPriority w:val="99"/>
    <w:tblPr>
      <w:tblStyle w:val="59"/>
      <w:tblCellMar>
        <w:top w:w="0" w:type="dxa"/>
        <w:left w:w="108" w:type="dxa"/>
        <w:bottom w:w="0" w:type="dxa"/>
        <w:right w:w="108" w:type="dxa"/>
      </w:tblCellMar>
    </w:tblPr>
  </w:style>
  <w:style w:type="paragraph" w:styleId="11">
    <w:name w:val="List 3"/>
    <w:basedOn w:val="1"/>
    <w:uiPriority w:val="0"/>
    <w:pPr>
      <w:adjustRightInd w:val="0"/>
      <w:snapToGrid w:val="0"/>
      <w:spacing w:line="360" w:lineRule="auto"/>
      <w:ind w:left="100" w:leftChars="400" w:hanging="200" w:hangingChars="200"/>
    </w:pPr>
    <w:rPr>
      <w:sz w:val="24"/>
    </w:rPr>
  </w:style>
  <w:style w:type="paragraph" w:styleId="12">
    <w:name w:val="toc 7"/>
    <w:basedOn w:val="1"/>
    <w:next w:val="1"/>
    <w:uiPriority w:val="0"/>
    <w:pPr>
      <w:ind w:left="2520" w:leftChars="1200"/>
    </w:pPr>
  </w:style>
  <w:style w:type="paragraph" w:styleId="13">
    <w:name w:val="List Number 2"/>
    <w:basedOn w:val="1"/>
    <w:uiPriority w:val="0"/>
    <w:pPr>
      <w:numPr>
        <w:ilvl w:val="0"/>
        <w:numId w:val="2"/>
      </w:numPr>
      <w:spacing w:line="360" w:lineRule="auto"/>
    </w:pPr>
    <w:rPr>
      <w:sz w:val="24"/>
    </w:rPr>
  </w:style>
  <w:style w:type="paragraph" w:styleId="14">
    <w:name w:val="List Bullet 4"/>
    <w:basedOn w:val="1"/>
    <w:uiPriority w:val="0"/>
    <w:pPr>
      <w:widowControl/>
      <w:numPr>
        <w:ilvl w:val="0"/>
        <w:numId w:val="3"/>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5">
    <w:name w:val="Normal Indent"/>
    <w:basedOn w:val="1"/>
    <w:uiPriority w:val="0"/>
    <w:pPr>
      <w:adjustRightInd w:val="0"/>
      <w:snapToGrid w:val="0"/>
      <w:spacing w:line="360" w:lineRule="auto"/>
      <w:ind w:firstLine="420"/>
    </w:pPr>
    <w:rPr>
      <w:sz w:val="24"/>
    </w:rPr>
  </w:style>
  <w:style w:type="paragraph" w:styleId="16">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7">
    <w:name w:val="Document Map"/>
    <w:basedOn w:val="1"/>
    <w:uiPriority w:val="0"/>
    <w:pPr>
      <w:shd w:val="clear" w:color="auto" w:fill="000080"/>
    </w:pPr>
  </w:style>
  <w:style w:type="paragraph" w:styleId="18">
    <w:name w:val="toa heading"/>
    <w:basedOn w:val="1"/>
    <w:next w:val="1"/>
    <w:uiPriority w:val="0"/>
    <w:pPr>
      <w:spacing w:before="120" w:beforeLines="0" w:beforeAutospacing="0"/>
    </w:pPr>
    <w:rPr>
      <w:rFonts w:ascii="Arial" w:hAnsi="Arial"/>
      <w:sz w:val="24"/>
    </w:rPr>
  </w:style>
  <w:style w:type="paragraph" w:styleId="19">
    <w:name w:val="annotation text"/>
    <w:basedOn w:val="1"/>
    <w:link w:val="70"/>
    <w:uiPriority w:val="0"/>
    <w:pPr>
      <w:widowControl/>
      <w:tabs>
        <w:tab w:val="left" w:pos="1134"/>
      </w:tabs>
      <w:adjustRightInd w:val="0"/>
      <w:snapToGrid w:val="0"/>
      <w:spacing w:line="280" w:lineRule="atLeast"/>
      <w:jc w:val="left"/>
    </w:pPr>
    <w:rPr>
      <w:rFonts w:eastAsia="PMingLiU"/>
      <w:kern w:val="0"/>
      <w:sz w:val="24"/>
      <w:lang w:eastAsia="zh-TW"/>
    </w:rPr>
  </w:style>
  <w:style w:type="paragraph" w:styleId="20">
    <w:name w:val="Body Text 3"/>
    <w:basedOn w:val="1"/>
    <w:uiPriority w:val="0"/>
    <w:pPr>
      <w:adjustRightInd w:val="0"/>
      <w:snapToGrid w:val="0"/>
      <w:spacing w:after="120" w:afterLines="0" w:afterAutospacing="0" w:line="360" w:lineRule="auto"/>
    </w:pPr>
    <w:rPr>
      <w:sz w:val="16"/>
    </w:rPr>
  </w:style>
  <w:style w:type="paragraph" w:styleId="21">
    <w:name w:val="List Bullet 3"/>
    <w:basedOn w:val="1"/>
    <w:uiPriority w:val="0"/>
    <w:pPr>
      <w:numPr>
        <w:ilvl w:val="0"/>
        <w:numId w:val="4"/>
      </w:numPr>
      <w:adjustRightInd w:val="0"/>
      <w:snapToGrid w:val="0"/>
      <w:spacing w:line="360" w:lineRule="auto"/>
    </w:pPr>
    <w:rPr>
      <w:sz w:val="24"/>
    </w:rPr>
  </w:style>
  <w:style w:type="paragraph" w:styleId="22">
    <w:name w:val="Body Text"/>
    <w:basedOn w:val="1"/>
    <w:next w:val="1"/>
    <w:uiPriority w:val="0"/>
    <w:rPr>
      <w:rFonts w:ascii="仿宋_GB2312" w:eastAsia="仿宋_GB2312"/>
      <w:kern w:val="2"/>
      <w:sz w:val="32"/>
    </w:rPr>
  </w:style>
  <w:style w:type="paragraph" w:styleId="23">
    <w:name w:val="Body Text Indent"/>
    <w:basedOn w:val="1"/>
    <w:uiPriority w:val="0"/>
    <w:pPr>
      <w:spacing w:line="700" w:lineRule="exact"/>
      <w:ind w:left="960"/>
    </w:pPr>
    <w:rPr>
      <w:sz w:val="44"/>
    </w:rPr>
  </w:style>
  <w:style w:type="paragraph" w:styleId="24">
    <w:name w:val="List Number 3"/>
    <w:basedOn w:val="1"/>
    <w:uiPriority w:val="0"/>
    <w:pPr>
      <w:tabs>
        <w:tab w:val="left" w:pos="2120"/>
      </w:tabs>
      <w:adjustRightInd w:val="0"/>
      <w:snapToGrid w:val="0"/>
      <w:spacing w:line="360" w:lineRule="auto"/>
      <w:ind w:left="2120" w:hanging="720"/>
    </w:pPr>
    <w:rPr>
      <w:sz w:val="24"/>
    </w:rPr>
  </w:style>
  <w:style w:type="paragraph" w:styleId="25">
    <w:name w:val="List 2"/>
    <w:basedOn w:val="1"/>
    <w:uiPriority w:val="0"/>
    <w:pPr>
      <w:adjustRightInd w:val="0"/>
      <w:snapToGrid w:val="0"/>
      <w:spacing w:line="360" w:lineRule="auto"/>
      <w:ind w:left="100" w:leftChars="200" w:hanging="200" w:hangingChars="200"/>
    </w:pPr>
    <w:rPr>
      <w:sz w:val="24"/>
    </w:rPr>
  </w:style>
  <w:style w:type="paragraph" w:styleId="26">
    <w:name w:val="List Continue"/>
    <w:basedOn w:val="1"/>
    <w:uiPriority w:val="0"/>
    <w:pPr>
      <w:adjustRightInd w:val="0"/>
      <w:snapToGrid w:val="0"/>
      <w:spacing w:after="120" w:afterLines="0" w:afterAutospacing="0" w:line="360" w:lineRule="auto"/>
      <w:ind w:left="420" w:leftChars="200"/>
    </w:pPr>
    <w:rPr>
      <w:sz w:val="24"/>
    </w:rPr>
  </w:style>
  <w:style w:type="paragraph" w:styleId="27">
    <w:name w:val="List Bullet 2"/>
    <w:basedOn w:val="1"/>
    <w:uiPriority w:val="0"/>
    <w:pPr>
      <w:numPr>
        <w:ilvl w:val="0"/>
        <w:numId w:val="5"/>
      </w:numPr>
      <w:adjustRightInd w:val="0"/>
      <w:snapToGrid w:val="0"/>
      <w:spacing w:line="360" w:lineRule="auto"/>
    </w:pPr>
    <w:rPr>
      <w:sz w:val="24"/>
    </w:rPr>
  </w:style>
  <w:style w:type="paragraph" w:styleId="28">
    <w:name w:val="toc 5"/>
    <w:basedOn w:val="1"/>
    <w:next w:val="1"/>
    <w:uiPriority w:val="0"/>
    <w:pPr>
      <w:ind w:left="1680" w:leftChars="800"/>
    </w:pPr>
  </w:style>
  <w:style w:type="paragraph" w:styleId="29">
    <w:name w:val="toc 3"/>
    <w:basedOn w:val="1"/>
    <w:next w:val="1"/>
    <w:uiPriority w:val="0"/>
    <w:pPr>
      <w:ind w:left="840" w:leftChars="400"/>
    </w:pPr>
  </w:style>
  <w:style w:type="paragraph" w:styleId="30">
    <w:name w:val="Plain Text"/>
    <w:basedOn w:val="1"/>
    <w:uiPriority w:val="0"/>
    <w:pPr>
      <w:adjustRightInd w:val="0"/>
      <w:snapToGrid w:val="0"/>
      <w:spacing w:line="360" w:lineRule="auto"/>
    </w:pPr>
    <w:rPr>
      <w:rFonts w:ascii="宋体" w:hAnsi="Courier New"/>
      <w:sz w:val="21"/>
    </w:rPr>
  </w:style>
  <w:style w:type="paragraph" w:styleId="31">
    <w:name w:val="List Number 4"/>
    <w:basedOn w:val="1"/>
    <w:next w:val="32"/>
    <w:unhideWhenUsed/>
    <w:uiPriority w:val="99"/>
    <w:pPr>
      <w:numPr>
        <w:ilvl w:val="0"/>
        <w:numId w:val="6"/>
      </w:numPr>
    </w:pPr>
  </w:style>
  <w:style w:type="paragraph" w:styleId="32">
    <w:name w:val="Signature"/>
    <w:basedOn w:val="1"/>
    <w:next w:val="33"/>
    <w:qFormat/>
    <w:uiPriority w:val="0"/>
    <w:pPr>
      <w:ind w:left="100" w:leftChars="2100"/>
    </w:pPr>
    <w:rPr>
      <w:szCs w:val="24"/>
    </w:rPr>
  </w:style>
  <w:style w:type="paragraph" w:styleId="33">
    <w:name w:val="Normal (Web)"/>
    <w:basedOn w:val="1"/>
    <w:next w:val="24"/>
    <w:uiPriority w:val="99"/>
    <w:pPr>
      <w:widowControl/>
      <w:spacing w:before="100" w:beforeLines="0" w:beforeAutospacing="1" w:after="100" w:afterLines="0" w:afterAutospacing="1"/>
      <w:jc w:val="left"/>
    </w:pPr>
    <w:rPr>
      <w:rFonts w:ascii="Arial Unicode MS" w:hAnsi="Arial Unicode MS" w:eastAsia="Arial Unicode MS"/>
      <w:kern w:val="0"/>
      <w:sz w:val="24"/>
    </w:rPr>
  </w:style>
  <w:style w:type="paragraph" w:styleId="34">
    <w:name w:val="toc 8"/>
    <w:basedOn w:val="1"/>
    <w:next w:val="1"/>
    <w:uiPriority w:val="0"/>
    <w:pPr>
      <w:ind w:left="2940" w:leftChars="1400"/>
    </w:pPr>
  </w:style>
  <w:style w:type="paragraph" w:styleId="35">
    <w:name w:val="Date"/>
    <w:basedOn w:val="1"/>
    <w:next w:val="1"/>
    <w:link w:val="71"/>
    <w:uiPriority w:val="0"/>
  </w:style>
  <w:style w:type="paragraph" w:styleId="36">
    <w:name w:val="Body Text Indent 2"/>
    <w:basedOn w:val="1"/>
    <w:uiPriority w:val="0"/>
    <w:pPr>
      <w:snapToGrid w:val="0"/>
      <w:spacing w:line="440" w:lineRule="atLeast"/>
      <w:ind w:firstLine="570"/>
    </w:pPr>
    <w:rPr>
      <w:rFonts w:ascii="宋体"/>
    </w:rPr>
  </w:style>
  <w:style w:type="paragraph" w:styleId="37">
    <w:name w:val="Balloon Text"/>
    <w:basedOn w:val="1"/>
    <w:uiPriority w:val="0"/>
    <w:rPr>
      <w:sz w:val="18"/>
    </w:rPr>
  </w:style>
  <w:style w:type="paragraph" w:styleId="38">
    <w:name w:val="footer"/>
    <w:basedOn w:val="1"/>
    <w:uiPriority w:val="0"/>
    <w:pPr>
      <w:tabs>
        <w:tab w:val="center" w:pos="4153"/>
        <w:tab w:val="right" w:pos="8306"/>
      </w:tabs>
      <w:snapToGrid w:val="0"/>
      <w:jc w:val="left"/>
    </w:pPr>
    <w:rPr>
      <w:rFonts w:eastAsia="宋体"/>
      <w:kern w:val="2"/>
      <w:sz w:val="18"/>
      <w:lang w:val="en-US" w:eastAsia="zh-CN"/>
    </w:rPr>
  </w:style>
  <w:style w:type="paragraph" w:styleId="39">
    <w:name w:val="header"/>
    <w:basedOn w:val="1"/>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40">
    <w:name w:val="toc 1"/>
    <w:basedOn w:val="1"/>
    <w:next w:val="1"/>
    <w:uiPriority w:val="39"/>
    <w:pPr>
      <w:tabs>
        <w:tab w:val="left" w:pos="1260"/>
        <w:tab w:val="left" w:pos="1685"/>
        <w:tab w:val="right" w:leader="dot" w:pos="8400"/>
      </w:tabs>
      <w:spacing w:line="320" w:lineRule="exact"/>
      <w:ind w:firstLine="280" w:firstLineChars="100"/>
    </w:pPr>
    <w:rPr>
      <w:lang/>
    </w:rPr>
  </w:style>
  <w:style w:type="paragraph" w:styleId="41">
    <w:name w:val="List Continue 4"/>
    <w:basedOn w:val="1"/>
    <w:uiPriority w:val="0"/>
    <w:pPr>
      <w:adjustRightInd w:val="0"/>
      <w:snapToGrid w:val="0"/>
      <w:spacing w:after="120" w:afterLines="0" w:afterAutospacing="0" w:line="360" w:lineRule="auto"/>
      <w:ind w:left="1680" w:leftChars="800"/>
    </w:pPr>
    <w:rPr>
      <w:sz w:val="24"/>
    </w:rPr>
  </w:style>
  <w:style w:type="paragraph" w:styleId="42">
    <w:name w:val="toc 4"/>
    <w:basedOn w:val="1"/>
    <w:next w:val="1"/>
    <w:uiPriority w:val="0"/>
    <w:pPr>
      <w:ind w:left="1260" w:leftChars="600"/>
    </w:pPr>
  </w:style>
  <w:style w:type="paragraph" w:styleId="43">
    <w:name w:val="footnote text"/>
    <w:basedOn w:val="1"/>
    <w:uiPriority w:val="0"/>
    <w:pPr>
      <w:spacing w:line="360" w:lineRule="auto"/>
    </w:pPr>
    <w:rPr>
      <w:sz w:val="18"/>
    </w:rPr>
  </w:style>
  <w:style w:type="paragraph" w:styleId="44">
    <w:name w:val="toc 6"/>
    <w:basedOn w:val="1"/>
    <w:next w:val="1"/>
    <w:uiPriority w:val="0"/>
    <w:pPr>
      <w:ind w:left="2100" w:leftChars="1000"/>
    </w:pPr>
  </w:style>
  <w:style w:type="paragraph" w:styleId="45">
    <w:name w:val="List 5"/>
    <w:basedOn w:val="1"/>
    <w:uiPriority w:val="0"/>
    <w:pPr>
      <w:adjustRightInd w:val="0"/>
      <w:snapToGrid w:val="0"/>
      <w:spacing w:line="360" w:lineRule="auto"/>
      <w:ind w:left="100" w:leftChars="800" w:hanging="200" w:hangingChars="200"/>
    </w:pPr>
    <w:rPr>
      <w:sz w:val="24"/>
    </w:rPr>
  </w:style>
  <w:style w:type="paragraph" w:styleId="46">
    <w:name w:val="Body Text Indent 3"/>
    <w:basedOn w:val="1"/>
    <w:uiPriority w:val="0"/>
    <w:pPr>
      <w:spacing w:line="360" w:lineRule="auto"/>
      <w:ind w:firstLine="632"/>
    </w:pPr>
    <w:rPr>
      <w:rFonts w:ascii="黑体" w:eastAsia="黑体"/>
    </w:rPr>
  </w:style>
  <w:style w:type="paragraph" w:styleId="47">
    <w:name w:val="table of figures"/>
    <w:basedOn w:val="1"/>
    <w:next w:val="1"/>
    <w:uiPriority w:val="0"/>
    <w:pPr>
      <w:tabs>
        <w:tab w:val="right" w:leader="dot" w:pos="8640"/>
      </w:tabs>
      <w:spacing w:line="360" w:lineRule="auto"/>
      <w:ind w:left="400" w:hanging="400"/>
    </w:pPr>
    <w:rPr>
      <w:sz w:val="24"/>
    </w:rPr>
  </w:style>
  <w:style w:type="paragraph" w:styleId="48">
    <w:name w:val="toc 2"/>
    <w:basedOn w:val="1"/>
    <w:next w:val="1"/>
    <w:uiPriority w:val="39"/>
    <w:pPr>
      <w:tabs>
        <w:tab w:val="right" w:leader="dot" w:pos="8400"/>
      </w:tabs>
      <w:spacing w:line="440" w:lineRule="exact"/>
      <w:ind w:left="280" w:leftChars="100" w:rightChars="-91"/>
    </w:pPr>
  </w:style>
  <w:style w:type="paragraph" w:styleId="49">
    <w:name w:val="toc 9"/>
    <w:basedOn w:val="1"/>
    <w:next w:val="1"/>
    <w:uiPriority w:val="0"/>
    <w:pPr>
      <w:ind w:left="3360" w:leftChars="1600"/>
    </w:pPr>
  </w:style>
  <w:style w:type="paragraph" w:styleId="50">
    <w:name w:val="Body Text 2"/>
    <w:basedOn w:val="1"/>
    <w:uiPriority w:val="0"/>
    <w:pPr>
      <w:adjustRightInd w:val="0"/>
      <w:snapToGrid w:val="0"/>
      <w:spacing w:after="120" w:afterLines="0" w:afterAutospacing="0" w:line="480" w:lineRule="auto"/>
    </w:pPr>
    <w:rPr>
      <w:sz w:val="24"/>
    </w:rPr>
  </w:style>
  <w:style w:type="paragraph" w:styleId="51">
    <w:name w:val="List 4"/>
    <w:basedOn w:val="1"/>
    <w:uiPriority w:val="0"/>
    <w:pPr>
      <w:adjustRightInd w:val="0"/>
      <w:snapToGrid w:val="0"/>
      <w:spacing w:line="360" w:lineRule="auto"/>
      <w:ind w:left="100" w:leftChars="600" w:hanging="200" w:hangingChars="200"/>
    </w:pPr>
    <w:rPr>
      <w:sz w:val="24"/>
    </w:rPr>
  </w:style>
  <w:style w:type="paragraph" w:styleId="52">
    <w:name w:val="List Continue 2"/>
    <w:basedOn w:val="1"/>
    <w:uiPriority w:val="0"/>
    <w:pPr>
      <w:adjustRightInd w:val="0"/>
      <w:snapToGrid w:val="0"/>
      <w:spacing w:after="120" w:afterLines="0" w:afterAutospacing="0" w:line="360" w:lineRule="auto"/>
      <w:ind w:left="840" w:leftChars="400"/>
    </w:pPr>
    <w:rPr>
      <w:sz w:val="24"/>
    </w:rPr>
  </w:style>
  <w:style w:type="paragraph" w:styleId="53">
    <w:name w:val="List Continue 3"/>
    <w:basedOn w:val="1"/>
    <w:uiPriority w:val="0"/>
    <w:pPr>
      <w:adjustRightInd w:val="0"/>
      <w:snapToGrid w:val="0"/>
      <w:spacing w:after="120" w:afterLines="0" w:afterAutospacing="0" w:line="360" w:lineRule="auto"/>
      <w:ind w:left="1260" w:leftChars="600"/>
    </w:pPr>
    <w:rPr>
      <w:sz w:val="24"/>
    </w:rPr>
  </w:style>
  <w:style w:type="paragraph" w:styleId="54">
    <w:name w:val="index 1"/>
    <w:basedOn w:val="1"/>
    <w:next w:val="1"/>
    <w:uiPriority w:val="0"/>
    <w:pPr>
      <w:adjustRightInd w:val="0"/>
      <w:spacing w:line="240" w:lineRule="atLeast"/>
      <w:textAlignment w:val="baseline"/>
    </w:pPr>
    <w:rPr>
      <w:rFonts w:ascii="宋体"/>
      <w:kern w:val="0"/>
      <w:sz w:val="21"/>
    </w:rPr>
  </w:style>
  <w:style w:type="paragraph" w:styleId="55">
    <w:name w:val="Title"/>
    <w:basedOn w:val="1"/>
    <w:qFormat/>
    <w:uiPriority w:val="0"/>
    <w:pPr>
      <w:widowControl/>
      <w:spacing w:after="240" w:afterLines="0" w:afterAutospacing="0" w:line="360" w:lineRule="auto"/>
      <w:jc w:val="center"/>
    </w:pPr>
    <w:rPr>
      <w:rFonts w:ascii="Arial" w:hAnsi="Arial" w:eastAsia="宋体"/>
      <w:b/>
      <w:smallCaps/>
      <w:kern w:val="28"/>
      <w:sz w:val="36"/>
      <w:lang w:val="en-US" w:eastAsia="en-US"/>
    </w:rPr>
  </w:style>
  <w:style w:type="paragraph" w:styleId="56">
    <w:name w:val="annotation subject"/>
    <w:basedOn w:val="19"/>
    <w:next w:val="19"/>
    <w:uiPriority w:val="0"/>
    <w:pPr>
      <w:widowControl w:val="0"/>
      <w:tabs>
        <w:tab w:val="clear" w:pos="1134"/>
      </w:tabs>
      <w:adjustRightInd/>
      <w:snapToGrid/>
      <w:spacing w:line="240" w:lineRule="auto"/>
    </w:pPr>
    <w:rPr>
      <w:rFonts w:eastAsia="宋体"/>
      <w:b/>
      <w:kern w:val="2"/>
      <w:sz w:val="21"/>
      <w:lang w:val="en-US" w:eastAsia="zh-CN"/>
    </w:rPr>
  </w:style>
  <w:style w:type="paragraph" w:styleId="57">
    <w:name w:val="Body Text First Indent"/>
    <w:basedOn w:val="1"/>
    <w:uiPriority w:val="0"/>
    <w:pPr>
      <w:spacing w:line="360" w:lineRule="auto"/>
      <w:ind w:firstLine="420"/>
    </w:pPr>
    <w:rPr>
      <w:rFonts w:ascii="宋体" w:hAnsi="宋体"/>
      <w:sz w:val="24"/>
    </w:rPr>
  </w:style>
  <w:style w:type="paragraph" w:styleId="58">
    <w:name w:val="Body Text First Indent 2"/>
    <w:basedOn w:val="23"/>
    <w:uiPriority w:val="0"/>
    <w:pPr>
      <w:spacing w:after="120" w:afterLines="0" w:afterAutospacing="0" w:line="240" w:lineRule="auto"/>
      <w:ind w:left="420" w:leftChars="200" w:firstLine="420" w:firstLineChars="200"/>
    </w:pPr>
    <w:rPr>
      <w:sz w:val="21"/>
    </w:rPr>
  </w:style>
  <w:style w:type="table" w:styleId="60">
    <w:name w:val="Table Grid"/>
    <w:basedOn w:val="59"/>
    <w:uiPriority w:val="0"/>
    <w:pPr>
      <w:widowControl w:val="0"/>
      <w:jc w:val="both"/>
    </w:pPr>
    <w:tblPr>
      <w:tblStyle w:val="59"/>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2">
    <w:name w:val="Strong"/>
    <w:qFormat/>
    <w:uiPriority w:val="22"/>
    <w:rPr>
      <w:b/>
    </w:rPr>
  </w:style>
  <w:style w:type="character" w:styleId="63">
    <w:name w:val="page number"/>
    <w:uiPriority w:val="0"/>
  </w:style>
  <w:style w:type="character" w:styleId="64">
    <w:name w:val="FollowedHyperlink"/>
    <w:uiPriority w:val="0"/>
    <w:rPr>
      <w:color w:val="800080"/>
      <w:u w:val="single"/>
    </w:rPr>
  </w:style>
  <w:style w:type="character" w:styleId="65">
    <w:name w:val="Emphasis"/>
    <w:qFormat/>
    <w:uiPriority w:val="0"/>
    <w:rPr>
      <w:i/>
    </w:rPr>
  </w:style>
  <w:style w:type="character" w:styleId="66">
    <w:name w:val="Hyperlink"/>
    <w:uiPriority w:val="99"/>
    <w:rPr>
      <w:color w:val="0000FF"/>
      <w:u w:val="single"/>
    </w:rPr>
  </w:style>
  <w:style w:type="character" w:styleId="67">
    <w:name w:val="annotation reference"/>
    <w:uiPriority w:val="0"/>
    <w:rPr>
      <w:sz w:val="21"/>
    </w:rPr>
  </w:style>
  <w:style w:type="character" w:styleId="68">
    <w:name w:val="footnote reference"/>
    <w:uiPriority w:val="0"/>
    <w:rPr>
      <w:position w:val="6"/>
      <w:sz w:val="14"/>
      <w:vertAlign w:val="superscript"/>
    </w:rPr>
  </w:style>
  <w:style w:type="character" w:customStyle="1" w:styleId="69">
    <w:name w:val="标题 2 Char"/>
    <w:link w:val="3"/>
    <w:uiPriority w:val="0"/>
    <w:rPr>
      <w:rFonts w:ascii="宋体" w:hAnsi="宋体"/>
      <w:kern w:val="2"/>
      <w:sz w:val="28"/>
    </w:rPr>
  </w:style>
  <w:style w:type="character" w:customStyle="1" w:styleId="70">
    <w:name w:val="批注文字 Char"/>
    <w:link w:val="19"/>
    <w:uiPriority w:val="0"/>
    <w:rPr>
      <w:rFonts w:eastAsia="PMingLiU"/>
      <w:sz w:val="24"/>
      <w:lang w:eastAsia="zh-TW"/>
    </w:rPr>
  </w:style>
  <w:style w:type="character" w:customStyle="1" w:styleId="71">
    <w:name w:val="日期 Char"/>
    <w:link w:val="35"/>
    <w:uiPriority w:val="0"/>
    <w:rPr>
      <w:kern w:val="2"/>
      <w:sz w:val="28"/>
    </w:rPr>
  </w:style>
  <w:style w:type="character" w:customStyle="1" w:styleId="72">
    <w:name w:val=" Char Char5"/>
    <w:uiPriority w:val="0"/>
    <w:rPr>
      <w:rFonts w:ascii="Arial" w:hAnsi="Arial" w:eastAsia="宋体"/>
      <w:b/>
      <w:smallCaps/>
      <w:kern w:val="28"/>
      <w:sz w:val="36"/>
      <w:lang w:val="en-US" w:eastAsia="en-US"/>
    </w:rPr>
  </w:style>
  <w:style w:type="character" w:customStyle="1" w:styleId="73">
    <w:name w:val=" Char Char4"/>
    <w:uiPriority w:val="0"/>
    <w:rPr>
      <w:rFonts w:eastAsia="宋体"/>
      <w:b/>
      <w:kern w:val="2"/>
      <w:sz w:val="21"/>
      <w:lang w:val="en-US" w:eastAsia="zh-CN"/>
    </w:rPr>
  </w:style>
  <w:style w:type="character" w:customStyle="1" w:styleId="74">
    <w:name w:val="标书正文:  0.74 厘米 Char1"/>
    <w:uiPriority w:val="0"/>
    <w:rPr>
      <w:rFonts w:eastAsia="宋体"/>
      <w:kern w:val="2"/>
      <w:sz w:val="24"/>
      <w:lang w:val="en-US" w:eastAsia="zh-CN"/>
    </w:rPr>
  </w:style>
  <w:style w:type="character" w:customStyle="1" w:styleId="75">
    <w:name w:val=" Char Char3"/>
    <w:uiPriority w:val="0"/>
    <w:rPr>
      <w:rFonts w:eastAsia="宋体"/>
      <w:kern w:val="2"/>
      <w:sz w:val="18"/>
      <w:lang w:val="en-US" w:eastAsia="zh-CN"/>
    </w:rPr>
  </w:style>
  <w:style w:type="character" w:customStyle="1" w:styleId="76">
    <w:name w:val="Table Heading Char Char"/>
    <w:uiPriority w:val="0"/>
    <w:rPr>
      <w:rFonts w:ascii="Arial" w:hAnsi="Arial" w:eastAsia="黑体"/>
      <w:kern w:val="2"/>
      <w:sz w:val="18"/>
      <w:lang w:val="en-US" w:eastAsia="zh-CN"/>
    </w:rPr>
  </w:style>
  <w:style w:type="character" w:customStyle="1" w:styleId="77">
    <w:name w:val="文字 Char"/>
    <w:link w:val="78"/>
    <w:uiPriority w:val="0"/>
    <w:rPr>
      <w:rFonts w:ascii="宋体" w:eastAsia="宋体"/>
      <w:kern w:val="2"/>
      <w:sz w:val="28"/>
      <w:lang w:val="en-US" w:eastAsia="zh-CN" w:bidi="ar-SA"/>
    </w:rPr>
  </w:style>
  <w:style w:type="paragraph" w:customStyle="1" w:styleId="78">
    <w:name w:val="文字"/>
    <w:basedOn w:val="1"/>
    <w:link w:val="77"/>
    <w:uiPriority w:val="0"/>
    <w:pPr>
      <w:tabs>
        <w:tab w:val="left" w:pos="8520"/>
      </w:tabs>
      <w:spacing w:line="312" w:lineRule="auto"/>
      <w:ind w:right="-210" w:firstLine="556"/>
    </w:pPr>
    <w:rPr>
      <w:rFonts w:ascii="宋体"/>
    </w:rPr>
  </w:style>
  <w:style w:type="character" w:customStyle="1" w:styleId="79">
    <w:name w:val=" Char Char"/>
    <w:uiPriority w:val="0"/>
    <w:rPr>
      <w:rFonts w:ascii="宋体" w:hAnsi="宋体" w:eastAsia="宋体"/>
      <w:kern w:val="2"/>
      <w:sz w:val="24"/>
      <w:lang w:val="en-US" w:eastAsia="zh-CN" w:bidi="ar-SA"/>
    </w:rPr>
  </w:style>
  <w:style w:type="character" w:customStyle="1" w:styleId="80">
    <w:name w:val=" Char Char2"/>
    <w:uiPriority w:val="0"/>
    <w:rPr>
      <w:rFonts w:eastAsia="宋体"/>
      <w:kern w:val="2"/>
      <w:sz w:val="18"/>
      <w:lang w:val="en-US" w:eastAsia="zh-CN"/>
    </w:rPr>
  </w:style>
  <w:style w:type="character" w:customStyle="1" w:styleId="81">
    <w:name w:val="Table Text Char1 Char"/>
    <w:uiPriority w:val="0"/>
    <w:rPr>
      <w:rFonts w:ascii="Arial" w:hAnsi="Arial"/>
      <w:kern w:val="2"/>
      <w:sz w:val="18"/>
      <w:lang w:val="en-US" w:eastAsia="zh-CN" w:bidi="ar-SA"/>
    </w:rPr>
  </w:style>
  <w:style w:type="character" w:customStyle="1" w:styleId="82">
    <w:name w:val="Table Text Char"/>
    <w:uiPriority w:val="0"/>
    <w:rPr>
      <w:rFonts w:ascii="Arial" w:hAnsi="Arial"/>
      <w:kern w:val="2"/>
      <w:sz w:val="18"/>
      <w:lang w:val="en-US" w:eastAsia="zh-CN" w:bidi="ar-SA"/>
    </w:rPr>
  </w:style>
  <w:style w:type="character" w:customStyle="1" w:styleId="83">
    <w:name w:val="Table Text Char Char Char Char"/>
    <w:uiPriority w:val="0"/>
    <w:rPr>
      <w:rFonts w:ascii="Arial" w:hAnsi="Arial"/>
      <w:kern w:val="2"/>
      <w:sz w:val="18"/>
      <w:lang w:val="en-US" w:eastAsia="zh-CN" w:bidi="ar-SA"/>
    </w:rPr>
  </w:style>
  <w:style w:type="character" w:customStyle="1" w:styleId="84">
    <w:name w:val=" Char Char7"/>
    <w:uiPriority w:val="0"/>
    <w:rPr>
      <w:rFonts w:ascii="宋体" w:hAnsi="宋体" w:eastAsia="宋体"/>
      <w:kern w:val="2"/>
      <w:sz w:val="28"/>
    </w:rPr>
  </w:style>
  <w:style w:type="character" w:customStyle="1" w:styleId="85">
    <w:name w:val="content-white1"/>
    <w:uiPriority w:val="0"/>
    <w:rPr>
      <w:rFonts w:ascii="_x000B__x000C_" w:hAnsi="_x000B__x000C_"/>
      <w:color w:val="auto"/>
      <w:sz w:val="18"/>
      <w:u w:val="none"/>
    </w:rPr>
  </w:style>
  <w:style w:type="character" w:customStyle="1" w:styleId="86">
    <w:name w:val="正文 + 三号 Char"/>
    <w:aliases w:val="加粗 Char"/>
    <w:uiPriority w:val="0"/>
    <w:rPr>
      <w:rFonts w:eastAsia="宋体"/>
      <w:kern w:val="2"/>
      <w:sz w:val="21"/>
      <w:lang w:val="en-US" w:eastAsia="zh-CN"/>
    </w:rPr>
  </w:style>
  <w:style w:type="character" w:customStyle="1" w:styleId="87">
    <w:name w:val="crowed11"/>
    <w:uiPriority w:val="0"/>
    <w:rPr>
      <w:rFonts w:hint="default" w:ascii="_x000B__x000C_" w:hAnsi="_x000B__x000C_"/>
      <w:sz w:val="24"/>
    </w:rPr>
  </w:style>
  <w:style w:type="character" w:customStyle="1" w:styleId="88">
    <w:name w:val="top-det1"/>
    <w:uiPriority w:val="0"/>
    <w:rPr>
      <w:b/>
      <w:color w:val="000000"/>
    </w:rPr>
  </w:style>
  <w:style w:type="character" w:customStyle="1" w:styleId="89">
    <w:name w:val="样式 宋体"/>
    <w:uiPriority w:val="0"/>
    <w:rPr>
      <w:rFonts w:ascii="宋体" w:hAnsi="宋体" w:eastAsia="宋体"/>
      <w:sz w:val="28"/>
    </w:rPr>
  </w:style>
  <w:style w:type="character" w:customStyle="1" w:styleId="90">
    <w:name w:val=" Char Char6"/>
    <w:uiPriority w:val="0"/>
    <w:rPr>
      <w:rFonts w:ascii="仿宋_GB2312" w:eastAsia="仿宋_GB2312"/>
      <w:kern w:val="2"/>
      <w:sz w:val="32"/>
    </w:rPr>
  </w:style>
  <w:style w:type="character" w:customStyle="1" w:styleId="91">
    <w:name w:val="小 Char"/>
    <w:aliases w:val="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uiPriority w:val="0"/>
    <w:rPr>
      <w:rFonts w:ascii="宋体" w:hAnsi="Courier New" w:eastAsia="宋体"/>
      <w:kern w:val="2"/>
      <w:sz w:val="21"/>
      <w:lang w:val="en-US" w:eastAsia="zh-CN" w:bidi="ar-SA"/>
    </w:rPr>
  </w:style>
  <w:style w:type="character" w:customStyle="1" w:styleId="92">
    <w:name w:val="font1"/>
    <w:uiPriority w:val="0"/>
    <w:rPr>
      <w:color w:val="000000"/>
      <w:sz w:val="18"/>
    </w:rPr>
  </w:style>
  <w:style w:type="character" w:customStyle="1" w:styleId="93">
    <w:name w:val="v151"/>
    <w:uiPriority w:val="0"/>
    <w:rPr>
      <w:sz w:val="18"/>
    </w:rPr>
  </w:style>
  <w:style w:type="character" w:customStyle="1" w:styleId="94">
    <w:name w:val="未命名11"/>
    <w:uiPriority w:val="0"/>
    <w:rPr>
      <w:color w:val="77FFFF"/>
      <w:sz w:val="24"/>
    </w:rPr>
  </w:style>
  <w:style w:type="paragraph" w:customStyle="1" w:styleId="95">
    <w:name w:val="编号正文"/>
    <w:basedOn w:val="96"/>
    <w:uiPriority w:val="0"/>
    <w:pPr>
      <w:snapToGrid/>
      <w:spacing w:line="360" w:lineRule="auto"/>
      <w:ind w:left="1407" w:hanging="1047"/>
      <w:jc w:val="left"/>
    </w:pPr>
    <w:rPr>
      <w:rFonts w:eastAsia="仿宋_GB2312"/>
    </w:rPr>
  </w:style>
  <w:style w:type="paragraph" w:customStyle="1" w:styleId="96">
    <w:name w:val="文档正文"/>
    <w:basedOn w:val="1"/>
    <w:uiPriority w:val="0"/>
    <w:pPr>
      <w:adjustRightInd w:val="0"/>
      <w:snapToGrid w:val="0"/>
      <w:spacing w:line="440" w:lineRule="exact"/>
      <w:ind w:firstLine="567"/>
      <w:textAlignment w:val="baseline"/>
    </w:pPr>
    <w:rPr>
      <w:rFonts w:ascii="Arial Narrow" w:hAnsi="Arial Narrow"/>
      <w:kern w:val="0"/>
      <w:sz w:val="24"/>
    </w:rPr>
  </w:style>
  <w:style w:type="paragraph" w:customStyle="1" w:styleId="97">
    <w:name w:val="标题2"/>
    <w:basedOn w:val="3"/>
    <w:uiPriority w:val="0"/>
    <w:pPr>
      <w:keepNext w:val="0"/>
      <w:keepLines w:val="0"/>
      <w:snapToGrid w:val="0"/>
      <w:spacing w:before="0" w:beforeLines="0" w:beforeAutospacing="0" w:after="0" w:afterLines="0" w:afterAutospacing="0"/>
      <w:ind w:firstLine="574" w:firstLineChars="196"/>
      <w:outlineLvl w:val="9"/>
    </w:pPr>
    <w:rPr>
      <w:b/>
      <w:spacing w:val="6"/>
      <w:u w:val="single"/>
    </w:rPr>
  </w:style>
  <w:style w:type="paragraph" w:customStyle="1" w:styleId="98">
    <w:name w:val="图标"/>
    <w:basedOn w:val="1"/>
    <w:next w:val="1"/>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99">
    <w:name w:val="Table Text Char Char"/>
    <w:uiPriority w:val="0"/>
    <w:pPr>
      <w:snapToGrid w:val="0"/>
      <w:spacing w:before="80" w:after="80"/>
    </w:pPr>
    <w:rPr>
      <w:rFonts w:ascii="Arial" w:hAnsi="Arial"/>
      <w:kern w:val="2"/>
      <w:sz w:val="18"/>
      <w:lang w:val="en-US" w:eastAsia="zh-CN" w:bidi="ar-SA"/>
    </w:rPr>
  </w:style>
  <w:style w:type="paragraph" w:customStyle="1" w:styleId="100">
    <w:name w:val="xl27"/>
    <w:basedOn w:val="1"/>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01">
    <w:name w:val="内容标题"/>
    <w:basedOn w:val="17"/>
    <w:uiPriority w:val="0"/>
    <w:rPr>
      <w:rFonts w:ascii="Tahoma" w:hAnsi="Tahoma"/>
      <w:sz w:val="24"/>
    </w:rPr>
  </w:style>
  <w:style w:type="paragraph" w:customStyle="1" w:styleId="102">
    <w:name w:val="文档正文 Char Char Char Char"/>
    <w:basedOn w:val="1"/>
    <w:uiPriority w:val="0"/>
    <w:pPr>
      <w:adjustRightInd w:val="0"/>
      <w:spacing w:line="440" w:lineRule="exact"/>
      <w:ind w:firstLine="420"/>
      <w:textAlignment w:val="baseline"/>
    </w:pPr>
    <w:rPr>
      <w:rFonts w:ascii="Arial Narrow" w:hAnsi="Arial Narrow"/>
      <w:kern w:val="0"/>
      <w:sz w:val="24"/>
    </w:rPr>
  </w:style>
  <w:style w:type="paragraph" w:customStyle="1" w:styleId="103">
    <w:name w:val="Table Description"/>
    <w:next w:val="1"/>
    <w:uiPriority w:val="0"/>
    <w:pPr>
      <w:keepNext/>
      <w:snapToGrid w:val="0"/>
      <w:spacing w:before="160" w:after="80"/>
      <w:ind w:left="1134"/>
      <w:jc w:val="center"/>
    </w:pPr>
    <w:rPr>
      <w:rFonts w:ascii="Arial" w:hAnsi="Arial" w:eastAsia="黑体"/>
      <w:sz w:val="18"/>
      <w:lang w:val="en-US" w:eastAsia="zh-CN" w:bidi="ar-SA"/>
    </w:rPr>
  </w:style>
  <w:style w:type="paragraph" w:customStyle="1" w:styleId="104">
    <w:name w:val="样式4"/>
    <w:basedOn w:val="5"/>
    <w:uiPriority w:val="0"/>
    <w:pPr>
      <w:numPr>
        <w:ilvl w:val="0"/>
        <w:numId w:val="0"/>
      </w:numPr>
      <w:adjustRightInd w:val="0"/>
      <w:snapToGrid w:val="0"/>
      <w:spacing w:before="280" w:beforeLines="0" w:beforeAutospacing="0" w:line="372" w:lineRule="auto"/>
    </w:pPr>
  </w:style>
  <w:style w:type="paragraph" w:customStyle="1" w:styleId="105">
    <w:name w:val="图例"/>
    <w:basedOn w:val="1"/>
    <w:uiPriority w:val="0"/>
    <w:pPr>
      <w:spacing w:before="120" w:beforeLines="0" w:beforeAutospacing="0" w:after="120" w:afterLines="0" w:afterAutospacing="0" w:line="360" w:lineRule="auto"/>
      <w:jc w:val="center"/>
    </w:pPr>
    <w:rPr>
      <w:rFonts w:eastAsia="仿宋_GB2312"/>
      <w:b/>
      <w:sz w:val="24"/>
    </w:rPr>
  </w:style>
  <w:style w:type="paragraph" w:customStyle="1" w:styleId="106">
    <w:name w:val="Title - Date"/>
    <w:basedOn w:val="55"/>
    <w:next w:val="1"/>
    <w:uiPriority w:val="0"/>
    <w:pPr>
      <w:spacing w:before="240" w:beforeLines="0" w:beforeAutospacing="0" w:after="720" w:afterLines="0" w:afterAutospacing="0"/>
    </w:pPr>
    <w:rPr>
      <w:sz w:val="28"/>
    </w:rPr>
  </w:style>
  <w:style w:type="paragraph" w:styleId="107">
    <w:name w:val="List Paragraph"/>
    <w:basedOn w:val="1"/>
    <w:qFormat/>
    <w:uiPriority w:val="34"/>
    <w:pPr>
      <w:ind w:firstLine="420" w:firstLineChars="200"/>
    </w:pPr>
  </w:style>
  <w:style w:type="paragraph" w:customStyle="1" w:styleId="108">
    <w:name w:val="标题无"/>
    <w:basedOn w:val="1"/>
    <w:uiPriority w:val="0"/>
    <w:pPr>
      <w:spacing w:line="360" w:lineRule="auto"/>
    </w:pPr>
    <w:rPr>
      <w:sz w:val="24"/>
      <w:lang/>
    </w:rPr>
  </w:style>
  <w:style w:type="paragraph" w:customStyle="1" w:styleId="109">
    <w:name w:val="正文字缩2字"/>
    <w:basedOn w:val="1"/>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10">
    <w:name w:val=" Char Char Char Char Char"/>
    <w:basedOn w:val="1"/>
    <w:uiPriority w:val="0"/>
    <w:pPr>
      <w:numPr>
        <w:ilvl w:val="0"/>
        <w:numId w:val="7"/>
      </w:numPr>
    </w:pPr>
    <w:rPr>
      <w:rFonts w:ascii="Tahoma" w:hAnsi="Tahoma"/>
      <w:sz w:val="24"/>
    </w:rPr>
  </w:style>
  <w:style w:type="paragraph" w:customStyle="1" w:styleId="111">
    <w:name w:val="表格内文字"/>
    <w:basedOn w:val="30"/>
    <w:uiPriority w:val="0"/>
    <w:pPr>
      <w:snapToGrid/>
      <w:spacing w:line="240" w:lineRule="auto"/>
    </w:pPr>
    <w:rPr>
      <w:color w:val="000000"/>
      <w:lang w:val="en-GB"/>
    </w:rPr>
  </w:style>
  <w:style w:type="paragraph" w:customStyle="1" w:styleId="112">
    <w:name w:val="CSS1级正文 Char"/>
    <w:basedOn w:val="22"/>
    <w:uiPriority w:val="0"/>
    <w:pPr>
      <w:adjustRightInd w:val="0"/>
      <w:snapToGrid w:val="0"/>
      <w:spacing w:line="360" w:lineRule="auto"/>
      <w:ind w:firstLine="480"/>
    </w:pPr>
    <w:rPr>
      <w:rFonts w:ascii="Times New Roman" w:eastAsia="宋体"/>
      <w:sz w:val="24"/>
    </w:rPr>
  </w:style>
  <w:style w:type="paragraph" w:customStyle="1" w:styleId="113">
    <w:name w:val="style1"/>
    <w:basedOn w:val="1"/>
    <w:uiPriority w:val="0"/>
    <w:pPr>
      <w:widowControl/>
      <w:spacing w:before="100" w:beforeLines="0" w:beforeAutospacing="1" w:after="100" w:afterLines="0" w:afterAutospacing="1"/>
      <w:jc w:val="left"/>
    </w:pPr>
    <w:rPr>
      <w:rFonts w:ascii="宋体" w:hAnsi="宋体"/>
      <w:kern w:val="0"/>
      <w:sz w:val="21"/>
    </w:rPr>
  </w:style>
  <w:style w:type="paragraph" w:customStyle="1" w:styleId="114">
    <w:name w:val="Char Char Char Char"/>
    <w:basedOn w:val="1"/>
    <w:uiPriority w:val="0"/>
    <w:pPr>
      <w:pageBreakBefore/>
      <w:widowControl/>
      <w:spacing w:after="160" w:afterLines="0" w:line="240" w:lineRule="exact"/>
      <w:jc w:val="left"/>
    </w:pPr>
    <w:rPr>
      <w:rFonts w:ascii="Verdana" w:hAnsi="Verdana"/>
      <w:kern w:val="0"/>
      <w:sz w:val="20"/>
      <w:lang w:eastAsia="en-US"/>
    </w:rPr>
  </w:style>
  <w:style w:type="paragraph" w:customStyle="1" w:styleId="115">
    <w:name w:val="Char"/>
    <w:basedOn w:val="1"/>
    <w:uiPriority w:val="0"/>
    <w:pPr>
      <w:widowControl/>
      <w:spacing w:line="400" w:lineRule="exact"/>
      <w:jc w:val="center"/>
    </w:pPr>
    <w:rPr>
      <w:sz w:val="24"/>
    </w:rPr>
  </w:style>
  <w:style w:type="paragraph" w:customStyle="1" w:styleId="116">
    <w:name w:val="_"/>
    <w:basedOn w:val="1"/>
    <w:uiPriority w:val="0"/>
    <w:pPr>
      <w:adjustRightInd w:val="0"/>
      <w:spacing w:line="360" w:lineRule="auto"/>
      <w:ind w:left="480" w:firstLine="200" w:firstLineChars="200"/>
      <w:textAlignment w:val="baseline"/>
    </w:pPr>
    <w:rPr>
      <w:kern w:val="0"/>
      <w:sz w:val="24"/>
    </w:rPr>
  </w:style>
  <w:style w:type="paragraph" w:customStyle="1" w:styleId="117">
    <w:name w:val=" Char"/>
    <w:basedOn w:val="1"/>
    <w:uiPriority w:val="0"/>
    <w:pPr>
      <w:spacing w:line="240" w:lineRule="atLeast"/>
      <w:ind w:left="420" w:firstLine="420"/>
    </w:pPr>
    <w:rPr>
      <w:kern w:val="0"/>
      <w:sz w:val="21"/>
    </w:rPr>
  </w:style>
  <w:style w:type="paragraph" w:customStyle="1" w:styleId="118">
    <w:name w:val="标题5"/>
    <w:basedOn w:val="1"/>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19">
    <w:name w:val="附录1"/>
    <w:basedOn w:val="1"/>
    <w:next w:val="1"/>
    <w:uiPriority w:val="0"/>
    <w:pPr>
      <w:tabs>
        <w:tab w:val="left" w:pos="1304"/>
      </w:tabs>
      <w:ind w:left="425" w:hanging="425"/>
      <w:outlineLvl w:val="0"/>
    </w:pPr>
    <w:rPr>
      <w:rFonts w:ascii="黑体" w:hAnsi="黑体" w:eastAsia="黑体"/>
      <w:b/>
      <w:sz w:val="44"/>
    </w:rPr>
  </w:style>
  <w:style w:type="paragraph" w:customStyle="1" w:styleId="120">
    <w:name w:val="xl23"/>
    <w:basedOn w:val="1"/>
    <w:uiPriority w:val="0"/>
    <w:pPr>
      <w:widowControl/>
      <w:spacing w:before="100" w:beforeLines="0" w:beforeAutospacing="1" w:after="100" w:afterLines="0" w:afterAutospacing="1" w:line="360" w:lineRule="auto"/>
      <w:textAlignment w:val="top"/>
    </w:pPr>
    <w:rPr>
      <w:kern w:val="0"/>
      <w:sz w:val="24"/>
    </w:rPr>
  </w:style>
  <w:style w:type="paragraph" w:customStyle="1" w:styleId="12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22">
    <w:name w:val="Style Heading 3h3Heading 3 - oldLevel 3 HeadH3level_3PIM 3se..."/>
    <w:basedOn w:val="4"/>
    <w:uiPriority w:val="0"/>
    <w:pPr>
      <w:numPr>
        <w:ilvl w:val="2"/>
        <w:numId w:val="7"/>
      </w:numPr>
      <w:jc w:val="both"/>
    </w:pPr>
    <w:rPr>
      <w:sz w:val="32"/>
    </w:rPr>
  </w:style>
  <w:style w:type="paragraph" w:customStyle="1" w:styleId="123">
    <w:name w:val="摘要"/>
    <w:basedOn w:val="1"/>
    <w:next w:val="3"/>
    <w:uiPriority w:val="0"/>
    <w:pPr>
      <w:spacing w:line="360" w:lineRule="auto"/>
    </w:pPr>
    <w:rPr>
      <w:rFonts w:eastAsia="黑体"/>
      <w:sz w:val="20"/>
    </w:rPr>
  </w:style>
  <w:style w:type="paragraph" w:customStyle="1" w:styleId="124">
    <w:name w:val="样式3"/>
    <w:basedOn w:val="2"/>
    <w:next w:val="2"/>
    <w:uiPriority w:val="0"/>
    <w:pPr>
      <w:keepLines/>
      <w:tabs>
        <w:tab w:val="clear" w:pos="3360"/>
      </w:tabs>
      <w:adjustRightInd w:val="0"/>
      <w:spacing w:before="340" w:beforeLines="0" w:beforeAutospacing="0" w:after="330" w:afterLines="0" w:afterAutospacing="0" w:line="576" w:lineRule="auto"/>
      <w:jc w:val="both"/>
    </w:pPr>
    <w:rPr>
      <w:b/>
      <w:kern w:val="44"/>
    </w:rPr>
  </w:style>
  <w:style w:type="paragraph" w:customStyle="1" w:styleId="125">
    <w:name w:val="IN Feature"/>
    <w:next w:val="126"/>
    <w:uiPriority w:val="0"/>
    <w:pPr>
      <w:keepNext/>
      <w:keepLines/>
      <w:spacing w:before="240" w:after="240"/>
      <w:outlineLvl w:val="7"/>
    </w:pPr>
    <w:rPr>
      <w:rFonts w:ascii="Arial" w:hAnsi="Arial" w:eastAsia="黑体"/>
      <w:sz w:val="21"/>
      <w:lang w:val="en-US" w:eastAsia="zh-CN" w:bidi="ar-SA"/>
    </w:rPr>
  </w:style>
  <w:style w:type="paragraph" w:customStyle="1" w:styleId="126">
    <w:name w:val="IN Step"/>
    <w:basedOn w:val="1"/>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27">
    <w:name w:val="样式 正文首行缩进 2 + 首行缩进:  2 字符"/>
    <w:basedOn w:val="1"/>
    <w:uiPriority w:val="0"/>
    <w:pPr>
      <w:numPr>
        <w:ilvl w:val="0"/>
        <w:numId w:val="8"/>
      </w:numPr>
      <w:adjustRightInd w:val="0"/>
      <w:snapToGrid w:val="0"/>
      <w:spacing w:line="360" w:lineRule="auto"/>
    </w:pPr>
    <w:rPr>
      <w:rFonts w:ascii="Arial" w:hAnsi="Arial"/>
      <w:b/>
      <w:sz w:val="24"/>
    </w:rPr>
  </w:style>
  <w:style w:type="paragraph" w:customStyle="1" w:styleId="128">
    <w:name w:val="正文 + 三号"/>
    <w:basedOn w:val="1"/>
    <w:uiPriority w:val="0"/>
    <w:rPr>
      <w:rFonts w:eastAsia="宋体"/>
      <w:kern w:val="2"/>
      <w:sz w:val="21"/>
      <w:lang w:val="en-US" w:eastAsia="zh-CN"/>
    </w:rPr>
  </w:style>
  <w:style w:type="paragraph" w:customStyle="1" w:styleId="129">
    <w:name w:val="标书正文:  0.74 厘米"/>
    <w:basedOn w:val="1"/>
    <w:uiPriority w:val="0"/>
    <w:pPr>
      <w:snapToGrid w:val="0"/>
      <w:spacing w:line="360" w:lineRule="auto"/>
      <w:ind w:firstLine="420"/>
    </w:pPr>
    <w:rPr>
      <w:rFonts w:eastAsia="宋体"/>
      <w:kern w:val="2"/>
      <w:sz w:val="24"/>
      <w:lang w:val="en-US" w:eastAsia="zh-CN"/>
    </w:rPr>
  </w:style>
  <w:style w:type="paragraph" w:customStyle="1" w:styleId="130">
    <w:name w:val="xl40"/>
    <w:basedOn w:val="1"/>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1">
    <w:name w:val="小标题 1"/>
    <w:basedOn w:val="1"/>
    <w:uiPriority w:val="0"/>
    <w:pPr>
      <w:autoSpaceDE w:val="0"/>
      <w:autoSpaceDN w:val="0"/>
      <w:adjustRightInd w:val="0"/>
      <w:spacing w:line="360" w:lineRule="atLeast"/>
    </w:pPr>
    <w:rPr>
      <w:rFonts w:ascii="文鼎粗黑" w:eastAsia="文鼎粗黑"/>
      <w:kern w:val="0"/>
      <w:sz w:val="22"/>
    </w:rPr>
  </w:style>
  <w:style w:type="paragraph" w:customStyle="1" w:styleId="132">
    <w:name w:val="样式2"/>
    <w:basedOn w:val="5"/>
    <w:uiPriority w:val="0"/>
    <w:pPr>
      <w:numPr>
        <w:ilvl w:val="0"/>
        <w:numId w:val="9"/>
      </w:numPr>
      <w:spacing w:line="400" w:lineRule="exact"/>
      <w:jc w:val="center"/>
      <w:outlineLvl w:val="0"/>
    </w:pPr>
    <w:rPr>
      <w:b w:val="0"/>
      <w:sz w:val="44"/>
    </w:rPr>
  </w:style>
  <w:style w:type="paragraph" w:customStyle="1" w:styleId="133">
    <w:name w:val="样式1xz"/>
    <w:basedOn w:val="1"/>
    <w:uiPriority w:val="0"/>
    <w:pPr>
      <w:tabs>
        <w:tab w:val="left" w:pos="1050"/>
        <w:tab w:val="right" w:leader="dot" w:pos="8296"/>
      </w:tabs>
    </w:pPr>
    <w:rPr>
      <w:caps/>
      <w:spacing w:val="20"/>
      <w:sz w:val="24"/>
    </w:rPr>
  </w:style>
  <w:style w:type="paragraph" w:customStyle="1" w:styleId="134">
    <w:name w:val="Table Text Char1"/>
    <w:uiPriority w:val="0"/>
    <w:pPr>
      <w:snapToGrid w:val="0"/>
      <w:spacing w:before="80" w:after="80"/>
    </w:pPr>
    <w:rPr>
      <w:rFonts w:ascii="Arial" w:hAnsi="Arial"/>
      <w:kern w:val="2"/>
      <w:sz w:val="18"/>
      <w:lang w:val="en-US" w:eastAsia="zh-CN" w:bidi="ar-SA"/>
    </w:rPr>
  </w:style>
  <w:style w:type="paragraph" w:customStyle="1" w:styleId="135">
    <w:name w:val=" Char Char1 Char Char Char Char Char Char Char Char Char Char Char Char Char Char"/>
    <w:basedOn w:val="1"/>
    <w:uiPriority w:val="0"/>
    <w:pPr>
      <w:widowControl/>
      <w:spacing w:after="160" w:afterLines="0" w:afterAutospacing="0" w:line="240" w:lineRule="exact"/>
      <w:jc w:val="left"/>
    </w:pPr>
    <w:rPr>
      <w:rFonts w:ascii="Verdana" w:hAnsi="Verdana"/>
      <w:kern w:val="0"/>
      <w:sz w:val="20"/>
      <w:lang w:eastAsia="en-US"/>
    </w:rPr>
  </w:style>
  <w:style w:type="paragraph" w:customStyle="1" w:styleId="136">
    <w:name w:val="表头样式"/>
    <w:basedOn w:val="1"/>
    <w:uiPriority w:val="0"/>
    <w:pPr>
      <w:autoSpaceDE w:val="0"/>
      <w:autoSpaceDN w:val="0"/>
      <w:adjustRightInd w:val="0"/>
      <w:spacing w:line="360" w:lineRule="auto"/>
      <w:jc w:val="left"/>
    </w:pPr>
    <w:rPr>
      <w:b/>
      <w:kern w:val="0"/>
      <w:sz w:val="21"/>
    </w:rPr>
  </w:style>
  <w:style w:type="paragraph" w:customStyle="1" w:styleId="137">
    <w:name w:val="Title - Revision"/>
    <w:basedOn w:val="55"/>
    <w:uiPriority w:val="0"/>
    <w:pPr>
      <w:spacing w:before="720" w:beforeLines="0" w:beforeAutospacing="0"/>
    </w:pPr>
  </w:style>
  <w:style w:type="paragraph" w:customStyle="1" w:styleId="138">
    <w:name w:val="关键词"/>
    <w:basedOn w:val="1"/>
    <w:next w:val="1"/>
    <w:uiPriority w:val="0"/>
    <w:pPr>
      <w:spacing w:line="360" w:lineRule="auto"/>
    </w:pPr>
    <w:rPr>
      <w:rFonts w:eastAsia="黑体"/>
      <w:sz w:val="20"/>
    </w:rPr>
  </w:style>
  <w:style w:type="paragraph" w:customStyle="1" w:styleId="139">
    <w:name w:val="正文1"/>
    <w:basedOn w:val="1"/>
    <w:uiPriority w:val="0"/>
    <w:pPr>
      <w:spacing w:line="300" w:lineRule="auto"/>
      <w:ind w:firstLine="200" w:firstLineChars="200"/>
    </w:pPr>
    <w:rPr>
      <w:sz w:val="24"/>
    </w:rPr>
  </w:style>
  <w:style w:type="paragraph" w:customStyle="1" w:styleId="140">
    <w:name w:val="Item Step in Table"/>
    <w:uiPriority w:val="0"/>
    <w:pPr>
      <w:numPr>
        <w:ilvl w:val="0"/>
        <w:numId w:val="10"/>
      </w:numPr>
      <w:spacing w:before="40" w:after="40"/>
      <w:jc w:val="both"/>
    </w:pPr>
    <w:rPr>
      <w:rFonts w:ascii="Arial" w:hAnsi="Arial"/>
      <w:sz w:val="18"/>
      <w:lang w:val="en-US" w:eastAsia="zh-CN" w:bidi="ar-SA"/>
    </w:rPr>
  </w:style>
  <w:style w:type="paragraph" w:customStyle="1" w:styleId="141">
    <w:name w:val="tabletext"/>
    <w:basedOn w:val="1"/>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2">
    <w:name w:val="p"/>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143">
    <w:name w:val="AA Numbering"/>
    <w:basedOn w:val="1"/>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44">
    <w:name w:val="普通正文"/>
    <w:basedOn w:val="1"/>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45">
    <w:name w:val="表号"/>
    <w:basedOn w:val="1"/>
    <w:uiPriority w:val="0"/>
    <w:pPr>
      <w:numPr>
        <w:ilvl w:val="0"/>
        <w:numId w:val="11"/>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46">
    <w:name w:val="xl53"/>
    <w:basedOn w:val="1"/>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47">
    <w:name w:val=" Char1"/>
    <w:basedOn w:val="1"/>
    <w:uiPriority w:val="0"/>
    <w:rPr>
      <w:sz w:val="21"/>
    </w:rPr>
  </w:style>
  <w:style w:type="paragraph" w:customStyle="1" w:styleId="148">
    <w:name w:val="表文字"/>
    <w:uiPriority w:val="0"/>
    <w:rPr>
      <w:rFonts w:ascii="宋体"/>
      <w:kern w:val="2"/>
      <w:lang w:val="en-US" w:eastAsia="zh-CN" w:bidi="ar-SA"/>
    </w:rPr>
  </w:style>
  <w:style w:type="paragraph" w:customStyle="1" w:styleId="149">
    <w:name w:val="二级列表"/>
    <w:basedOn w:val="150"/>
    <w:next w:val="150"/>
    <w:uiPriority w:val="0"/>
    <w:pPr>
      <w:tabs>
        <w:tab w:val="left" w:pos="2120"/>
      </w:tabs>
      <w:ind w:firstLine="0" w:firstLineChars="0"/>
    </w:pPr>
    <w:rPr>
      <w:b/>
    </w:rPr>
  </w:style>
  <w:style w:type="paragraph" w:customStyle="1" w:styleId="150">
    <w:name w:val="段落正文"/>
    <w:basedOn w:val="1"/>
    <w:uiPriority w:val="0"/>
    <w:pPr>
      <w:spacing w:before="156" w:beforeLines="50" w:beforeAutospacing="0" w:line="360" w:lineRule="auto"/>
      <w:ind w:firstLine="200" w:firstLineChars="200"/>
    </w:pPr>
    <w:rPr>
      <w:spacing w:val="2"/>
      <w:sz w:val="24"/>
    </w:rPr>
  </w:style>
  <w:style w:type="paragraph" w:customStyle="1" w:styleId="151">
    <w:name w:val="bt"/>
    <w:basedOn w:val="1"/>
    <w:next w:val="22"/>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52">
    <w:name w:val="文本框样式1"/>
    <w:basedOn w:val="1"/>
    <w:uiPriority w:val="0"/>
    <w:pPr>
      <w:adjustRightInd w:val="0"/>
      <w:snapToGrid w:val="0"/>
      <w:spacing w:before="60" w:beforeLines="0" w:beforeAutospacing="0" w:line="180" w:lineRule="exact"/>
      <w:jc w:val="center"/>
    </w:pPr>
    <w:rPr>
      <w:sz w:val="21"/>
    </w:rPr>
  </w:style>
  <w:style w:type="paragraph" w:customStyle="1" w:styleId="153">
    <w:name w:val="表头文本"/>
    <w:uiPriority w:val="0"/>
    <w:pPr>
      <w:jc w:val="center"/>
    </w:pPr>
    <w:rPr>
      <w:rFonts w:ascii="Arial" w:hAnsi="Arial"/>
      <w:b/>
      <w:sz w:val="21"/>
      <w:lang w:val="en-US" w:eastAsia="zh-CN" w:bidi="ar-SA"/>
    </w:rPr>
  </w:style>
  <w:style w:type="paragraph" w:customStyle="1" w:styleId="154">
    <w:name w:val="正文格式 Char"/>
    <w:basedOn w:val="1"/>
    <w:uiPriority w:val="0"/>
    <w:pPr>
      <w:widowControl/>
      <w:adjustRightInd w:val="0"/>
      <w:spacing w:line="440" w:lineRule="atLeast"/>
      <w:ind w:firstLine="510"/>
      <w:textAlignment w:val="baseline"/>
    </w:pPr>
    <w:rPr>
      <w:kern w:val="0"/>
      <w:sz w:val="24"/>
    </w:rPr>
  </w:style>
  <w:style w:type="paragraph" w:customStyle="1" w:styleId="155">
    <w:name w:val="Char Char1 Char Char Char Char Char Char Char Char"/>
    <w:basedOn w:val="1"/>
    <w:uiPriority w:val="0"/>
    <w:pPr>
      <w:widowControl/>
      <w:spacing w:after="160" w:afterLines="0" w:line="240" w:lineRule="exact"/>
      <w:jc w:val="left"/>
    </w:pPr>
    <w:rPr>
      <w:rFonts w:ascii="Verdana" w:hAnsi="Verdana"/>
      <w:kern w:val="0"/>
      <w:sz w:val="20"/>
      <w:lang w:eastAsia="en-US"/>
    </w:rPr>
  </w:style>
  <w:style w:type="paragraph" w:customStyle="1" w:styleId="156">
    <w:name w:val="正文（首行不缩进）"/>
    <w:basedOn w:val="1"/>
    <w:uiPriority w:val="0"/>
    <w:pPr>
      <w:autoSpaceDE w:val="0"/>
      <w:autoSpaceDN w:val="0"/>
      <w:adjustRightInd w:val="0"/>
      <w:spacing w:line="360" w:lineRule="auto"/>
      <w:jc w:val="left"/>
    </w:pPr>
    <w:rPr>
      <w:kern w:val="0"/>
      <w:sz w:val="21"/>
    </w:rPr>
  </w:style>
  <w:style w:type="paragraph" w:customStyle="1" w:styleId="157">
    <w:name w:val=" Char Char1 Char"/>
    <w:basedOn w:val="1"/>
    <w:uiPriority w:val="0"/>
    <w:rPr>
      <w:rFonts w:ascii="Tahoma" w:hAnsi="Tahoma"/>
      <w:sz w:val="24"/>
      <w:szCs w:val="24"/>
    </w:rPr>
  </w:style>
  <w:style w:type="paragraph" w:customStyle="1" w:styleId="158">
    <w:name w:val="操作步骤"/>
    <w:basedOn w:val="1"/>
    <w:uiPriority w:val="0"/>
    <w:pPr>
      <w:numPr>
        <w:ilvl w:val="0"/>
        <w:numId w:val="12"/>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159">
    <w:name w:val="Note"/>
    <w:basedOn w:val="1"/>
    <w:uiPriority w:val="0"/>
    <w:pPr>
      <w:pBdr>
        <w:top w:val="single" w:color="auto" w:sz="12" w:space="3"/>
        <w:bottom w:val="single" w:color="auto" w:sz="12" w:space="3"/>
      </w:pBdr>
      <w:spacing w:line="360" w:lineRule="auto"/>
    </w:pPr>
    <w:rPr>
      <w:sz w:val="24"/>
    </w:rPr>
  </w:style>
  <w:style w:type="paragraph" w:customStyle="1" w:styleId="160">
    <w:name w:val=" Char1 Char Char Char"/>
    <w:basedOn w:val="1"/>
    <w:uiPriority w:val="0"/>
    <w:rPr>
      <w:rFonts w:ascii="Tahoma" w:hAnsi="Tahoma"/>
      <w:sz w:val="24"/>
    </w:rPr>
  </w:style>
  <w:style w:type="paragraph" w:customStyle="1" w:styleId="161">
    <w:name w:val="content"/>
    <w:basedOn w:val="1"/>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62">
    <w:name w:val="Body Text 2"/>
    <w:basedOn w:val="1"/>
    <w:uiPriority w:val="0"/>
    <w:pPr>
      <w:adjustRightInd w:val="0"/>
      <w:spacing w:before="120" w:beforeLines="0" w:beforeAutospacing="0" w:line="360" w:lineRule="auto"/>
      <w:ind w:firstLine="480"/>
      <w:textAlignment w:val="baseline"/>
    </w:pPr>
    <w:rPr>
      <w:sz w:val="24"/>
    </w:rPr>
  </w:style>
  <w:style w:type="paragraph" w:customStyle="1" w:styleId="163">
    <w:name w:val="Pull Quote"/>
    <w:basedOn w:val="1"/>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64">
    <w:name w:val=" Char Char Char Char Char Char1 Char"/>
    <w:basedOn w:val="1"/>
    <w:uiPriority w:val="0"/>
    <w:pPr>
      <w:widowControl/>
      <w:spacing w:after="160" w:afterLines="0" w:afterAutospacing="0" w:line="240" w:lineRule="exact"/>
      <w:jc w:val="left"/>
    </w:pPr>
    <w:rPr>
      <w:rFonts w:ascii="Verdana" w:hAnsi="Verdana"/>
      <w:kern w:val="0"/>
      <w:sz w:val="21"/>
      <w:lang w:eastAsia="en-US"/>
    </w:rPr>
  </w:style>
  <w:style w:type="paragraph" w:customStyle="1" w:styleId="165">
    <w:name w:val="章标题"/>
    <w:next w:val="1"/>
    <w:uiPriority w:val="0"/>
    <w:pPr>
      <w:numPr>
        <w:ilvl w:val="1"/>
        <w:numId w:val="13"/>
      </w:numPr>
      <w:spacing w:before="156" w:beforeLines="50" w:after="156" w:afterLines="50"/>
      <w:ind w:left="0"/>
      <w:jc w:val="both"/>
      <w:outlineLvl w:val="1"/>
    </w:pPr>
    <w:rPr>
      <w:rFonts w:ascii="黑体" w:eastAsia="黑体"/>
      <w:sz w:val="24"/>
      <w:lang w:val="en-US" w:eastAsia="zh-CN" w:bidi="ar-SA"/>
    </w:rPr>
  </w:style>
  <w:style w:type="paragraph" w:customStyle="1" w:styleId="166">
    <w:name w:val="可研正文"/>
    <w:basedOn w:val="22"/>
    <w:uiPriority w:val="0"/>
    <w:pPr>
      <w:adjustRightInd w:val="0"/>
      <w:snapToGrid w:val="0"/>
      <w:spacing w:line="440" w:lineRule="exact"/>
      <w:ind w:firstLine="567"/>
    </w:pPr>
    <w:rPr>
      <w:sz w:val="28"/>
    </w:rPr>
  </w:style>
  <w:style w:type="paragraph" w:customStyle="1" w:styleId="167">
    <w:name w:val="缺省文本"/>
    <w:basedOn w:val="1"/>
    <w:uiPriority w:val="0"/>
    <w:pPr>
      <w:tabs>
        <w:tab w:val="left" w:pos="1260"/>
      </w:tabs>
      <w:autoSpaceDE w:val="0"/>
      <w:autoSpaceDN w:val="0"/>
      <w:adjustRightInd w:val="0"/>
      <w:spacing w:line="360" w:lineRule="auto"/>
      <w:jc w:val="left"/>
    </w:pPr>
    <w:rPr>
      <w:kern w:val="0"/>
      <w:sz w:val="24"/>
    </w:rPr>
  </w:style>
  <w:style w:type="paragraph" w:customStyle="1" w:styleId="168">
    <w:name w:val=" Char Char Char Char Char Char Char Char Char Char Char Char Char"/>
    <w:basedOn w:val="1"/>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9">
    <w:name w:val=" Char Char Char"/>
    <w:basedOn w:val="1"/>
    <w:uiPriority w:val="0"/>
    <w:rPr>
      <w:rFonts w:ascii="Tahoma" w:hAnsi="Tahoma"/>
      <w:sz w:val="24"/>
    </w:rPr>
  </w:style>
  <w:style w:type="paragraph" w:customStyle="1" w:styleId="170">
    <w:name w:val="样式 首行缩进:  0.74 厘米"/>
    <w:basedOn w:val="1"/>
    <w:uiPriority w:val="0"/>
    <w:pPr>
      <w:spacing w:line="360" w:lineRule="auto"/>
      <w:ind w:firstLine="420"/>
    </w:pPr>
    <w:rPr>
      <w:sz w:val="24"/>
    </w:rPr>
  </w:style>
  <w:style w:type="paragraph" w:customStyle="1" w:styleId="171">
    <w:name w:val="样式 正文缩进正文（首行缩进两字）表正文正文非缩进特点标题4段1 + 首行缩进:  2 字符"/>
    <w:basedOn w:val="15"/>
    <w:uiPriority w:val="0"/>
    <w:pPr>
      <w:ind w:firstLine="480" w:firstLineChars="200"/>
    </w:pPr>
  </w:style>
  <w:style w:type="paragraph" w:customStyle="1" w:styleId="172">
    <w:name w:val="Table Contents"/>
    <w:basedOn w:val="22"/>
    <w:uiPriority w:val="0"/>
    <w:pPr>
      <w:suppressAutoHyphens/>
      <w:jc w:val="left"/>
    </w:pPr>
    <w:rPr>
      <w:rFonts w:ascii="Times New Roman" w:eastAsia="Times New Roman"/>
      <w:kern w:val="0"/>
      <w:sz w:val="24"/>
      <w:lang/>
    </w:rPr>
  </w:style>
  <w:style w:type="paragraph" w:customStyle="1" w:styleId="173">
    <w:name w:val="文本1"/>
    <w:basedOn w:val="1"/>
    <w:uiPriority w:val="0"/>
    <w:pPr>
      <w:adjustRightInd w:val="0"/>
      <w:spacing w:line="312" w:lineRule="atLeast"/>
      <w:jc w:val="center"/>
      <w:textAlignment w:val="baseline"/>
    </w:pPr>
    <w:rPr>
      <w:kern w:val="0"/>
      <w:sz w:val="18"/>
    </w:rPr>
  </w:style>
  <w:style w:type="paragraph" w:customStyle="1" w:styleId="174">
    <w:name w:val="Table Text Char Char Char"/>
    <w:uiPriority w:val="0"/>
    <w:pPr>
      <w:snapToGrid w:val="0"/>
      <w:spacing w:before="80" w:after="80"/>
    </w:pPr>
    <w:rPr>
      <w:rFonts w:ascii="Arial" w:hAnsi="Arial"/>
      <w:kern w:val="2"/>
      <w:sz w:val="18"/>
      <w:lang w:val="en-US" w:eastAsia="zh-CN" w:bidi="ar-SA"/>
    </w:rPr>
  </w:style>
  <w:style w:type="paragraph" w:customStyle="1" w:styleId="175">
    <w:name w:val="1.正文"/>
    <w:basedOn w:val="1"/>
    <w:uiPriority w:val="0"/>
    <w:pPr>
      <w:spacing w:line="360" w:lineRule="auto"/>
      <w:ind w:left="540" w:leftChars="225" w:firstLine="540" w:firstLineChars="225"/>
    </w:pPr>
    <w:rPr>
      <w:sz w:val="24"/>
    </w:rPr>
  </w:style>
  <w:style w:type="paragraph" w:customStyle="1" w:styleId="176">
    <w:name w:val="附录2"/>
    <w:basedOn w:val="1"/>
    <w:next w:val="1"/>
    <w:uiPriority w:val="0"/>
    <w:pPr>
      <w:tabs>
        <w:tab w:val="left" w:pos="420"/>
        <w:tab w:val="left" w:pos="624"/>
      </w:tabs>
      <w:ind w:left="420" w:hanging="420"/>
      <w:outlineLvl w:val="1"/>
    </w:pPr>
    <w:rPr>
      <w:rFonts w:ascii="黑体" w:hAnsi="黑体" w:eastAsia="黑体"/>
      <w:b/>
      <w:sz w:val="32"/>
    </w:rPr>
  </w:style>
  <w:style w:type="paragraph" w:customStyle="1" w:styleId="177">
    <w:name w:val="样式 宋体 五号 两端对齐 行距: 单倍行距"/>
    <w:basedOn w:val="1"/>
    <w:uiPriority w:val="0"/>
    <w:pPr>
      <w:adjustRightInd w:val="0"/>
      <w:textAlignment w:val="baseline"/>
    </w:pPr>
    <w:rPr>
      <w:rFonts w:ascii="宋体" w:hAnsi="宋体"/>
      <w:kern w:val="0"/>
      <w:sz w:val="21"/>
    </w:rPr>
  </w:style>
  <w:style w:type="paragraph" w:customStyle="1" w:styleId="178">
    <w:name w:val="正文表格"/>
    <w:basedOn w:val="1"/>
    <w:uiPriority w:val="0"/>
    <w:pPr>
      <w:adjustRightInd w:val="0"/>
      <w:spacing w:before="40" w:beforeLines="0" w:beforeAutospacing="0" w:after="40" w:afterLines="0" w:afterAutospacing="0"/>
    </w:pPr>
    <w:rPr>
      <w:sz w:val="24"/>
    </w:rPr>
  </w:style>
  <w:style w:type="paragraph" w:customStyle="1" w:styleId="179">
    <w:name w:val="附录4"/>
    <w:basedOn w:val="1"/>
    <w:next w:val="1"/>
    <w:uiPriority w:val="0"/>
    <w:pPr>
      <w:widowControl/>
      <w:numPr>
        <w:ilvl w:val="3"/>
        <w:numId w:val="0"/>
      </w:numPr>
      <w:tabs>
        <w:tab w:val="left" w:pos="1134"/>
      </w:tabs>
      <w:spacing w:line="300" w:lineRule="auto"/>
      <w:ind w:left="1361" w:hanging="1361"/>
      <w:outlineLvl w:val="3"/>
    </w:pPr>
    <w:rPr>
      <w:rFonts w:ascii="Arial" w:hAnsi="Arial" w:eastAsia="黑体"/>
      <w:kern w:val="0"/>
    </w:rPr>
  </w:style>
  <w:style w:type="paragraph" w:customStyle="1" w:styleId="180">
    <w:name w:val="样式 行距: 1.5 倍行距1"/>
    <w:basedOn w:val="1"/>
    <w:uiPriority w:val="0"/>
    <w:pPr>
      <w:snapToGrid w:val="0"/>
    </w:pPr>
    <w:rPr>
      <w:sz w:val="21"/>
    </w:rPr>
  </w:style>
  <w:style w:type="paragraph" w:customStyle="1" w:styleId="181">
    <w:name w:val="默认段落字体 Para Char Char Char Char Char Char Char Char Char1 Char Char Char Char"/>
    <w:basedOn w:val="1"/>
    <w:uiPriority w:val="0"/>
    <w:rPr>
      <w:rFonts w:ascii="Tahoma" w:hAnsi="Tahoma"/>
      <w:sz w:val="24"/>
    </w:rPr>
  </w:style>
  <w:style w:type="paragraph" w:customStyle="1" w:styleId="182">
    <w:name w:val="È±Ê¡ÎÄ±¾"/>
    <w:basedOn w:val="1"/>
    <w:uiPriority w:val="0"/>
    <w:pPr>
      <w:widowControl/>
      <w:overflowPunct w:val="0"/>
      <w:autoSpaceDE w:val="0"/>
      <w:autoSpaceDN w:val="0"/>
      <w:adjustRightInd w:val="0"/>
      <w:jc w:val="left"/>
      <w:textAlignment w:val="baseline"/>
    </w:pPr>
    <w:rPr>
      <w:kern w:val="0"/>
      <w:sz w:val="24"/>
      <w:lang/>
    </w:rPr>
  </w:style>
  <w:style w:type="paragraph" w:customStyle="1" w:styleId="183">
    <w:name w:val="默认段落字体 Para Char Char Char Char Char Char Char"/>
    <w:basedOn w:val="1"/>
    <w:uiPriority w:val="0"/>
    <w:rPr>
      <w:rFonts w:ascii="Tahoma" w:hAnsi="Tahoma"/>
      <w:sz w:val="24"/>
    </w:rPr>
  </w:style>
  <w:style w:type="paragraph" w:customStyle="1" w:styleId="184">
    <w:name w:val="样式 标题 1 + 居中 段前: 6 磅 段后: 6 磅 行距: 1.5 倍行距"/>
    <w:basedOn w:val="2"/>
    <w:uiPriority w:val="0"/>
    <w:pPr>
      <w:keepLines/>
      <w:tabs>
        <w:tab w:val="clear" w:pos="3360"/>
      </w:tabs>
      <w:adjustRightInd w:val="0"/>
      <w:spacing w:before="120" w:beforeLines="0" w:beforeAutospacing="0" w:line="360" w:lineRule="auto"/>
    </w:pPr>
    <w:rPr>
      <w:rFonts w:eastAsia="宋体"/>
      <w:b/>
      <w:kern w:val="44"/>
      <w:sz w:val="32"/>
    </w:rPr>
  </w:style>
  <w:style w:type="paragraph" w:customStyle="1" w:styleId="185">
    <w:name w:val="标题3——2"/>
    <w:basedOn w:val="4"/>
    <w:next w:val="57"/>
    <w:uiPriority w:val="0"/>
    <w:pPr>
      <w:tabs>
        <w:tab w:val="left" w:pos="1280"/>
        <w:tab w:val="right" w:leader="dot" w:pos="8777"/>
      </w:tabs>
      <w:spacing w:before="312" w:beforeLines="100" w:beforeAutospacing="0" w:after="0" w:afterLines="0" w:afterAutospacing="0" w:line="240" w:lineRule="auto"/>
      <w:ind w:left="851" w:hanging="851"/>
      <w:jc w:val="both"/>
      <w:outlineLvl w:val="9"/>
    </w:pPr>
    <w:rPr>
      <w:rFonts w:ascii="黑体" w:hAnsi="宋体" w:eastAsia="黑体"/>
      <w:sz w:val="30"/>
      <w:lang/>
    </w:rPr>
  </w:style>
  <w:style w:type="paragraph" w:customStyle="1" w:styleId="186">
    <w:name w:val="Char1 Char Char Char"/>
    <w:basedOn w:val="1"/>
    <w:uiPriority w:val="0"/>
    <w:rPr>
      <w:rFonts w:ascii="Tahoma" w:hAnsi="Tahoma"/>
      <w:sz w:val="21"/>
    </w:rPr>
  </w:style>
  <w:style w:type="paragraph" w:customStyle="1" w:styleId="187">
    <w:name w:val="正文4"/>
    <w:basedOn w:val="1"/>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88">
    <w:name w:val="文档正文 Char Char Char Char Char"/>
    <w:basedOn w:val="1"/>
    <w:uiPriority w:val="0"/>
    <w:pPr>
      <w:adjustRightInd w:val="0"/>
      <w:spacing w:line="440" w:lineRule="exact"/>
      <w:ind w:firstLine="420"/>
      <w:textAlignment w:val="baseline"/>
    </w:pPr>
    <w:rPr>
      <w:rFonts w:ascii="Arial Narrow" w:hAnsi="Arial Narrow"/>
      <w:kern w:val="0"/>
      <w:sz w:val="24"/>
    </w:rPr>
  </w:style>
  <w:style w:type="paragraph" w:customStyle="1" w:styleId="189">
    <w:name w:val="列出段落1"/>
    <w:basedOn w:val="1"/>
    <w:qFormat/>
    <w:uiPriority w:val="0"/>
    <w:pPr>
      <w:ind w:firstLine="420" w:firstLineChars="200"/>
    </w:pPr>
    <w:rPr>
      <w:szCs w:val="21"/>
    </w:rPr>
  </w:style>
  <w:style w:type="paragraph" w:customStyle="1" w:styleId="190">
    <w:name w:val="没有缩进（为图形使用）"/>
    <w:basedOn w:val="1"/>
    <w:uiPriority w:val="0"/>
    <w:pPr>
      <w:spacing w:before="120" w:beforeLines="0" w:beforeAutospacing="0" w:after="120" w:afterLines="0" w:afterAutospacing="0" w:line="360" w:lineRule="auto"/>
    </w:pPr>
    <w:rPr>
      <w:sz w:val="24"/>
    </w:rPr>
  </w:style>
  <w:style w:type="paragraph" w:customStyle="1" w:styleId="191">
    <w:name w:val="列表项目"/>
    <w:basedOn w:val="1"/>
    <w:uiPriority w:val="0"/>
    <w:pPr>
      <w:numPr>
        <w:ilvl w:val="0"/>
        <w:numId w:val="14"/>
      </w:numPr>
      <w:tabs>
        <w:tab w:val="left" w:pos="420"/>
        <w:tab w:val="clear" w:pos="980"/>
      </w:tabs>
      <w:spacing w:line="288" w:lineRule="auto"/>
      <w:ind w:left="840" w:leftChars="200" w:hanging="420" w:hangingChars="200"/>
    </w:pPr>
    <w:rPr>
      <w:sz w:val="21"/>
    </w:rPr>
  </w:style>
  <w:style w:type="paragraph" w:customStyle="1" w:styleId="192">
    <w:name w:val="Body Text Indent 2"/>
    <w:basedOn w:val="1"/>
    <w:uiPriority w:val="0"/>
    <w:pPr>
      <w:adjustRightInd w:val="0"/>
      <w:spacing w:before="120" w:beforeLines="0" w:beforeAutospacing="0"/>
      <w:ind w:firstLine="420"/>
      <w:textAlignment w:val="baseline"/>
    </w:pPr>
    <w:rPr>
      <w:sz w:val="24"/>
    </w:rPr>
  </w:style>
  <w:style w:type="paragraph" w:customStyle="1" w:styleId="193">
    <w:name w:val="首行缩进"/>
    <w:basedOn w:val="1"/>
    <w:uiPriority w:val="0"/>
    <w:pPr>
      <w:spacing w:line="360" w:lineRule="auto"/>
      <w:ind w:firstLine="420" w:firstLineChars="200"/>
    </w:pPr>
    <w:rPr>
      <w:sz w:val="21"/>
    </w:rPr>
  </w:style>
  <w:style w:type="paragraph" w:customStyle="1" w:styleId="194">
    <w:name w:val="Item Step"/>
    <w:uiPriority w:val="0"/>
    <w:pPr>
      <w:tabs>
        <w:tab w:val="left" w:pos="1644"/>
      </w:tabs>
      <w:ind w:left="1644" w:hanging="510"/>
      <w:outlineLvl w:val="4"/>
    </w:pPr>
    <w:rPr>
      <w:rFonts w:ascii="Arial" w:hAnsi="Arial"/>
      <w:sz w:val="21"/>
      <w:lang w:val="en-US" w:eastAsia="zh-CN" w:bidi="ar-SA"/>
    </w:rPr>
  </w:style>
  <w:style w:type="paragraph" w:customStyle="1" w:styleId="195">
    <w:name w:val=" Char Char Char Char Char Char Char"/>
    <w:basedOn w:val="1"/>
    <w:uiPriority w:val="0"/>
    <w:pPr>
      <w:widowControl/>
      <w:spacing w:after="160" w:afterLines="0" w:line="240" w:lineRule="exact"/>
      <w:jc w:val="left"/>
    </w:pPr>
    <w:rPr>
      <w:rFonts w:ascii="Verdana" w:hAnsi="Verdana" w:eastAsia="仿宋_GB2312"/>
      <w:kern w:val="0"/>
      <w:sz w:val="24"/>
      <w:lang w:eastAsia="en-US"/>
    </w:rPr>
  </w:style>
  <w:style w:type="paragraph" w:customStyle="1" w:styleId="196">
    <w:name w:val="样式 样式 正文首行缩进 2 + 左  0 字符 + 首行缩进:  2.57 字符"/>
    <w:basedOn w:val="1"/>
    <w:next w:val="1"/>
    <w:uiPriority w:val="0"/>
    <w:pPr>
      <w:adjustRightInd w:val="0"/>
      <w:snapToGrid w:val="0"/>
      <w:spacing w:after="120" w:afterLines="0" w:afterAutospacing="0"/>
      <w:ind w:firstLine="540" w:firstLineChars="257"/>
    </w:pPr>
    <w:rPr>
      <w:sz w:val="21"/>
    </w:rPr>
  </w:style>
  <w:style w:type="paragraph" w:customStyle="1" w:styleId="197">
    <w:name w:val="文章正文"/>
    <w:basedOn w:val="1"/>
    <w:uiPriority w:val="0"/>
    <w:pPr>
      <w:ind w:firstLine="560" w:firstLineChars="200"/>
    </w:pPr>
    <w:rPr>
      <w:rFonts w:ascii="仿宋_GB2312" w:hAnsi="宋体" w:eastAsia="仿宋_GB2312"/>
      <w:color w:val="000000"/>
    </w:rPr>
  </w:style>
  <w:style w:type="paragraph" w:customStyle="1" w:styleId="198">
    <w:name w:val="样式 宋体 五号 行距: 单倍行距"/>
    <w:basedOn w:val="1"/>
    <w:uiPriority w:val="0"/>
    <w:pPr>
      <w:adjustRightInd w:val="0"/>
      <w:jc w:val="left"/>
    </w:pPr>
    <w:rPr>
      <w:rFonts w:ascii="宋体" w:hAnsi="宋体"/>
      <w:kern w:val="0"/>
      <w:sz w:val="21"/>
    </w:rPr>
  </w:style>
  <w:style w:type="paragraph" w:customStyle="1" w:styleId="199">
    <w:name w:val="标准正文"/>
    <w:basedOn w:val="23"/>
    <w:uiPriority w:val="0"/>
    <w:pPr>
      <w:spacing w:before="60" w:beforeLines="0" w:beforeAutospacing="0" w:after="60" w:afterLines="0" w:afterAutospacing="0" w:line="360" w:lineRule="auto"/>
      <w:ind w:left="0" w:firstLine="482"/>
    </w:pPr>
    <w:rPr>
      <w:rFonts w:ascii="Arial" w:hAnsi="Arial"/>
      <w:sz w:val="24"/>
    </w:rPr>
  </w:style>
  <w:style w:type="paragraph" w:customStyle="1" w:styleId="200">
    <w:name w:val="表格1"/>
    <w:basedOn w:val="1"/>
    <w:next w:val="1"/>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201">
    <w:name w:val="Figure Description"/>
    <w:next w:val="1"/>
    <w:uiPriority w:val="0"/>
    <w:pPr>
      <w:snapToGrid w:val="0"/>
      <w:spacing w:before="80" w:after="320"/>
      <w:ind w:left="1134"/>
      <w:jc w:val="center"/>
    </w:pPr>
    <w:rPr>
      <w:rFonts w:ascii="Arial" w:hAnsi="Arial" w:eastAsia="黑体"/>
      <w:sz w:val="18"/>
      <w:lang w:val="en-US" w:eastAsia="zh-CN" w:bidi="ar-SA"/>
    </w:rPr>
  </w:style>
  <w:style w:type="paragraph" w:customStyle="1" w:styleId="202">
    <w:name w:val="简单回函地址"/>
    <w:basedOn w:val="1"/>
    <w:uiPriority w:val="0"/>
    <w:pPr>
      <w:adjustRightInd w:val="0"/>
      <w:snapToGrid w:val="0"/>
      <w:spacing w:line="360" w:lineRule="auto"/>
    </w:pPr>
    <w:rPr>
      <w:sz w:val="24"/>
    </w:rPr>
  </w:style>
  <w:style w:type="paragraph" w:customStyle="1" w:styleId="203">
    <w:name w:val="项目"/>
    <w:basedOn w:val="1"/>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204">
    <w:name w:val="样式 样式 首行缩进:  2 字符 + 首行缩进:  2 字符"/>
    <w:basedOn w:val="1"/>
    <w:uiPriority w:val="0"/>
    <w:pPr>
      <w:numPr>
        <w:ilvl w:val="0"/>
        <w:numId w:val="15"/>
      </w:numPr>
      <w:tabs>
        <w:tab w:val="clear" w:pos="1230"/>
      </w:tabs>
      <w:spacing w:line="360" w:lineRule="auto"/>
      <w:ind w:firstLine="480" w:firstLineChars="200"/>
    </w:pPr>
    <w:rPr>
      <w:sz w:val="24"/>
    </w:rPr>
  </w:style>
  <w:style w:type="paragraph" w:customStyle="1" w:styleId="205">
    <w:name w:val="附录3"/>
    <w:basedOn w:val="1"/>
    <w:next w:val="1"/>
    <w:uiPriority w:val="0"/>
    <w:pPr>
      <w:numPr>
        <w:ilvl w:val="2"/>
        <w:numId w:val="0"/>
      </w:numPr>
      <w:tabs>
        <w:tab w:val="left" w:pos="851"/>
      </w:tabs>
      <w:ind w:left="425" w:hanging="425"/>
      <w:outlineLvl w:val="2"/>
    </w:pPr>
    <w:rPr>
      <w:rFonts w:eastAsia="黑体"/>
      <w:b/>
      <w:sz w:val="32"/>
    </w:rPr>
  </w:style>
  <w:style w:type="paragraph" w:customStyle="1" w:styleId="206">
    <w:name w:val="样式1"/>
    <w:basedOn w:val="5"/>
    <w:uiPriority w:val="0"/>
    <w:pPr>
      <w:spacing w:before="500" w:beforeLines="0" w:after="260" w:afterLines="0" w:line="560" w:lineRule="atLeast"/>
    </w:pPr>
  </w:style>
  <w:style w:type="paragraph" w:customStyle="1" w:styleId="207">
    <w:name w:val="样式 标题 6第五层条 + 三号 段前: 0.5 行"/>
    <w:basedOn w:val="7"/>
    <w:uiPriority w:val="0"/>
    <w:pPr>
      <w:widowControl/>
      <w:numPr>
        <w:ilvl w:val="5"/>
        <w:numId w:val="0"/>
      </w:numPr>
      <w:adjustRightInd/>
      <w:snapToGrid/>
      <w:spacing w:before="156" w:beforeLines="50" w:beforeAutospacing="0"/>
      <w:ind w:left="1152" w:hanging="1152"/>
      <w:jc w:val="left"/>
    </w:pPr>
    <w:rPr>
      <w:snapToGrid w:val="0"/>
      <w:kern w:val="24"/>
      <w:sz w:val="28"/>
    </w:rPr>
  </w:style>
  <w:style w:type="paragraph" w:customStyle="1" w:styleId="208">
    <w:name w:val="首行缩进 1"/>
    <w:basedOn w:val="1"/>
    <w:uiPriority w:val="0"/>
    <w:pPr>
      <w:spacing w:after="120" w:afterLines="0" w:afterAutospacing="0" w:line="360" w:lineRule="auto"/>
      <w:ind w:firstLine="200" w:firstLineChars="200"/>
    </w:pPr>
    <w:rPr>
      <w:sz w:val="24"/>
    </w:rPr>
  </w:style>
  <w:style w:type="paragraph" w:customStyle="1" w:styleId="209">
    <w:name w:val="Char Char Char Char Char Char Char"/>
    <w:basedOn w:val="17"/>
    <w:uiPriority w:val="0"/>
    <w:rPr>
      <w:rFonts w:ascii="宋体" w:hAnsi="Tahoma"/>
    </w:rPr>
  </w:style>
  <w:style w:type="paragraph" w:customStyle="1" w:styleId="210">
    <w:name w:val="1"/>
    <w:basedOn w:val="1"/>
    <w:uiPriority w:val="0"/>
    <w:rPr>
      <w:rFonts w:ascii="Tahoma" w:hAnsi="Tahoma"/>
      <w:sz w:val="24"/>
    </w:rPr>
  </w:style>
  <w:style w:type="paragraph" w:customStyle="1" w:styleId="211">
    <w:name w:val="Item List"/>
    <w:uiPriority w:val="0"/>
    <w:pPr>
      <w:numPr>
        <w:ilvl w:val="0"/>
        <w:numId w:val="16"/>
      </w:numPr>
      <w:spacing w:line="300" w:lineRule="auto"/>
      <w:jc w:val="both"/>
    </w:pPr>
    <w:rPr>
      <w:rFonts w:ascii="Arial" w:hAnsi="Arial"/>
      <w:sz w:val="21"/>
      <w:lang w:val="en-US" w:eastAsia="zh-CN" w:bidi="ar-SA"/>
    </w:rPr>
  </w:style>
  <w:style w:type="paragraph" w:customStyle="1" w:styleId="212">
    <w:name w:val="Table Text"/>
    <w:uiPriority w:val="0"/>
    <w:pPr>
      <w:snapToGrid w:val="0"/>
      <w:spacing w:before="80" w:after="80"/>
    </w:pPr>
    <w:rPr>
      <w:rFonts w:ascii="Arial" w:hAnsi="Arial"/>
      <w:kern w:val="2"/>
      <w:sz w:val="18"/>
      <w:lang w:val="en-US" w:eastAsia="zh-CN" w:bidi="ar-SA"/>
    </w:rPr>
  </w:style>
  <w:style w:type="paragraph" w:customStyle="1" w:styleId="213">
    <w:name w:val="00"/>
    <w:basedOn w:val="1"/>
    <w:uiPriority w:val="0"/>
    <w:pPr>
      <w:autoSpaceDE w:val="0"/>
      <w:autoSpaceDN w:val="0"/>
      <w:adjustRightInd w:val="0"/>
      <w:jc w:val="left"/>
    </w:pPr>
    <w:rPr>
      <w:rFonts w:ascii="黑体" w:eastAsia="黑体"/>
      <w:b/>
      <w:kern w:val="0"/>
      <w:sz w:val="20"/>
    </w:rPr>
  </w:style>
  <w:style w:type="paragraph" w:styleId="214">
    <w:name w:val=""/>
    <w:uiPriority w:val="0"/>
    <w:rPr>
      <w:kern w:val="2"/>
      <w:sz w:val="21"/>
      <w:lang w:val="en-US" w:eastAsia="zh-CN" w:bidi="ar-SA"/>
    </w:rPr>
  </w:style>
  <w:style w:type="paragraph" w:customStyle="1" w:styleId="215">
    <w:name w:val=" Char Char 字元 字元 字元 Char Char Char Char"/>
    <w:basedOn w:val="1"/>
    <w:uiPriority w:val="0"/>
    <w:pPr>
      <w:adjustRightInd w:val="0"/>
      <w:spacing w:line="360" w:lineRule="auto"/>
    </w:pPr>
    <w:rPr>
      <w:kern w:val="0"/>
      <w:sz w:val="24"/>
    </w:rPr>
  </w:style>
  <w:style w:type="paragraph" w:customStyle="1" w:styleId="216">
    <w:name w:val="Table Heading"/>
    <w:uiPriority w:val="0"/>
    <w:pPr>
      <w:keepNext/>
      <w:snapToGrid w:val="0"/>
      <w:spacing w:before="80" w:after="80"/>
      <w:jc w:val="center"/>
    </w:pPr>
    <w:rPr>
      <w:rFonts w:ascii="Arial" w:hAnsi="Arial" w:eastAsia="黑体"/>
      <w:sz w:val="18"/>
      <w:lang w:val="en-US" w:eastAsia="zh-CN" w:bidi="ar-SA"/>
    </w:rPr>
  </w:style>
  <w:style w:type="paragraph" w:customStyle="1" w:styleId="217">
    <w:name w:val="表格文本"/>
    <w:uiPriority w:val="0"/>
    <w:pPr>
      <w:tabs>
        <w:tab w:val="decimal" w:pos="0"/>
      </w:tabs>
    </w:pPr>
    <w:rPr>
      <w:rFonts w:ascii="Arial" w:hAnsi="Arial"/>
      <w:sz w:val="21"/>
      <w:lang w:val="en-US" w:eastAsia="zh-CN" w:bidi="ar-SA"/>
    </w:rPr>
  </w:style>
  <w:style w:type="paragraph" w:customStyle="1" w:styleId="218">
    <w:name w:val="图片文字"/>
    <w:basedOn w:val="1"/>
    <w:uiPriority w:val="0"/>
    <w:pPr>
      <w:spacing w:line="240" w:lineRule="atLeast"/>
      <w:jc w:val="center"/>
    </w:pPr>
    <w:rPr>
      <w:sz w:val="21"/>
    </w:rPr>
  </w:style>
  <w:style w:type="paragraph" w:customStyle="1" w:styleId="219">
    <w:name w:val=" Char Char1"/>
    <w:basedOn w:val="1"/>
    <w:uiPriority w:val="0"/>
    <w:pPr>
      <w:widowControl/>
      <w:spacing w:after="160" w:afterLines="0" w:afterAutospacing="0" w:line="240" w:lineRule="exact"/>
      <w:jc w:val="left"/>
    </w:pPr>
    <w:rPr>
      <w:rFonts w:ascii="Verdana" w:hAnsi="Verdana"/>
      <w:kern w:val="0"/>
      <w:sz w:val="20"/>
      <w:lang w:eastAsia="en-US"/>
    </w:rPr>
  </w:style>
  <w:style w:type="paragraph" w:customStyle="1" w:styleId="220">
    <w:name w:val="样式 标题 1章标题Heading 0Section HeadPIM 1H1h11st levell11H1..."/>
    <w:basedOn w:val="2"/>
    <w:uiPriority w:val="0"/>
    <w:pPr>
      <w:keepLines/>
      <w:pageBreakBefore/>
      <w:tabs>
        <w:tab w:val="left" w:pos="432"/>
        <w:tab w:val="clear" w:pos="3360"/>
      </w:tabs>
      <w:autoSpaceDE w:val="0"/>
      <w:autoSpaceDN w:val="0"/>
      <w:adjustRightInd w:val="0"/>
      <w:spacing w:before="340" w:beforeLines="0" w:beforeAutospacing="0" w:after="330" w:afterLines="0" w:afterAutospacing="0" w:line="578" w:lineRule="atLeast"/>
      <w:jc w:val="both"/>
      <w:textAlignment w:val="bottom"/>
    </w:pPr>
    <w:rPr>
      <w:rFonts w:ascii="宋体" w:hAnsi="宋体"/>
      <w:b/>
      <w:kern w:val="44"/>
      <w:sz w:val="36"/>
    </w:rPr>
  </w:style>
  <w:style w:type="paragraph" w:customStyle="1" w:styleId="221">
    <w:name w:val="列出段落2"/>
    <w:basedOn w:val="1"/>
    <w:qFormat/>
    <w:uiPriority w:val="0"/>
    <w:pPr>
      <w:ind w:firstLine="420" w:firstLineChars="200"/>
    </w:pPr>
    <w:rPr>
      <w:rFonts w:ascii="Calibri" w:hAnsi="Calibri" w:eastAsia="宋体" w:cs="宋体"/>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61</Pages>
  <Words>1321</Words>
  <Characters>1407</Characters>
  <Lines>334</Lines>
  <Paragraphs>94</Paragraphs>
  <TotalTime>44</TotalTime>
  <ScaleCrop>false</ScaleCrop>
  <LinksUpToDate>false</LinksUpToDate>
  <CharactersWithSpaces>1601</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2017-09-30T02:01:00Z</dcterms:created>
  <dc:creator>admin</dc:creator>
  <cp:lastModifiedBy>张艳虎</cp:lastModifiedBy>
  <cp:lastPrinted>2025-07-03T11:20:01Z</cp:lastPrinted>
  <dcterms:modified xsi:type="dcterms:W3CDTF">2025-07-04T12:45:55Z</dcterms:modified>
  <dc:title>货物</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0F2B044C30234D39AC5007C8EED96C96_13</vt:lpwstr>
  </property>
  <property fmtid="{D5CDD505-2E9C-101B-9397-08002B2CF9AE}" pid="4" name="KSOTemplateDocerSaveRecord">
    <vt:lpwstr>eyJoZGlkIjoiZTdhZjdkY2RjMDQ1Y2UxNmRhNWQwZjZmMzc0NDJiNzciLCJ1c2VySWQiOiI2MDE5Nzk3NDcifQ==</vt:lpwstr>
  </property>
</Properties>
</file>