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AE7BEB">
      <w:pPr>
        <w:adjustRightInd w:val="0"/>
        <w:spacing w:line="360" w:lineRule="auto"/>
        <w:ind w:firstLine="1280" w:firstLineChars="200"/>
        <w:rPr>
          <w:rFonts w:hint="eastAsia" w:ascii="宋体" w:hAnsi="宋体"/>
          <w:b/>
          <w:bCs/>
          <w:color w:val="auto"/>
          <w:sz w:val="64"/>
          <w:highlight w:val="none"/>
        </w:rPr>
      </w:pPr>
      <w:r>
        <w:rPr>
          <w:rFonts w:ascii="宋体" w:hAnsi="宋体"/>
          <w:b/>
          <w:bCs/>
          <w:color w:val="auto"/>
          <w:sz w:val="64"/>
          <w:highlight w:val="none"/>
        </w:rPr>
        <mc:AlternateContent>
          <mc:Choice Requires="wps">
            <w:drawing>
              <wp:anchor distT="0" distB="0" distL="114300" distR="114300" simplePos="0" relativeHeight="251667456" behindDoc="0" locked="0" layoutInCell="1" hidden="1" allowOverlap="1">
                <wp:simplePos x="0" y="0"/>
                <wp:positionH relativeFrom="column">
                  <wp:posOffset>-127000</wp:posOffset>
                </wp:positionH>
                <wp:positionV relativeFrom="paragraph">
                  <wp:posOffset>127000</wp:posOffset>
                </wp:positionV>
                <wp:extent cx="63500" cy="63500"/>
                <wp:effectExtent l="0" t="0" r="0" b="0"/>
                <wp:wrapNone/>
                <wp:docPr id="6" name="矩形 6" descr="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D36A2AF"/>
                        </w:txbxContent>
                      </wps:txbx>
                      <wps:bodyPr upright="1"/>
                    </wps:wsp>
                  </a:graphicData>
                </a:graphic>
              </wp:anchor>
            </w:drawing>
          </mc:Choice>
          <mc:Fallback>
            <w:pict>
              <v:rect id="_x0000_s1026" o:spid="_x0000_s1026" o:spt="1" alt="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" style="position:absolute;left:0pt;margin-left:-10pt;margin-top:10pt;height:5pt;width:5pt;visibility:hidden;z-index:251667456;mso-width-relative:page;mso-height-relative:page;" fillcolor="#FFFFFF" filled="t" stroked="t" coordsize="21600,21600" o:gfxdata="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">
                <v:fill on="t" focussize="0,0"/>
                <v:stroke color="#000000" joinstyle="miter"/>
                <v:imagedata o:title=""/>
                <o:lock v:ext="edit" aspectratio="f"/>
                <v:textbox>
                  <w:txbxContent>
                    <w:p w14:paraId="4D36A2AF"/>
                  </w:txbxContent>
                </v:textbox>
              </v:rect>
            </w:pict>
          </mc:Fallback>
        </mc:AlternateContent>
      </w:r>
    </w:p>
    <w:p w14:paraId="74C97C1A">
      <w:pPr>
        <w:pStyle w:val="16"/>
        <w:spacing w:line="360" w:lineRule="auto"/>
        <w:jc w:val="center"/>
        <w:rPr>
          <w:rFonts w:hint="eastAsia" w:hAnsi="宋体"/>
          <w:b/>
          <w:bCs/>
          <w:color w:val="auto"/>
          <w:sz w:val="52"/>
          <w:szCs w:val="52"/>
          <w:highlight w:val="none"/>
        </w:rPr>
      </w:pPr>
      <w:r>
        <w:rPr>
          <w:rFonts w:hint="eastAsia" w:hAnsi="宋体"/>
          <w:b/>
          <w:bCs/>
          <w:color w:val="auto"/>
          <w:sz w:val="52"/>
          <w:szCs w:val="52"/>
          <w:highlight w:val="none"/>
        </w:rPr>
        <w:t>云南省省级政府集中采购</w:t>
      </w:r>
    </w:p>
    <w:p w14:paraId="08EF0FA6">
      <w:pPr>
        <w:pStyle w:val="16"/>
        <w:tabs>
          <w:tab w:val="left" w:pos="6235"/>
        </w:tabs>
        <w:spacing w:line="360" w:lineRule="auto"/>
        <w:ind w:firstLine="261"/>
        <w:jc w:val="left"/>
        <w:rPr>
          <w:rFonts w:hint="eastAsia" w:hAnsi="宋体"/>
          <w:b/>
          <w:color w:val="auto"/>
          <w:sz w:val="52"/>
          <w:szCs w:val="44"/>
          <w:highlight w:val="none"/>
        </w:rPr>
      </w:pPr>
      <w:r>
        <w:rPr>
          <w:rFonts w:hint="eastAsia" w:hAnsi="宋体"/>
          <w:b/>
          <w:color w:val="auto"/>
          <w:sz w:val="52"/>
          <w:szCs w:val="44"/>
          <w:highlight w:val="none"/>
        </w:rPr>
        <w:tab/>
      </w:r>
    </w:p>
    <w:p w14:paraId="71AA655C">
      <w:pPr>
        <w:rPr>
          <w:color w:val="auto"/>
          <w:highlight w:val="none"/>
        </w:rPr>
      </w:pPr>
    </w:p>
    <w:p w14:paraId="6B584BE5">
      <w:pPr>
        <w:pStyle w:val="16"/>
        <w:spacing w:line="360" w:lineRule="auto"/>
        <w:ind w:firstLine="422"/>
        <w:jc w:val="center"/>
        <w:rPr>
          <w:rFonts w:hint="eastAsia" w:hAnsi="宋体" w:eastAsia="宋体" w:cs="宋体"/>
          <w:b/>
          <w:bCs/>
          <w:color w:val="auto"/>
          <w:sz w:val="52"/>
          <w:szCs w:val="52"/>
          <w:highlight w:val="none"/>
          <w:lang w:eastAsia="zh-CN"/>
        </w:rPr>
      </w:pPr>
      <w:r>
        <w:rPr>
          <w:rFonts w:hint="eastAsia" w:hAnsi="宋体" w:cs="宋体"/>
          <w:b/>
          <w:bCs/>
          <w:color w:val="auto"/>
          <w:sz w:val="52"/>
          <w:szCs w:val="52"/>
          <w:highlight w:val="none"/>
          <w:lang w:eastAsia="zh-CN"/>
        </w:rPr>
        <w:t>云南技师学院（云南工贸职业技术学院）2026-2029年物业服务项目采购</w:t>
      </w:r>
    </w:p>
    <w:p w14:paraId="4B05DFEC">
      <w:pPr>
        <w:rPr>
          <w:color w:val="auto"/>
          <w:highlight w:val="none"/>
        </w:rPr>
      </w:pPr>
    </w:p>
    <w:p w14:paraId="0D9549ED">
      <w:pPr>
        <w:pStyle w:val="16"/>
        <w:spacing w:line="360" w:lineRule="auto"/>
        <w:ind w:firstLine="422"/>
        <w:jc w:val="center"/>
        <w:rPr>
          <w:rFonts w:hint="eastAsia" w:hAnsi="宋体"/>
          <w:b/>
          <w:bCs/>
          <w:color w:val="auto"/>
          <w:sz w:val="84"/>
          <w:szCs w:val="84"/>
          <w:highlight w:val="none"/>
        </w:rPr>
      </w:pPr>
      <w:r>
        <w:rPr>
          <w:rFonts w:hint="eastAsia" w:hAnsi="宋体"/>
          <w:b/>
          <w:bCs/>
          <w:color w:val="auto"/>
          <w:sz w:val="84"/>
          <w:szCs w:val="84"/>
          <w:highlight w:val="none"/>
        </w:rPr>
        <w:t>招 标 文 件</w:t>
      </w:r>
    </w:p>
    <w:p w14:paraId="63736392">
      <w:pPr>
        <w:pStyle w:val="16"/>
        <w:spacing w:line="360" w:lineRule="auto"/>
        <w:ind w:firstLine="422"/>
        <w:rPr>
          <w:rFonts w:hint="eastAsia" w:hAnsi="宋体"/>
          <w:b/>
          <w:bCs/>
          <w:color w:val="auto"/>
          <w:sz w:val="84"/>
          <w:szCs w:val="84"/>
          <w:highlight w:val="none"/>
        </w:rPr>
      </w:pPr>
    </w:p>
    <w:p w14:paraId="061AC691">
      <w:pPr>
        <w:pStyle w:val="16"/>
        <w:spacing w:line="360" w:lineRule="auto"/>
        <w:ind w:firstLine="105"/>
        <w:rPr>
          <w:rFonts w:hint="eastAsia" w:hAnsi="宋体"/>
          <w:color w:val="auto"/>
          <w:highlight w:val="none"/>
        </w:rPr>
      </w:pPr>
    </w:p>
    <w:p w14:paraId="30BBE81F">
      <w:pPr>
        <w:pStyle w:val="16"/>
        <w:spacing w:line="360" w:lineRule="auto"/>
        <w:ind w:firstLine="161"/>
        <w:jc w:val="center"/>
        <w:rPr>
          <w:rFonts w:hint="eastAsia" w:hAnsi="宋体"/>
          <w:color w:val="auto"/>
          <w:sz w:val="32"/>
          <w:szCs w:val="32"/>
          <w:highlight w:val="none"/>
        </w:rPr>
      </w:pPr>
      <w:r>
        <w:rPr>
          <w:rFonts w:hint="eastAsia" w:hAnsi="宋体" w:cs="宋体"/>
          <w:b/>
          <w:bCs/>
          <w:color w:val="auto"/>
          <w:sz w:val="32"/>
          <w:szCs w:val="32"/>
          <w:highlight w:val="none"/>
        </w:rPr>
        <w:t>招标编号：</w:t>
      </w:r>
      <w:r>
        <w:rPr>
          <w:color w:val="auto"/>
          <w:highlight w:val="none"/>
        </w:rPr>
        <w:fldChar w:fldCharType="begin"/>
      </w:r>
      <w:r>
        <w:rPr>
          <w:color w:val="auto"/>
          <w:highlight w:val="none"/>
        </w:rPr>
        <w:instrText xml:space="preserve"> HYPERLINK "https://www.zcygov.cn/gaea/api/project/flow/redirect?projectId=7319696609837056049&amp;newUrl=https://www.zcygov.cn/micro-app-back-index/blank?_flow_type_=agency&amp;_flow_projectId_=7319696609837056049&amp;_jump_page_type_=project_procurement_management_flow&amp;_app_=zcy.procurement&amp;oldUrl=https://www.zcygov.cn/project-center/_procurement_/project-result-detail/7319696609837056049" \t "https://www.zcygov.cn/project-center/_procurement_/self-project/_blank" </w:instrText>
      </w:r>
      <w:r>
        <w:rPr>
          <w:color w:val="auto"/>
          <w:highlight w:val="none"/>
        </w:rPr>
        <w:fldChar w:fldCharType="separate"/>
      </w:r>
      <w:r>
        <w:rPr>
          <w:rFonts w:hint="eastAsia" w:hAnsi="宋体" w:cs="宋体"/>
          <w:b/>
          <w:bCs/>
          <w:color w:val="auto"/>
          <w:sz w:val="32"/>
          <w:szCs w:val="32"/>
          <w:highlight w:val="none"/>
          <w:lang w:eastAsia="zh-CN"/>
        </w:rPr>
        <w:t>YNZC2026-G3-02247-YNSZ-0114</w:t>
      </w:r>
      <w:r>
        <w:rPr>
          <w:rFonts w:hint="eastAsia" w:hAnsi="宋体" w:cs="宋体"/>
          <w:b/>
          <w:bCs/>
          <w:color w:val="auto"/>
          <w:sz w:val="32"/>
          <w:szCs w:val="32"/>
          <w:highlight w:val="none"/>
        </w:rPr>
        <w:fldChar w:fldCharType="end"/>
      </w:r>
    </w:p>
    <w:p w14:paraId="0E935668">
      <w:pPr>
        <w:pStyle w:val="16"/>
        <w:spacing w:line="360" w:lineRule="auto"/>
        <w:rPr>
          <w:rFonts w:hint="eastAsia" w:hAnsi="宋体"/>
          <w:b/>
          <w:bCs/>
          <w:color w:val="auto"/>
          <w:sz w:val="32"/>
          <w:highlight w:val="none"/>
        </w:rPr>
      </w:pPr>
    </w:p>
    <w:p w14:paraId="4401CED9">
      <w:pPr>
        <w:pStyle w:val="16"/>
        <w:spacing w:line="360" w:lineRule="auto"/>
        <w:ind w:firstLine="161"/>
        <w:jc w:val="center"/>
        <w:rPr>
          <w:rFonts w:hint="eastAsia" w:hAnsi="宋体" w:eastAsia="宋体"/>
          <w:b/>
          <w:bCs/>
          <w:color w:val="auto"/>
          <w:sz w:val="32"/>
          <w:szCs w:val="32"/>
          <w:highlight w:val="none"/>
          <w:lang w:eastAsia="zh-CN"/>
        </w:rPr>
      </w:pPr>
      <w:r>
        <w:rPr>
          <w:rFonts w:hAnsi="宋体"/>
          <w:b/>
          <w:bCs/>
          <w:color w:val="auto"/>
          <w:sz w:val="32"/>
          <w:szCs w:val="32"/>
          <w:highlight w:val="none"/>
        </w:rPr>
        <mc:AlternateContent>
          <mc:Choice Requires="wps">
            <w:drawing>
              <wp:anchor distT="0" distB="0" distL="114300" distR="114300" simplePos="0" relativeHeight="251666432" behindDoc="1" locked="0" layoutInCell="1" hidden="1" allowOverlap="1">
                <wp:simplePos x="0" y="0"/>
                <wp:positionH relativeFrom="column">
                  <wp:posOffset>-3780155</wp:posOffset>
                </wp:positionH>
                <wp:positionV relativeFrom="paragraph">
                  <wp:posOffset>-5346065</wp:posOffset>
                </wp:positionV>
                <wp:extent cx="15120620" cy="20116800"/>
                <wp:effectExtent l="0" t="0" r="0" b="0"/>
                <wp:wrapNone/>
                <wp:docPr id="3" name="矩形 3" hidden="1"/>
                <wp:cNvGraphicFramePr/>
                <a:graphic xmlns:a="http://schemas.openxmlformats.org/drawingml/2006/main">
                  <a:graphicData uri="http://schemas.microsoft.com/office/word/2010/wordprocessingShape">
                    <wps:wsp>
                      <wps:cNvSpPr/>
                      <wps:spPr>
                        <a:xfrm>
                          <a:off x="0" y="0"/>
                          <a:ext cx="15120620" cy="20116800"/>
                        </a:xfrm>
                        <a:prstGeom prst="rect">
                          <a:avLst/>
                        </a:prstGeom>
                        <a:solidFill>
                          <a:srgbClr val="FFFFFF">
                            <a:alpha val="0"/>
                          </a:srgbClr>
                        </a:solidFill>
                        <a:ln w="9525" cap="flat" cmpd="sng">
                          <a:solidFill>
                            <a:srgbClr val="FFFFFF">
                              <a:alpha val="0"/>
                            </a:srgbClr>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297.65pt;margin-top:-420.95pt;height:1584pt;width:1190.6pt;visibility:hidden;z-index:-251650048;mso-width-relative:page;mso-height-relative:page;" fillcolor="#FFFFFF" filled="t" stroked="t" coordsize="21600,21600" o:gfxdata="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vV/FfaAAAADwEAAA8AAAAAAAAA&#10;AQAgAAAAIgAAAGRycy9kb3ducmV2LnhtbFBLAQIUABQAAAAIAIdO4kCuFQ0DDwIAAHQEAAAOAAAA&#10;AAAAAAEAIAAAACkBAABkcnMvZTJvRG9jLnhtbFBLBQYAAAAABgAGAFkBAACqBQAAAAA=&#10;">
                <v:fill on="t" opacity="0f" focussize="0,0"/>
                <v:stroke color="#FFFFFF" opacity="0f" joinstyle="miter"/>
                <v:imagedata o:title=""/>
                <o:lock v:ext="edit" aspectratio="f"/>
              </v:rect>
            </w:pict>
          </mc:Fallback>
        </mc:AlternateContent>
      </w:r>
      <w:r>
        <w:rPr>
          <w:rFonts w:hint="eastAsia" w:hAnsi="宋体"/>
          <w:b/>
          <w:bCs/>
          <w:color w:val="auto"/>
          <w:sz w:val="32"/>
          <w:szCs w:val="32"/>
          <w:highlight w:val="none"/>
        </w:rPr>
        <w:t>采购人：</w:t>
      </w:r>
      <w:r>
        <w:rPr>
          <w:rFonts w:hint="eastAsia" w:hAnsi="宋体"/>
          <w:b/>
          <w:bCs/>
          <w:color w:val="auto"/>
          <w:sz w:val="32"/>
          <w:szCs w:val="32"/>
          <w:highlight w:val="none"/>
          <w:lang w:eastAsia="zh-CN"/>
        </w:rPr>
        <w:t>云南技师学院</w:t>
      </w:r>
    </w:p>
    <w:p w14:paraId="20227681">
      <w:pPr>
        <w:pStyle w:val="16"/>
        <w:spacing w:line="360" w:lineRule="auto"/>
        <w:ind w:firstLine="161"/>
        <w:jc w:val="center"/>
        <w:rPr>
          <w:rFonts w:hint="eastAsia" w:hAnsi="宋体"/>
          <w:b/>
          <w:bCs/>
          <w:color w:val="auto"/>
          <w:sz w:val="32"/>
          <w:szCs w:val="32"/>
          <w:highlight w:val="none"/>
        </w:rPr>
      </w:pPr>
      <w:r>
        <w:rPr>
          <w:rFonts w:hint="eastAsia" w:hAnsi="宋体"/>
          <w:b/>
          <w:bCs/>
          <w:color w:val="auto"/>
          <w:sz w:val="32"/>
          <w:szCs w:val="32"/>
          <w:highlight w:val="none"/>
        </w:rPr>
        <w:t>采购代理机构：云南省政府采购和出让中心</w:t>
      </w:r>
    </w:p>
    <w:p w14:paraId="565D6605">
      <w:pPr>
        <w:pStyle w:val="16"/>
        <w:spacing w:line="360" w:lineRule="auto"/>
        <w:ind w:firstLine="161"/>
        <w:jc w:val="center"/>
        <w:rPr>
          <w:rFonts w:hint="eastAsia" w:hAnsi="宋体"/>
          <w:b/>
          <w:bCs/>
          <w:color w:val="auto"/>
          <w:sz w:val="32"/>
          <w:szCs w:val="32"/>
          <w:highlight w:val="none"/>
        </w:rPr>
      </w:pPr>
      <w:r>
        <w:rPr>
          <w:rFonts w:hint="eastAsia" w:hAnsi="宋体"/>
          <w:b/>
          <w:bCs/>
          <w:color w:val="auto"/>
          <w:sz w:val="32"/>
          <w:szCs w:val="32"/>
          <w:highlight w:val="none"/>
        </w:rPr>
        <w:t>二〇二</w:t>
      </w:r>
      <w:r>
        <w:rPr>
          <w:rFonts w:hint="eastAsia" w:hAnsi="宋体"/>
          <w:b/>
          <w:bCs/>
          <w:color w:val="auto"/>
          <w:sz w:val="32"/>
          <w:szCs w:val="32"/>
          <w:highlight w:val="none"/>
          <w:lang w:val="en-US" w:eastAsia="zh-CN"/>
        </w:rPr>
        <w:t>六</w:t>
      </w:r>
      <w:r>
        <w:rPr>
          <w:rFonts w:hint="eastAsia" w:hAnsi="宋体"/>
          <w:b/>
          <w:bCs/>
          <w:color w:val="auto"/>
          <w:sz w:val="32"/>
          <w:szCs w:val="32"/>
          <w:highlight w:val="none"/>
        </w:rPr>
        <w:t>年</w:t>
      </w:r>
      <w:r>
        <w:rPr>
          <w:rFonts w:hint="eastAsia" w:hAnsi="宋体"/>
          <w:b/>
          <w:bCs/>
          <w:color w:val="auto"/>
          <w:sz w:val="32"/>
          <w:szCs w:val="32"/>
          <w:highlight w:val="none"/>
          <w:lang w:val="en-US" w:eastAsia="zh-CN"/>
        </w:rPr>
        <w:t>五</w:t>
      </w:r>
      <w:r>
        <w:rPr>
          <w:rFonts w:hint="eastAsia" w:hAnsi="宋体"/>
          <w:b/>
          <w:bCs/>
          <w:color w:val="auto"/>
          <w:sz w:val="32"/>
          <w:szCs w:val="32"/>
          <w:highlight w:val="none"/>
        </w:rPr>
        <w:t>月</w:t>
      </w:r>
    </w:p>
    <w:p w14:paraId="2F06F795">
      <w:pPr>
        <w:pStyle w:val="16"/>
        <w:spacing w:line="360" w:lineRule="auto"/>
        <w:jc w:val="center"/>
        <w:rPr>
          <w:rFonts w:hint="eastAsia" w:hAnsi="宋体"/>
          <w:b/>
          <w:color w:val="auto"/>
          <w:sz w:val="44"/>
          <w:highlight w:val="none"/>
        </w:rPr>
        <w:sectPr>
          <w:footerReference r:id="rId6" w:type="first"/>
          <w:headerReference r:id="rId3" w:type="default"/>
          <w:footerReference r:id="rId4" w:type="default"/>
          <w:footerReference r:id="rId5" w:type="even"/>
          <w:pgSz w:w="11906" w:h="16838"/>
          <w:pgMar w:top="1418" w:right="1134" w:bottom="1134" w:left="1418" w:header="779" w:footer="720" w:gutter="0"/>
          <w:pgNumType w:start="0"/>
          <w:cols w:space="720" w:num="1"/>
          <w:titlePg/>
          <w:rtlGutter w:val="1"/>
          <w:docGrid w:type="linesAndChars" w:linePitch="331" w:charSpace="0"/>
        </w:sectPr>
      </w:pPr>
    </w:p>
    <w:p w14:paraId="3AF6A424">
      <w:pPr>
        <w:pStyle w:val="16"/>
        <w:spacing w:line="360" w:lineRule="auto"/>
        <w:jc w:val="center"/>
        <w:rPr>
          <w:rFonts w:hint="eastAsia" w:hAnsi="宋体"/>
          <w:b/>
          <w:color w:val="auto"/>
          <w:sz w:val="36"/>
          <w:szCs w:val="36"/>
          <w:highlight w:val="none"/>
        </w:rPr>
      </w:pPr>
      <w:r>
        <w:rPr>
          <w:rFonts w:hint="eastAsia" w:hAnsi="宋体"/>
          <w:b/>
          <w:color w:val="auto"/>
          <w:sz w:val="36"/>
          <w:szCs w:val="36"/>
          <w:highlight w:val="none"/>
        </w:rPr>
        <w:t>目  录</w:t>
      </w:r>
    </w:p>
    <w:p w14:paraId="7B79B135">
      <w:pPr>
        <w:pStyle w:val="22"/>
        <w:tabs>
          <w:tab w:val="right" w:leader="dot" w:pos="9354"/>
        </w:tabs>
      </w:pPr>
      <w:r>
        <w:rPr>
          <w:rFonts w:ascii="宋体" w:hAnsi="宋体"/>
          <w:color w:val="auto"/>
          <w:highlight w:val="none"/>
        </w:rPr>
        <w:fldChar w:fldCharType="begin"/>
      </w:r>
      <w:r>
        <w:rPr>
          <w:rFonts w:ascii="宋体" w:hAnsi="宋体"/>
          <w:color w:val="auto"/>
          <w:highlight w:val="none"/>
        </w:rPr>
        <w:instrText xml:space="preserve"> TOC \o "1-1" \h \z \t "标题 2,2,标题 3,3"</w:instrText>
      </w:r>
      <w:r>
        <w:rPr>
          <w:rFonts w:ascii="宋体" w:hAnsi="宋体"/>
          <w:color w:val="auto"/>
          <w:highlight w:val="none"/>
        </w:rPr>
        <w:fldChar w:fldCharType="separate"/>
      </w:r>
      <w:r>
        <w:rPr>
          <w:rFonts w:ascii="宋体" w:hAnsi="宋体"/>
          <w:color w:val="auto"/>
          <w:highlight w:val="none"/>
        </w:rPr>
        <w:fldChar w:fldCharType="begin"/>
      </w:r>
      <w:r>
        <w:rPr>
          <w:rFonts w:ascii="宋体" w:hAnsi="宋体"/>
          <w:highlight w:val="none"/>
        </w:rPr>
        <w:instrText xml:space="preserve"> HYPERLINK \l _Toc4805 </w:instrText>
      </w:r>
      <w:r>
        <w:rPr>
          <w:rFonts w:ascii="宋体" w:hAnsi="宋体"/>
          <w:highlight w:val="none"/>
        </w:rPr>
        <w:fldChar w:fldCharType="separate"/>
      </w:r>
      <w:r>
        <w:rPr>
          <w:rFonts w:hint="eastAsia" w:ascii="宋体" w:hAnsi="宋体" w:eastAsia="宋体"/>
          <w:szCs w:val="32"/>
          <w:highlight w:val="none"/>
        </w:rPr>
        <w:t>第一章  投标邀请</w:t>
      </w:r>
      <w:r>
        <w:tab/>
      </w:r>
      <w:r>
        <w:fldChar w:fldCharType="begin"/>
      </w:r>
      <w:r>
        <w:instrText xml:space="preserve"> PAGEREF _Toc4805 \h </w:instrText>
      </w:r>
      <w:r>
        <w:fldChar w:fldCharType="separate"/>
      </w:r>
      <w:r>
        <w:t>4</w:t>
      </w:r>
      <w:r>
        <w:fldChar w:fldCharType="end"/>
      </w:r>
      <w:r>
        <w:rPr>
          <w:rFonts w:ascii="宋体" w:hAnsi="宋体"/>
          <w:color w:val="auto"/>
          <w:highlight w:val="none"/>
        </w:rPr>
        <w:fldChar w:fldCharType="end"/>
      </w:r>
    </w:p>
    <w:p w14:paraId="0F046080">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_Toc19215 </w:instrText>
      </w:r>
      <w:r>
        <w:rPr>
          <w:rFonts w:ascii="宋体" w:hAnsi="宋体"/>
          <w:highlight w:val="none"/>
        </w:rPr>
        <w:fldChar w:fldCharType="separate"/>
      </w:r>
      <w:r>
        <w:rPr>
          <w:rFonts w:hint="eastAsia" w:ascii="宋体" w:hAnsi="宋体" w:eastAsia="宋体" w:cs="宋体"/>
          <w:bCs/>
          <w:kern w:val="2"/>
          <w:szCs w:val="21"/>
          <w:highlight w:val="none"/>
        </w:rPr>
        <w:t>一、项目基本情况</w:t>
      </w:r>
      <w:r>
        <w:tab/>
      </w:r>
      <w:r>
        <w:fldChar w:fldCharType="begin"/>
      </w:r>
      <w:r>
        <w:instrText xml:space="preserve"> PAGEREF _Toc19215 \h </w:instrText>
      </w:r>
      <w:r>
        <w:fldChar w:fldCharType="separate"/>
      </w:r>
      <w:r>
        <w:t>4</w:t>
      </w:r>
      <w:r>
        <w:fldChar w:fldCharType="end"/>
      </w:r>
      <w:r>
        <w:rPr>
          <w:rFonts w:ascii="宋体" w:hAnsi="宋体"/>
          <w:color w:val="auto"/>
          <w:highlight w:val="none"/>
        </w:rPr>
        <w:fldChar w:fldCharType="end"/>
      </w:r>
    </w:p>
    <w:p w14:paraId="0869B67C">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_Toc15792 </w:instrText>
      </w:r>
      <w:r>
        <w:rPr>
          <w:rFonts w:ascii="宋体" w:hAnsi="宋体"/>
          <w:highlight w:val="none"/>
        </w:rPr>
        <w:fldChar w:fldCharType="separate"/>
      </w:r>
      <w:r>
        <w:rPr>
          <w:rFonts w:hint="eastAsia" w:ascii="宋体" w:hAnsi="宋体" w:eastAsia="宋体" w:cs="宋体"/>
          <w:bCs/>
          <w:kern w:val="2"/>
          <w:szCs w:val="21"/>
          <w:highlight w:val="none"/>
        </w:rPr>
        <w:t>二、申请人的资格要求</w:t>
      </w:r>
      <w:r>
        <w:tab/>
      </w:r>
      <w:r>
        <w:fldChar w:fldCharType="begin"/>
      </w:r>
      <w:r>
        <w:instrText xml:space="preserve"> PAGEREF _Toc15792 \h </w:instrText>
      </w:r>
      <w:r>
        <w:fldChar w:fldCharType="separate"/>
      </w:r>
      <w:r>
        <w:t>4</w:t>
      </w:r>
      <w:r>
        <w:fldChar w:fldCharType="end"/>
      </w:r>
      <w:r>
        <w:rPr>
          <w:rFonts w:ascii="宋体" w:hAnsi="宋体"/>
          <w:color w:val="auto"/>
          <w:highlight w:val="none"/>
        </w:rPr>
        <w:fldChar w:fldCharType="end"/>
      </w:r>
    </w:p>
    <w:p w14:paraId="6B3B4B5D">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_Toc5572 </w:instrText>
      </w:r>
      <w:r>
        <w:rPr>
          <w:rFonts w:ascii="宋体" w:hAnsi="宋体"/>
          <w:highlight w:val="none"/>
        </w:rPr>
        <w:fldChar w:fldCharType="separate"/>
      </w:r>
      <w:r>
        <w:rPr>
          <w:rFonts w:hint="eastAsia" w:ascii="宋体" w:hAnsi="宋体" w:eastAsia="宋体" w:cs="宋体"/>
          <w:bCs/>
          <w:kern w:val="2"/>
          <w:szCs w:val="21"/>
          <w:highlight w:val="none"/>
        </w:rPr>
        <w:t>三、获取招标文件</w:t>
      </w:r>
      <w:r>
        <w:tab/>
      </w:r>
      <w:r>
        <w:fldChar w:fldCharType="begin"/>
      </w:r>
      <w:r>
        <w:instrText xml:space="preserve"> PAGEREF _Toc5572 \h </w:instrText>
      </w:r>
      <w:r>
        <w:fldChar w:fldCharType="separate"/>
      </w:r>
      <w:r>
        <w:t>5</w:t>
      </w:r>
      <w:r>
        <w:fldChar w:fldCharType="end"/>
      </w:r>
      <w:r>
        <w:rPr>
          <w:rFonts w:ascii="宋体" w:hAnsi="宋体"/>
          <w:color w:val="auto"/>
          <w:highlight w:val="none"/>
        </w:rPr>
        <w:fldChar w:fldCharType="end"/>
      </w:r>
    </w:p>
    <w:p w14:paraId="43CB3716">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_Toc13908 </w:instrText>
      </w:r>
      <w:r>
        <w:rPr>
          <w:rFonts w:ascii="宋体" w:hAnsi="宋体"/>
          <w:highlight w:val="none"/>
        </w:rPr>
        <w:fldChar w:fldCharType="separate"/>
      </w:r>
      <w:r>
        <w:rPr>
          <w:rFonts w:hint="eastAsia" w:ascii="宋体" w:hAnsi="宋体" w:eastAsia="宋体" w:cs="宋体"/>
          <w:bCs/>
          <w:kern w:val="2"/>
          <w:szCs w:val="21"/>
          <w:highlight w:val="none"/>
        </w:rPr>
        <w:t>四、电子投标文件提交截止时间</w:t>
      </w:r>
      <w:r>
        <w:tab/>
      </w:r>
      <w:r>
        <w:fldChar w:fldCharType="begin"/>
      </w:r>
      <w:r>
        <w:instrText xml:space="preserve"> PAGEREF _Toc13908 \h </w:instrText>
      </w:r>
      <w:r>
        <w:fldChar w:fldCharType="separate"/>
      </w:r>
      <w:r>
        <w:t>5</w:t>
      </w:r>
      <w:r>
        <w:fldChar w:fldCharType="end"/>
      </w:r>
      <w:r>
        <w:rPr>
          <w:rFonts w:ascii="宋体" w:hAnsi="宋体"/>
          <w:color w:val="auto"/>
          <w:highlight w:val="none"/>
        </w:rPr>
        <w:fldChar w:fldCharType="end"/>
      </w:r>
    </w:p>
    <w:p w14:paraId="5CFA3C68">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_Toc28716 </w:instrText>
      </w:r>
      <w:r>
        <w:rPr>
          <w:rFonts w:ascii="宋体" w:hAnsi="宋体"/>
          <w:highlight w:val="none"/>
        </w:rPr>
        <w:fldChar w:fldCharType="separate"/>
      </w:r>
      <w:r>
        <w:rPr>
          <w:rFonts w:hint="eastAsia" w:ascii="宋体" w:hAnsi="宋体" w:eastAsia="宋体" w:cs="宋体"/>
          <w:bCs/>
          <w:kern w:val="2"/>
          <w:szCs w:val="21"/>
          <w:highlight w:val="none"/>
        </w:rPr>
        <w:t>五、公告期限</w:t>
      </w:r>
      <w:r>
        <w:tab/>
      </w:r>
      <w:r>
        <w:fldChar w:fldCharType="begin"/>
      </w:r>
      <w:r>
        <w:instrText xml:space="preserve"> PAGEREF _Toc28716 \h </w:instrText>
      </w:r>
      <w:r>
        <w:fldChar w:fldCharType="separate"/>
      </w:r>
      <w:r>
        <w:t>6</w:t>
      </w:r>
      <w:r>
        <w:fldChar w:fldCharType="end"/>
      </w:r>
      <w:r>
        <w:rPr>
          <w:rFonts w:ascii="宋体" w:hAnsi="宋体"/>
          <w:color w:val="auto"/>
          <w:highlight w:val="none"/>
        </w:rPr>
        <w:fldChar w:fldCharType="end"/>
      </w:r>
    </w:p>
    <w:p w14:paraId="0BD012EF">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_Toc28217 </w:instrText>
      </w:r>
      <w:r>
        <w:rPr>
          <w:rFonts w:ascii="宋体" w:hAnsi="宋体"/>
          <w:highlight w:val="none"/>
        </w:rPr>
        <w:fldChar w:fldCharType="separate"/>
      </w:r>
      <w:r>
        <w:rPr>
          <w:rFonts w:hint="eastAsia" w:ascii="宋体" w:hAnsi="宋体" w:eastAsia="宋体" w:cs="宋体"/>
          <w:bCs/>
          <w:kern w:val="2"/>
          <w:szCs w:val="21"/>
          <w:highlight w:val="none"/>
        </w:rPr>
        <w:t>六、其他补充事宜</w:t>
      </w:r>
      <w:r>
        <w:tab/>
      </w:r>
      <w:r>
        <w:fldChar w:fldCharType="begin"/>
      </w:r>
      <w:r>
        <w:instrText xml:space="preserve"> PAGEREF _Toc28217 \h </w:instrText>
      </w:r>
      <w:r>
        <w:fldChar w:fldCharType="separate"/>
      </w:r>
      <w:r>
        <w:t>6</w:t>
      </w:r>
      <w:r>
        <w:fldChar w:fldCharType="end"/>
      </w:r>
      <w:r>
        <w:rPr>
          <w:rFonts w:ascii="宋体" w:hAnsi="宋体"/>
          <w:color w:val="auto"/>
          <w:highlight w:val="none"/>
        </w:rPr>
        <w:fldChar w:fldCharType="end"/>
      </w:r>
    </w:p>
    <w:p w14:paraId="4173866C">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_Toc14026 </w:instrText>
      </w:r>
      <w:r>
        <w:rPr>
          <w:rFonts w:ascii="宋体" w:hAnsi="宋体"/>
          <w:highlight w:val="none"/>
        </w:rPr>
        <w:fldChar w:fldCharType="separate"/>
      </w:r>
      <w:r>
        <w:rPr>
          <w:rFonts w:hint="eastAsia" w:ascii="宋体" w:hAnsi="宋体" w:eastAsia="宋体" w:cs="宋体"/>
          <w:bCs/>
          <w:kern w:val="2"/>
          <w:szCs w:val="21"/>
          <w:highlight w:val="none"/>
        </w:rPr>
        <w:t>七、凡对本次采购提出询问，请按以下方式联系</w:t>
      </w:r>
      <w:r>
        <w:tab/>
      </w:r>
      <w:r>
        <w:fldChar w:fldCharType="begin"/>
      </w:r>
      <w:r>
        <w:instrText xml:space="preserve"> PAGEREF _Toc14026 \h </w:instrText>
      </w:r>
      <w:r>
        <w:fldChar w:fldCharType="separate"/>
      </w:r>
      <w:r>
        <w:t>7</w:t>
      </w:r>
      <w:r>
        <w:fldChar w:fldCharType="end"/>
      </w:r>
      <w:r>
        <w:rPr>
          <w:rFonts w:ascii="宋体" w:hAnsi="宋体"/>
          <w:color w:val="auto"/>
          <w:highlight w:val="none"/>
        </w:rPr>
        <w:fldChar w:fldCharType="end"/>
      </w:r>
    </w:p>
    <w:p w14:paraId="32C9406F">
      <w:pPr>
        <w:pStyle w:val="22"/>
        <w:tabs>
          <w:tab w:val="right" w:leader="dot" w:pos="9354"/>
        </w:tabs>
      </w:pPr>
      <w:r>
        <w:rPr>
          <w:rFonts w:ascii="宋体" w:hAnsi="宋体"/>
          <w:color w:val="auto"/>
          <w:highlight w:val="none"/>
        </w:rPr>
        <w:fldChar w:fldCharType="begin"/>
      </w:r>
      <w:r>
        <w:rPr>
          <w:rFonts w:ascii="宋体" w:hAnsi="宋体"/>
          <w:highlight w:val="none"/>
        </w:rPr>
        <w:instrText xml:space="preserve"> HYPERLINK \l _Toc1182 </w:instrText>
      </w:r>
      <w:r>
        <w:rPr>
          <w:rFonts w:ascii="宋体" w:hAnsi="宋体"/>
          <w:highlight w:val="none"/>
        </w:rPr>
        <w:fldChar w:fldCharType="separate"/>
      </w:r>
      <w:r>
        <w:rPr>
          <w:rFonts w:hint="eastAsia" w:ascii="宋体" w:hAnsi="宋体" w:eastAsia="宋体"/>
          <w:szCs w:val="32"/>
          <w:highlight w:val="none"/>
        </w:rPr>
        <w:t>第二章  投标人须知</w:t>
      </w:r>
      <w:r>
        <w:tab/>
      </w:r>
      <w:r>
        <w:fldChar w:fldCharType="begin"/>
      </w:r>
      <w:r>
        <w:instrText xml:space="preserve"> PAGEREF _Toc1182 \h </w:instrText>
      </w:r>
      <w:r>
        <w:fldChar w:fldCharType="separate"/>
      </w:r>
      <w:r>
        <w:t>8</w:t>
      </w:r>
      <w:r>
        <w:fldChar w:fldCharType="end"/>
      </w:r>
      <w:r>
        <w:rPr>
          <w:rFonts w:ascii="宋体" w:hAnsi="宋体"/>
          <w:color w:val="auto"/>
          <w:highlight w:val="none"/>
        </w:rPr>
        <w:fldChar w:fldCharType="end"/>
      </w:r>
    </w:p>
    <w:p w14:paraId="735D463D">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_Toc5498 </w:instrText>
      </w:r>
      <w:r>
        <w:rPr>
          <w:rFonts w:ascii="宋体" w:hAnsi="宋体"/>
          <w:highlight w:val="none"/>
        </w:rPr>
        <w:fldChar w:fldCharType="separate"/>
      </w:r>
      <w:r>
        <w:rPr>
          <w:rFonts w:hint="eastAsia" w:ascii="宋体" w:hAnsi="宋体" w:eastAsia="宋体"/>
          <w:szCs w:val="28"/>
          <w:highlight w:val="none"/>
        </w:rPr>
        <w:t>投标人须知前附表</w:t>
      </w:r>
      <w:r>
        <w:tab/>
      </w:r>
      <w:r>
        <w:fldChar w:fldCharType="begin"/>
      </w:r>
      <w:r>
        <w:instrText xml:space="preserve"> PAGEREF _Toc5498 \h </w:instrText>
      </w:r>
      <w:r>
        <w:fldChar w:fldCharType="separate"/>
      </w:r>
      <w:r>
        <w:t>8</w:t>
      </w:r>
      <w:r>
        <w:fldChar w:fldCharType="end"/>
      </w:r>
      <w:r>
        <w:rPr>
          <w:rFonts w:ascii="宋体" w:hAnsi="宋体"/>
          <w:color w:val="auto"/>
          <w:highlight w:val="none"/>
        </w:rPr>
        <w:fldChar w:fldCharType="end"/>
      </w:r>
    </w:p>
    <w:p w14:paraId="3730A35C">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_Toc24844 </w:instrText>
      </w:r>
      <w:r>
        <w:rPr>
          <w:rFonts w:ascii="宋体" w:hAnsi="宋体"/>
          <w:highlight w:val="none"/>
        </w:rPr>
        <w:fldChar w:fldCharType="separate"/>
      </w:r>
      <w:r>
        <w:rPr>
          <w:rFonts w:hint="eastAsia" w:ascii="宋体" w:hAnsi="宋体" w:eastAsia="宋体"/>
          <w:szCs w:val="28"/>
          <w:highlight w:val="none"/>
        </w:rPr>
        <w:t>一、总  则</w:t>
      </w:r>
      <w:r>
        <w:tab/>
      </w:r>
      <w:r>
        <w:fldChar w:fldCharType="begin"/>
      </w:r>
      <w:r>
        <w:instrText xml:space="preserve"> PAGEREF _Toc24844 \h </w:instrText>
      </w:r>
      <w:r>
        <w:fldChar w:fldCharType="separate"/>
      </w:r>
      <w:r>
        <w:t>11</w:t>
      </w:r>
      <w:r>
        <w:fldChar w:fldCharType="end"/>
      </w:r>
      <w:r>
        <w:rPr>
          <w:rFonts w:ascii="宋体" w:hAnsi="宋体"/>
          <w:color w:val="auto"/>
          <w:highlight w:val="none"/>
        </w:rPr>
        <w:fldChar w:fldCharType="end"/>
      </w:r>
    </w:p>
    <w:p w14:paraId="145DDFC0">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_Toc31835 </w:instrText>
      </w:r>
      <w:r>
        <w:rPr>
          <w:rFonts w:ascii="宋体" w:hAnsi="宋体"/>
          <w:highlight w:val="none"/>
        </w:rPr>
        <w:fldChar w:fldCharType="separate"/>
      </w:r>
      <w:r>
        <w:rPr>
          <w:rFonts w:hint="eastAsia" w:ascii="宋体" w:hAnsi="宋体" w:eastAsia="宋体" w:cs="宋体"/>
          <w:szCs w:val="24"/>
        </w:rPr>
        <w:t xml:space="preserve">1. </w:t>
      </w:r>
      <w:r>
        <w:rPr>
          <w:rFonts w:hint="eastAsia" w:ascii="宋体" w:hAnsi="宋体" w:eastAsia="宋体" w:cs="宋体"/>
          <w:szCs w:val="24"/>
          <w:highlight w:val="none"/>
        </w:rPr>
        <w:t>项目概况</w:t>
      </w:r>
      <w:r>
        <w:tab/>
      </w:r>
      <w:r>
        <w:fldChar w:fldCharType="begin"/>
      </w:r>
      <w:r>
        <w:instrText xml:space="preserve"> PAGEREF _Toc31835 \h </w:instrText>
      </w:r>
      <w:r>
        <w:fldChar w:fldCharType="separate"/>
      </w:r>
      <w:r>
        <w:t>11</w:t>
      </w:r>
      <w:r>
        <w:fldChar w:fldCharType="end"/>
      </w:r>
      <w:r>
        <w:rPr>
          <w:rFonts w:ascii="宋体" w:hAnsi="宋体"/>
          <w:color w:val="auto"/>
          <w:highlight w:val="none"/>
        </w:rPr>
        <w:fldChar w:fldCharType="end"/>
      </w:r>
    </w:p>
    <w:p w14:paraId="2FCAC076">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_Toc1802 </w:instrText>
      </w:r>
      <w:r>
        <w:rPr>
          <w:rFonts w:ascii="宋体" w:hAnsi="宋体"/>
          <w:highlight w:val="none"/>
        </w:rPr>
        <w:fldChar w:fldCharType="separate"/>
      </w:r>
      <w:r>
        <w:rPr>
          <w:rFonts w:hint="eastAsia" w:ascii="宋体" w:hAnsi="宋体" w:eastAsia="宋体" w:cs="宋体"/>
          <w:szCs w:val="24"/>
        </w:rPr>
        <w:t xml:space="preserve">2. </w:t>
      </w:r>
      <w:r>
        <w:rPr>
          <w:rFonts w:hint="eastAsia" w:ascii="宋体" w:hAnsi="宋体" w:eastAsia="宋体" w:cs="宋体"/>
          <w:szCs w:val="24"/>
          <w:highlight w:val="none"/>
        </w:rPr>
        <w:t>资金来源</w:t>
      </w:r>
      <w:r>
        <w:tab/>
      </w:r>
      <w:r>
        <w:fldChar w:fldCharType="begin"/>
      </w:r>
      <w:r>
        <w:instrText xml:space="preserve"> PAGEREF _Toc1802 \h </w:instrText>
      </w:r>
      <w:r>
        <w:fldChar w:fldCharType="separate"/>
      </w:r>
      <w:r>
        <w:t>11</w:t>
      </w:r>
      <w:r>
        <w:fldChar w:fldCharType="end"/>
      </w:r>
      <w:r>
        <w:rPr>
          <w:rFonts w:ascii="宋体" w:hAnsi="宋体"/>
          <w:color w:val="auto"/>
          <w:highlight w:val="none"/>
        </w:rPr>
        <w:fldChar w:fldCharType="end"/>
      </w:r>
    </w:p>
    <w:p w14:paraId="20A25C01">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_Toc3347 </w:instrText>
      </w:r>
      <w:r>
        <w:rPr>
          <w:rFonts w:ascii="宋体" w:hAnsi="宋体"/>
          <w:highlight w:val="none"/>
        </w:rPr>
        <w:fldChar w:fldCharType="separate"/>
      </w:r>
      <w:r>
        <w:rPr>
          <w:rFonts w:hint="eastAsia" w:ascii="宋体" w:hAnsi="宋体" w:eastAsia="宋体" w:cs="宋体"/>
          <w:szCs w:val="24"/>
        </w:rPr>
        <w:t xml:space="preserve">3. </w:t>
      </w:r>
      <w:r>
        <w:rPr>
          <w:rFonts w:hint="eastAsia" w:ascii="宋体" w:hAnsi="宋体" w:eastAsia="宋体" w:cs="宋体"/>
          <w:szCs w:val="24"/>
          <w:highlight w:val="none"/>
        </w:rPr>
        <w:t>招标范围及服务期</w:t>
      </w:r>
      <w:r>
        <w:tab/>
      </w:r>
      <w:r>
        <w:fldChar w:fldCharType="begin"/>
      </w:r>
      <w:r>
        <w:instrText xml:space="preserve"> PAGEREF _Toc3347 \h </w:instrText>
      </w:r>
      <w:r>
        <w:fldChar w:fldCharType="separate"/>
      </w:r>
      <w:r>
        <w:t>11</w:t>
      </w:r>
      <w:r>
        <w:fldChar w:fldCharType="end"/>
      </w:r>
      <w:r>
        <w:rPr>
          <w:rFonts w:ascii="宋体" w:hAnsi="宋体"/>
          <w:color w:val="auto"/>
          <w:highlight w:val="none"/>
        </w:rPr>
        <w:fldChar w:fldCharType="end"/>
      </w:r>
    </w:p>
    <w:p w14:paraId="74F0215B">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_Toc5354 </w:instrText>
      </w:r>
      <w:r>
        <w:rPr>
          <w:rFonts w:ascii="宋体" w:hAnsi="宋体"/>
          <w:highlight w:val="none"/>
        </w:rPr>
        <w:fldChar w:fldCharType="separate"/>
      </w:r>
      <w:r>
        <w:rPr>
          <w:rFonts w:hint="eastAsia" w:ascii="宋体" w:hAnsi="宋体" w:eastAsia="宋体" w:cs="宋体"/>
          <w:szCs w:val="24"/>
        </w:rPr>
        <w:t xml:space="preserve">4. </w:t>
      </w:r>
      <w:r>
        <w:rPr>
          <w:rFonts w:hint="eastAsia" w:ascii="宋体" w:hAnsi="宋体" w:eastAsia="宋体" w:cs="宋体"/>
          <w:szCs w:val="24"/>
          <w:highlight w:val="none"/>
        </w:rPr>
        <w:t>合格的投标人</w:t>
      </w:r>
      <w:r>
        <w:tab/>
      </w:r>
      <w:r>
        <w:fldChar w:fldCharType="begin"/>
      </w:r>
      <w:r>
        <w:instrText xml:space="preserve"> PAGEREF _Toc5354 \h </w:instrText>
      </w:r>
      <w:r>
        <w:fldChar w:fldCharType="separate"/>
      </w:r>
      <w:r>
        <w:t>11</w:t>
      </w:r>
      <w:r>
        <w:fldChar w:fldCharType="end"/>
      </w:r>
      <w:r>
        <w:rPr>
          <w:rFonts w:ascii="宋体" w:hAnsi="宋体"/>
          <w:color w:val="auto"/>
          <w:highlight w:val="none"/>
        </w:rPr>
        <w:fldChar w:fldCharType="end"/>
      </w:r>
    </w:p>
    <w:p w14:paraId="29BCF676">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_Toc19203 </w:instrText>
      </w:r>
      <w:r>
        <w:rPr>
          <w:rFonts w:ascii="宋体" w:hAnsi="宋体"/>
          <w:highlight w:val="none"/>
        </w:rPr>
        <w:fldChar w:fldCharType="separate"/>
      </w:r>
      <w:r>
        <w:rPr>
          <w:rFonts w:hint="eastAsia" w:ascii="宋体" w:hAnsi="宋体" w:eastAsia="宋体" w:cs="宋体"/>
          <w:szCs w:val="24"/>
        </w:rPr>
        <w:t xml:space="preserve">5. </w:t>
      </w:r>
      <w:r>
        <w:rPr>
          <w:rFonts w:hint="eastAsia" w:ascii="宋体" w:hAnsi="宋体" w:eastAsia="宋体" w:cs="宋体"/>
          <w:szCs w:val="24"/>
          <w:highlight w:val="none"/>
        </w:rPr>
        <w:t>投标费用</w:t>
      </w:r>
      <w:r>
        <w:tab/>
      </w:r>
      <w:r>
        <w:fldChar w:fldCharType="begin"/>
      </w:r>
      <w:r>
        <w:instrText xml:space="preserve"> PAGEREF _Toc19203 \h </w:instrText>
      </w:r>
      <w:r>
        <w:fldChar w:fldCharType="separate"/>
      </w:r>
      <w:r>
        <w:t>12</w:t>
      </w:r>
      <w:r>
        <w:fldChar w:fldCharType="end"/>
      </w:r>
      <w:r>
        <w:rPr>
          <w:rFonts w:ascii="宋体" w:hAnsi="宋体"/>
          <w:color w:val="auto"/>
          <w:highlight w:val="none"/>
        </w:rPr>
        <w:fldChar w:fldCharType="end"/>
      </w:r>
    </w:p>
    <w:p w14:paraId="3969E7D7">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_Toc11658 </w:instrText>
      </w:r>
      <w:r>
        <w:rPr>
          <w:rFonts w:ascii="宋体" w:hAnsi="宋体"/>
          <w:highlight w:val="none"/>
        </w:rPr>
        <w:fldChar w:fldCharType="separate"/>
      </w:r>
      <w:r>
        <w:rPr>
          <w:rFonts w:hint="eastAsia" w:ascii="宋体" w:hAnsi="宋体" w:eastAsia="宋体" w:cs="宋体"/>
          <w:szCs w:val="24"/>
        </w:rPr>
        <w:t xml:space="preserve">6. </w:t>
      </w:r>
      <w:r>
        <w:rPr>
          <w:rFonts w:hint="eastAsia" w:ascii="宋体" w:hAnsi="宋体" w:eastAsia="宋体" w:cs="宋体"/>
          <w:szCs w:val="24"/>
          <w:highlight w:val="none"/>
        </w:rPr>
        <w:t>质疑</w:t>
      </w:r>
      <w:r>
        <w:tab/>
      </w:r>
      <w:r>
        <w:fldChar w:fldCharType="begin"/>
      </w:r>
      <w:r>
        <w:instrText xml:space="preserve"> PAGEREF _Toc11658 \h </w:instrText>
      </w:r>
      <w:r>
        <w:fldChar w:fldCharType="separate"/>
      </w:r>
      <w:r>
        <w:t>12</w:t>
      </w:r>
      <w:r>
        <w:fldChar w:fldCharType="end"/>
      </w:r>
      <w:r>
        <w:rPr>
          <w:rFonts w:ascii="宋体" w:hAnsi="宋体"/>
          <w:color w:val="auto"/>
          <w:highlight w:val="none"/>
        </w:rPr>
        <w:fldChar w:fldCharType="end"/>
      </w:r>
    </w:p>
    <w:p w14:paraId="2FB4EE37">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_Toc28274 </w:instrText>
      </w:r>
      <w:r>
        <w:rPr>
          <w:rFonts w:ascii="宋体" w:hAnsi="宋体"/>
          <w:highlight w:val="none"/>
        </w:rPr>
        <w:fldChar w:fldCharType="separate"/>
      </w:r>
      <w:r>
        <w:rPr>
          <w:rFonts w:hint="eastAsia" w:ascii="宋体" w:hAnsi="宋体" w:eastAsia="宋体" w:cs="宋体"/>
          <w:szCs w:val="24"/>
        </w:rPr>
        <w:t xml:space="preserve">7. </w:t>
      </w:r>
      <w:r>
        <w:rPr>
          <w:rFonts w:hint="eastAsia" w:ascii="宋体" w:hAnsi="宋体" w:eastAsia="宋体" w:cs="宋体"/>
          <w:szCs w:val="24"/>
          <w:highlight w:val="none"/>
        </w:rPr>
        <w:t>投诉</w:t>
      </w:r>
      <w:r>
        <w:tab/>
      </w:r>
      <w:r>
        <w:fldChar w:fldCharType="begin"/>
      </w:r>
      <w:r>
        <w:instrText xml:space="preserve"> PAGEREF _Toc28274 \h </w:instrText>
      </w:r>
      <w:r>
        <w:fldChar w:fldCharType="separate"/>
      </w:r>
      <w:r>
        <w:t>13</w:t>
      </w:r>
      <w:r>
        <w:fldChar w:fldCharType="end"/>
      </w:r>
      <w:r>
        <w:rPr>
          <w:rFonts w:ascii="宋体" w:hAnsi="宋体"/>
          <w:color w:val="auto"/>
          <w:highlight w:val="none"/>
        </w:rPr>
        <w:fldChar w:fldCharType="end"/>
      </w:r>
    </w:p>
    <w:p w14:paraId="514B7C61">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_Toc19827 </w:instrText>
      </w:r>
      <w:r>
        <w:rPr>
          <w:rFonts w:ascii="宋体" w:hAnsi="宋体"/>
          <w:highlight w:val="none"/>
        </w:rPr>
        <w:fldChar w:fldCharType="separate"/>
      </w:r>
      <w:r>
        <w:rPr>
          <w:rFonts w:hint="eastAsia" w:ascii="宋体" w:hAnsi="宋体" w:eastAsia="宋体"/>
          <w:szCs w:val="28"/>
          <w:highlight w:val="none"/>
        </w:rPr>
        <w:t>二、招标文件</w:t>
      </w:r>
      <w:r>
        <w:tab/>
      </w:r>
      <w:r>
        <w:fldChar w:fldCharType="begin"/>
      </w:r>
      <w:r>
        <w:instrText xml:space="preserve"> PAGEREF _Toc19827 \h </w:instrText>
      </w:r>
      <w:r>
        <w:fldChar w:fldCharType="separate"/>
      </w:r>
      <w:r>
        <w:t>13</w:t>
      </w:r>
      <w:r>
        <w:fldChar w:fldCharType="end"/>
      </w:r>
      <w:r>
        <w:rPr>
          <w:rFonts w:ascii="宋体" w:hAnsi="宋体"/>
          <w:color w:val="auto"/>
          <w:highlight w:val="none"/>
        </w:rPr>
        <w:fldChar w:fldCharType="end"/>
      </w:r>
    </w:p>
    <w:p w14:paraId="6FA1B387">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_Toc31158 </w:instrText>
      </w:r>
      <w:r>
        <w:rPr>
          <w:rFonts w:ascii="宋体" w:hAnsi="宋体"/>
          <w:highlight w:val="none"/>
        </w:rPr>
        <w:fldChar w:fldCharType="separate"/>
      </w:r>
      <w:r>
        <w:rPr>
          <w:rFonts w:hint="eastAsia" w:ascii="宋体" w:hAnsi="宋体" w:eastAsia="宋体" w:cs="宋体"/>
          <w:szCs w:val="24"/>
        </w:rPr>
        <w:t xml:space="preserve">8. </w:t>
      </w:r>
      <w:r>
        <w:rPr>
          <w:rFonts w:hint="eastAsia" w:ascii="宋体" w:hAnsi="宋体" w:eastAsia="宋体" w:cs="宋体"/>
          <w:szCs w:val="24"/>
          <w:highlight w:val="none"/>
        </w:rPr>
        <w:t>招标文件构成</w:t>
      </w:r>
      <w:r>
        <w:tab/>
      </w:r>
      <w:r>
        <w:fldChar w:fldCharType="begin"/>
      </w:r>
      <w:r>
        <w:instrText xml:space="preserve"> PAGEREF _Toc31158 \h </w:instrText>
      </w:r>
      <w:r>
        <w:fldChar w:fldCharType="separate"/>
      </w:r>
      <w:r>
        <w:t>13</w:t>
      </w:r>
      <w:r>
        <w:fldChar w:fldCharType="end"/>
      </w:r>
      <w:r>
        <w:rPr>
          <w:rFonts w:ascii="宋体" w:hAnsi="宋体"/>
          <w:color w:val="auto"/>
          <w:highlight w:val="none"/>
        </w:rPr>
        <w:fldChar w:fldCharType="end"/>
      </w:r>
    </w:p>
    <w:p w14:paraId="2002C08A">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_Toc19917 </w:instrText>
      </w:r>
      <w:r>
        <w:rPr>
          <w:rFonts w:ascii="宋体" w:hAnsi="宋体"/>
          <w:highlight w:val="none"/>
        </w:rPr>
        <w:fldChar w:fldCharType="separate"/>
      </w:r>
      <w:r>
        <w:rPr>
          <w:rFonts w:hint="eastAsia" w:ascii="宋体" w:hAnsi="宋体" w:eastAsia="宋体" w:cs="宋体"/>
          <w:szCs w:val="24"/>
        </w:rPr>
        <w:t xml:space="preserve">9. </w:t>
      </w:r>
      <w:r>
        <w:rPr>
          <w:rFonts w:hint="eastAsia" w:ascii="宋体" w:hAnsi="宋体" w:eastAsia="宋体" w:cs="宋体"/>
          <w:szCs w:val="24"/>
          <w:highlight w:val="none"/>
        </w:rPr>
        <w:t>招标文件的澄清</w:t>
      </w:r>
      <w:r>
        <w:tab/>
      </w:r>
      <w:r>
        <w:fldChar w:fldCharType="begin"/>
      </w:r>
      <w:r>
        <w:instrText xml:space="preserve"> PAGEREF _Toc19917 \h </w:instrText>
      </w:r>
      <w:r>
        <w:fldChar w:fldCharType="separate"/>
      </w:r>
      <w:r>
        <w:t>13</w:t>
      </w:r>
      <w:r>
        <w:fldChar w:fldCharType="end"/>
      </w:r>
      <w:r>
        <w:rPr>
          <w:rFonts w:ascii="宋体" w:hAnsi="宋体"/>
          <w:color w:val="auto"/>
          <w:highlight w:val="none"/>
        </w:rPr>
        <w:fldChar w:fldCharType="end"/>
      </w:r>
    </w:p>
    <w:p w14:paraId="1A922BF5">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_Toc26840 </w:instrText>
      </w:r>
      <w:r>
        <w:rPr>
          <w:rFonts w:ascii="宋体" w:hAnsi="宋体"/>
          <w:highlight w:val="none"/>
        </w:rPr>
        <w:fldChar w:fldCharType="separate"/>
      </w:r>
      <w:r>
        <w:rPr>
          <w:rFonts w:hint="eastAsia" w:ascii="宋体" w:hAnsi="宋体" w:eastAsia="宋体" w:cs="宋体"/>
          <w:szCs w:val="24"/>
        </w:rPr>
        <w:t xml:space="preserve">10. </w:t>
      </w:r>
      <w:r>
        <w:rPr>
          <w:rFonts w:hint="eastAsia" w:ascii="宋体" w:hAnsi="宋体" w:eastAsia="宋体" w:cs="宋体"/>
          <w:szCs w:val="24"/>
          <w:highlight w:val="none"/>
        </w:rPr>
        <w:t>招标文件的修改</w:t>
      </w:r>
      <w:r>
        <w:tab/>
      </w:r>
      <w:r>
        <w:fldChar w:fldCharType="begin"/>
      </w:r>
      <w:r>
        <w:instrText xml:space="preserve"> PAGEREF _Toc26840 \h </w:instrText>
      </w:r>
      <w:r>
        <w:fldChar w:fldCharType="separate"/>
      </w:r>
      <w:r>
        <w:t>13</w:t>
      </w:r>
      <w:r>
        <w:fldChar w:fldCharType="end"/>
      </w:r>
      <w:r>
        <w:rPr>
          <w:rFonts w:ascii="宋体" w:hAnsi="宋体"/>
          <w:color w:val="auto"/>
          <w:highlight w:val="none"/>
        </w:rPr>
        <w:fldChar w:fldCharType="end"/>
      </w:r>
    </w:p>
    <w:p w14:paraId="779911A9">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_Toc11252 </w:instrText>
      </w:r>
      <w:r>
        <w:rPr>
          <w:rFonts w:ascii="宋体" w:hAnsi="宋体"/>
          <w:highlight w:val="none"/>
        </w:rPr>
        <w:fldChar w:fldCharType="separate"/>
      </w:r>
      <w:r>
        <w:rPr>
          <w:rFonts w:hint="eastAsia" w:ascii="宋体" w:hAnsi="宋体" w:eastAsia="宋体"/>
          <w:szCs w:val="28"/>
          <w:highlight w:val="none"/>
        </w:rPr>
        <w:t>三、投标文件的编制</w:t>
      </w:r>
      <w:r>
        <w:tab/>
      </w:r>
      <w:r>
        <w:fldChar w:fldCharType="begin"/>
      </w:r>
      <w:r>
        <w:instrText xml:space="preserve"> PAGEREF _Toc11252 \h </w:instrText>
      </w:r>
      <w:r>
        <w:fldChar w:fldCharType="separate"/>
      </w:r>
      <w:r>
        <w:t>14</w:t>
      </w:r>
      <w:r>
        <w:fldChar w:fldCharType="end"/>
      </w:r>
      <w:r>
        <w:rPr>
          <w:rFonts w:ascii="宋体" w:hAnsi="宋体"/>
          <w:color w:val="auto"/>
          <w:highlight w:val="none"/>
        </w:rPr>
        <w:fldChar w:fldCharType="end"/>
      </w:r>
    </w:p>
    <w:p w14:paraId="367455E2">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_Toc22360 </w:instrText>
      </w:r>
      <w:r>
        <w:rPr>
          <w:rFonts w:ascii="宋体" w:hAnsi="宋体"/>
          <w:highlight w:val="none"/>
        </w:rPr>
        <w:fldChar w:fldCharType="separate"/>
      </w:r>
      <w:r>
        <w:rPr>
          <w:rFonts w:hint="eastAsia" w:ascii="宋体" w:hAnsi="宋体" w:eastAsia="宋体" w:cs="宋体"/>
          <w:szCs w:val="24"/>
        </w:rPr>
        <w:t xml:space="preserve">11. </w:t>
      </w:r>
      <w:r>
        <w:rPr>
          <w:rFonts w:hint="eastAsia" w:ascii="宋体" w:hAnsi="宋体" w:eastAsia="宋体" w:cs="宋体"/>
          <w:szCs w:val="24"/>
          <w:highlight w:val="none"/>
        </w:rPr>
        <w:t>投标文件编写注意事项</w:t>
      </w:r>
      <w:r>
        <w:tab/>
      </w:r>
      <w:r>
        <w:fldChar w:fldCharType="begin"/>
      </w:r>
      <w:r>
        <w:instrText xml:space="preserve"> PAGEREF _Toc22360 \h </w:instrText>
      </w:r>
      <w:r>
        <w:fldChar w:fldCharType="separate"/>
      </w:r>
      <w:r>
        <w:t>14</w:t>
      </w:r>
      <w:r>
        <w:fldChar w:fldCharType="end"/>
      </w:r>
      <w:r>
        <w:rPr>
          <w:rFonts w:ascii="宋体" w:hAnsi="宋体"/>
          <w:color w:val="auto"/>
          <w:highlight w:val="none"/>
        </w:rPr>
        <w:fldChar w:fldCharType="end"/>
      </w:r>
    </w:p>
    <w:p w14:paraId="44A77C1A">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_Toc8885 </w:instrText>
      </w:r>
      <w:r>
        <w:rPr>
          <w:rFonts w:ascii="宋体" w:hAnsi="宋体"/>
          <w:highlight w:val="none"/>
        </w:rPr>
        <w:fldChar w:fldCharType="separate"/>
      </w:r>
      <w:r>
        <w:rPr>
          <w:rFonts w:hint="eastAsia" w:ascii="宋体" w:hAnsi="宋体" w:eastAsia="宋体" w:cs="宋体"/>
          <w:szCs w:val="24"/>
        </w:rPr>
        <w:t xml:space="preserve">12. </w:t>
      </w:r>
      <w:r>
        <w:rPr>
          <w:rFonts w:hint="eastAsia" w:ascii="宋体" w:hAnsi="宋体" w:eastAsia="宋体" w:cs="宋体"/>
          <w:szCs w:val="24"/>
          <w:highlight w:val="none"/>
        </w:rPr>
        <w:t>投标的语言及计量单位</w:t>
      </w:r>
      <w:r>
        <w:tab/>
      </w:r>
      <w:r>
        <w:fldChar w:fldCharType="begin"/>
      </w:r>
      <w:r>
        <w:instrText xml:space="preserve"> PAGEREF _Toc8885 \h </w:instrText>
      </w:r>
      <w:r>
        <w:fldChar w:fldCharType="separate"/>
      </w:r>
      <w:r>
        <w:t>14</w:t>
      </w:r>
      <w:r>
        <w:fldChar w:fldCharType="end"/>
      </w:r>
      <w:r>
        <w:rPr>
          <w:rFonts w:ascii="宋体" w:hAnsi="宋体"/>
          <w:color w:val="auto"/>
          <w:highlight w:val="none"/>
        </w:rPr>
        <w:fldChar w:fldCharType="end"/>
      </w:r>
    </w:p>
    <w:p w14:paraId="1A61B58F">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_Toc5359 </w:instrText>
      </w:r>
      <w:r>
        <w:rPr>
          <w:rFonts w:ascii="宋体" w:hAnsi="宋体"/>
          <w:highlight w:val="none"/>
        </w:rPr>
        <w:fldChar w:fldCharType="separate"/>
      </w:r>
      <w:r>
        <w:rPr>
          <w:rFonts w:hint="eastAsia" w:ascii="宋体" w:hAnsi="宋体" w:eastAsia="宋体" w:cs="宋体"/>
          <w:szCs w:val="24"/>
        </w:rPr>
        <w:t xml:space="preserve">13. </w:t>
      </w:r>
      <w:r>
        <w:rPr>
          <w:rFonts w:hint="eastAsia" w:ascii="宋体" w:hAnsi="宋体" w:eastAsia="宋体" w:cs="宋体"/>
          <w:szCs w:val="24"/>
          <w:highlight w:val="none"/>
        </w:rPr>
        <w:t>投标文件构成</w:t>
      </w:r>
      <w:r>
        <w:tab/>
      </w:r>
      <w:r>
        <w:fldChar w:fldCharType="begin"/>
      </w:r>
      <w:r>
        <w:instrText xml:space="preserve"> PAGEREF _Toc5359 \h </w:instrText>
      </w:r>
      <w:r>
        <w:fldChar w:fldCharType="separate"/>
      </w:r>
      <w:r>
        <w:t>14</w:t>
      </w:r>
      <w:r>
        <w:fldChar w:fldCharType="end"/>
      </w:r>
      <w:r>
        <w:rPr>
          <w:rFonts w:ascii="宋体" w:hAnsi="宋体"/>
          <w:color w:val="auto"/>
          <w:highlight w:val="none"/>
        </w:rPr>
        <w:fldChar w:fldCharType="end"/>
      </w:r>
    </w:p>
    <w:p w14:paraId="7552BE35">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_Toc19072 </w:instrText>
      </w:r>
      <w:r>
        <w:rPr>
          <w:rFonts w:ascii="宋体" w:hAnsi="宋体"/>
          <w:highlight w:val="none"/>
        </w:rPr>
        <w:fldChar w:fldCharType="separate"/>
      </w:r>
      <w:r>
        <w:rPr>
          <w:rFonts w:hint="eastAsia" w:ascii="宋体" w:hAnsi="宋体" w:eastAsia="宋体" w:cs="宋体"/>
          <w:szCs w:val="24"/>
        </w:rPr>
        <w:t xml:space="preserve">14. </w:t>
      </w:r>
      <w:r>
        <w:rPr>
          <w:rFonts w:hint="eastAsia" w:ascii="宋体" w:hAnsi="宋体" w:eastAsia="宋体" w:cs="宋体"/>
          <w:szCs w:val="24"/>
          <w:highlight w:val="none"/>
        </w:rPr>
        <w:t>投标文件的格式要求</w:t>
      </w:r>
      <w:r>
        <w:tab/>
      </w:r>
      <w:r>
        <w:fldChar w:fldCharType="begin"/>
      </w:r>
      <w:r>
        <w:instrText xml:space="preserve"> PAGEREF _Toc19072 \h </w:instrText>
      </w:r>
      <w:r>
        <w:fldChar w:fldCharType="separate"/>
      </w:r>
      <w:r>
        <w:t>15</w:t>
      </w:r>
      <w:r>
        <w:fldChar w:fldCharType="end"/>
      </w:r>
      <w:r>
        <w:rPr>
          <w:rFonts w:ascii="宋体" w:hAnsi="宋体"/>
          <w:color w:val="auto"/>
          <w:highlight w:val="none"/>
        </w:rPr>
        <w:fldChar w:fldCharType="end"/>
      </w:r>
    </w:p>
    <w:p w14:paraId="28205778">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_Toc10627 </w:instrText>
      </w:r>
      <w:r>
        <w:rPr>
          <w:rFonts w:ascii="宋体" w:hAnsi="宋体"/>
          <w:highlight w:val="none"/>
        </w:rPr>
        <w:fldChar w:fldCharType="separate"/>
      </w:r>
      <w:r>
        <w:rPr>
          <w:rFonts w:hint="eastAsia" w:ascii="宋体" w:hAnsi="宋体" w:eastAsia="宋体" w:cs="宋体"/>
          <w:szCs w:val="24"/>
        </w:rPr>
        <w:t xml:space="preserve">15. </w:t>
      </w:r>
      <w:r>
        <w:rPr>
          <w:rFonts w:hint="eastAsia" w:ascii="宋体" w:hAnsi="宋体" w:eastAsia="宋体" w:cs="宋体"/>
          <w:szCs w:val="24"/>
          <w:highlight w:val="none"/>
        </w:rPr>
        <w:t>投标报价</w:t>
      </w:r>
      <w:r>
        <w:tab/>
      </w:r>
      <w:r>
        <w:fldChar w:fldCharType="begin"/>
      </w:r>
      <w:r>
        <w:instrText xml:space="preserve"> PAGEREF _Toc10627 \h </w:instrText>
      </w:r>
      <w:r>
        <w:fldChar w:fldCharType="separate"/>
      </w:r>
      <w:r>
        <w:t>15</w:t>
      </w:r>
      <w:r>
        <w:fldChar w:fldCharType="end"/>
      </w:r>
      <w:r>
        <w:rPr>
          <w:rFonts w:ascii="宋体" w:hAnsi="宋体"/>
          <w:color w:val="auto"/>
          <w:highlight w:val="none"/>
        </w:rPr>
        <w:fldChar w:fldCharType="end"/>
      </w:r>
    </w:p>
    <w:p w14:paraId="6F48BF78">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_Toc24587 </w:instrText>
      </w:r>
      <w:r>
        <w:rPr>
          <w:rFonts w:ascii="宋体" w:hAnsi="宋体"/>
          <w:highlight w:val="none"/>
        </w:rPr>
        <w:fldChar w:fldCharType="separate"/>
      </w:r>
      <w:r>
        <w:rPr>
          <w:rFonts w:hint="eastAsia" w:ascii="宋体" w:hAnsi="宋体" w:eastAsia="宋体" w:cs="宋体"/>
          <w:szCs w:val="24"/>
        </w:rPr>
        <w:t xml:space="preserve">16. </w:t>
      </w:r>
      <w:r>
        <w:rPr>
          <w:rFonts w:hint="eastAsia" w:ascii="宋体" w:hAnsi="宋体" w:eastAsia="宋体" w:cs="宋体"/>
          <w:szCs w:val="24"/>
          <w:highlight w:val="none"/>
        </w:rPr>
        <w:t>投标货币</w:t>
      </w:r>
      <w:r>
        <w:tab/>
      </w:r>
      <w:r>
        <w:fldChar w:fldCharType="begin"/>
      </w:r>
      <w:r>
        <w:instrText xml:space="preserve"> PAGEREF _Toc24587 \h </w:instrText>
      </w:r>
      <w:r>
        <w:fldChar w:fldCharType="separate"/>
      </w:r>
      <w:r>
        <w:t>15</w:t>
      </w:r>
      <w:r>
        <w:fldChar w:fldCharType="end"/>
      </w:r>
      <w:r>
        <w:rPr>
          <w:rFonts w:ascii="宋体" w:hAnsi="宋体"/>
          <w:color w:val="auto"/>
          <w:highlight w:val="none"/>
        </w:rPr>
        <w:fldChar w:fldCharType="end"/>
      </w:r>
    </w:p>
    <w:p w14:paraId="7222DEEC">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_Toc2477 </w:instrText>
      </w:r>
      <w:r>
        <w:rPr>
          <w:rFonts w:ascii="宋体" w:hAnsi="宋体"/>
          <w:highlight w:val="none"/>
        </w:rPr>
        <w:fldChar w:fldCharType="separate"/>
      </w:r>
      <w:r>
        <w:rPr>
          <w:rFonts w:hint="eastAsia" w:ascii="宋体" w:hAnsi="宋体" w:eastAsia="宋体" w:cs="宋体"/>
          <w:szCs w:val="24"/>
        </w:rPr>
        <w:t xml:space="preserve">17. </w:t>
      </w:r>
      <w:r>
        <w:rPr>
          <w:rFonts w:hint="eastAsia" w:ascii="宋体" w:hAnsi="宋体" w:eastAsia="宋体" w:cs="宋体"/>
          <w:szCs w:val="24"/>
          <w:highlight w:val="none"/>
        </w:rPr>
        <w:t>投标有效期</w:t>
      </w:r>
      <w:r>
        <w:tab/>
      </w:r>
      <w:r>
        <w:fldChar w:fldCharType="begin"/>
      </w:r>
      <w:r>
        <w:instrText xml:space="preserve"> PAGEREF _Toc2477 \h </w:instrText>
      </w:r>
      <w:r>
        <w:fldChar w:fldCharType="separate"/>
      </w:r>
      <w:r>
        <w:t>15</w:t>
      </w:r>
      <w:r>
        <w:fldChar w:fldCharType="end"/>
      </w:r>
      <w:r>
        <w:rPr>
          <w:rFonts w:ascii="宋体" w:hAnsi="宋体"/>
          <w:color w:val="auto"/>
          <w:highlight w:val="none"/>
        </w:rPr>
        <w:fldChar w:fldCharType="end"/>
      </w:r>
    </w:p>
    <w:p w14:paraId="5A4409DF">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_Toc3394 </w:instrText>
      </w:r>
      <w:r>
        <w:rPr>
          <w:rFonts w:ascii="宋体" w:hAnsi="宋体"/>
          <w:highlight w:val="none"/>
        </w:rPr>
        <w:fldChar w:fldCharType="separate"/>
      </w:r>
      <w:r>
        <w:rPr>
          <w:rFonts w:hint="eastAsia" w:ascii="宋体" w:hAnsi="宋体" w:eastAsia="宋体" w:cs="宋体"/>
          <w:szCs w:val="24"/>
        </w:rPr>
        <w:t xml:space="preserve">18. </w:t>
      </w:r>
      <w:r>
        <w:rPr>
          <w:rFonts w:hint="eastAsia" w:ascii="宋体" w:hAnsi="宋体" w:eastAsia="宋体" w:cs="宋体"/>
          <w:szCs w:val="24"/>
          <w:highlight w:val="none"/>
        </w:rPr>
        <w:t>投标文件的签署要求</w:t>
      </w:r>
      <w:r>
        <w:tab/>
      </w:r>
      <w:r>
        <w:fldChar w:fldCharType="begin"/>
      </w:r>
      <w:r>
        <w:instrText xml:space="preserve"> PAGEREF _Toc3394 \h </w:instrText>
      </w:r>
      <w:r>
        <w:fldChar w:fldCharType="separate"/>
      </w:r>
      <w:r>
        <w:t>15</w:t>
      </w:r>
      <w:r>
        <w:fldChar w:fldCharType="end"/>
      </w:r>
      <w:r>
        <w:rPr>
          <w:rFonts w:ascii="宋体" w:hAnsi="宋体"/>
          <w:color w:val="auto"/>
          <w:highlight w:val="none"/>
        </w:rPr>
        <w:fldChar w:fldCharType="end"/>
      </w:r>
    </w:p>
    <w:p w14:paraId="33A2EAEC">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_Toc2180 </w:instrText>
      </w:r>
      <w:r>
        <w:rPr>
          <w:rFonts w:ascii="宋体" w:hAnsi="宋体"/>
          <w:highlight w:val="none"/>
        </w:rPr>
        <w:fldChar w:fldCharType="separate"/>
      </w:r>
      <w:r>
        <w:rPr>
          <w:rFonts w:hint="eastAsia" w:ascii="宋体" w:hAnsi="宋体" w:eastAsia="宋体"/>
          <w:szCs w:val="28"/>
          <w:highlight w:val="none"/>
        </w:rPr>
        <w:t>四、投标文件的提交</w:t>
      </w:r>
      <w:r>
        <w:tab/>
      </w:r>
      <w:r>
        <w:fldChar w:fldCharType="begin"/>
      </w:r>
      <w:r>
        <w:instrText xml:space="preserve"> PAGEREF _Toc2180 \h </w:instrText>
      </w:r>
      <w:r>
        <w:fldChar w:fldCharType="separate"/>
      </w:r>
      <w:r>
        <w:t>16</w:t>
      </w:r>
      <w:r>
        <w:fldChar w:fldCharType="end"/>
      </w:r>
      <w:r>
        <w:rPr>
          <w:rFonts w:ascii="宋体" w:hAnsi="宋体"/>
          <w:color w:val="auto"/>
          <w:highlight w:val="none"/>
        </w:rPr>
        <w:fldChar w:fldCharType="end"/>
      </w:r>
    </w:p>
    <w:p w14:paraId="3A9EEC49">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_Toc11890 </w:instrText>
      </w:r>
      <w:r>
        <w:rPr>
          <w:rFonts w:ascii="宋体" w:hAnsi="宋体"/>
          <w:highlight w:val="none"/>
        </w:rPr>
        <w:fldChar w:fldCharType="separate"/>
      </w:r>
      <w:r>
        <w:rPr>
          <w:rFonts w:hint="eastAsia" w:ascii="宋体" w:hAnsi="宋体" w:eastAsia="宋体" w:cs="宋体"/>
          <w:szCs w:val="24"/>
        </w:rPr>
        <w:t xml:space="preserve">19. </w:t>
      </w:r>
      <w:r>
        <w:rPr>
          <w:rFonts w:hint="eastAsia" w:ascii="宋体" w:hAnsi="宋体" w:eastAsia="宋体" w:cs="宋体"/>
          <w:szCs w:val="24"/>
          <w:highlight w:val="none"/>
        </w:rPr>
        <w:t>投标文件的密封、标记与提交</w:t>
      </w:r>
      <w:r>
        <w:tab/>
      </w:r>
      <w:r>
        <w:fldChar w:fldCharType="begin"/>
      </w:r>
      <w:r>
        <w:instrText xml:space="preserve"> PAGEREF _Toc11890 \h </w:instrText>
      </w:r>
      <w:r>
        <w:fldChar w:fldCharType="separate"/>
      </w:r>
      <w:r>
        <w:t>16</w:t>
      </w:r>
      <w:r>
        <w:fldChar w:fldCharType="end"/>
      </w:r>
      <w:r>
        <w:rPr>
          <w:rFonts w:ascii="宋体" w:hAnsi="宋体"/>
          <w:color w:val="auto"/>
          <w:highlight w:val="none"/>
        </w:rPr>
        <w:fldChar w:fldCharType="end"/>
      </w:r>
    </w:p>
    <w:p w14:paraId="5B59C775">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_Toc14460 </w:instrText>
      </w:r>
      <w:r>
        <w:rPr>
          <w:rFonts w:ascii="宋体" w:hAnsi="宋体"/>
          <w:highlight w:val="none"/>
        </w:rPr>
        <w:fldChar w:fldCharType="separate"/>
      </w:r>
      <w:r>
        <w:rPr>
          <w:rFonts w:hint="eastAsia" w:ascii="宋体" w:hAnsi="宋体" w:eastAsia="宋体"/>
          <w:szCs w:val="28"/>
          <w:highlight w:val="none"/>
        </w:rPr>
        <w:t>五、开标与评标</w:t>
      </w:r>
      <w:r>
        <w:tab/>
      </w:r>
      <w:r>
        <w:fldChar w:fldCharType="begin"/>
      </w:r>
      <w:r>
        <w:instrText xml:space="preserve"> PAGEREF _Toc14460 \h </w:instrText>
      </w:r>
      <w:r>
        <w:fldChar w:fldCharType="separate"/>
      </w:r>
      <w:r>
        <w:t>16</w:t>
      </w:r>
      <w:r>
        <w:fldChar w:fldCharType="end"/>
      </w:r>
      <w:r>
        <w:rPr>
          <w:rFonts w:ascii="宋体" w:hAnsi="宋体"/>
          <w:color w:val="auto"/>
          <w:highlight w:val="none"/>
        </w:rPr>
        <w:fldChar w:fldCharType="end"/>
      </w:r>
    </w:p>
    <w:p w14:paraId="26F33EC0">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_Toc7697 </w:instrText>
      </w:r>
      <w:r>
        <w:rPr>
          <w:rFonts w:ascii="宋体" w:hAnsi="宋体"/>
          <w:highlight w:val="none"/>
        </w:rPr>
        <w:fldChar w:fldCharType="separate"/>
      </w:r>
      <w:r>
        <w:rPr>
          <w:rFonts w:hint="eastAsia" w:ascii="宋体" w:hAnsi="宋体" w:eastAsia="宋体" w:cs="宋体"/>
          <w:szCs w:val="24"/>
        </w:rPr>
        <w:t xml:space="preserve">20. </w:t>
      </w:r>
      <w:r>
        <w:rPr>
          <w:rFonts w:hint="eastAsia" w:ascii="宋体" w:hAnsi="宋体" w:eastAsia="宋体" w:cs="宋体"/>
          <w:szCs w:val="24"/>
          <w:highlight w:val="none"/>
        </w:rPr>
        <w:t>开标</w:t>
      </w:r>
      <w:r>
        <w:tab/>
      </w:r>
      <w:r>
        <w:fldChar w:fldCharType="begin"/>
      </w:r>
      <w:r>
        <w:instrText xml:space="preserve"> PAGEREF _Toc7697 \h </w:instrText>
      </w:r>
      <w:r>
        <w:fldChar w:fldCharType="separate"/>
      </w:r>
      <w:r>
        <w:t>16</w:t>
      </w:r>
      <w:r>
        <w:fldChar w:fldCharType="end"/>
      </w:r>
      <w:r>
        <w:rPr>
          <w:rFonts w:ascii="宋体" w:hAnsi="宋体"/>
          <w:color w:val="auto"/>
          <w:highlight w:val="none"/>
        </w:rPr>
        <w:fldChar w:fldCharType="end"/>
      </w:r>
    </w:p>
    <w:p w14:paraId="6433C5B6">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_Toc15526 </w:instrText>
      </w:r>
      <w:r>
        <w:rPr>
          <w:rFonts w:ascii="宋体" w:hAnsi="宋体"/>
          <w:highlight w:val="none"/>
        </w:rPr>
        <w:fldChar w:fldCharType="separate"/>
      </w:r>
      <w:r>
        <w:rPr>
          <w:rFonts w:hint="eastAsia" w:ascii="宋体" w:hAnsi="宋体" w:eastAsia="宋体" w:cs="宋体"/>
          <w:szCs w:val="24"/>
        </w:rPr>
        <w:t xml:space="preserve">21. </w:t>
      </w:r>
      <w:r>
        <w:rPr>
          <w:rFonts w:hint="eastAsia" w:ascii="宋体" w:hAnsi="宋体" w:eastAsia="宋体" w:cs="宋体"/>
          <w:szCs w:val="24"/>
          <w:highlight w:val="none"/>
        </w:rPr>
        <w:t>资格审查</w:t>
      </w:r>
      <w:r>
        <w:tab/>
      </w:r>
      <w:r>
        <w:fldChar w:fldCharType="begin"/>
      </w:r>
      <w:r>
        <w:instrText xml:space="preserve"> PAGEREF _Toc15526 \h </w:instrText>
      </w:r>
      <w:r>
        <w:fldChar w:fldCharType="separate"/>
      </w:r>
      <w:r>
        <w:t>17</w:t>
      </w:r>
      <w:r>
        <w:fldChar w:fldCharType="end"/>
      </w:r>
      <w:r>
        <w:rPr>
          <w:rFonts w:ascii="宋体" w:hAnsi="宋体"/>
          <w:color w:val="auto"/>
          <w:highlight w:val="none"/>
        </w:rPr>
        <w:fldChar w:fldCharType="end"/>
      </w:r>
    </w:p>
    <w:p w14:paraId="77A57462">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_Toc9113 </w:instrText>
      </w:r>
      <w:r>
        <w:rPr>
          <w:rFonts w:ascii="宋体" w:hAnsi="宋体"/>
          <w:highlight w:val="none"/>
        </w:rPr>
        <w:fldChar w:fldCharType="separate"/>
      </w:r>
      <w:r>
        <w:rPr>
          <w:rFonts w:hint="eastAsia" w:ascii="宋体" w:hAnsi="宋体" w:eastAsia="宋体" w:cs="宋体"/>
          <w:szCs w:val="24"/>
        </w:rPr>
        <w:t xml:space="preserve">22. </w:t>
      </w:r>
      <w:r>
        <w:rPr>
          <w:rFonts w:hint="eastAsia" w:ascii="宋体" w:hAnsi="宋体" w:eastAsia="宋体" w:cs="宋体"/>
          <w:szCs w:val="24"/>
          <w:highlight w:val="none"/>
        </w:rPr>
        <w:t>评标</w:t>
      </w:r>
      <w:r>
        <w:tab/>
      </w:r>
      <w:r>
        <w:fldChar w:fldCharType="begin"/>
      </w:r>
      <w:r>
        <w:instrText xml:space="preserve"> PAGEREF _Toc9113 \h </w:instrText>
      </w:r>
      <w:r>
        <w:fldChar w:fldCharType="separate"/>
      </w:r>
      <w:r>
        <w:t>17</w:t>
      </w:r>
      <w:r>
        <w:fldChar w:fldCharType="end"/>
      </w:r>
      <w:r>
        <w:rPr>
          <w:rFonts w:ascii="宋体" w:hAnsi="宋体"/>
          <w:color w:val="auto"/>
          <w:highlight w:val="none"/>
        </w:rPr>
        <w:fldChar w:fldCharType="end"/>
      </w:r>
    </w:p>
    <w:p w14:paraId="2D1E3B5C">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_Toc21656 </w:instrText>
      </w:r>
      <w:r>
        <w:rPr>
          <w:rFonts w:ascii="宋体" w:hAnsi="宋体"/>
          <w:highlight w:val="none"/>
        </w:rPr>
        <w:fldChar w:fldCharType="separate"/>
      </w:r>
      <w:r>
        <w:rPr>
          <w:rFonts w:hint="eastAsia" w:ascii="宋体" w:hAnsi="宋体" w:eastAsia="宋体" w:cs="宋体"/>
          <w:szCs w:val="24"/>
        </w:rPr>
        <w:t xml:space="preserve">23. </w:t>
      </w:r>
      <w:r>
        <w:rPr>
          <w:rFonts w:hint="eastAsia" w:ascii="宋体" w:hAnsi="宋体" w:eastAsia="宋体" w:cs="宋体"/>
          <w:szCs w:val="24"/>
          <w:highlight w:val="none"/>
        </w:rPr>
        <w:t>评标过程的保密</w:t>
      </w:r>
      <w:r>
        <w:tab/>
      </w:r>
      <w:r>
        <w:fldChar w:fldCharType="begin"/>
      </w:r>
      <w:r>
        <w:instrText xml:space="preserve"> PAGEREF _Toc21656 \h </w:instrText>
      </w:r>
      <w:r>
        <w:fldChar w:fldCharType="separate"/>
      </w:r>
      <w:r>
        <w:t>17</w:t>
      </w:r>
      <w:r>
        <w:fldChar w:fldCharType="end"/>
      </w:r>
      <w:r>
        <w:rPr>
          <w:rFonts w:ascii="宋体" w:hAnsi="宋体"/>
          <w:color w:val="auto"/>
          <w:highlight w:val="none"/>
        </w:rPr>
        <w:fldChar w:fldCharType="end"/>
      </w:r>
    </w:p>
    <w:p w14:paraId="72251795">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_Toc17989 </w:instrText>
      </w:r>
      <w:r>
        <w:rPr>
          <w:rFonts w:ascii="宋体" w:hAnsi="宋体"/>
          <w:highlight w:val="none"/>
        </w:rPr>
        <w:fldChar w:fldCharType="separate"/>
      </w:r>
      <w:r>
        <w:rPr>
          <w:rFonts w:hint="eastAsia" w:ascii="宋体" w:hAnsi="宋体" w:eastAsia="宋体" w:cs="宋体"/>
          <w:szCs w:val="24"/>
        </w:rPr>
        <w:t xml:space="preserve">24. </w:t>
      </w:r>
      <w:r>
        <w:rPr>
          <w:rFonts w:hint="eastAsia" w:ascii="宋体" w:hAnsi="宋体" w:eastAsia="宋体" w:cs="宋体"/>
          <w:szCs w:val="24"/>
          <w:highlight w:val="none"/>
        </w:rPr>
        <w:t>投标人存在下列情况之一的，投标无效：</w:t>
      </w:r>
      <w:r>
        <w:tab/>
      </w:r>
      <w:r>
        <w:fldChar w:fldCharType="begin"/>
      </w:r>
      <w:r>
        <w:instrText xml:space="preserve"> PAGEREF _Toc17989 \h </w:instrText>
      </w:r>
      <w:r>
        <w:fldChar w:fldCharType="separate"/>
      </w:r>
      <w:r>
        <w:t>17</w:t>
      </w:r>
      <w:r>
        <w:fldChar w:fldCharType="end"/>
      </w:r>
      <w:r>
        <w:rPr>
          <w:rFonts w:ascii="宋体" w:hAnsi="宋体"/>
          <w:color w:val="auto"/>
          <w:highlight w:val="none"/>
        </w:rPr>
        <w:fldChar w:fldCharType="end"/>
      </w:r>
    </w:p>
    <w:p w14:paraId="7FC80977">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_Toc180 </w:instrText>
      </w:r>
      <w:r>
        <w:rPr>
          <w:rFonts w:ascii="宋体" w:hAnsi="宋体"/>
          <w:highlight w:val="none"/>
        </w:rPr>
        <w:fldChar w:fldCharType="separate"/>
      </w:r>
      <w:r>
        <w:rPr>
          <w:rFonts w:hint="eastAsia" w:ascii="宋体" w:hAnsi="宋体" w:eastAsia="宋体" w:cs="宋体"/>
          <w:szCs w:val="24"/>
        </w:rPr>
        <w:t xml:space="preserve">25. </w:t>
      </w:r>
      <w:r>
        <w:rPr>
          <w:rFonts w:hint="eastAsia" w:ascii="宋体" w:hAnsi="宋体" w:eastAsia="宋体" w:cs="宋体"/>
          <w:szCs w:val="24"/>
          <w:highlight w:val="none"/>
        </w:rPr>
        <w:t>有下列情形之一的，视为投标人串通投标，其投标无效：</w:t>
      </w:r>
      <w:r>
        <w:tab/>
      </w:r>
      <w:r>
        <w:fldChar w:fldCharType="begin"/>
      </w:r>
      <w:r>
        <w:instrText xml:space="preserve"> PAGEREF _Toc180 \h </w:instrText>
      </w:r>
      <w:r>
        <w:fldChar w:fldCharType="separate"/>
      </w:r>
      <w:r>
        <w:t>17</w:t>
      </w:r>
      <w:r>
        <w:fldChar w:fldCharType="end"/>
      </w:r>
      <w:r>
        <w:rPr>
          <w:rFonts w:ascii="宋体" w:hAnsi="宋体"/>
          <w:color w:val="auto"/>
          <w:highlight w:val="none"/>
        </w:rPr>
        <w:fldChar w:fldCharType="end"/>
      </w:r>
    </w:p>
    <w:p w14:paraId="0BF8C89B">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_Toc2741 </w:instrText>
      </w:r>
      <w:r>
        <w:rPr>
          <w:rFonts w:ascii="宋体" w:hAnsi="宋体"/>
          <w:highlight w:val="none"/>
        </w:rPr>
        <w:fldChar w:fldCharType="separate"/>
      </w:r>
      <w:r>
        <w:rPr>
          <w:rFonts w:hint="eastAsia" w:ascii="宋体" w:hAnsi="宋体" w:eastAsia="宋体" w:cs="宋体"/>
          <w:szCs w:val="24"/>
        </w:rPr>
        <w:t xml:space="preserve">26. </w:t>
      </w:r>
      <w:r>
        <w:rPr>
          <w:rFonts w:hint="eastAsia" w:ascii="宋体" w:hAnsi="宋体" w:eastAsia="宋体" w:cs="宋体"/>
          <w:szCs w:val="24"/>
          <w:highlight w:val="none"/>
        </w:rPr>
        <w:t>在招标采购中，出现下列情形之一的，应予废标：</w:t>
      </w:r>
      <w:r>
        <w:tab/>
      </w:r>
      <w:r>
        <w:fldChar w:fldCharType="begin"/>
      </w:r>
      <w:r>
        <w:instrText xml:space="preserve"> PAGEREF _Toc2741 \h </w:instrText>
      </w:r>
      <w:r>
        <w:fldChar w:fldCharType="separate"/>
      </w:r>
      <w:r>
        <w:t>18</w:t>
      </w:r>
      <w:r>
        <w:fldChar w:fldCharType="end"/>
      </w:r>
      <w:r>
        <w:rPr>
          <w:rFonts w:ascii="宋体" w:hAnsi="宋体"/>
          <w:color w:val="auto"/>
          <w:highlight w:val="none"/>
        </w:rPr>
        <w:fldChar w:fldCharType="end"/>
      </w:r>
    </w:p>
    <w:p w14:paraId="4865A6D4">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_Toc18872 </w:instrText>
      </w:r>
      <w:r>
        <w:rPr>
          <w:rFonts w:ascii="宋体" w:hAnsi="宋体"/>
          <w:highlight w:val="none"/>
        </w:rPr>
        <w:fldChar w:fldCharType="separate"/>
      </w:r>
      <w:r>
        <w:rPr>
          <w:rFonts w:hint="eastAsia" w:ascii="宋体" w:hAnsi="宋体" w:eastAsia="宋体"/>
          <w:szCs w:val="28"/>
          <w:highlight w:val="none"/>
        </w:rPr>
        <w:t>六、中标结果</w:t>
      </w:r>
      <w:r>
        <w:tab/>
      </w:r>
      <w:r>
        <w:fldChar w:fldCharType="begin"/>
      </w:r>
      <w:r>
        <w:instrText xml:space="preserve"> PAGEREF _Toc18872 \h </w:instrText>
      </w:r>
      <w:r>
        <w:fldChar w:fldCharType="separate"/>
      </w:r>
      <w:r>
        <w:t>18</w:t>
      </w:r>
      <w:r>
        <w:fldChar w:fldCharType="end"/>
      </w:r>
      <w:r>
        <w:rPr>
          <w:rFonts w:ascii="宋体" w:hAnsi="宋体"/>
          <w:color w:val="auto"/>
          <w:highlight w:val="none"/>
        </w:rPr>
        <w:fldChar w:fldCharType="end"/>
      </w:r>
    </w:p>
    <w:p w14:paraId="0D6830DC">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_Toc6857 </w:instrText>
      </w:r>
      <w:r>
        <w:rPr>
          <w:rFonts w:ascii="宋体" w:hAnsi="宋体"/>
          <w:highlight w:val="none"/>
        </w:rPr>
        <w:fldChar w:fldCharType="separate"/>
      </w:r>
      <w:r>
        <w:rPr>
          <w:rFonts w:hint="eastAsia" w:ascii="宋体" w:hAnsi="宋体" w:eastAsia="宋体" w:cs="宋体"/>
          <w:szCs w:val="24"/>
        </w:rPr>
        <w:t xml:space="preserve">27. </w:t>
      </w:r>
      <w:r>
        <w:rPr>
          <w:rFonts w:hint="eastAsia" w:ascii="宋体" w:hAnsi="宋体" w:eastAsia="宋体" w:cs="宋体"/>
          <w:szCs w:val="24"/>
          <w:highlight w:val="none"/>
        </w:rPr>
        <w:t>中标人的确定</w:t>
      </w:r>
      <w:r>
        <w:tab/>
      </w:r>
      <w:r>
        <w:fldChar w:fldCharType="begin"/>
      </w:r>
      <w:r>
        <w:instrText xml:space="preserve"> PAGEREF _Toc6857 \h </w:instrText>
      </w:r>
      <w:r>
        <w:fldChar w:fldCharType="separate"/>
      </w:r>
      <w:r>
        <w:t>18</w:t>
      </w:r>
      <w:r>
        <w:fldChar w:fldCharType="end"/>
      </w:r>
      <w:r>
        <w:rPr>
          <w:rFonts w:ascii="宋体" w:hAnsi="宋体"/>
          <w:color w:val="auto"/>
          <w:highlight w:val="none"/>
        </w:rPr>
        <w:fldChar w:fldCharType="end"/>
      </w:r>
    </w:p>
    <w:p w14:paraId="30A95407">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_Toc19897 </w:instrText>
      </w:r>
      <w:r>
        <w:rPr>
          <w:rFonts w:ascii="宋体" w:hAnsi="宋体"/>
          <w:highlight w:val="none"/>
        </w:rPr>
        <w:fldChar w:fldCharType="separate"/>
      </w:r>
      <w:r>
        <w:rPr>
          <w:rFonts w:hint="eastAsia" w:ascii="宋体" w:hAnsi="宋体" w:eastAsia="宋体" w:cs="宋体"/>
          <w:szCs w:val="24"/>
        </w:rPr>
        <w:t xml:space="preserve">28. </w:t>
      </w:r>
      <w:r>
        <w:rPr>
          <w:rFonts w:hint="eastAsia" w:ascii="宋体" w:hAnsi="宋体" w:eastAsia="宋体" w:cs="宋体"/>
          <w:szCs w:val="24"/>
          <w:highlight w:val="none"/>
        </w:rPr>
        <w:t>中标通知书</w:t>
      </w:r>
      <w:r>
        <w:tab/>
      </w:r>
      <w:r>
        <w:fldChar w:fldCharType="begin"/>
      </w:r>
      <w:r>
        <w:instrText xml:space="preserve"> PAGEREF _Toc19897 \h </w:instrText>
      </w:r>
      <w:r>
        <w:fldChar w:fldCharType="separate"/>
      </w:r>
      <w:r>
        <w:t>18</w:t>
      </w:r>
      <w:r>
        <w:fldChar w:fldCharType="end"/>
      </w:r>
      <w:r>
        <w:rPr>
          <w:rFonts w:ascii="宋体" w:hAnsi="宋体"/>
          <w:color w:val="auto"/>
          <w:highlight w:val="none"/>
        </w:rPr>
        <w:fldChar w:fldCharType="end"/>
      </w:r>
    </w:p>
    <w:p w14:paraId="7B8C1218">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_Toc4399 </w:instrText>
      </w:r>
      <w:r>
        <w:rPr>
          <w:rFonts w:ascii="宋体" w:hAnsi="宋体"/>
          <w:highlight w:val="none"/>
        </w:rPr>
        <w:fldChar w:fldCharType="separate"/>
      </w:r>
      <w:r>
        <w:rPr>
          <w:rFonts w:hint="eastAsia" w:ascii="宋体" w:hAnsi="宋体" w:eastAsia="宋体" w:cs="宋体"/>
          <w:szCs w:val="24"/>
        </w:rPr>
        <w:t xml:space="preserve">29. </w:t>
      </w:r>
      <w:r>
        <w:rPr>
          <w:rFonts w:hint="eastAsia" w:ascii="宋体" w:hAnsi="宋体" w:eastAsia="宋体" w:cs="宋体"/>
          <w:szCs w:val="24"/>
          <w:highlight w:val="none"/>
        </w:rPr>
        <w:t>签订合同</w:t>
      </w:r>
      <w:r>
        <w:tab/>
      </w:r>
      <w:r>
        <w:fldChar w:fldCharType="begin"/>
      </w:r>
      <w:r>
        <w:instrText xml:space="preserve"> PAGEREF _Toc4399 \h </w:instrText>
      </w:r>
      <w:r>
        <w:fldChar w:fldCharType="separate"/>
      </w:r>
      <w:r>
        <w:t>18</w:t>
      </w:r>
      <w:r>
        <w:fldChar w:fldCharType="end"/>
      </w:r>
      <w:r>
        <w:rPr>
          <w:rFonts w:ascii="宋体" w:hAnsi="宋体"/>
          <w:color w:val="auto"/>
          <w:highlight w:val="none"/>
        </w:rPr>
        <w:fldChar w:fldCharType="end"/>
      </w:r>
    </w:p>
    <w:p w14:paraId="0F2C06EA">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_Toc1520 </w:instrText>
      </w:r>
      <w:r>
        <w:rPr>
          <w:rFonts w:ascii="宋体" w:hAnsi="宋体"/>
          <w:highlight w:val="none"/>
        </w:rPr>
        <w:fldChar w:fldCharType="separate"/>
      </w:r>
      <w:r>
        <w:rPr>
          <w:rFonts w:hint="eastAsia" w:ascii="宋体" w:hAnsi="宋体" w:eastAsia="宋体" w:cs="宋体"/>
          <w:kern w:val="2"/>
          <w:szCs w:val="21"/>
        </w:rPr>
        <w:t xml:space="preserve">30. </w:t>
      </w:r>
      <w:r>
        <w:rPr>
          <w:rFonts w:hint="eastAsia" w:ascii="宋体" w:hAnsi="宋体" w:eastAsia="宋体" w:cs="宋体"/>
          <w:szCs w:val="24"/>
          <w:highlight w:val="none"/>
        </w:rPr>
        <w:t>履约保证金：</w:t>
      </w:r>
      <w:r>
        <w:tab/>
      </w:r>
      <w:r>
        <w:fldChar w:fldCharType="begin"/>
      </w:r>
      <w:r>
        <w:instrText xml:space="preserve"> PAGEREF _Toc1520 \h </w:instrText>
      </w:r>
      <w:r>
        <w:fldChar w:fldCharType="separate"/>
      </w:r>
      <w:r>
        <w:t>18</w:t>
      </w:r>
      <w:r>
        <w:fldChar w:fldCharType="end"/>
      </w:r>
      <w:r>
        <w:rPr>
          <w:rFonts w:ascii="宋体" w:hAnsi="宋体"/>
          <w:color w:val="auto"/>
          <w:highlight w:val="none"/>
        </w:rPr>
        <w:fldChar w:fldCharType="end"/>
      </w:r>
    </w:p>
    <w:p w14:paraId="3599E571">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_Toc5130 </w:instrText>
      </w:r>
      <w:r>
        <w:rPr>
          <w:rFonts w:ascii="宋体" w:hAnsi="宋体"/>
          <w:highlight w:val="none"/>
        </w:rPr>
        <w:fldChar w:fldCharType="separate"/>
      </w:r>
      <w:r>
        <w:rPr>
          <w:rFonts w:hint="eastAsia" w:ascii="宋体" w:hAnsi="宋体" w:eastAsia="宋体"/>
          <w:szCs w:val="28"/>
          <w:highlight w:val="none"/>
        </w:rPr>
        <w:t>七、其他事项</w:t>
      </w:r>
      <w:r>
        <w:tab/>
      </w:r>
      <w:r>
        <w:fldChar w:fldCharType="begin"/>
      </w:r>
      <w:r>
        <w:instrText xml:space="preserve"> PAGEREF _Toc5130 \h </w:instrText>
      </w:r>
      <w:r>
        <w:fldChar w:fldCharType="separate"/>
      </w:r>
      <w:r>
        <w:t>19</w:t>
      </w:r>
      <w:r>
        <w:fldChar w:fldCharType="end"/>
      </w:r>
      <w:r>
        <w:rPr>
          <w:rFonts w:ascii="宋体" w:hAnsi="宋体"/>
          <w:color w:val="auto"/>
          <w:highlight w:val="none"/>
        </w:rPr>
        <w:fldChar w:fldCharType="end"/>
      </w:r>
    </w:p>
    <w:p w14:paraId="22021E9A">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_Toc11161 </w:instrText>
      </w:r>
      <w:r>
        <w:rPr>
          <w:rFonts w:ascii="宋体" w:hAnsi="宋体"/>
          <w:highlight w:val="none"/>
        </w:rPr>
        <w:fldChar w:fldCharType="separate"/>
      </w:r>
      <w:r>
        <w:rPr>
          <w:rFonts w:hint="eastAsia" w:ascii="宋体" w:hAnsi="宋体" w:eastAsia="宋体" w:cs="宋体"/>
          <w:szCs w:val="24"/>
        </w:rPr>
        <w:t xml:space="preserve">31. </w:t>
      </w:r>
      <w:r>
        <w:rPr>
          <w:rFonts w:hint="eastAsia" w:ascii="宋体" w:hAnsi="宋体" w:eastAsia="宋体" w:cs="宋体"/>
          <w:szCs w:val="24"/>
          <w:highlight w:val="none"/>
        </w:rPr>
        <w:t>采购代理服务费</w:t>
      </w:r>
      <w:r>
        <w:tab/>
      </w:r>
      <w:r>
        <w:fldChar w:fldCharType="begin"/>
      </w:r>
      <w:r>
        <w:instrText xml:space="preserve"> PAGEREF _Toc11161 \h </w:instrText>
      </w:r>
      <w:r>
        <w:fldChar w:fldCharType="separate"/>
      </w:r>
      <w:r>
        <w:t>19</w:t>
      </w:r>
      <w:r>
        <w:fldChar w:fldCharType="end"/>
      </w:r>
      <w:r>
        <w:rPr>
          <w:rFonts w:ascii="宋体" w:hAnsi="宋体"/>
          <w:color w:val="auto"/>
          <w:highlight w:val="none"/>
        </w:rPr>
        <w:fldChar w:fldCharType="end"/>
      </w:r>
    </w:p>
    <w:p w14:paraId="1E8676B7">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_Toc6870 </w:instrText>
      </w:r>
      <w:r>
        <w:rPr>
          <w:rFonts w:ascii="宋体" w:hAnsi="宋体"/>
          <w:highlight w:val="none"/>
        </w:rPr>
        <w:fldChar w:fldCharType="separate"/>
      </w:r>
      <w:r>
        <w:rPr>
          <w:rFonts w:hint="eastAsia" w:ascii="宋体" w:hAnsi="宋体" w:eastAsia="宋体" w:cs="宋体"/>
          <w:szCs w:val="24"/>
        </w:rPr>
        <w:t xml:space="preserve">32. </w:t>
      </w:r>
      <w:r>
        <w:rPr>
          <w:rFonts w:hint="eastAsia" w:ascii="宋体" w:hAnsi="宋体" w:eastAsia="宋体" w:cs="宋体"/>
          <w:szCs w:val="24"/>
          <w:highlight w:val="none"/>
        </w:rPr>
        <w:t>解释权</w:t>
      </w:r>
      <w:r>
        <w:tab/>
      </w:r>
      <w:r>
        <w:fldChar w:fldCharType="begin"/>
      </w:r>
      <w:r>
        <w:instrText xml:space="preserve"> PAGEREF _Toc6870 \h </w:instrText>
      </w:r>
      <w:r>
        <w:fldChar w:fldCharType="separate"/>
      </w:r>
      <w:r>
        <w:t>19</w:t>
      </w:r>
      <w:r>
        <w:fldChar w:fldCharType="end"/>
      </w:r>
      <w:r>
        <w:rPr>
          <w:rFonts w:ascii="宋体" w:hAnsi="宋体"/>
          <w:color w:val="auto"/>
          <w:highlight w:val="none"/>
        </w:rPr>
        <w:fldChar w:fldCharType="end"/>
      </w:r>
    </w:p>
    <w:p w14:paraId="3285BF48">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_Toc16015 </w:instrText>
      </w:r>
      <w:r>
        <w:rPr>
          <w:rFonts w:ascii="宋体" w:hAnsi="宋体"/>
          <w:highlight w:val="none"/>
        </w:rPr>
        <w:fldChar w:fldCharType="separate"/>
      </w:r>
      <w:r>
        <w:rPr>
          <w:rFonts w:hint="eastAsia" w:ascii="宋体" w:hAnsi="宋体" w:eastAsia="宋体" w:cs="宋体"/>
          <w:szCs w:val="24"/>
        </w:rPr>
        <w:t xml:space="preserve">33. </w:t>
      </w:r>
      <w:r>
        <w:rPr>
          <w:rFonts w:hint="eastAsia" w:ascii="宋体" w:hAnsi="宋体" w:eastAsia="宋体" w:cs="宋体"/>
          <w:szCs w:val="24"/>
          <w:highlight w:val="none"/>
        </w:rPr>
        <w:t>需要补充的其他内容</w:t>
      </w:r>
      <w:r>
        <w:tab/>
      </w:r>
      <w:r>
        <w:fldChar w:fldCharType="begin"/>
      </w:r>
      <w:r>
        <w:instrText xml:space="preserve"> PAGEREF _Toc16015 \h </w:instrText>
      </w:r>
      <w:r>
        <w:fldChar w:fldCharType="separate"/>
      </w:r>
      <w:r>
        <w:t>19</w:t>
      </w:r>
      <w:r>
        <w:fldChar w:fldCharType="end"/>
      </w:r>
      <w:r>
        <w:rPr>
          <w:rFonts w:ascii="宋体" w:hAnsi="宋体"/>
          <w:color w:val="auto"/>
          <w:highlight w:val="none"/>
        </w:rPr>
        <w:fldChar w:fldCharType="end"/>
      </w:r>
    </w:p>
    <w:p w14:paraId="0E25C3CA">
      <w:pPr>
        <w:pStyle w:val="22"/>
        <w:tabs>
          <w:tab w:val="right" w:leader="dot" w:pos="9354"/>
        </w:tabs>
      </w:pPr>
      <w:r>
        <w:rPr>
          <w:rFonts w:ascii="宋体" w:hAnsi="宋体"/>
          <w:color w:val="auto"/>
          <w:highlight w:val="none"/>
        </w:rPr>
        <w:fldChar w:fldCharType="begin"/>
      </w:r>
      <w:r>
        <w:rPr>
          <w:rFonts w:ascii="宋体" w:hAnsi="宋体"/>
          <w:highlight w:val="none"/>
        </w:rPr>
        <w:instrText xml:space="preserve"> HYPERLINK \l _Toc1414 </w:instrText>
      </w:r>
      <w:r>
        <w:rPr>
          <w:rFonts w:ascii="宋体" w:hAnsi="宋体"/>
          <w:highlight w:val="none"/>
        </w:rPr>
        <w:fldChar w:fldCharType="separate"/>
      </w:r>
      <w:r>
        <w:rPr>
          <w:rFonts w:hint="eastAsia" w:ascii="宋体" w:hAnsi="宋体" w:eastAsia="宋体"/>
          <w:szCs w:val="32"/>
          <w:highlight w:val="none"/>
        </w:rPr>
        <w:t>第三章  合同书样式及主要条款</w:t>
      </w:r>
      <w:r>
        <w:tab/>
      </w:r>
      <w:r>
        <w:fldChar w:fldCharType="begin"/>
      </w:r>
      <w:r>
        <w:instrText xml:space="preserve"> PAGEREF _Toc1414 \h </w:instrText>
      </w:r>
      <w:r>
        <w:fldChar w:fldCharType="separate"/>
      </w:r>
      <w:r>
        <w:t>21</w:t>
      </w:r>
      <w:r>
        <w:fldChar w:fldCharType="end"/>
      </w:r>
      <w:r>
        <w:rPr>
          <w:rFonts w:ascii="宋体" w:hAnsi="宋体"/>
          <w:color w:val="auto"/>
          <w:highlight w:val="none"/>
        </w:rPr>
        <w:fldChar w:fldCharType="end"/>
      </w:r>
    </w:p>
    <w:p w14:paraId="45861E22">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_Toc18151 </w:instrText>
      </w:r>
      <w:r>
        <w:rPr>
          <w:rFonts w:ascii="宋体" w:hAnsi="宋体"/>
          <w:highlight w:val="none"/>
        </w:rPr>
        <w:fldChar w:fldCharType="separate"/>
      </w:r>
      <w:r>
        <w:rPr>
          <w:rFonts w:hint="eastAsia" w:ascii="宋体" w:hAnsi="宋体" w:eastAsia="宋体"/>
          <w:szCs w:val="28"/>
          <w:highlight w:val="none"/>
        </w:rPr>
        <w:t>合同条款前附表</w:t>
      </w:r>
      <w:r>
        <w:tab/>
      </w:r>
      <w:r>
        <w:fldChar w:fldCharType="begin"/>
      </w:r>
      <w:r>
        <w:instrText xml:space="preserve"> PAGEREF _Toc18151 \h </w:instrText>
      </w:r>
      <w:r>
        <w:fldChar w:fldCharType="separate"/>
      </w:r>
      <w:r>
        <w:t>21</w:t>
      </w:r>
      <w:r>
        <w:fldChar w:fldCharType="end"/>
      </w:r>
      <w:r>
        <w:rPr>
          <w:rFonts w:ascii="宋体" w:hAnsi="宋体"/>
          <w:color w:val="auto"/>
          <w:highlight w:val="none"/>
        </w:rPr>
        <w:fldChar w:fldCharType="end"/>
      </w:r>
    </w:p>
    <w:p w14:paraId="2AB6BD70">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_Toc31204 </w:instrText>
      </w:r>
      <w:r>
        <w:rPr>
          <w:rFonts w:ascii="宋体" w:hAnsi="宋体"/>
          <w:highlight w:val="none"/>
        </w:rPr>
        <w:fldChar w:fldCharType="separate"/>
      </w:r>
      <w:r>
        <w:rPr>
          <w:rFonts w:hint="eastAsia" w:ascii="宋体" w:hAnsi="宋体" w:eastAsia="宋体"/>
          <w:szCs w:val="28"/>
          <w:highlight w:val="none"/>
        </w:rPr>
        <w:t>云南省省级政府集中采购（服务类）合同书（格式）</w:t>
      </w:r>
      <w:r>
        <w:tab/>
      </w:r>
      <w:r>
        <w:fldChar w:fldCharType="begin"/>
      </w:r>
      <w:r>
        <w:instrText xml:space="preserve"> PAGEREF _Toc31204 \h </w:instrText>
      </w:r>
      <w:r>
        <w:fldChar w:fldCharType="separate"/>
      </w:r>
      <w:r>
        <w:t>22</w:t>
      </w:r>
      <w:r>
        <w:fldChar w:fldCharType="end"/>
      </w:r>
      <w:r>
        <w:rPr>
          <w:rFonts w:ascii="宋体" w:hAnsi="宋体"/>
          <w:color w:val="auto"/>
          <w:highlight w:val="none"/>
        </w:rPr>
        <w:fldChar w:fldCharType="end"/>
      </w:r>
    </w:p>
    <w:p w14:paraId="6C152E7C">
      <w:pPr>
        <w:pStyle w:val="22"/>
        <w:tabs>
          <w:tab w:val="right" w:leader="dot" w:pos="9354"/>
        </w:tabs>
      </w:pPr>
      <w:r>
        <w:rPr>
          <w:rFonts w:ascii="宋体" w:hAnsi="宋体"/>
          <w:color w:val="auto"/>
          <w:highlight w:val="none"/>
        </w:rPr>
        <w:fldChar w:fldCharType="begin"/>
      </w:r>
      <w:r>
        <w:rPr>
          <w:rFonts w:ascii="宋体" w:hAnsi="宋体"/>
          <w:highlight w:val="none"/>
        </w:rPr>
        <w:instrText xml:space="preserve"> HYPERLINK \l _Toc3522 </w:instrText>
      </w:r>
      <w:r>
        <w:rPr>
          <w:rFonts w:ascii="宋体" w:hAnsi="宋体"/>
          <w:highlight w:val="none"/>
        </w:rPr>
        <w:fldChar w:fldCharType="separate"/>
      </w:r>
      <w:r>
        <w:rPr>
          <w:rFonts w:hint="eastAsia" w:ascii="宋体" w:hAnsi="宋体" w:eastAsia="宋体"/>
          <w:highlight w:val="none"/>
        </w:rPr>
        <w:t>第四章  投标文件格式</w:t>
      </w:r>
      <w:r>
        <w:tab/>
      </w:r>
      <w:r>
        <w:fldChar w:fldCharType="begin"/>
      </w:r>
      <w:r>
        <w:instrText xml:space="preserve"> PAGEREF _Toc3522 \h </w:instrText>
      </w:r>
      <w:r>
        <w:fldChar w:fldCharType="separate"/>
      </w:r>
      <w:r>
        <w:t>30</w:t>
      </w:r>
      <w:r>
        <w:fldChar w:fldCharType="end"/>
      </w:r>
      <w:r>
        <w:rPr>
          <w:rFonts w:ascii="宋体" w:hAnsi="宋体"/>
          <w:color w:val="auto"/>
          <w:highlight w:val="none"/>
        </w:rPr>
        <w:fldChar w:fldCharType="end"/>
      </w:r>
    </w:p>
    <w:p w14:paraId="249AAB69">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_Toc21789 </w:instrText>
      </w:r>
      <w:r>
        <w:rPr>
          <w:rFonts w:ascii="宋体" w:hAnsi="宋体"/>
          <w:highlight w:val="none"/>
        </w:rPr>
        <w:fldChar w:fldCharType="separate"/>
      </w:r>
      <w:r>
        <w:rPr>
          <w:rFonts w:hint="eastAsia" w:ascii="宋体" w:hAnsi="宋体" w:eastAsia="宋体"/>
          <w:szCs w:val="28"/>
          <w:highlight w:val="none"/>
        </w:rPr>
        <w:t>一、资格响应文件</w:t>
      </w:r>
      <w:r>
        <w:tab/>
      </w:r>
      <w:r>
        <w:fldChar w:fldCharType="begin"/>
      </w:r>
      <w:r>
        <w:instrText xml:space="preserve"> PAGEREF _Toc21789 \h </w:instrText>
      </w:r>
      <w:r>
        <w:fldChar w:fldCharType="separate"/>
      </w:r>
      <w:r>
        <w:t>30</w:t>
      </w:r>
      <w:r>
        <w:fldChar w:fldCharType="end"/>
      </w:r>
      <w:r>
        <w:rPr>
          <w:rFonts w:ascii="宋体" w:hAnsi="宋体"/>
          <w:color w:val="auto"/>
          <w:highlight w:val="none"/>
        </w:rPr>
        <w:fldChar w:fldCharType="end"/>
      </w:r>
    </w:p>
    <w:p w14:paraId="3830A950">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_Toc6620 </w:instrText>
      </w:r>
      <w:r>
        <w:rPr>
          <w:rFonts w:ascii="宋体" w:hAnsi="宋体"/>
          <w:highlight w:val="none"/>
        </w:rPr>
        <w:fldChar w:fldCharType="separate"/>
      </w:r>
      <w:r>
        <w:rPr>
          <w:rFonts w:hint="eastAsia" w:ascii="宋体" w:hAnsi="宋体" w:eastAsia="宋体" w:cs="宋体"/>
          <w:szCs w:val="28"/>
          <w:highlight w:val="none"/>
        </w:rPr>
        <w:t>格式1：投标人主体资格证明材料</w:t>
      </w:r>
      <w:r>
        <w:tab/>
      </w:r>
      <w:r>
        <w:fldChar w:fldCharType="begin"/>
      </w:r>
      <w:r>
        <w:instrText xml:space="preserve"> PAGEREF _Toc6620 \h </w:instrText>
      </w:r>
      <w:r>
        <w:fldChar w:fldCharType="separate"/>
      </w:r>
      <w:r>
        <w:t>30</w:t>
      </w:r>
      <w:r>
        <w:fldChar w:fldCharType="end"/>
      </w:r>
      <w:r>
        <w:rPr>
          <w:rFonts w:ascii="宋体" w:hAnsi="宋体"/>
          <w:color w:val="auto"/>
          <w:highlight w:val="none"/>
        </w:rPr>
        <w:fldChar w:fldCharType="end"/>
      </w:r>
    </w:p>
    <w:p w14:paraId="37047A78">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_Toc20509 </w:instrText>
      </w:r>
      <w:r>
        <w:rPr>
          <w:rFonts w:ascii="宋体" w:hAnsi="宋体"/>
          <w:highlight w:val="none"/>
        </w:rPr>
        <w:fldChar w:fldCharType="separate"/>
      </w:r>
      <w:r>
        <w:rPr>
          <w:rFonts w:hint="eastAsia" w:ascii="宋体" w:hAnsi="宋体" w:eastAsia="宋体" w:cs="宋体"/>
          <w:szCs w:val="28"/>
          <w:highlight w:val="none"/>
        </w:rPr>
        <w:t>格式2：投标人缴纳税收证明材料</w:t>
      </w:r>
      <w:r>
        <w:tab/>
      </w:r>
      <w:r>
        <w:fldChar w:fldCharType="begin"/>
      </w:r>
      <w:r>
        <w:instrText xml:space="preserve"> PAGEREF _Toc20509 \h </w:instrText>
      </w:r>
      <w:r>
        <w:fldChar w:fldCharType="separate"/>
      </w:r>
      <w:r>
        <w:t>30</w:t>
      </w:r>
      <w:r>
        <w:fldChar w:fldCharType="end"/>
      </w:r>
      <w:r>
        <w:rPr>
          <w:rFonts w:ascii="宋体" w:hAnsi="宋体"/>
          <w:color w:val="auto"/>
          <w:highlight w:val="none"/>
        </w:rPr>
        <w:fldChar w:fldCharType="end"/>
      </w:r>
    </w:p>
    <w:p w14:paraId="28E2A268">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_Toc24846 </w:instrText>
      </w:r>
      <w:r>
        <w:rPr>
          <w:rFonts w:ascii="宋体" w:hAnsi="宋体"/>
          <w:highlight w:val="none"/>
        </w:rPr>
        <w:fldChar w:fldCharType="separate"/>
      </w:r>
      <w:r>
        <w:rPr>
          <w:rFonts w:hint="eastAsia" w:ascii="宋体" w:hAnsi="宋体" w:eastAsia="宋体" w:cs="宋体"/>
          <w:szCs w:val="28"/>
          <w:highlight w:val="none"/>
        </w:rPr>
        <w:t>格式3：投标人缴纳社保证明材料</w:t>
      </w:r>
      <w:r>
        <w:tab/>
      </w:r>
      <w:r>
        <w:fldChar w:fldCharType="begin"/>
      </w:r>
      <w:r>
        <w:instrText xml:space="preserve"> PAGEREF _Toc24846 \h </w:instrText>
      </w:r>
      <w:r>
        <w:fldChar w:fldCharType="separate"/>
      </w:r>
      <w:r>
        <w:t>30</w:t>
      </w:r>
      <w:r>
        <w:fldChar w:fldCharType="end"/>
      </w:r>
      <w:r>
        <w:rPr>
          <w:rFonts w:ascii="宋体" w:hAnsi="宋体"/>
          <w:color w:val="auto"/>
          <w:highlight w:val="none"/>
        </w:rPr>
        <w:fldChar w:fldCharType="end"/>
      </w:r>
    </w:p>
    <w:p w14:paraId="0F6123BB">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_Toc3983 </w:instrText>
      </w:r>
      <w:r>
        <w:rPr>
          <w:rFonts w:ascii="宋体" w:hAnsi="宋体"/>
          <w:highlight w:val="none"/>
        </w:rPr>
        <w:fldChar w:fldCharType="separate"/>
      </w:r>
      <w:r>
        <w:rPr>
          <w:rFonts w:hint="eastAsia" w:ascii="宋体" w:hAnsi="宋体" w:eastAsia="宋体" w:cs="宋体"/>
          <w:szCs w:val="28"/>
          <w:highlight w:val="none"/>
        </w:rPr>
        <w:t>格式4：投标人提供近期的财务状况报告</w:t>
      </w:r>
      <w:r>
        <w:tab/>
      </w:r>
      <w:r>
        <w:fldChar w:fldCharType="begin"/>
      </w:r>
      <w:r>
        <w:instrText xml:space="preserve"> PAGEREF _Toc3983 \h </w:instrText>
      </w:r>
      <w:r>
        <w:fldChar w:fldCharType="separate"/>
      </w:r>
      <w:r>
        <w:t>30</w:t>
      </w:r>
      <w:r>
        <w:fldChar w:fldCharType="end"/>
      </w:r>
      <w:r>
        <w:rPr>
          <w:rFonts w:ascii="宋体" w:hAnsi="宋体"/>
          <w:color w:val="auto"/>
          <w:highlight w:val="none"/>
        </w:rPr>
        <w:fldChar w:fldCharType="end"/>
      </w:r>
    </w:p>
    <w:p w14:paraId="1D8BB448">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_Toc10946 </w:instrText>
      </w:r>
      <w:r>
        <w:rPr>
          <w:rFonts w:ascii="宋体" w:hAnsi="宋体"/>
          <w:highlight w:val="none"/>
        </w:rPr>
        <w:fldChar w:fldCharType="separate"/>
      </w:r>
      <w:r>
        <w:rPr>
          <w:rFonts w:hint="eastAsia" w:ascii="宋体" w:hAnsi="宋体" w:eastAsia="宋体" w:cs="宋体"/>
          <w:szCs w:val="28"/>
          <w:highlight w:val="none"/>
        </w:rPr>
        <w:t>格式5：书面声明</w:t>
      </w:r>
      <w:r>
        <w:tab/>
      </w:r>
      <w:r>
        <w:fldChar w:fldCharType="begin"/>
      </w:r>
      <w:r>
        <w:instrText xml:space="preserve"> PAGEREF _Toc10946 \h </w:instrText>
      </w:r>
      <w:r>
        <w:fldChar w:fldCharType="separate"/>
      </w:r>
      <w:r>
        <w:t>31</w:t>
      </w:r>
      <w:r>
        <w:fldChar w:fldCharType="end"/>
      </w:r>
      <w:r>
        <w:rPr>
          <w:rFonts w:ascii="宋体" w:hAnsi="宋体"/>
          <w:color w:val="auto"/>
          <w:highlight w:val="none"/>
        </w:rPr>
        <w:fldChar w:fldCharType="end"/>
      </w:r>
    </w:p>
    <w:p w14:paraId="49ACC899">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_Toc17651 </w:instrText>
      </w:r>
      <w:r>
        <w:rPr>
          <w:rFonts w:ascii="宋体" w:hAnsi="宋体"/>
          <w:highlight w:val="none"/>
        </w:rPr>
        <w:fldChar w:fldCharType="separate"/>
      </w:r>
      <w:r>
        <w:rPr>
          <w:rFonts w:hint="eastAsia" w:ascii="宋体" w:hAnsi="宋体" w:eastAsia="宋体" w:cs="宋体"/>
          <w:szCs w:val="28"/>
          <w:highlight w:val="none"/>
        </w:rPr>
        <w:t>格式6：本项目所要求的资格、资质证书（扫描件加盖鲜章）（如果有）</w:t>
      </w:r>
      <w:r>
        <w:tab/>
      </w:r>
      <w:r>
        <w:fldChar w:fldCharType="begin"/>
      </w:r>
      <w:r>
        <w:instrText xml:space="preserve"> PAGEREF _Toc17651 \h </w:instrText>
      </w:r>
      <w:r>
        <w:fldChar w:fldCharType="separate"/>
      </w:r>
      <w:r>
        <w:t>31</w:t>
      </w:r>
      <w:r>
        <w:fldChar w:fldCharType="end"/>
      </w:r>
      <w:r>
        <w:rPr>
          <w:rFonts w:ascii="宋体" w:hAnsi="宋体"/>
          <w:color w:val="auto"/>
          <w:highlight w:val="none"/>
        </w:rPr>
        <w:fldChar w:fldCharType="end"/>
      </w:r>
    </w:p>
    <w:p w14:paraId="6296AFB9">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_Toc21296 </w:instrText>
      </w:r>
      <w:r>
        <w:rPr>
          <w:rFonts w:ascii="宋体" w:hAnsi="宋体"/>
          <w:highlight w:val="none"/>
        </w:rPr>
        <w:fldChar w:fldCharType="separate"/>
      </w:r>
      <w:r>
        <w:rPr>
          <w:rFonts w:hint="eastAsia" w:ascii="宋体" w:hAnsi="宋体" w:eastAsia="宋体"/>
          <w:szCs w:val="28"/>
          <w:highlight w:val="none"/>
        </w:rPr>
        <w:t>二、商务响应文件</w:t>
      </w:r>
      <w:r>
        <w:tab/>
      </w:r>
      <w:r>
        <w:fldChar w:fldCharType="begin"/>
      </w:r>
      <w:r>
        <w:instrText xml:space="preserve"> PAGEREF _Toc21296 \h </w:instrText>
      </w:r>
      <w:r>
        <w:fldChar w:fldCharType="separate"/>
      </w:r>
      <w:r>
        <w:t>32</w:t>
      </w:r>
      <w:r>
        <w:fldChar w:fldCharType="end"/>
      </w:r>
      <w:r>
        <w:rPr>
          <w:rFonts w:ascii="宋体" w:hAnsi="宋体"/>
          <w:color w:val="auto"/>
          <w:highlight w:val="none"/>
        </w:rPr>
        <w:fldChar w:fldCharType="end"/>
      </w:r>
    </w:p>
    <w:p w14:paraId="5703F50A">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_Toc29046 </w:instrText>
      </w:r>
      <w:r>
        <w:rPr>
          <w:rFonts w:ascii="宋体" w:hAnsi="宋体"/>
          <w:highlight w:val="none"/>
        </w:rPr>
        <w:fldChar w:fldCharType="separate"/>
      </w:r>
      <w:r>
        <w:rPr>
          <w:rFonts w:hint="eastAsia" w:ascii="宋体" w:hAnsi="宋体" w:eastAsia="宋体" w:cs="宋体"/>
          <w:szCs w:val="28"/>
          <w:highlight w:val="none"/>
        </w:rPr>
        <w:t>★格式7：投标函</w:t>
      </w:r>
      <w:r>
        <w:tab/>
      </w:r>
      <w:r>
        <w:fldChar w:fldCharType="begin"/>
      </w:r>
      <w:r>
        <w:instrText xml:space="preserve"> PAGEREF _Toc29046 \h </w:instrText>
      </w:r>
      <w:r>
        <w:fldChar w:fldCharType="separate"/>
      </w:r>
      <w:r>
        <w:t>32</w:t>
      </w:r>
      <w:r>
        <w:fldChar w:fldCharType="end"/>
      </w:r>
      <w:r>
        <w:rPr>
          <w:rFonts w:ascii="宋体" w:hAnsi="宋体"/>
          <w:color w:val="auto"/>
          <w:highlight w:val="none"/>
        </w:rPr>
        <w:fldChar w:fldCharType="end"/>
      </w:r>
    </w:p>
    <w:p w14:paraId="1A6E8CC7">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_Toc23902 </w:instrText>
      </w:r>
      <w:r>
        <w:rPr>
          <w:rFonts w:ascii="宋体" w:hAnsi="宋体"/>
          <w:highlight w:val="none"/>
        </w:rPr>
        <w:fldChar w:fldCharType="separate"/>
      </w:r>
      <w:r>
        <w:rPr>
          <w:rFonts w:hint="eastAsia" w:ascii="宋体" w:hAnsi="宋体" w:eastAsia="宋体" w:cs="宋体"/>
          <w:szCs w:val="28"/>
          <w:highlight w:val="none"/>
        </w:rPr>
        <w:t>格式8：商务条款偏离表</w:t>
      </w:r>
      <w:r>
        <w:tab/>
      </w:r>
      <w:r>
        <w:fldChar w:fldCharType="begin"/>
      </w:r>
      <w:r>
        <w:instrText xml:space="preserve"> PAGEREF _Toc23902 \h </w:instrText>
      </w:r>
      <w:r>
        <w:fldChar w:fldCharType="separate"/>
      </w:r>
      <w:r>
        <w:t>34</w:t>
      </w:r>
      <w:r>
        <w:fldChar w:fldCharType="end"/>
      </w:r>
      <w:r>
        <w:rPr>
          <w:rFonts w:ascii="宋体" w:hAnsi="宋体"/>
          <w:color w:val="auto"/>
          <w:highlight w:val="none"/>
        </w:rPr>
        <w:fldChar w:fldCharType="end"/>
      </w:r>
    </w:p>
    <w:p w14:paraId="30F6D604">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_Toc8297 </w:instrText>
      </w:r>
      <w:r>
        <w:rPr>
          <w:rFonts w:ascii="宋体" w:hAnsi="宋体"/>
          <w:highlight w:val="none"/>
        </w:rPr>
        <w:fldChar w:fldCharType="separate"/>
      </w:r>
      <w:r>
        <w:rPr>
          <w:rFonts w:hint="eastAsia" w:ascii="宋体" w:hAnsi="宋体" w:eastAsia="宋体" w:cs="宋体"/>
          <w:szCs w:val="28"/>
          <w:highlight w:val="none"/>
        </w:rPr>
        <w:t>格式9：服务需求偏离表</w:t>
      </w:r>
      <w:r>
        <w:tab/>
      </w:r>
      <w:r>
        <w:fldChar w:fldCharType="begin"/>
      </w:r>
      <w:r>
        <w:instrText xml:space="preserve"> PAGEREF _Toc8297 \h </w:instrText>
      </w:r>
      <w:r>
        <w:fldChar w:fldCharType="separate"/>
      </w:r>
      <w:r>
        <w:t>36</w:t>
      </w:r>
      <w:r>
        <w:fldChar w:fldCharType="end"/>
      </w:r>
      <w:r>
        <w:rPr>
          <w:rFonts w:ascii="宋体" w:hAnsi="宋体"/>
          <w:color w:val="auto"/>
          <w:highlight w:val="none"/>
        </w:rPr>
        <w:fldChar w:fldCharType="end"/>
      </w:r>
    </w:p>
    <w:p w14:paraId="6D73D1CE">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_Toc29235 </w:instrText>
      </w:r>
      <w:r>
        <w:rPr>
          <w:rFonts w:ascii="宋体" w:hAnsi="宋体"/>
          <w:highlight w:val="none"/>
        </w:rPr>
        <w:fldChar w:fldCharType="separate"/>
      </w:r>
      <w:r>
        <w:rPr>
          <w:rFonts w:hint="eastAsia" w:ascii="宋体" w:hAnsi="宋体" w:eastAsia="宋体" w:cs="宋体"/>
          <w:szCs w:val="28"/>
          <w:highlight w:val="none"/>
        </w:rPr>
        <w:t>★格式10：法定代表人资格证明书</w:t>
      </w:r>
      <w:r>
        <w:tab/>
      </w:r>
      <w:r>
        <w:fldChar w:fldCharType="begin"/>
      </w:r>
      <w:r>
        <w:instrText xml:space="preserve"> PAGEREF _Toc29235 \h </w:instrText>
      </w:r>
      <w:r>
        <w:fldChar w:fldCharType="separate"/>
      </w:r>
      <w:r>
        <w:t>38</w:t>
      </w:r>
      <w:r>
        <w:fldChar w:fldCharType="end"/>
      </w:r>
      <w:r>
        <w:rPr>
          <w:rFonts w:ascii="宋体" w:hAnsi="宋体"/>
          <w:color w:val="auto"/>
          <w:highlight w:val="none"/>
        </w:rPr>
        <w:fldChar w:fldCharType="end"/>
      </w:r>
    </w:p>
    <w:p w14:paraId="73C9389E">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_Toc24199 </w:instrText>
      </w:r>
      <w:r>
        <w:rPr>
          <w:rFonts w:ascii="宋体" w:hAnsi="宋体"/>
          <w:highlight w:val="none"/>
        </w:rPr>
        <w:fldChar w:fldCharType="separate"/>
      </w:r>
      <w:r>
        <w:rPr>
          <w:rFonts w:hint="eastAsia" w:ascii="宋体" w:hAnsi="宋体" w:eastAsia="宋体" w:cs="宋体"/>
          <w:szCs w:val="28"/>
          <w:highlight w:val="none"/>
        </w:rPr>
        <w:t>格式11：法定代表人授权委托书</w:t>
      </w:r>
      <w:r>
        <w:tab/>
      </w:r>
      <w:r>
        <w:fldChar w:fldCharType="begin"/>
      </w:r>
      <w:r>
        <w:instrText xml:space="preserve"> PAGEREF _Toc24199 \h </w:instrText>
      </w:r>
      <w:r>
        <w:fldChar w:fldCharType="separate"/>
      </w:r>
      <w:r>
        <w:t>39</w:t>
      </w:r>
      <w:r>
        <w:fldChar w:fldCharType="end"/>
      </w:r>
      <w:r>
        <w:rPr>
          <w:rFonts w:ascii="宋体" w:hAnsi="宋体"/>
          <w:color w:val="auto"/>
          <w:highlight w:val="none"/>
        </w:rPr>
        <w:fldChar w:fldCharType="end"/>
      </w:r>
    </w:p>
    <w:p w14:paraId="7AE2A0DD">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_Toc7459 </w:instrText>
      </w:r>
      <w:r>
        <w:rPr>
          <w:rFonts w:ascii="宋体" w:hAnsi="宋体"/>
          <w:highlight w:val="none"/>
        </w:rPr>
        <w:fldChar w:fldCharType="separate"/>
      </w:r>
      <w:r>
        <w:rPr>
          <w:rFonts w:hint="eastAsia" w:ascii="宋体" w:hAnsi="宋体" w:eastAsia="宋体" w:cs="宋体"/>
          <w:szCs w:val="28"/>
          <w:highlight w:val="none"/>
        </w:rPr>
        <w:t>格式12：构成投标文件的其它资料</w:t>
      </w:r>
      <w:r>
        <w:tab/>
      </w:r>
      <w:r>
        <w:fldChar w:fldCharType="begin"/>
      </w:r>
      <w:r>
        <w:instrText xml:space="preserve"> PAGEREF _Toc7459 \h </w:instrText>
      </w:r>
      <w:r>
        <w:fldChar w:fldCharType="separate"/>
      </w:r>
      <w:r>
        <w:t>40</w:t>
      </w:r>
      <w:r>
        <w:fldChar w:fldCharType="end"/>
      </w:r>
      <w:r>
        <w:rPr>
          <w:rFonts w:ascii="宋体" w:hAnsi="宋体"/>
          <w:color w:val="auto"/>
          <w:highlight w:val="none"/>
        </w:rPr>
        <w:fldChar w:fldCharType="end"/>
      </w:r>
    </w:p>
    <w:p w14:paraId="3D8EDCD6">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_Toc7285 </w:instrText>
      </w:r>
      <w:r>
        <w:rPr>
          <w:rFonts w:ascii="宋体" w:hAnsi="宋体"/>
          <w:highlight w:val="none"/>
        </w:rPr>
        <w:fldChar w:fldCharType="separate"/>
      </w:r>
      <w:r>
        <w:rPr>
          <w:rFonts w:hint="eastAsia" w:ascii="宋体" w:hAnsi="宋体" w:eastAsia="宋体"/>
          <w:szCs w:val="28"/>
          <w:highlight w:val="none"/>
        </w:rPr>
        <w:t>三、技术响应文件</w:t>
      </w:r>
      <w:r>
        <w:tab/>
      </w:r>
      <w:r>
        <w:fldChar w:fldCharType="begin"/>
      </w:r>
      <w:r>
        <w:instrText xml:space="preserve"> PAGEREF _Toc7285 \h </w:instrText>
      </w:r>
      <w:r>
        <w:fldChar w:fldCharType="separate"/>
      </w:r>
      <w:r>
        <w:t>46</w:t>
      </w:r>
      <w:r>
        <w:fldChar w:fldCharType="end"/>
      </w:r>
      <w:r>
        <w:rPr>
          <w:rFonts w:ascii="宋体" w:hAnsi="宋体"/>
          <w:color w:val="auto"/>
          <w:highlight w:val="none"/>
        </w:rPr>
        <w:fldChar w:fldCharType="end"/>
      </w:r>
    </w:p>
    <w:p w14:paraId="53405866">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_Toc23359 </w:instrText>
      </w:r>
      <w:r>
        <w:rPr>
          <w:rFonts w:ascii="宋体" w:hAnsi="宋体"/>
          <w:highlight w:val="none"/>
        </w:rPr>
        <w:fldChar w:fldCharType="separate"/>
      </w:r>
      <w:r>
        <w:rPr>
          <w:rFonts w:hint="eastAsia" w:ascii="宋体" w:hAnsi="宋体" w:eastAsia="宋体" w:cs="宋体"/>
          <w:szCs w:val="28"/>
          <w:highlight w:val="none"/>
        </w:rPr>
        <w:t>格式13：评分对应表</w:t>
      </w:r>
      <w:r>
        <w:tab/>
      </w:r>
      <w:r>
        <w:fldChar w:fldCharType="begin"/>
      </w:r>
      <w:r>
        <w:instrText xml:space="preserve"> PAGEREF _Toc23359 \h </w:instrText>
      </w:r>
      <w:r>
        <w:fldChar w:fldCharType="separate"/>
      </w:r>
      <w:r>
        <w:t>46</w:t>
      </w:r>
      <w:r>
        <w:fldChar w:fldCharType="end"/>
      </w:r>
      <w:r>
        <w:rPr>
          <w:rFonts w:ascii="宋体" w:hAnsi="宋体"/>
          <w:color w:val="auto"/>
          <w:highlight w:val="none"/>
        </w:rPr>
        <w:fldChar w:fldCharType="end"/>
      </w:r>
    </w:p>
    <w:p w14:paraId="101D12FB">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_Toc24085 </w:instrText>
      </w:r>
      <w:r>
        <w:rPr>
          <w:rFonts w:ascii="宋体" w:hAnsi="宋体"/>
          <w:highlight w:val="none"/>
        </w:rPr>
        <w:fldChar w:fldCharType="separate"/>
      </w:r>
      <w:r>
        <w:rPr>
          <w:rFonts w:hint="eastAsia" w:ascii="宋体" w:hAnsi="宋体" w:eastAsia="宋体" w:cs="宋体"/>
          <w:szCs w:val="28"/>
          <w:highlight w:val="none"/>
        </w:rPr>
        <w:t>格式14：服务方案</w:t>
      </w:r>
      <w:r>
        <w:tab/>
      </w:r>
      <w:r>
        <w:fldChar w:fldCharType="begin"/>
      </w:r>
      <w:r>
        <w:instrText xml:space="preserve"> PAGEREF _Toc24085 \h </w:instrText>
      </w:r>
      <w:r>
        <w:fldChar w:fldCharType="separate"/>
      </w:r>
      <w:r>
        <w:t>46</w:t>
      </w:r>
      <w:r>
        <w:fldChar w:fldCharType="end"/>
      </w:r>
      <w:r>
        <w:rPr>
          <w:rFonts w:ascii="宋体" w:hAnsi="宋体"/>
          <w:color w:val="auto"/>
          <w:highlight w:val="none"/>
        </w:rPr>
        <w:fldChar w:fldCharType="end"/>
      </w:r>
    </w:p>
    <w:p w14:paraId="241A161F">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_Toc30630 </w:instrText>
      </w:r>
      <w:r>
        <w:rPr>
          <w:rFonts w:ascii="宋体" w:hAnsi="宋体"/>
          <w:highlight w:val="none"/>
        </w:rPr>
        <w:fldChar w:fldCharType="separate"/>
      </w:r>
      <w:r>
        <w:rPr>
          <w:rFonts w:hint="eastAsia" w:ascii="宋体" w:hAnsi="宋体" w:eastAsia="宋体" w:cs="宋体"/>
          <w:szCs w:val="28"/>
          <w:highlight w:val="none"/>
        </w:rPr>
        <w:t>格式15：服务团队</w:t>
      </w:r>
      <w:r>
        <w:tab/>
      </w:r>
      <w:r>
        <w:fldChar w:fldCharType="begin"/>
      </w:r>
      <w:r>
        <w:instrText xml:space="preserve"> PAGEREF _Toc30630 \h </w:instrText>
      </w:r>
      <w:r>
        <w:fldChar w:fldCharType="separate"/>
      </w:r>
      <w:r>
        <w:t>48</w:t>
      </w:r>
      <w:r>
        <w:fldChar w:fldCharType="end"/>
      </w:r>
      <w:r>
        <w:rPr>
          <w:rFonts w:ascii="宋体" w:hAnsi="宋体"/>
          <w:color w:val="auto"/>
          <w:highlight w:val="none"/>
        </w:rPr>
        <w:fldChar w:fldCharType="end"/>
      </w:r>
    </w:p>
    <w:p w14:paraId="53A9C954">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_Toc18610 </w:instrText>
      </w:r>
      <w:r>
        <w:rPr>
          <w:rFonts w:ascii="宋体" w:hAnsi="宋体"/>
          <w:highlight w:val="none"/>
        </w:rPr>
        <w:fldChar w:fldCharType="separate"/>
      </w:r>
      <w:r>
        <w:rPr>
          <w:rFonts w:hint="eastAsia" w:ascii="宋体" w:hAnsi="宋体" w:eastAsia="宋体" w:cs="宋体"/>
          <w:szCs w:val="28"/>
          <w:highlight w:val="none"/>
        </w:rPr>
        <w:t>格式1</w:t>
      </w:r>
      <w:r>
        <w:rPr>
          <w:rFonts w:hint="eastAsia" w:ascii="宋体" w:hAnsi="宋体" w:eastAsia="宋体" w:cs="宋体"/>
          <w:szCs w:val="28"/>
          <w:highlight w:val="none"/>
          <w:lang w:val="en-US" w:eastAsia="zh-CN"/>
        </w:rPr>
        <w:t>8</w:t>
      </w:r>
      <w:r>
        <w:rPr>
          <w:rFonts w:hint="eastAsia" w:ascii="宋体" w:hAnsi="宋体" w:eastAsia="宋体" w:cs="宋体"/>
          <w:szCs w:val="28"/>
          <w:highlight w:val="none"/>
        </w:rPr>
        <w:t>：业绩</w:t>
      </w:r>
      <w:r>
        <w:tab/>
      </w:r>
      <w:r>
        <w:fldChar w:fldCharType="begin"/>
      </w:r>
      <w:r>
        <w:instrText xml:space="preserve"> PAGEREF _Toc18610 \h </w:instrText>
      </w:r>
      <w:r>
        <w:fldChar w:fldCharType="separate"/>
      </w:r>
      <w:r>
        <w:t>49</w:t>
      </w:r>
      <w:r>
        <w:fldChar w:fldCharType="end"/>
      </w:r>
      <w:r>
        <w:rPr>
          <w:rFonts w:ascii="宋体" w:hAnsi="宋体"/>
          <w:color w:val="auto"/>
          <w:highlight w:val="none"/>
        </w:rPr>
        <w:fldChar w:fldCharType="end"/>
      </w:r>
    </w:p>
    <w:p w14:paraId="4A40F949">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_Toc16598 </w:instrText>
      </w:r>
      <w:r>
        <w:rPr>
          <w:rFonts w:ascii="宋体" w:hAnsi="宋体"/>
          <w:highlight w:val="none"/>
        </w:rPr>
        <w:fldChar w:fldCharType="separate"/>
      </w:r>
      <w:r>
        <w:rPr>
          <w:rFonts w:hint="eastAsia" w:ascii="宋体" w:hAnsi="宋体" w:eastAsia="宋体" w:cs="宋体"/>
          <w:bCs/>
          <w:szCs w:val="28"/>
          <w:highlight w:val="none"/>
        </w:rPr>
        <w:t>格式</w:t>
      </w:r>
      <w:r>
        <w:rPr>
          <w:rFonts w:hint="eastAsia" w:ascii="宋体" w:hAnsi="宋体" w:eastAsia="宋体" w:cs="宋体"/>
          <w:bCs/>
          <w:szCs w:val="28"/>
          <w:highlight w:val="none"/>
          <w:lang w:val="en-US" w:eastAsia="zh-CN"/>
        </w:rPr>
        <w:t>19</w:t>
      </w:r>
      <w:r>
        <w:rPr>
          <w:rFonts w:hint="eastAsia" w:ascii="宋体" w:hAnsi="宋体" w:eastAsia="宋体" w:cs="宋体"/>
          <w:bCs/>
          <w:szCs w:val="28"/>
          <w:highlight w:val="none"/>
        </w:rPr>
        <w:t>：其他（如有）</w:t>
      </w:r>
      <w:r>
        <w:tab/>
      </w:r>
      <w:r>
        <w:fldChar w:fldCharType="begin"/>
      </w:r>
      <w:r>
        <w:instrText xml:space="preserve"> PAGEREF _Toc16598 \h </w:instrText>
      </w:r>
      <w:r>
        <w:fldChar w:fldCharType="separate"/>
      </w:r>
      <w:r>
        <w:t>49</w:t>
      </w:r>
      <w:r>
        <w:fldChar w:fldCharType="end"/>
      </w:r>
      <w:r>
        <w:rPr>
          <w:rFonts w:ascii="宋体" w:hAnsi="宋体"/>
          <w:color w:val="auto"/>
          <w:highlight w:val="none"/>
        </w:rPr>
        <w:fldChar w:fldCharType="end"/>
      </w:r>
    </w:p>
    <w:p w14:paraId="49266A9A">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_Toc15186 </w:instrText>
      </w:r>
      <w:r>
        <w:rPr>
          <w:rFonts w:ascii="宋体" w:hAnsi="宋体"/>
          <w:highlight w:val="none"/>
        </w:rPr>
        <w:fldChar w:fldCharType="separate"/>
      </w:r>
      <w:r>
        <w:rPr>
          <w:rFonts w:hint="eastAsia" w:ascii="宋体" w:hAnsi="宋体" w:eastAsia="宋体"/>
          <w:szCs w:val="28"/>
          <w:highlight w:val="none"/>
        </w:rPr>
        <w:t>四、报价响应文件</w:t>
      </w:r>
      <w:r>
        <w:tab/>
      </w:r>
      <w:r>
        <w:fldChar w:fldCharType="begin"/>
      </w:r>
      <w:r>
        <w:instrText xml:space="preserve"> PAGEREF _Toc15186 \h </w:instrText>
      </w:r>
      <w:r>
        <w:fldChar w:fldCharType="separate"/>
      </w:r>
      <w:r>
        <w:t>50</w:t>
      </w:r>
      <w:r>
        <w:fldChar w:fldCharType="end"/>
      </w:r>
      <w:r>
        <w:rPr>
          <w:rFonts w:ascii="宋体" w:hAnsi="宋体"/>
          <w:color w:val="auto"/>
          <w:highlight w:val="none"/>
        </w:rPr>
        <w:fldChar w:fldCharType="end"/>
      </w:r>
    </w:p>
    <w:p w14:paraId="5CC4FC13">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_Toc3856 </w:instrText>
      </w:r>
      <w:r>
        <w:rPr>
          <w:rFonts w:ascii="宋体" w:hAnsi="宋体"/>
          <w:highlight w:val="none"/>
        </w:rPr>
        <w:fldChar w:fldCharType="separate"/>
      </w:r>
      <w:r>
        <w:rPr>
          <w:rFonts w:hint="eastAsia" w:ascii="宋体" w:hAnsi="宋体" w:eastAsia="宋体" w:cs="宋体"/>
          <w:szCs w:val="28"/>
          <w:highlight w:val="none"/>
        </w:rPr>
        <w:t>格式21：开标一览表</w:t>
      </w:r>
      <w:r>
        <w:tab/>
      </w:r>
      <w:r>
        <w:fldChar w:fldCharType="begin"/>
      </w:r>
      <w:r>
        <w:instrText xml:space="preserve"> PAGEREF _Toc3856 \h </w:instrText>
      </w:r>
      <w:r>
        <w:fldChar w:fldCharType="separate"/>
      </w:r>
      <w:r>
        <w:t>50</w:t>
      </w:r>
      <w:r>
        <w:fldChar w:fldCharType="end"/>
      </w:r>
      <w:r>
        <w:rPr>
          <w:rFonts w:ascii="宋体" w:hAnsi="宋体"/>
          <w:color w:val="auto"/>
          <w:highlight w:val="none"/>
        </w:rPr>
        <w:fldChar w:fldCharType="end"/>
      </w:r>
    </w:p>
    <w:p w14:paraId="60C94105">
      <w:pPr>
        <w:pStyle w:val="15"/>
        <w:tabs>
          <w:tab w:val="right" w:leader="dot" w:pos="9354"/>
        </w:tabs>
      </w:pPr>
      <w:r>
        <w:rPr>
          <w:rFonts w:ascii="宋体" w:hAnsi="宋体"/>
          <w:color w:val="auto"/>
          <w:highlight w:val="none"/>
        </w:rPr>
        <w:fldChar w:fldCharType="begin"/>
      </w:r>
      <w:r>
        <w:rPr>
          <w:rFonts w:ascii="宋体" w:hAnsi="宋体"/>
          <w:highlight w:val="none"/>
        </w:rPr>
        <w:instrText xml:space="preserve"> HYPERLINK \l _Toc18033 </w:instrText>
      </w:r>
      <w:r>
        <w:rPr>
          <w:rFonts w:ascii="宋体" w:hAnsi="宋体"/>
          <w:highlight w:val="none"/>
        </w:rPr>
        <w:fldChar w:fldCharType="separate"/>
      </w:r>
      <w:r>
        <w:rPr>
          <w:rFonts w:hint="eastAsia" w:ascii="宋体" w:hAnsi="宋体" w:eastAsia="宋体" w:cs="宋体"/>
          <w:szCs w:val="28"/>
          <w:highlight w:val="none"/>
        </w:rPr>
        <w:t>格式22：报价表</w:t>
      </w:r>
      <w:r>
        <w:tab/>
      </w:r>
      <w:r>
        <w:fldChar w:fldCharType="begin"/>
      </w:r>
      <w:r>
        <w:instrText xml:space="preserve"> PAGEREF _Toc18033 \h </w:instrText>
      </w:r>
      <w:r>
        <w:fldChar w:fldCharType="separate"/>
      </w:r>
      <w:r>
        <w:t>51</w:t>
      </w:r>
      <w:r>
        <w:fldChar w:fldCharType="end"/>
      </w:r>
      <w:r>
        <w:rPr>
          <w:rFonts w:ascii="宋体" w:hAnsi="宋体"/>
          <w:color w:val="auto"/>
          <w:highlight w:val="none"/>
        </w:rPr>
        <w:fldChar w:fldCharType="end"/>
      </w:r>
    </w:p>
    <w:p w14:paraId="237BB07D">
      <w:pPr>
        <w:pStyle w:val="22"/>
        <w:tabs>
          <w:tab w:val="right" w:leader="dot" w:pos="9354"/>
        </w:tabs>
      </w:pPr>
      <w:r>
        <w:rPr>
          <w:rFonts w:ascii="宋体" w:hAnsi="宋体"/>
          <w:color w:val="auto"/>
          <w:highlight w:val="none"/>
        </w:rPr>
        <w:fldChar w:fldCharType="begin"/>
      </w:r>
      <w:r>
        <w:rPr>
          <w:rFonts w:ascii="宋体" w:hAnsi="宋体"/>
          <w:highlight w:val="none"/>
        </w:rPr>
        <w:instrText xml:space="preserve"> HYPERLINK \l _Toc21482 </w:instrText>
      </w:r>
      <w:r>
        <w:rPr>
          <w:rFonts w:ascii="宋体" w:hAnsi="宋体"/>
          <w:highlight w:val="none"/>
        </w:rPr>
        <w:fldChar w:fldCharType="separate"/>
      </w:r>
      <w:r>
        <w:rPr>
          <w:rFonts w:hint="eastAsia" w:ascii="宋体" w:hAnsi="宋体" w:eastAsia="宋体" w:cs="宋体"/>
          <w:szCs w:val="36"/>
          <w:highlight w:val="none"/>
        </w:rPr>
        <w:t>第五章  服务需求</w:t>
      </w:r>
      <w:r>
        <w:tab/>
      </w:r>
      <w:r>
        <w:fldChar w:fldCharType="begin"/>
      </w:r>
      <w:r>
        <w:instrText xml:space="preserve"> PAGEREF _Toc21482 \h </w:instrText>
      </w:r>
      <w:r>
        <w:fldChar w:fldCharType="separate"/>
      </w:r>
      <w:r>
        <w:t>52</w:t>
      </w:r>
      <w:r>
        <w:fldChar w:fldCharType="end"/>
      </w:r>
      <w:r>
        <w:rPr>
          <w:rFonts w:ascii="宋体" w:hAnsi="宋体"/>
          <w:color w:val="auto"/>
          <w:highlight w:val="none"/>
        </w:rPr>
        <w:fldChar w:fldCharType="end"/>
      </w:r>
    </w:p>
    <w:p w14:paraId="04A85A02">
      <w:pPr>
        <w:pStyle w:val="22"/>
        <w:tabs>
          <w:tab w:val="right" w:leader="dot" w:pos="9354"/>
        </w:tabs>
      </w:pPr>
      <w:r>
        <w:rPr>
          <w:rFonts w:ascii="宋体" w:hAnsi="宋体"/>
          <w:color w:val="auto"/>
          <w:highlight w:val="none"/>
        </w:rPr>
        <w:fldChar w:fldCharType="begin"/>
      </w:r>
      <w:r>
        <w:rPr>
          <w:rFonts w:ascii="宋体" w:hAnsi="宋体"/>
          <w:highlight w:val="none"/>
        </w:rPr>
        <w:instrText xml:space="preserve"> HYPERLINK \l _Toc28253 </w:instrText>
      </w:r>
      <w:r>
        <w:rPr>
          <w:rFonts w:ascii="宋体" w:hAnsi="宋体"/>
          <w:highlight w:val="none"/>
        </w:rPr>
        <w:fldChar w:fldCharType="separate"/>
      </w:r>
      <w:r>
        <w:rPr>
          <w:rFonts w:hint="eastAsia" w:ascii="宋体" w:hAnsi="宋体" w:eastAsia="宋体" w:cs="仿宋_GB2312"/>
          <w:lang w:eastAsia="zh-CN"/>
        </w:rPr>
        <w:t>云南技师学院</w:t>
      </w:r>
      <w:r>
        <w:rPr>
          <w:rFonts w:hint="eastAsia" w:ascii="宋体" w:hAnsi="宋体" w:eastAsia="宋体" w:cs="仿宋_GB2312"/>
          <w:kern w:val="0"/>
          <w:lang w:eastAsia="zh-CN"/>
        </w:rPr>
        <w:t>物业</w:t>
      </w:r>
      <w:r>
        <w:rPr>
          <w:rFonts w:hint="eastAsia" w:ascii="宋体" w:hAnsi="宋体" w:eastAsia="宋体" w:cs="仿宋_GB2312"/>
          <w:kern w:val="0"/>
        </w:rPr>
        <w:t>服务管理办法</w:t>
      </w:r>
      <w:r>
        <w:tab/>
      </w:r>
      <w:r>
        <w:fldChar w:fldCharType="begin"/>
      </w:r>
      <w:r>
        <w:instrText xml:space="preserve"> PAGEREF _Toc28253 \h </w:instrText>
      </w:r>
      <w:r>
        <w:fldChar w:fldCharType="separate"/>
      </w:r>
      <w:r>
        <w:t>75</w:t>
      </w:r>
      <w:r>
        <w:fldChar w:fldCharType="end"/>
      </w:r>
      <w:r>
        <w:rPr>
          <w:rFonts w:ascii="宋体" w:hAnsi="宋体"/>
          <w:color w:val="auto"/>
          <w:highlight w:val="none"/>
        </w:rPr>
        <w:fldChar w:fldCharType="end"/>
      </w:r>
    </w:p>
    <w:p w14:paraId="7315B231">
      <w:pPr>
        <w:pStyle w:val="22"/>
        <w:tabs>
          <w:tab w:val="right" w:leader="dot" w:pos="9354"/>
        </w:tabs>
      </w:pPr>
      <w:r>
        <w:rPr>
          <w:rFonts w:ascii="宋体" w:hAnsi="宋体"/>
          <w:color w:val="auto"/>
          <w:highlight w:val="none"/>
        </w:rPr>
        <w:fldChar w:fldCharType="begin"/>
      </w:r>
      <w:r>
        <w:rPr>
          <w:rFonts w:ascii="宋体" w:hAnsi="宋体"/>
          <w:highlight w:val="none"/>
        </w:rPr>
        <w:instrText xml:space="preserve"> HYPERLINK \l _Toc32094 </w:instrText>
      </w:r>
      <w:r>
        <w:rPr>
          <w:rFonts w:ascii="宋体" w:hAnsi="宋体"/>
          <w:highlight w:val="none"/>
        </w:rPr>
        <w:fldChar w:fldCharType="separate"/>
      </w:r>
      <w:r>
        <w:rPr>
          <w:rFonts w:hint="eastAsia" w:ascii="宋体" w:hAnsi="宋体" w:eastAsia="宋体" w:cs="宋体"/>
          <w:szCs w:val="22"/>
          <w:highlight w:val="none"/>
        </w:rPr>
        <w:t>第六章  资格审查</w:t>
      </w:r>
      <w:r>
        <w:tab/>
      </w:r>
      <w:r>
        <w:fldChar w:fldCharType="begin"/>
      </w:r>
      <w:r>
        <w:instrText xml:space="preserve"> PAGEREF _Toc32094 \h </w:instrText>
      </w:r>
      <w:r>
        <w:fldChar w:fldCharType="separate"/>
      </w:r>
      <w:r>
        <w:t>102</w:t>
      </w:r>
      <w:r>
        <w:fldChar w:fldCharType="end"/>
      </w:r>
      <w:r>
        <w:rPr>
          <w:rFonts w:ascii="宋体" w:hAnsi="宋体"/>
          <w:color w:val="auto"/>
          <w:highlight w:val="none"/>
        </w:rPr>
        <w:fldChar w:fldCharType="end"/>
      </w:r>
    </w:p>
    <w:p w14:paraId="14E3F6E4">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_Toc129 </w:instrText>
      </w:r>
      <w:r>
        <w:rPr>
          <w:rFonts w:ascii="宋体" w:hAnsi="宋体"/>
          <w:highlight w:val="none"/>
        </w:rPr>
        <w:fldChar w:fldCharType="separate"/>
      </w:r>
      <w:r>
        <w:rPr>
          <w:rFonts w:hint="eastAsia" w:ascii="宋体" w:hAnsi="宋体" w:eastAsia="宋体"/>
          <w:szCs w:val="28"/>
          <w:highlight w:val="none"/>
        </w:rPr>
        <w:t>资格审查前附表</w:t>
      </w:r>
      <w:r>
        <w:tab/>
      </w:r>
      <w:r>
        <w:fldChar w:fldCharType="begin"/>
      </w:r>
      <w:r>
        <w:instrText xml:space="preserve"> PAGEREF _Toc129 \h </w:instrText>
      </w:r>
      <w:r>
        <w:fldChar w:fldCharType="separate"/>
      </w:r>
      <w:r>
        <w:t>102</w:t>
      </w:r>
      <w:r>
        <w:fldChar w:fldCharType="end"/>
      </w:r>
      <w:r>
        <w:rPr>
          <w:rFonts w:ascii="宋体" w:hAnsi="宋体"/>
          <w:color w:val="auto"/>
          <w:highlight w:val="none"/>
        </w:rPr>
        <w:fldChar w:fldCharType="end"/>
      </w:r>
    </w:p>
    <w:p w14:paraId="3E53D988">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_Toc17689 </w:instrText>
      </w:r>
      <w:r>
        <w:rPr>
          <w:rFonts w:ascii="宋体" w:hAnsi="宋体"/>
          <w:highlight w:val="none"/>
        </w:rPr>
        <w:fldChar w:fldCharType="separate"/>
      </w:r>
      <w:r>
        <w:rPr>
          <w:rFonts w:hint="eastAsia" w:ascii="宋体" w:hAnsi="宋体" w:eastAsia="宋体" w:cs="宋体"/>
          <w:szCs w:val="28"/>
          <w:highlight w:val="none"/>
        </w:rPr>
        <w:t>1. 资格审查</w:t>
      </w:r>
      <w:r>
        <w:tab/>
      </w:r>
      <w:r>
        <w:fldChar w:fldCharType="begin"/>
      </w:r>
      <w:r>
        <w:instrText xml:space="preserve"> PAGEREF _Toc17689 \h </w:instrText>
      </w:r>
      <w:r>
        <w:fldChar w:fldCharType="separate"/>
      </w:r>
      <w:r>
        <w:t>103</w:t>
      </w:r>
      <w:r>
        <w:fldChar w:fldCharType="end"/>
      </w:r>
      <w:r>
        <w:rPr>
          <w:rFonts w:ascii="宋体" w:hAnsi="宋体"/>
          <w:color w:val="auto"/>
          <w:highlight w:val="none"/>
        </w:rPr>
        <w:fldChar w:fldCharType="end"/>
      </w:r>
    </w:p>
    <w:p w14:paraId="56C21E5A">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_Toc12794 </w:instrText>
      </w:r>
      <w:r>
        <w:rPr>
          <w:rFonts w:ascii="宋体" w:hAnsi="宋体"/>
          <w:highlight w:val="none"/>
        </w:rPr>
        <w:fldChar w:fldCharType="separate"/>
      </w:r>
      <w:r>
        <w:rPr>
          <w:rFonts w:hint="eastAsia" w:ascii="宋体" w:hAnsi="宋体" w:eastAsia="宋体" w:cs="宋体"/>
          <w:szCs w:val="28"/>
          <w:highlight w:val="none"/>
        </w:rPr>
        <w:t>2. 资格审查标准</w:t>
      </w:r>
      <w:r>
        <w:tab/>
      </w:r>
      <w:r>
        <w:fldChar w:fldCharType="begin"/>
      </w:r>
      <w:r>
        <w:instrText xml:space="preserve"> PAGEREF _Toc12794 \h </w:instrText>
      </w:r>
      <w:r>
        <w:fldChar w:fldCharType="separate"/>
      </w:r>
      <w:r>
        <w:t>103</w:t>
      </w:r>
      <w:r>
        <w:fldChar w:fldCharType="end"/>
      </w:r>
      <w:r>
        <w:rPr>
          <w:rFonts w:ascii="宋体" w:hAnsi="宋体"/>
          <w:color w:val="auto"/>
          <w:highlight w:val="none"/>
        </w:rPr>
        <w:fldChar w:fldCharType="end"/>
      </w:r>
    </w:p>
    <w:p w14:paraId="55B9C55F">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_Toc3396 </w:instrText>
      </w:r>
      <w:r>
        <w:rPr>
          <w:rFonts w:ascii="宋体" w:hAnsi="宋体"/>
          <w:highlight w:val="none"/>
        </w:rPr>
        <w:fldChar w:fldCharType="separate"/>
      </w:r>
      <w:r>
        <w:rPr>
          <w:rFonts w:hint="eastAsia" w:ascii="宋体" w:hAnsi="宋体" w:eastAsia="宋体" w:cs="宋体"/>
          <w:szCs w:val="28"/>
          <w:highlight w:val="none"/>
        </w:rPr>
        <w:t>3. 资格审查程序</w:t>
      </w:r>
      <w:r>
        <w:tab/>
      </w:r>
      <w:r>
        <w:fldChar w:fldCharType="begin"/>
      </w:r>
      <w:r>
        <w:instrText xml:space="preserve"> PAGEREF _Toc3396 \h </w:instrText>
      </w:r>
      <w:r>
        <w:fldChar w:fldCharType="separate"/>
      </w:r>
      <w:r>
        <w:t>103</w:t>
      </w:r>
      <w:r>
        <w:fldChar w:fldCharType="end"/>
      </w:r>
      <w:r>
        <w:rPr>
          <w:rFonts w:ascii="宋体" w:hAnsi="宋体"/>
          <w:color w:val="auto"/>
          <w:highlight w:val="none"/>
        </w:rPr>
        <w:fldChar w:fldCharType="end"/>
      </w:r>
    </w:p>
    <w:p w14:paraId="3AE81D53">
      <w:pPr>
        <w:pStyle w:val="22"/>
        <w:tabs>
          <w:tab w:val="right" w:leader="dot" w:pos="9354"/>
        </w:tabs>
      </w:pPr>
      <w:r>
        <w:rPr>
          <w:rFonts w:ascii="宋体" w:hAnsi="宋体"/>
          <w:color w:val="auto"/>
          <w:highlight w:val="none"/>
        </w:rPr>
        <w:fldChar w:fldCharType="begin"/>
      </w:r>
      <w:r>
        <w:rPr>
          <w:rFonts w:ascii="宋体" w:hAnsi="宋体"/>
          <w:highlight w:val="none"/>
        </w:rPr>
        <w:instrText xml:space="preserve"> HYPERLINK \l _Toc24529 </w:instrText>
      </w:r>
      <w:r>
        <w:rPr>
          <w:rFonts w:ascii="宋体" w:hAnsi="宋体"/>
          <w:highlight w:val="none"/>
        </w:rPr>
        <w:fldChar w:fldCharType="separate"/>
      </w:r>
      <w:r>
        <w:rPr>
          <w:rFonts w:hint="eastAsia" w:ascii="宋体" w:hAnsi="宋体" w:eastAsia="宋体" w:cs="宋体"/>
          <w:highlight w:val="none"/>
        </w:rPr>
        <w:t>第七章  评标办法（综合评分法）</w:t>
      </w:r>
      <w:r>
        <w:tab/>
      </w:r>
      <w:r>
        <w:fldChar w:fldCharType="begin"/>
      </w:r>
      <w:r>
        <w:instrText xml:space="preserve"> PAGEREF _Toc24529 \h </w:instrText>
      </w:r>
      <w:r>
        <w:fldChar w:fldCharType="separate"/>
      </w:r>
      <w:r>
        <w:t>104</w:t>
      </w:r>
      <w:r>
        <w:fldChar w:fldCharType="end"/>
      </w:r>
      <w:r>
        <w:rPr>
          <w:rFonts w:ascii="宋体" w:hAnsi="宋体"/>
          <w:color w:val="auto"/>
          <w:highlight w:val="none"/>
        </w:rPr>
        <w:fldChar w:fldCharType="end"/>
      </w:r>
    </w:p>
    <w:p w14:paraId="5762DCAF">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_Toc7261 </w:instrText>
      </w:r>
      <w:r>
        <w:rPr>
          <w:rFonts w:ascii="宋体" w:hAnsi="宋体"/>
          <w:highlight w:val="none"/>
        </w:rPr>
        <w:fldChar w:fldCharType="separate"/>
      </w:r>
      <w:r>
        <w:rPr>
          <w:rFonts w:hint="eastAsia" w:ascii="宋体" w:hAnsi="宋体" w:eastAsia="宋体"/>
          <w:szCs w:val="28"/>
          <w:highlight w:val="none"/>
        </w:rPr>
        <w:t>评</w:t>
      </w:r>
      <w:r>
        <w:rPr>
          <w:rFonts w:hint="eastAsia" w:ascii="宋体" w:hAnsi="宋体" w:eastAsia="宋体" w:cs="宋体"/>
          <w:szCs w:val="28"/>
          <w:highlight w:val="none"/>
        </w:rPr>
        <w:t>标办法前附表</w:t>
      </w:r>
      <w:r>
        <w:tab/>
      </w:r>
      <w:r>
        <w:fldChar w:fldCharType="begin"/>
      </w:r>
      <w:r>
        <w:instrText xml:space="preserve"> PAGEREF _Toc7261 \h </w:instrText>
      </w:r>
      <w:r>
        <w:fldChar w:fldCharType="separate"/>
      </w:r>
      <w:r>
        <w:t>104</w:t>
      </w:r>
      <w:r>
        <w:fldChar w:fldCharType="end"/>
      </w:r>
      <w:r>
        <w:rPr>
          <w:rFonts w:ascii="宋体" w:hAnsi="宋体"/>
          <w:color w:val="auto"/>
          <w:highlight w:val="none"/>
        </w:rPr>
        <w:fldChar w:fldCharType="end"/>
      </w:r>
    </w:p>
    <w:p w14:paraId="4608BFEB">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_Toc26065 </w:instrText>
      </w:r>
      <w:r>
        <w:rPr>
          <w:rFonts w:ascii="宋体" w:hAnsi="宋体"/>
          <w:highlight w:val="none"/>
        </w:rPr>
        <w:fldChar w:fldCharType="separate"/>
      </w:r>
      <w:r>
        <w:rPr>
          <w:rFonts w:hint="eastAsia" w:ascii="宋体" w:hAnsi="宋体" w:eastAsia="宋体" w:cs="宋体"/>
          <w:szCs w:val="28"/>
          <w:highlight w:val="none"/>
        </w:rPr>
        <w:t>1. 评标方法：</w:t>
      </w:r>
      <w:r>
        <w:tab/>
      </w:r>
      <w:r>
        <w:fldChar w:fldCharType="begin"/>
      </w:r>
      <w:r>
        <w:instrText xml:space="preserve"> PAGEREF _Toc26065 \h </w:instrText>
      </w:r>
      <w:r>
        <w:fldChar w:fldCharType="separate"/>
      </w:r>
      <w:r>
        <w:t>110</w:t>
      </w:r>
      <w:r>
        <w:fldChar w:fldCharType="end"/>
      </w:r>
      <w:r>
        <w:rPr>
          <w:rFonts w:ascii="宋体" w:hAnsi="宋体"/>
          <w:color w:val="auto"/>
          <w:highlight w:val="none"/>
        </w:rPr>
        <w:fldChar w:fldCharType="end"/>
      </w:r>
    </w:p>
    <w:p w14:paraId="1D343F47">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_Toc31009 </w:instrText>
      </w:r>
      <w:r>
        <w:rPr>
          <w:rFonts w:ascii="宋体" w:hAnsi="宋体"/>
          <w:highlight w:val="none"/>
        </w:rPr>
        <w:fldChar w:fldCharType="separate"/>
      </w:r>
      <w:r>
        <w:rPr>
          <w:rFonts w:hint="eastAsia" w:ascii="宋体" w:hAnsi="宋体" w:eastAsia="宋体" w:cs="宋体"/>
          <w:szCs w:val="28"/>
          <w:highlight w:val="none"/>
        </w:rPr>
        <w:t>2. 评审标准</w:t>
      </w:r>
      <w:r>
        <w:tab/>
      </w:r>
      <w:r>
        <w:fldChar w:fldCharType="begin"/>
      </w:r>
      <w:r>
        <w:instrText xml:space="preserve"> PAGEREF _Toc31009 \h </w:instrText>
      </w:r>
      <w:r>
        <w:fldChar w:fldCharType="separate"/>
      </w:r>
      <w:r>
        <w:t>110</w:t>
      </w:r>
      <w:r>
        <w:fldChar w:fldCharType="end"/>
      </w:r>
      <w:r>
        <w:rPr>
          <w:rFonts w:ascii="宋体" w:hAnsi="宋体"/>
          <w:color w:val="auto"/>
          <w:highlight w:val="none"/>
        </w:rPr>
        <w:fldChar w:fldCharType="end"/>
      </w:r>
    </w:p>
    <w:p w14:paraId="23E85F0B">
      <w:pPr>
        <w:pStyle w:val="25"/>
        <w:tabs>
          <w:tab w:val="right" w:leader="dot" w:pos="9354"/>
          <w:tab w:val="clear" w:pos="9344"/>
        </w:tabs>
      </w:pPr>
      <w:r>
        <w:rPr>
          <w:rFonts w:ascii="宋体" w:hAnsi="宋体"/>
          <w:color w:val="auto"/>
          <w:highlight w:val="none"/>
        </w:rPr>
        <w:fldChar w:fldCharType="begin"/>
      </w:r>
      <w:r>
        <w:rPr>
          <w:rFonts w:ascii="宋体" w:hAnsi="宋体"/>
          <w:highlight w:val="none"/>
        </w:rPr>
        <w:instrText xml:space="preserve"> HYPERLINK \l _Toc26970 </w:instrText>
      </w:r>
      <w:r>
        <w:rPr>
          <w:rFonts w:ascii="宋体" w:hAnsi="宋体"/>
          <w:highlight w:val="none"/>
        </w:rPr>
        <w:fldChar w:fldCharType="separate"/>
      </w:r>
      <w:r>
        <w:rPr>
          <w:rFonts w:hint="eastAsia" w:ascii="宋体" w:hAnsi="宋体" w:eastAsia="宋体" w:cs="宋体"/>
          <w:szCs w:val="28"/>
          <w:highlight w:val="none"/>
        </w:rPr>
        <w:t>3. 评标程序</w:t>
      </w:r>
      <w:r>
        <w:tab/>
      </w:r>
      <w:r>
        <w:fldChar w:fldCharType="begin"/>
      </w:r>
      <w:r>
        <w:instrText xml:space="preserve"> PAGEREF _Toc26970 \h </w:instrText>
      </w:r>
      <w:r>
        <w:fldChar w:fldCharType="separate"/>
      </w:r>
      <w:r>
        <w:t>111</w:t>
      </w:r>
      <w:r>
        <w:fldChar w:fldCharType="end"/>
      </w:r>
      <w:r>
        <w:rPr>
          <w:rFonts w:ascii="宋体" w:hAnsi="宋体"/>
          <w:color w:val="auto"/>
          <w:highlight w:val="none"/>
        </w:rPr>
        <w:fldChar w:fldCharType="end"/>
      </w:r>
    </w:p>
    <w:p w14:paraId="37E6CB7C">
      <w:pPr>
        <w:pStyle w:val="15"/>
        <w:tabs>
          <w:tab w:val="right" w:leader="dot" w:pos="9353"/>
        </w:tabs>
        <w:snapToGrid w:val="0"/>
        <w:spacing w:line="300" w:lineRule="exact"/>
        <w:ind w:left="0" w:leftChars="0"/>
        <w:rPr>
          <w:rFonts w:hint="eastAsia" w:ascii="宋体" w:hAnsi="宋体"/>
          <w:color w:val="auto"/>
          <w:highlight w:val="none"/>
        </w:rPr>
        <w:sectPr>
          <w:pgSz w:w="11906" w:h="16838"/>
          <w:pgMar w:top="1418" w:right="1134" w:bottom="1134" w:left="1418" w:header="779" w:footer="720" w:gutter="0"/>
          <w:pgNumType w:start="1"/>
          <w:cols w:space="720" w:num="1"/>
          <w:rtlGutter w:val="1"/>
          <w:docGrid w:type="linesAndChars" w:linePitch="331" w:charSpace="0"/>
        </w:sectPr>
      </w:pPr>
      <w:r>
        <w:rPr>
          <w:rFonts w:ascii="宋体" w:hAnsi="宋体"/>
          <w:color w:val="auto"/>
          <w:highlight w:val="none"/>
        </w:rPr>
        <w:fldChar w:fldCharType="end"/>
      </w:r>
    </w:p>
    <w:p w14:paraId="456DE6E7">
      <w:pPr>
        <w:pStyle w:val="2"/>
        <w:numPr>
          <w:ilvl w:val="0"/>
          <w:numId w:val="0"/>
        </w:numPr>
        <w:spacing w:before="0"/>
        <w:jc w:val="center"/>
        <w:rPr>
          <w:rFonts w:hint="eastAsia" w:ascii="宋体" w:hAnsi="宋体" w:eastAsia="宋体"/>
          <w:color w:val="auto"/>
          <w:sz w:val="32"/>
          <w:szCs w:val="32"/>
          <w:highlight w:val="none"/>
        </w:rPr>
      </w:pPr>
      <w:bookmarkStart w:id="0" w:name="_Toc49431336"/>
      <w:bookmarkStart w:id="1" w:name="_Toc4805"/>
      <w:bookmarkStart w:id="2" w:name="_Toc324"/>
      <w:bookmarkStart w:id="3" w:name="_Toc8605"/>
      <w:bookmarkStart w:id="4" w:name="_Toc10673"/>
      <w:r>
        <w:rPr>
          <w:rFonts w:hint="eastAsia" w:ascii="宋体" w:hAnsi="宋体" w:eastAsia="宋体"/>
          <w:color w:val="auto"/>
          <w:sz w:val="32"/>
          <w:szCs w:val="32"/>
          <w:highlight w:val="none"/>
        </w:rPr>
        <w:t>第一章  投标邀请</w:t>
      </w:r>
      <w:bookmarkEnd w:id="0"/>
      <w:bookmarkEnd w:id="1"/>
      <w:bookmarkEnd w:id="2"/>
      <w:bookmarkEnd w:id="3"/>
      <w:bookmarkEnd w:id="4"/>
    </w:p>
    <w:p w14:paraId="27248B95">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项目概况：</w:t>
      </w:r>
    </w:p>
    <w:p w14:paraId="5C88BB20">
      <w:pPr>
        <w:pBdr>
          <w:top w:val="single" w:color="auto" w:sz="4" w:space="1"/>
          <w:left w:val="single" w:color="auto" w:sz="4" w:space="4"/>
          <w:bottom w:val="single" w:color="auto" w:sz="4" w:space="1"/>
          <w:right w:val="single" w:color="auto" w:sz="4" w:space="4"/>
        </w:pBdr>
        <w:wordWrap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u w:val="single"/>
          <w:lang w:eastAsia="zh-CN"/>
        </w:rPr>
        <w:t>云南技师学院（云南工贸职业技术学院）2026-2029年物业服务项目采购</w:t>
      </w:r>
      <w:r>
        <w:rPr>
          <w:rFonts w:hint="eastAsia" w:ascii="宋体" w:hAnsi="宋体"/>
          <w:color w:val="auto"/>
          <w:szCs w:val="21"/>
          <w:highlight w:val="none"/>
        </w:rPr>
        <w:t>的潜在投标人应在“政采云”平台（http：//www.zcygov.cn）</w:t>
      </w:r>
      <w:r>
        <w:rPr>
          <w:color w:val="auto"/>
          <w:highlight w:val="none"/>
        </w:rPr>
        <w:fldChar w:fldCharType="begin"/>
      </w:r>
      <w:r>
        <w:rPr>
          <w:color w:val="auto"/>
          <w:highlight w:val="none"/>
        </w:rPr>
        <w:instrText xml:space="preserve"> HYPERLINK "http://116.55.195.54:8001/" \l "/homePage）获取招标文件，并于2022年" </w:instrText>
      </w:r>
      <w:r>
        <w:rPr>
          <w:color w:val="auto"/>
          <w:highlight w:val="none"/>
        </w:rPr>
        <w:fldChar w:fldCharType="separate"/>
      </w:r>
      <w:r>
        <w:rPr>
          <w:rStyle w:val="38"/>
          <w:rFonts w:hint="eastAsia" w:ascii="宋体" w:hAnsi="宋体"/>
          <w:color w:val="auto"/>
          <w:szCs w:val="21"/>
          <w:highlight w:val="none"/>
        </w:rPr>
        <w:t>获取招标文件，并于</w:t>
      </w:r>
      <w:r>
        <w:rPr>
          <w:rStyle w:val="38"/>
          <w:rFonts w:hint="eastAsia" w:ascii="宋体" w:hAnsi="宋体"/>
          <w:color w:val="auto"/>
          <w:szCs w:val="21"/>
          <w:highlight w:val="none"/>
          <w:u w:val="single"/>
        </w:rPr>
        <w:t>2026</w:t>
      </w:r>
      <w:r>
        <w:rPr>
          <w:rStyle w:val="38"/>
          <w:rFonts w:hint="eastAsia" w:ascii="宋体" w:hAnsi="宋体"/>
          <w:bCs/>
          <w:color w:val="auto"/>
          <w:szCs w:val="21"/>
          <w:highlight w:val="none"/>
        </w:rPr>
        <w:t>年</w:t>
      </w:r>
      <w:r>
        <w:rPr>
          <w:rStyle w:val="38"/>
          <w:rFonts w:hint="eastAsia" w:ascii="宋体" w:hAnsi="宋体"/>
          <w:bCs/>
          <w:color w:val="auto"/>
          <w:szCs w:val="21"/>
          <w:highlight w:val="none"/>
        </w:rPr>
        <w:fldChar w:fldCharType="end"/>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6</w:t>
      </w:r>
      <w:r>
        <w:rPr>
          <w:rFonts w:hint="eastAsia" w:ascii="宋体" w:hAnsi="宋体"/>
          <w:bCs/>
          <w:color w:val="auto"/>
          <w:szCs w:val="21"/>
          <w:highlight w:val="none"/>
          <w:u w:val="single"/>
        </w:rPr>
        <w:t xml:space="preserve"> </w:t>
      </w:r>
      <w:r>
        <w:rPr>
          <w:rFonts w:hint="eastAsia" w:ascii="宋体" w:hAnsi="宋体"/>
          <w:bCs/>
          <w:color w:val="auto"/>
          <w:szCs w:val="21"/>
          <w:highlight w:val="none"/>
        </w:rPr>
        <w:t>月</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11 </w:t>
      </w:r>
      <w:r>
        <w:rPr>
          <w:rFonts w:hint="eastAsia" w:ascii="宋体" w:hAnsi="宋体"/>
          <w:bCs/>
          <w:color w:val="auto"/>
          <w:szCs w:val="21"/>
          <w:highlight w:val="none"/>
        </w:rPr>
        <w:t>日</w:t>
      </w:r>
      <w:r>
        <w:rPr>
          <w:rFonts w:hint="eastAsia" w:ascii="宋体" w:hAnsi="宋体"/>
          <w:bCs/>
          <w:color w:val="auto"/>
          <w:szCs w:val="21"/>
          <w:highlight w:val="none"/>
          <w:u w:val="single"/>
        </w:rPr>
        <w:t xml:space="preserve"> 09 </w:t>
      </w:r>
      <w:r>
        <w:rPr>
          <w:rFonts w:hint="eastAsia" w:ascii="宋体" w:hAnsi="宋体"/>
          <w:bCs/>
          <w:color w:val="auto"/>
          <w:szCs w:val="21"/>
          <w:highlight w:val="none"/>
        </w:rPr>
        <w:t>时</w:t>
      </w:r>
      <w:r>
        <w:rPr>
          <w:rFonts w:hint="eastAsia" w:ascii="宋体" w:hAnsi="宋体"/>
          <w:bCs/>
          <w:color w:val="auto"/>
          <w:szCs w:val="21"/>
          <w:highlight w:val="none"/>
          <w:u w:val="single"/>
        </w:rPr>
        <w:t>00</w:t>
      </w:r>
      <w:r>
        <w:rPr>
          <w:rFonts w:hint="eastAsia" w:ascii="宋体" w:hAnsi="宋体"/>
          <w:bCs/>
          <w:color w:val="auto"/>
          <w:szCs w:val="21"/>
          <w:highlight w:val="none"/>
        </w:rPr>
        <w:t>分（北京时间）前提交投标文件</w:t>
      </w:r>
      <w:r>
        <w:rPr>
          <w:rFonts w:hint="eastAsia" w:ascii="宋体" w:hAnsi="宋体"/>
          <w:color w:val="auto"/>
          <w:szCs w:val="21"/>
          <w:highlight w:val="none"/>
        </w:rPr>
        <w:t>。</w:t>
      </w:r>
    </w:p>
    <w:p w14:paraId="0F72663D">
      <w:pPr>
        <w:pStyle w:val="3"/>
        <w:keepLines/>
        <w:numPr>
          <w:ilvl w:val="0"/>
          <w:numId w:val="0"/>
        </w:numPr>
        <w:adjustRightInd/>
        <w:spacing w:after="120"/>
        <w:ind w:left="425"/>
        <w:textAlignment w:val="auto"/>
        <w:rPr>
          <w:rFonts w:hint="eastAsia" w:ascii="宋体" w:hAnsi="宋体" w:eastAsia="宋体" w:cs="宋体"/>
          <w:bCs/>
          <w:color w:val="auto"/>
          <w:kern w:val="2"/>
          <w:sz w:val="21"/>
          <w:szCs w:val="21"/>
          <w:highlight w:val="none"/>
        </w:rPr>
      </w:pPr>
      <w:bookmarkStart w:id="5" w:name="_Toc1834"/>
      <w:bookmarkStart w:id="6" w:name="_Toc35393798"/>
      <w:bookmarkStart w:id="7" w:name="_Toc19215"/>
      <w:bookmarkStart w:id="8" w:name="_Toc28359089"/>
      <w:bookmarkStart w:id="9" w:name="_Toc49431337"/>
      <w:bookmarkStart w:id="10" w:name="_Toc32658"/>
      <w:bookmarkStart w:id="11" w:name="_Toc28359012"/>
      <w:bookmarkStart w:id="12" w:name="_Toc35393629"/>
      <w:bookmarkStart w:id="13" w:name="_Toc43368449"/>
      <w:bookmarkStart w:id="14" w:name="_Toc6442"/>
      <w:r>
        <w:rPr>
          <w:rFonts w:hint="eastAsia" w:ascii="宋体" w:hAnsi="宋体" w:eastAsia="宋体" w:cs="宋体"/>
          <w:bCs/>
          <w:color w:val="auto"/>
          <w:kern w:val="2"/>
          <w:sz w:val="21"/>
          <w:szCs w:val="21"/>
          <w:highlight w:val="none"/>
        </w:rPr>
        <w:t>一、项目基本情况</w:t>
      </w:r>
      <w:bookmarkEnd w:id="5"/>
      <w:bookmarkEnd w:id="6"/>
      <w:bookmarkEnd w:id="7"/>
      <w:bookmarkEnd w:id="8"/>
      <w:bookmarkEnd w:id="9"/>
      <w:bookmarkEnd w:id="10"/>
      <w:bookmarkEnd w:id="11"/>
      <w:bookmarkEnd w:id="12"/>
      <w:bookmarkEnd w:id="13"/>
      <w:bookmarkEnd w:id="14"/>
    </w:p>
    <w:p w14:paraId="3C9B0247">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1.项目编号：</w:t>
      </w:r>
      <w:r>
        <w:rPr>
          <w:color w:val="auto"/>
          <w:highlight w:val="none"/>
        </w:rPr>
        <w:fldChar w:fldCharType="begin"/>
      </w:r>
      <w:r>
        <w:rPr>
          <w:color w:val="auto"/>
          <w:highlight w:val="none"/>
        </w:rPr>
        <w:instrText xml:space="preserve"> HYPERLINK "https://www.zcygov.cn/gaea/api/project/flow/redirect?projectId=7319696609837056049&amp;newUrl=https://www.zcygov.cn/micro-app-back-index/blank?_flow_type_=agency&amp;_flow_projectId_=7319696609837056049&amp;_jump_page_type_=project_procurement_management_flow&amp;_app_=zcy.procurement&amp;oldUrl=https://www.zcygov.cn/project-center/_procurement_/project-result-detail/7319696609837056049" \t "https://www.zcygov.cn/project-center/_procurement_/self-project/_blank" </w:instrText>
      </w:r>
      <w:r>
        <w:rPr>
          <w:color w:val="auto"/>
          <w:highlight w:val="none"/>
        </w:rPr>
        <w:fldChar w:fldCharType="separate"/>
      </w:r>
      <w:r>
        <w:rPr>
          <w:rFonts w:hint="eastAsia" w:ascii="宋体" w:hAnsi="宋体"/>
          <w:color w:val="auto"/>
          <w:szCs w:val="21"/>
          <w:highlight w:val="none"/>
          <w:lang w:eastAsia="zh-CN"/>
        </w:rPr>
        <w:t>YNZC2026-G3-02247-YNSZ-0114</w:t>
      </w:r>
      <w:r>
        <w:rPr>
          <w:rFonts w:hint="eastAsia" w:ascii="宋体" w:hAnsi="宋体"/>
          <w:color w:val="auto"/>
          <w:szCs w:val="21"/>
          <w:highlight w:val="none"/>
        </w:rPr>
        <w:fldChar w:fldCharType="end"/>
      </w:r>
    </w:p>
    <w:p w14:paraId="54FA52C3">
      <w:pPr>
        <w:spacing w:line="360" w:lineRule="auto"/>
        <w:ind w:firstLine="420"/>
        <w:rPr>
          <w:rFonts w:hint="eastAsia" w:ascii="宋体" w:hAnsi="宋体" w:eastAsia="宋体"/>
          <w:color w:val="auto"/>
          <w:szCs w:val="21"/>
          <w:highlight w:val="none"/>
          <w:lang w:eastAsia="zh-CN"/>
        </w:rPr>
      </w:pPr>
      <w:r>
        <w:rPr>
          <w:rFonts w:hint="eastAsia" w:ascii="宋体" w:hAnsi="宋体"/>
          <w:color w:val="auto"/>
          <w:szCs w:val="21"/>
          <w:highlight w:val="none"/>
        </w:rPr>
        <w:t>2.项目名称：</w:t>
      </w:r>
      <w:r>
        <w:rPr>
          <w:rFonts w:hint="eastAsia" w:ascii="宋体" w:hAnsi="宋体"/>
          <w:color w:val="auto"/>
          <w:szCs w:val="21"/>
          <w:highlight w:val="none"/>
          <w:lang w:eastAsia="zh-CN"/>
        </w:rPr>
        <w:t>云南技师学院（云南工贸职业技术学院）2026-2029年物业服务项目采购</w:t>
      </w:r>
    </w:p>
    <w:p w14:paraId="51AC14CE">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3.采购方式：公开招标。</w:t>
      </w:r>
    </w:p>
    <w:p w14:paraId="666A910B">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4.采购预算资金：</w:t>
      </w:r>
      <w:r>
        <w:rPr>
          <w:rFonts w:hint="eastAsia" w:ascii="宋体" w:hAnsi="宋体"/>
          <w:color w:val="auto"/>
          <w:szCs w:val="21"/>
          <w:highlight w:val="none"/>
          <w:lang w:val="en-US" w:eastAsia="zh-CN"/>
        </w:rPr>
        <w:t>300.00</w:t>
      </w:r>
      <w:r>
        <w:rPr>
          <w:rFonts w:hint="eastAsia" w:ascii="宋体" w:hAnsi="宋体"/>
          <w:color w:val="auto"/>
          <w:szCs w:val="21"/>
          <w:highlight w:val="none"/>
        </w:rPr>
        <w:t>万元</w:t>
      </w:r>
      <w:r>
        <w:rPr>
          <w:rFonts w:hint="eastAsia" w:ascii="宋体" w:hAnsi="宋体"/>
          <w:color w:val="auto"/>
          <w:szCs w:val="21"/>
          <w:highlight w:val="none"/>
          <w:lang w:val="en-US" w:eastAsia="zh-CN"/>
        </w:rPr>
        <w:t>/年</w:t>
      </w:r>
      <w:r>
        <w:rPr>
          <w:rFonts w:hint="eastAsia" w:ascii="宋体" w:hAnsi="宋体"/>
          <w:color w:val="auto"/>
          <w:szCs w:val="21"/>
          <w:highlight w:val="none"/>
        </w:rPr>
        <w:t>；最高限价：</w:t>
      </w:r>
      <w:r>
        <w:rPr>
          <w:rFonts w:hint="eastAsia" w:ascii="宋体" w:hAnsi="宋体"/>
          <w:color w:val="auto"/>
          <w:szCs w:val="21"/>
          <w:highlight w:val="none"/>
          <w:lang w:val="en-US" w:eastAsia="zh-CN"/>
        </w:rPr>
        <w:t>300.00万元/年</w:t>
      </w:r>
      <w:r>
        <w:rPr>
          <w:rFonts w:hint="eastAsia" w:ascii="宋体" w:hAnsi="宋体"/>
          <w:color w:val="auto"/>
          <w:szCs w:val="21"/>
          <w:highlight w:val="none"/>
        </w:rPr>
        <w:t>。</w:t>
      </w:r>
    </w:p>
    <w:p w14:paraId="53DBA01A">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5.采购需求：本项目不分包，</w:t>
      </w:r>
      <w:r>
        <w:rPr>
          <w:rFonts w:hint="eastAsia" w:ascii="宋体" w:hAnsi="宋体"/>
          <w:color w:val="auto"/>
          <w:szCs w:val="21"/>
          <w:highlight w:val="none"/>
          <w:lang w:eastAsia="zh-CN"/>
        </w:rPr>
        <w:t>云南技师学院</w:t>
      </w:r>
      <w:r>
        <w:rPr>
          <w:rFonts w:hint="eastAsia" w:ascii="宋体" w:hAnsi="宋体"/>
          <w:color w:val="auto"/>
          <w:szCs w:val="21"/>
          <w:highlight w:val="none"/>
          <w:lang w:val="en-US" w:eastAsia="zh-CN"/>
        </w:rPr>
        <w:t>位于云南省昆明安宁市昆畹中路23号，占地面积1167.65亩，拥有单体建筑37栋，总建筑面积31.7万平米，建设4个国家级高技能人才培训基地，2个世界技能大赛中国集训基地、1个国家级康养基地，4个省级公共集训基地，60多个校内实训基地。物业服务主要包含，环境卫生保障、校园公物、水电气设施日常维护及修缮服务</w:t>
      </w:r>
      <w:r>
        <w:rPr>
          <w:rFonts w:hint="eastAsia" w:ascii="宋体" w:hAnsi="宋体"/>
          <w:color w:val="auto"/>
          <w:szCs w:val="21"/>
          <w:highlight w:val="none"/>
        </w:rPr>
        <w:t>，具体服务内容详见招标文件第五章服务需求。</w:t>
      </w:r>
    </w:p>
    <w:p w14:paraId="65B4CD5C">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6.合同履行期限：</w:t>
      </w:r>
      <w:r>
        <w:rPr>
          <w:rFonts w:hint="eastAsia" w:ascii="宋体" w:hAnsi="宋体"/>
          <w:color w:val="auto"/>
          <w:szCs w:val="21"/>
          <w:highlight w:val="none"/>
          <w:lang w:val="en-US" w:eastAsia="zh-CN"/>
        </w:rPr>
        <w:t>一采三年（合同一年一签），自合同签订之日起至次年对应之日止。本次采购中，供应商应以年服务费进行报价，一旦中标，中标价即为第一年服务的合同价；第二年及第三年合同履行按云财采〔2015〕16号、云财采〔2016〕22号文件执行</w:t>
      </w:r>
      <w:r>
        <w:rPr>
          <w:rFonts w:hint="eastAsia" w:ascii="宋体" w:hAnsi="宋体"/>
          <w:color w:val="auto"/>
          <w:szCs w:val="21"/>
          <w:highlight w:val="none"/>
        </w:rPr>
        <w:t>。</w:t>
      </w:r>
    </w:p>
    <w:p w14:paraId="62659512">
      <w:pPr>
        <w:spacing w:line="360" w:lineRule="auto"/>
        <w:ind w:firstLine="420"/>
        <w:rPr>
          <w:rFonts w:hint="eastAsia" w:ascii="宋体" w:hAnsi="宋体"/>
          <w:color w:val="auto"/>
          <w:szCs w:val="21"/>
          <w:highlight w:val="none"/>
        </w:rPr>
      </w:pPr>
      <w:r>
        <w:rPr>
          <w:rFonts w:hint="eastAsia" w:ascii="宋体" w:hAnsi="宋体"/>
          <w:color w:val="auto"/>
          <w:szCs w:val="21"/>
          <w:highlight w:val="none"/>
          <w:lang w:val="en-US" w:eastAsia="zh-CN"/>
        </w:rPr>
        <w:t>7.</w:t>
      </w:r>
      <w:r>
        <w:rPr>
          <w:rFonts w:hint="eastAsia" w:ascii="宋体" w:hAnsi="宋体"/>
          <w:color w:val="auto"/>
          <w:szCs w:val="21"/>
          <w:highlight w:val="none"/>
        </w:rPr>
        <w:t>服务地点：</w:t>
      </w:r>
      <w:r>
        <w:rPr>
          <w:rFonts w:hint="eastAsia" w:ascii="宋体" w:hAnsi="宋体"/>
          <w:color w:val="auto"/>
          <w:szCs w:val="21"/>
          <w:highlight w:val="none"/>
          <w:lang w:val="en-US" w:eastAsia="zh-CN"/>
        </w:rPr>
        <w:t>云南技师学院（云南工贸职业技术学院）安宁校区及茨坝校区</w:t>
      </w:r>
      <w:r>
        <w:rPr>
          <w:rFonts w:hint="eastAsia" w:ascii="宋体" w:hAnsi="宋体"/>
          <w:color w:val="auto"/>
          <w:szCs w:val="21"/>
          <w:highlight w:val="none"/>
        </w:rPr>
        <w:t>。</w:t>
      </w:r>
    </w:p>
    <w:p w14:paraId="128C0CD1">
      <w:pPr>
        <w:spacing w:line="360" w:lineRule="auto"/>
        <w:ind w:firstLine="420"/>
        <w:rPr>
          <w:rFonts w:hint="eastAsia" w:ascii="宋体" w:hAnsi="宋体"/>
          <w:color w:val="auto"/>
          <w:szCs w:val="21"/>
          <w:highlight w:val="none"/>
        </w:rPr>
      </w:pPr>
      <w:r>
        <w:rPr>
          <w:rFonts w:hint="eastAsia" w:ascii="宋体" w:hAnsi="宋体"/>
          <w:color w:val="auto"/>
          <w:szCs w:val="21"/>
          <w:highlight w:val="none"/>
          <w:lang w:val="en-US" w:eastAsia="zh-CN"/>
        </w:rPr>
        <w:t>8</w:t>
      </w:r>
      <w:r>
        <w:rPr>
          <w:rFonts w:hint="eastAsia" w:ascii="宋体" w:hAnsi="宋体"/>
          <w:color w:val="auto"/>
          <w:szCs w:val="21"/>
          <w:highlight w:val="none"/>
        </w:rPr>
        <w:t>.本项目接受联合体。</w:t>
      </w:r>
    </w:p>
    <w:p w14:paraId="30033882">
      <w:pPr>
        <w:pStyle w:val="3"/>
        <w:keepLines/>
        <w:numPr>
          <w:ilvl w:val="0"/>
          <w:numId w:val="0"/>
        </w:numPr>
        <w:adjustRightInd/>
        <w:spacing w:after="120"/>
        <w:ind w:left="425"/>
        <w:textAlignment w:val="auto"/>
        <w:rPr>
          <w:rFonts w:hint="eastAsia" w:ascii="宋体" w:hAnsi="宋体" w:eastAsia="宋体" w:cs="宋体"/>
          <w:bCs/>
          <w:color w:val="auto"/>
          <w:kern w:val="2"/>
          <w:sz w:val="21"/>
          <w:szCs w:val="21"/>
          <w:highlight w:val="none"/>
        </w:rPr>
      </w:pPr>
      <w:bookmarkStart w:id="15" w:name="_Toc35393630"/>
      <w:bookmarkStart w:id="16" w:name="_Toc15792"/>
      <w:bookmarkStart w:id="17" w:name="_Toc393"/>
      <w:bookmarkStart w:id="18" w:name="_Toc28359013"/>
      <w:bookmarkStart w:id="19" w:name="_Toc35393799"/>
      <w:bookmarkStart w:id="20" w:name="_Toc22155"/>
      <w:bookmarkStart w:id="21" w:name="_Toc28359090"/>
      <w:bookmarkStart w:id="22" w:name="_Toc19580"/>
      <w:bookmarkStart w:id="23" w:name="_Toc43368450"/>
      <w:r>
        <w:rPr>
          <w:rFonts w:hint="eastAsia" w:ascii="宋体" w:hAnsi="宋体" w:eastAsia="宋体" w:cs="宋体"/>
          <w:bCs/>
          <w:color w:val="auto"/>
          <w:kern w:val="2"/>
          <w:sz w:val="21"/>
          <w:szCs w:val="21"/>
          <w:highlight w:val="none"/>
        </w:rPr>
        <w:t>二、申请人的资格要求</w:t>
      </w:r>
      <w:bookmarkEnd w:id="15"/>
      <w:bookmarkEnd w:id="16"/>
      <w:bookmarkEnd w:id="17"/>
      <w:bookmarkEnd w:id="18"/>
      <w:bookmarkEnd w:id="19"/>
      <w:bookmarkEnd w:id="20"/>
      <w:bookmarkEnd w:id="21"/>
      <w:bookmarkEnd w:id="22"/>
      <w:bookmarkEnd w:id="23"/>
    </w:p>
    <w:p w14:paraId="02897DD3">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1.满足《中华人民共和国政府采购法》第二十二条规定的条件，并提供资格证明文件，详见“投标人须知前附表”。</w:t>
      </w:r>
    </w:p>
    <w:p w14:paraId="69FB076D">
      <w:pPr>
        <w:spacing w:line="360" w:lineRule="auto"/>
        <w:ind w:firstLine="420"/>
        <w:rPr>
          <w:rFonts w:hint="eastAsia" w:ascii="宋体" w:hAnsi="宋体"/>
          <w:b/>
          <w:bCs/>
          <w:color w:val="auto"/>
          <w:szCs w:val="21"/>
          <w:highlight w:val="none"/>
          <w:lang w:val="en-US" w:eastAsia="zh-CN"/>
        </w:rPr>
      </w:pPr>
      <w:bookmarkStart w:id="24" w:name="_Toc28359014"/>
      <w:bookmarkStart w:id="25" w:name="_Toc28359091"/>
      <w:r>
        <w:rPr>
          <w:rFonts w:hint="eastAsia" w:ascii="宋体" w:hAnsi="宋体"/>
          <w:color w:val="auto"/>
          <w:szCs w:val="21"/>
          <w:highlight w:val="none"/>
        </w:rPr>
        <w:t>2.落实政府采购政策需满足的资格要求</w:t>
      </w:r>
      <w:r>
        <w:rPr>
          <w:rFonts w:hint="eastAsia" w:ascii="宋体" w:hAnsi="宋体"/>
          <w:b w:val="0"/>
          <w:bCs w:val="0"/>
          <w:color w:val="auto"/>
          <w:szCs w:val="21"/>
          <w:highlight w:val="none"/>
        </w:rPr>
        <w:t>：</w:t>
      </w:r>
      <w:r>
        <w:rPr>
          <w:rFonts w:hint="eastAsia" w:ascii="宋体" w:hAnsi="宋体"/>
          <w:b/>
          <w:bCs/>
          <w:color w:val="auto"/>
          <w:szCs w:val="21"/>
          <w:highlight w:val="none"/>
          <w:lang w:val="en-US" w:eastAsia="zh-CN"/>
        </w:rPr>
        <w:t>本项目为专门面向中小微企业采购服务项目，投标人须按要求填写《中小企业声明函》（残疾人福利性单位声明函、监狱企业证明文件），监狱企业、残疾人福利性单位视同小型或微型企业。</w:t>
      </w:r>
    </w:p>
    <w:p w14:paraId="549C3CEA">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3.本项目的特定条件：无。</w:t>
      </w:r>
    </w:p>
    <w:p w14:paraId="0B5C0EEF">
      <w:pPr>
        <w:wordWrap w:val="0"/>
        <w:spacing w:line="360" w:lineRule="auto"/>
        <w:ind w:firstLine="420"/>
        <w:rPr>
          <w:rFonts w:hint="eastAsia" w:ascii="宋体" w:hAnsi="宋体"/>
          <w:color w:val="auto"/>
          <w:szCs w:val="21"/>
          <w:highlight w:val="none"/>
        </w:rPr>
      </w:pPr>
      <w:r>
        <w:rPr>
          <w:rFonts w:hint="eastAsia" w:ascii="宋体" w:hAnsi="宋体"/>
          <w:color w:val="auto"/>
          <w:szCs w:val="21"/>
          <w:highlight w:val="none"/>
        </w:rPr>
        <w:t>4.参加投标的投标人在投标文件递交截止时间前未被列入“失信被执行人”、“重大税收违法失信主体”、“政府采购严重违法失信名单”，采购人或采购代理机构将通过“信用中国”网站(www.creditchina.gov.cn)、“中国政府采购网”网站（www.ccgp.gov.cn）查询投标人信用记录。</w:t>
      </w:r>
    </w:p>
    <w:p w14:paraId="1D462188">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5.为本项目提供整体设计、规范编制或者项目管理、监理、检测等服务的投标人不得参加本项目投标。</w:t>
      </w:r>
    </w:p>
    <w:p w14:paraId="0D94A93A">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6.单位负责人为同一人或者存在直接控股、管理关系的不同投标人，不得参加同一合同项下的政府采购活动。</w:t>
      </w:r>
    </w:p>
    <w:p w14:paraId="18EAC098">
      <w:pPr>
        <w:pStyle w:val="3"/>
        <w:keepLines/>
        <w:numPr>
          <w:ilvl w:val="0"/>
          <w:numId w:val="0"/>
        </w:numPr>
        <w:adjustRightInd/>
        <w:spacing w:after="120"/>
        <w:ind w:left="425"/>
        <w:textAlignment w:val="auto"/>
        <w:rPr>
          <w:rFonts w:hint="eastAsia" w:ascii="宋体" w:hAnsi="宋体" w:eastAsia="宋体" w:cs="宋体"/>
          <w:bCs/>
          <w:color w:val="auto"/>
          <w:kern w:val="2"/>
          <w:sz w:val="21"/>
          <w:szCs w:val="21"/>
          <w:highlight w:val="none"/>
        </w:rPr>
      </w:pPr>
      <w:bookmarkStart w:id="26" w:name="_Toc23497"/>
      <w:bookmarkStart w:id="27" w:name="_Toc29925"/>
      <w:bookmarkStart w:id="28" w:name="_Toc5572"/>
      <w:bookmarkStart w:id="29" w:name="_Toc35393800"/>
      <w:bookmarkStart w:id="30" w:name="_Toc10368"/>
      <w:bookmarkStart w:id="31" w:name="_Toc43368451"/>
      <w:bookmarkStart w:id="32" w:name="_Toc35393631"/>
      <w:r>
        <w:rPr>
          <w:rFonts w:hint="eastAsia" w:ascii="宋体" w:hAnsi="宋体" w:eastAsia="宋体" w:cs="宋体"/>
          <w:bCs/>
          <w:color w:val="auto"/>
          <w:kern w:val="2"/>
          <w:sz w:val="21"/>
          <w:szCs w:val="21"/>
          <w:highlight w:val="none"/>
        </w:rPr>
        <w:t>三、获取招标文件</w:t>
      </w:r>
      <w:bookmarkEnd w:id="24"/>
      <w:bookmarkEnd w:id="25"/>
      <w:bookmarkEnd w:id="26"/>
      <w:bookmarkEnd w:id="27"/>
      <w:bookmarkEnd w:id="28"/>
      <w:bookmarkEnd w:id="29"/>
      <w:bookmarkEnd w:id="30"/>
      <w:bookmarkEnd w:id="31"/>
      <w:bookmarkEnd w:id="32"/>
    </w:p>
    <w:p w14:paraId="7A777730">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1.时间：</w:t>
      </w:r>
      <w:r>
        <w:rPr>
          <w:rFonts w:hint="eastAsia" w:ascii="宋体" w:hAnsi="宋体"/>
          <w:color w:val="auto"/>
          <w:szCs w:val="21"/>
          <w:highlight w:val="none"/>
          <w:u w:val="single"/>
        </w:rPr>
        <w:t>2026年</w:t>
      </w:r>
      <w:r>
        <w:rPr>
          <w:rFonts w:hint="eastAsia" w:ascii="宋体" w:hAnsi="宋体"/>
          <w:color w:val="auto"/>
          <w:szCs w:val="21"/>
          <w:highlight w:val="none"/>
          <w:u w:val="single"/>
          <w:lang w:val="en-US" w:eastAsia="zh-CN"/>
        </w:rPr>
        <w:t xml:space="preserve"> 5 </w:t>
      </w:r>
      <w:r>
        <w:rPr>
          <w:rFonts w:hint="eastAsia" w:ascii="宋体" w:hAnsi="宋体"/>
          <w:color w:val="auto"/>
          <w:szCs w:val="21"/>
          <w:highlight w:val="none"/>
          <w:u w:val="single"/>
        </w:rPr>
        <w:t>月</w:t>
      </w:r>
      <w:r>
        <w:rPr>
          <w:rFonts w:hint="eastAsia" w:ascii="宋体" w:hAnsi="宋体"/>
          <w:color w:val="auto"/>
          <w:szCs w:val="21"/>
          <w:highlight w:val="none"/>
          <w:u w:val="single"/>
          <w:lang w:val="en-US" w:eastAsia="zh-CN"/>
        </w:rPr>
        <w:t xml:space="preserve"> 20 </w:t>
      </w:r>
      <w:r>
        <w:rPr>
          <w:rFonts w:hint="eastAsia" w:ascii="宋体" w:hAnsi="宋体"/>
          <w:color w:val="auto"/>
          <w:szCs w:val="21"/>
          <w:highlight w:val="none"/>
          <w:u w:val="single"/>
        </w:rPr>
        <w:t xml:space="preserve">日至2026年 </w:t>
      </w:r>
      <w:r>
        <w:rPr>
          <w:rFonts w:hint="eastAsia" w:ascii="宋体" w:hAnsi="宋体"/>
          <w:color w:val="auto"/>
          <w:szCs w:val="21"/>
          <w:highlight w:val="none"/>
          <w:u w:val="single"/>
          <w:lang w:val="en-US" w:eastAsia="zh-CN"/>
        </w:rPr>
        <w:t xml:space="preserve">5 </w:t>
      </w:r>
      <w:r>
        <w:rPr>
          <w:rFonts w:hint="eastAsia" w:ascii="宋体" w:hAnsi="宋体"/>
          <w:color w:val="auto"/>
          <w:szCs w:val="21"/>
          <w:highlight w:val="none"/>
          <w:u w:val="single"/>
        </w:rPr>
        <w:t>月</w:t>
      </w:r>
      <w:r>
        <w:rPr>
          <w:rFonts w:hint="eastAsia" w:ascii="宋体" w:hAnsi="宋体"/>
          <w:color w:val="auto"/>
          <w:szCs w:val="21"/>
          <w:highlight w:val="none"/>
          <w:u w:val="single"/>
          <w:lang w:val="en-US" w:eastAsia="zh-CN"/>
        </w:rPr>
        <w:t xml:space="preserve"> 27 </w:t>
      </w:r>
      <w:r>
        <w:rPr>
          <w:rFonts w:hint="eastAsia" w:ascii="宋体" w:hAnsi="宋体"/>
          <w:color w:val="auto"/>
          <w:szCs w:val="21"/>
          <w:highlight w:val="none"/>
          <w:u w:val="single"/>
        </w:rPr>
        <w:t>日23时59分</w:t>
      </w:r>
      <w:r>
        <w:rPr>
          <w:rFonts w:hint="eastAsia" w:ascii="宋体" w:hAnsi="宋体"/>
          <w:color w:val="auto"/>
          <w:szCs w:val="21"/>
          <w:highlight w:val="none"/>
        </w:rPr>
        <w:t>（北京时间，法定节假日除外）。</w:t>
      </w:r>
    </w:p>
    <w:p w14:paraId="16665BC2">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2.地点：政采云平台（https://www.zcygov.cn/）线上获取</w:t>
      </w:r>
    </w:p>
    <w:p w14:paraId="6392F38E">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方式：1.凡有意参加投标者，须在政采云平台办理数字证书（CA），CA申领链接：https://middle.zcygov.cn/ca/apply/list?_app_=zcy.sys，并在政采云绑定数字证书（CA）后在网上获取采购文件及其它采购资料，数字证书（CA）详见其办理流程。</w:t>
      </w:r>
    </w:p>
    <w:p w14:paraId="425080A4">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4.★未按上述要求获取文件的投标人不具备本项目的投标资格。</w:t>
      </w:r>
    </w:p>
    <w:p w14:paraId="253379EF">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5.售价：免费。</w:t>
      </w:r>
      <w:bookmarkStart w:id="33" w:name="_Toc43368452"/>
      <w:bookmarkStart w:id="34" w:name="_Toc35393632"/>
      <w:bookmarkStart w:id="35" w:name="_Toc28359092"/>
      <w:bookmarkStart w:id="36" w:name="_Toc35393801"/>
      <w:bookmarkStart w:id="37" w:name="_Toc28359015"/>
    </w:p>
    <w:p w14:paraId="3802E07E">
      <w:pPr>
        <w:pStyle w:val="3"/>
        <w:keepLines/>
        <w:numPr>
          <w:ilvl w:val="0"/>
          <w:numId w:val="0"/>
        </w:numPr>
        <w:adjustRightInd/>
        <w:spacing w:after="120"/>
        <w:ind w:left="425"/>
        <w:textAlignment w:val="auto"/>
        <w:rPr>
          <w:rFonts w:hint="eastAsia" w:ascii="宋体" w:hAnsi="宋体" w:eastAsia="宋体" w:cs="宋体"/>
          <w:bCs/>
          <w:color w:val="auto"/>
          <w:kern w:val="2"/>
          <w:sz w:val="21"/>
          <w:szCs w:val="21"/>
          <w:highlight w:val="none"/>
        </w:rPr>
      </w:pPr>
      <w:bookmarkStart w:id="38" w:name="_Toc26292"/>
      <w:bookmarkStart w:id="39" w:name="_Toc29126"/>
      <w:bookmarkStart w:id="40" w:name="_Toc13908"/>
      <w:bookmarkStart w:id="41" w:name="_Toc8019"/>
      <w:r>
        <w:rPr>
          <w:rFonts w:hint="eastAsia" w:ascii="宋体" w:hAnsi="宋体" w:eastAsia="宋体" w:cs="宋体"/>
          <w:bCs/>
          <w:color w:val="auto"/>
          <w:kern w:val="2"/>
          <w:sz w:val="21"/>
          <w:szCs w:val="21"/>
          <w:highlight w:val="none"/>
        </w:rPr>
        <w:t>四、</w:t>
      </w:r>
      <w:bookmarkEnd w:id="33"/>
      <w:bookmarkEnd w:id="34"/>
      <w:bookmarkEnd w:id="35"/>
      <w:bookmarkEnd w:id="36"/>
      <w:bookmarkEnd w:id="37"/>
      <w:r>
        <w:rPr>
          <w:rFonts w:hint="eastAsia" w:ascii="宋体" w:hAnsi="宋体" w:eastAsia="宋体" w:cs="宋体"/>
          <w:bCs/>
          <w:color w:val="auto"/>
          <w:kern w:val="2"/>
          <w:sz w:val="21"/>
          <w:szCs w:val="21"/>
          <w:highlight w:val="none"/>
        </w:rPr>
        <w:t>电子投标文件提交截止时间</w:t>
      </w:r>
      <w:bookmarkEnd w:id="38"/>
      <w:bookmarkEnd w:id="39"/>
      <w:bookmarkEnd w:id="40"/>
      <w:bookmarkEnd w:id="41"/>
    </w:p>
    <w:p w14:paraId="151CCC6D">
      <w:pPr>
        <w:spacing w:line="440" w:lineRule="exact"/>
        <w:ind w:firstLine="420"/>
        <w:rPr>
          <w:rFonts w:hint="eastAsia" w:ascii="宋体" w:hAnsi="宋体"/>
          <w:color w:val="auto"/>
          <w:szCs w:val="21"/>
          <w:highlight w:val="none"/>
        </w:rPr>
      </w:pPr>
      <w:r>
        <w:rPr>
          <w:rFonts w:hint="eastAsia" w:ascii="宋体" w:hAnsi="宋体"/>
          <w:color w:val="auto"/>
          <w:szCs w:val="21"/>
          <w:highlight w:val="none"/>
        </w:rPr>
        <w:t>1.投标截止时间及开标时间：</w:t>
      </w:r>
      <w:r>
        <w:rPr>
          <w:rFonts w:hint="eastAsia" w:ascii="宋体" w:hAnsi="宋体"/>
          <w:color w:val="auto"/>
          <w:szCs w:val="21"/>
          <w:highlight w:val="none"/>
          <w:u w:val="single"/>
        </w:rPr>
        <w:t>2026</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6</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11</w:t>
      </w:r>
      <w:r>
        <w:rPr>
          <w:rFonts w:hint="eastAsia" w:ascii="宋体" w:hAnsi="宋体"/>
          <w:color w:val="auto"/>
          <w:szCs w:val="21"/>
          <w:highlight w:val="none"/>
          <w:u w:val="single"/>
        </w:rPr>
        <w:t xml:space="preserve"> </w:t>
      </w:r>
      <w:r>
        <w:rPr>
          <w:rFonts w:hint="eastAsia" w:ascii="宋体" w:hAnsi="宋体"/>
          <w:color w:val="auto"/>
          <w:szCs w:val="21"/>
          <w:highlight w:val="none"/>
        </w:rPr>
        <w:t>日</w:t>
      </w:r>
      <w:r>
        <w:rPr>
          <w:rFonts w:hint="eastAsia" w:ascii="宋体" w:hAnsi="宋体"/>
          <w:color w:val="auto"/>
          <w:szCs w:val="21"/>
          <w:highlight w:val="none"/>
          <w:u w:val="single"/>
        </w:rPr>
        <w:t>09</w:t>
      </w:r>
      <w:r>
        <w:rPr>
          <w:rFonts w:hint="eastAsia" w:ascii="宋体" w:hAnsi="宋体"/>
          <w:color w:val="auto"/>
          <w:szCs w:val="21"/>
          <w:highlight w:val="none"/>
        </w:rPr>
        <w:t>时</w:t>
      </w:r>
      <w:r>
        <w:rPr>
          <w:rFonts w:hint="eastAsia" w:ascii="宋体" w:hAnsi="宋体"/>
          <w:color w:val="auto"/>
          <w:szCs w:val="21"/>
          <w:highlight w:val="none"/>
          <w:u w:val="single"/>
        </w:rPr>
        <w:t>00</w:t>
      </w:r>
      <w:r>
        <w:rPr>
          <w:rFonts w:hint="eastAsia" w:ascii="宋体" w:hAnsi="宋体"/>
          <w:color w:val="auto"/>
          <w:szCs w:val="21"/>
          <w:highlight w:val="none"/>
        </w:rPr>
        <w:t>分（北京时间）。</w:t>
      </w:r>
    </w:p>
    <w:p w14:paraId="5B30ACB2">
      <w:pPr>
        <w:spacing w:line="440" w:lineRule="exact"/>
        <w:ind w:firstLine="420" w:firstLineChars="200"/>
        <w:rPr>
          <w:rFonts w:hint="eastAsia" w:ascii="宋体" w:hAnsi="宋体"/>
          <w:color w:val="auto"/>
          <w:szCs w:val="21"/>
          <w:highlight w:val="none"/>
        </w:rPr>
      </w:pPr>
      <w:r>
        <w:rPr>
          <w:rFonts w:hint="eastAsia" w:ascii="宋体" w:hAnsi="宋体"/>
          <w:color w:val="auto"/>
          <w:szCs w:val="21"/>
          <w:highlight w:val="none"/>
        </w:rPr>
        <w:t>2.地点：昆明高新区科发路269号（科发路与科高路交叉口）交易大厦4楼</w:t>
      </w:r>
      <w:r>
        <w:rPr>
          <w:rFonts w:hint="eastAsia"/>
          <w:color w:val="auto"/>
          <w:highlight w:val="none"/>
        </w:rPr>
        <w:t>政采开标厅</w:t>
      </w:r>
      <w:r>
        <w:rPr>
          <w:rFonts w:hint="eastAsia" w:ascii="宋体" w:hAnsi="宋体"/>
          <w:color w:val="auto"/>
          <w:szCs w:val="21"/>
          <w:highlight w:val="none"/>
        </w:rPr>
        <w:t>（</w:t>
      </w:r>
      <w:r>
        <w:rPr>
          <w:rFonts w:hint="eastAsia" w:ascii="宋体" w:hAnsi="宋体" w:cs="宋体"/>
          <w:bCs/>
          <w:color w:val="auto"/>
          <w:szCs w:val="21"/>
          <w:highlight w:val="none"/>
        </w:rPr>
        <w:t>电子开标</w:t>
      </w:r>
      <w:r>
        <w:rPr>
          <w:rFonts w:hint="eastAsia" w:ascii="宋体" w:hAnsi="宋体"/>
          <w:color w:val="auto"/>
          <w:szCs w:val="21"/>
          <w:highlight w:val="none"/>
        </w:rPr>
        <w:t>，投标人不须到现场）。</w:t>
      </w:r>
    </w:p>
    <w:p w14:paraId="4CACFCE2">
      <w:pPr>
        <w:spacing w:line="360" w:lineRule="auto"/>
        <w:ind w:firstLine="420" w:firstLineChars="200"/>
        <w:rPr>
          <w:rFonts w:hint="eastAsia" w:ascii="宋体" w:hAnsi="宋体"/>
          <w:color w:val="auto"/>
          <w:szCs w:val="21"/>
          <w:highlight w:val="none"/>
        </w:rPr>
      </w:pPr>
      <w:bookmarkStart w:id="42" w:name="_Toc2153"/>
      <w:bookmarkStart w:id="43" w:name="_Toc35393804"/>
      <w:bookmarkStart w:id="44" w:name="_Toc35393635"/>
      <w:bookmarkStart w:id="45" w:name="_Toc43368455"/>
      <w:r>
        <w:rPr>
          <w:rFonts w:hint="eastAsia" w:ascii="宋体" w:hAnsi="宋体"/>
          <w:color w:val="auto"/>
          <w:szCs w:val="21"/>
          <w:highlight w:val="none"/>
        </w:rPr>
        <w:t>3.投标文件提交方式：本项目为全流程电子化项目，通过“政采云”平台（http：//www.zcygov.cn）实行在线电子响应，投标人应先安装“政采云电子交易客户端”（请自行前往“政采云”平台进行下载），并按照本项目采购文件和“政采云”平台的要求编制、加密后在投标截止时间前上传至“政采云”平台，投标人在“政采云”平台提交电子投标文件时，请填写参加远程采购活动经办人联系方式。</w:t>
      </w:r>
    </w:p>
    <w:p w14:paraId="5C13628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3.1未进行网上注册并办理数字证书（CA 认证）的投标人将无法参与本项目政府采购活动，潜在投标人应尽早完成电子交易平台上的 CA 数字证书办理，并在投标文件提交截止时间前提交投标文件。</w:t>
      </w:r>
    </w:p>
    <w:p w14:paraId="5DB7749E">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3.2为确保网上操作合法、有效和安全，请投标人确保在电子投标过程中能够对相关文件进行加密和使用电子签章，妥善保管 CA 数字证书并使用有效的 CA 数字证书参与整个采购活动。</w:t>
      </w:r>
    </w:p>
    <w:p w14:paraId="75959F87">
      <w:pPr>
        <w:spacing w:line="360" w:lineRule="auto"/>
        <w:ind w:firstLine="420" w:firstLineChars="200"/>
        <w:rPr>
          <w:rFonts w:hint="eastAsia" w:ascii="宋体" w:hAnsi="宋体" w:cs="宋体"/>
          <w:color w:val="auto"/>
          <w:szCs w:val="21"/>
          <w:highlight w:val="none"/>
          <w:u w:val="single"/>
        </w:rPr>
      </w:pPr>
      <w:r>
        <w:rPr>
          <w:rFonts w:hint="eastAsia" w:ascii="宋体" w:hAnsi="宋体"/>
          <w:color w:val="auto"/>
          <w:szCs w:val="21"/>
          <w:highlight w:val="none"/>
        </w:rPr>
        <w:t>注：投标人应当在投标文件提交截止时间前完成电子投标文件的上传、递交，投标文件提交截止时间前可以补充、修改或者撤回投标文件。补充或者修改投标文件的，应当先行撤回原文件，补充、修改后重新上传、递交。投标截止时间前未完成上传、递交的，视为撤回投标文件。投标文件提交截止时间以后上传递交的响应文件的，“政采云”平台将予以拒收</w:t>
      </w:r>
      <w:r>
        <w:rPr>
          <w:rFonts w:ascii="宋体" w:hAnsi="宋体"/>
          <w:color w:val="auto"/>
          <w:szCs w:val="21"/>
          <w:highlight w:val="none"/>
        </w:rPr>
        <w:t>。</w:t>
      </w:r>
    </w:p>
    <w:p w14:paraId="07FDC095">
      <w:pPr>
        <w:pStyle w:val="3"/>
        <w:keepLines/>
        <w:numPr>
          <w:ilvl w:val="0"/>
          <w:numId w:val="0"/>
        </w:numPr>
        <w:adjustRightInd/>
        <w:spacing w:after="120"/>
        <w:ind w:left="425"/>
        <w:textAlignment w:val="auto"/>
        <w:rPr>
          <w:rFonts w:hint="eastAsia" w:ascii="宋体" w:hAnsi="宋体" w:eastAsia="宋体" w:cs="宋体"/>
          <w:bCs/>
          <w:color w:val="auto"/>
          <w:kern w:val="2"/>
          <w:sz w:val="21"/>
          <w:szCs w:val="21"/>
          <w:highlight w:val="none"/>
        </w:rPr>
      </w:pPr>
      <w:bookmarkStart w:id="46" w:name="_Toc28716"/>
      <w:bookmarkStart w:id="47" w:name="_Toc49"/>
      <w:bookmarkStart w:id="48" w:name="_Toc2733"/>
      <w:bookmarkStart w:id="49" w:name="_Toc20149"/>
      <w:r>
        <w:rPr>
          <w:rFonts w:hint="eastAsia" w:ascii="宋体" w:hAnsi="宋体" w:eastAsia="宋体" w:cs="宋体"/>
          <w:bCs/>
          <w:color w:val="auto"/>
          <w:kern w:val="2"/>
          <w:sz w:val="21"/>
          <w:szCs w:val="21"/>
          <w:highlight w:val="none"/>
        </w:rPr>
        <w:t>五、</w:t>
      </w:r>
      <w:bookmarkStart w:id="50" w:name="_Toc28359017"/>
      <w:bookmarkStart w:id="51" w:name="_Toc35393634"/>
      <w:bookmarkStart w:id="52" w:name="_Toc35393803"/>
      <w:bookmarkStart w:id="53" w:name="_Toc43368454"/>
      <w:bookmarkStart w:id="54" w:name="_Toc28359094"/>
      <w:r>
        <w:rPr>
          <w:rFonts w:hint="eastAsia" w:ascii="宋体" w:hAnsi="宋体" w:eastAsia="宋体" w:cs="宋体"/>
          <w:bCs/>
          <w:color w:val="auto"/>
          <w:kern w:val="2"/>
          <w:sz w:val="21"/>
          <w:szCs w:val="21"/>
          <w:highlight w:val="none"/>
        </w:rPr>
        <w:t>公告期限</w:t>
      </w:r>
      <w:bookmarkEnd w:id="42"/>
      <w:bookmarkEnd w:id="46"/>
      <w:bookmarkEnd w:id="47"/>
      <w:bookmarkEnd w:id="48"/>
      <w:bookmarkEnd w:id="49"/>
      <w:bookmarkEnd w:id="50"/>
      <w:bookmarkEnd w:id="51"/>
      <w:bookmarkEnd w:id="52"/>
      <w:bookmarkEnd w:id="53"/>
      <w:bookmarkEnd w:id="54"/>
    </w:p>
    <w:p w14:paraId="7070F727">
      <w:pPr>
        <w:pStyle w:val="32"/>
        <w:ind w:left="0" w:leftChars="0" w:firstLine="404"/>
        <w:rPr>
          <w:rFonts w:hint="eastAsia" w:hAnsi="宋体"/>
          <w:color w:val="auto"/>
          <w:szCs w:val="21"/>
          <w:highlight w:val="none"/>
        </w:rPr>
      </w:pPr>
      <w:r>
        <w:rPr>
          <w:rFonts w:hint="eastAsia" w:hAnsi="宋体"/>
          <w:color w:val="auto"/>
          <w:szCs w:val="21"/>
          <w:highlight w:val="none"/>
        </w:rPr>
        <w:t>自本公告发布之日起5个工作日。</w:t>
      </w:r>
    </w:p>
    <w:p w14:paraId="06C7876E">
      <w:pPr>
        <w:pStyle w:val="3"/>
        <w:keepLines/>
        <w:numPr>
          <w:ilvl w:val="0"/>
          <w:numId w:val="0"/>
        </w:numPr>
        <w:adjustRightInd/>
        <w:spacing w:after="120"/>
        <w:ind w:left="425"/>
        <w:textAlignment w:val="auto"/>
        <w:rPr>
          <w:rFonts w:hint="eastAsia" w:ascii="宋体" w:hAnsi="宋体" w:eastAsia="宋体" w:cs="宋体"/>
          <w:bCs/>
          <w:color w:val="auto"/>
          <w:kern w:val="2"/>
          <w:sz w:val="21"/>
          <w:szCs w:val="21"/>
          <w:highlight w:val="none"/>
        </w:rPr>
      </w:pPr>
      <w:bookmarkStart w:id="55" w:name="_Toc28217"/>
      <w:bookmarkStart w:id="56" w:name="_Toc17155"/>
      <w:bookmarkStart w:id="57" w:name="_Toc2255"/>
      <w:bookmarkStart w:id="58" w:name="_Toc16380"/>
      <w:r>
        <w:rPr>
          <w:rFonts w:hint="eastAsia" w:ascii="宋体" w:hAnsi="宋体" w:eastAsia="宋体" w:cs="宋体"/>
          <w:bCs/>
          <w:color w:val="auto"/>
          <w:kern w:val="2"/>
          <w:sz w:val="21"/>
          <w:szCs w:val="21"/>
          <w:highlight w:val="none"/>
        </w:rPr>
        <w:t>六、其他补充事宜</w:t>
      </w:r>
      <w:bookmarkEnd w:id="43"/>
      <w:bookmarkEnd w:id="44"/>
      <w:bookmarkEnd w:id="45"/>
      <w:bookmarkEnd w:id="55"/>
      <w:bookmarkEnd w:id="56"/>
      <w:bookmarkEnd w:id="57"/>
      <w:bookmarkEnd w:id="58"/>
    </w:p>
    <w:p w14:paraId="22E4E734">
      <w:pPr>
        <w:spacing w:line="360" w:lineRule="auto"/>
        <w:ind w:firstLine="420" w:firstLineChars="200"/>
        <w:rPr>
          <w:color w:val="auto"/>
          <w:highlight w:val="none"/>
        </w:rPr>
      </w:pPr>
      <w:bookmarkStart w:id="59" w:name="_Toc28359095"/>
      <w:bookmarkStart w:id="60" w:name="_Toc35393636"/>
      <w:bookmarkStart w:id="61" w:name="_Toc28359018"/>
      <w:bookmarkStart w:id="62" w:name="_Toc35393805"/>
      <w:bookmarkStart w:id="63" w:name="_Toc43368456"/>
      <w:r>
        <w:rPr>
          <w:rFonts w:hint="eastAsia"/>
          <w:color w:val="auto"/>
          <w:highlight w:val="none"/>
        </w:rPr>
        <w:t>1.采购信息发布媒体：采购信息、中标公告均在云南省政府采购网（www.yngp.com）发布。</w:t>
      </w:r>
    </w:p>
    <w:p w14:paraId="0CDCB691">
      <w:pPr>
        <w:spacing w:line="360" w:lineRule="auto"/>
        <w:ind w:firstLine="420" w:firstLineChars="200"/>
        <w:rPr>
          <w:color w:val="auto"/>
          <w:highlight w:val="none"/>
        </w:rPr>
      </w:pPr>
      <w:r>
        <w:rPr>
          <w:rFonts w:hint="eastAsia"/>
          <w:color w:val="auto"/>
          <w:highlight w:val="none"/>
        </w:rPr>
        <w:t xml:space="preserve">2.本项目需要落实的政府采购政策：详见“二、申请人的资格要求”。 </w:t>
      </w:r>
    </w:p>
    <w:p w14:paraId="1982EF70">
      <w:pPr>
        <w:spacing w:line="360" w:lineRule="auto"/>
        <w:ind w:firstLine="420" w:firstLineChars="200"/>
        <w:rPr>
          <w:color w:val="auto"/>
          <w:highlight w:val="none"/>
        </w:rPr>
      </w:pPr>
      <w:r>
        <w:rPr>
          <w:rFonts w:hint="eastAsia"/>
          <w:color w:val="auto"/>
          <w:highlight w:val="none"/>
        </w:rPr>
        <w:t xml:space="preserve">3.本项目采用全流程电子化采购方式，请投标人认真学习云南省省级政府采购电子交易平台发布的相关操作手册（投标人可在交易平台下载相关手册），办理CA数字证书、进行云南省省级政府采购电子交易平台注册绑定，并认真核实CA数字证书确认是否符合本项目电子化采购流程要求。 </w:t>
      </w:r>
    </w:p>
    <w:p w14:paraId="39E0FD7C">
      <w:pPr>
        <w:spacing w:line="360" w:lineRule="auto"/>
        <w:ind w:firstLine="420" w:firstLineChars="200"/>
        <w:rPr>
          <w:color w:val="auto"/>
          <w:highlight w:val="none"/>
        </w:rPr>
      </w:pPr>
      <w:r>
        <w:rPr>
          <w:rFonts w:hint="eastAsia"/>
          <w:color w:val="auto"/>
          <w:highlight w:val="none"/>
        </w:rPr>
        <w:t xml:space="preserve">CA数字证书服务热线 </w:t>
      </w:r>
    </w:p>
    <w:p w14:paraId="026AF976">
      <w:pPr>
        <w:spacing w:line="360" w:lineRule="auto"/>
        <w:ind w:firstLine="420" w:firstLineChars="200"/>
        <w:rPr>
          <w:color w:val="auto"/>
          <w:highlight w:val="none"/>
        </w:rPr>
      </w:pPr>
      <w:r>
        <w:rPr>
          <w:rFonts w:hint="eastAsia"/>
          <w:color w:val="auto"/>
          <w:highlight w:val="none"/>
        </w:rPr>
        <w:t>汇信CA：0571-88350735</w:t>
      </w:r>
    </w:p>
    <w:p w14:paraId="504406A5">
      <w:pPr>
        <w:spacing w:line="360" w:lineRule="auto"/>
        <w:ind w:firstLine="420" w:firstLineChars="200"/>
        <w:rPr>
          <w:color w:val="auto"/>
          <w:highlight w:val="none"/>
        </w:rPr>
      </w:pPr>
      <w:r>
        <w:rPr>
          <w:rFonts w:hint="eastAsia"/>
          <w:color w:val="auto"/>
          <w:highlight w:val="none"/>
        </w:rPr>
        <w:t>云南CA：4006727666</w:t>
      </w:r>
    </w:p>
    <w:p w14:paraId="621B5732">
      <w:pPr>
        <w:spacing w:line="360" w:lineRule="auto"/>
        <w:ind w:firstLine="420" w:firstLineChars="200"/>
        <w:rPr>
          <w:color w:val="auto"/>
          <w:highlight w:val="none"/>
        </w:rPr>
      </w:pPr>
      <w:r>
        <w:rPr>
          <w:rFonts w:hint="eastAsia"/>
          <w:color w:val="auto"/>
          <w:highlight w:val="none"/>
        </w:rPr>
        <w:t>云南壹证通：4000040628</w:t>
      </w:r>
    </w:p>
    <w:p w14:paraId="2BCFDCD1">
      <w:pPr>
        <w:spacing w:line="360" w:lineRule="auto"/>
        <w:ind w:firstLine="420" w:firstLineChars="200"/>
        <w:rPr>
          <w:color w:val="auto"/>
          <w:highlight w:val="none"/>
        </w:rPr>
      </w:pPr>
      <w:r>
        <w:rPr>
          <w:rFonts w:hint="eastAsia"/>
          <w:color w:val="auto"/>
          <w:highlight w:val="none"/>
        </w:rPr>
        <w:t>福建CA：0591-87760022</w:t>
      </w:r>
    </w:p>
    <w:p w14:paraId="5FE3E3B7">
      <w:pPr>
        <w:spacing w:line="360" w:lineRule="auto"/>
        <w:ind w:firstLine="420" w:firstLineChars="200"/>
        <w:rPr>
          <w:color w:val="auto"/>
          <w:highlight w:val="none"/>
        </w:rPr>
      </w:pPr>
      <w:r>
        <w:rPr>
          <w:rFonts w:hint="eastAsia"/>
          <w:color w:val="auto"/>
          <w:highlight w:val="none"/>
        </w:rPr>
        <w:t xml:space="preserve">3.1 办理 CA 数字证书：投标人登录云南省省级政府采购电子交易平台查阅操作指南—入驻与配置—CA管理。使用操作指南，按照程序要求办理。 </w:t>
      </w:r>
    </w:p>
    <w:p w14:paraId="48B3EFD5">
      <w:pPr>
        <w:spacing w:line="360" w:lineRule="auto"/>
        <w:ind w:firstLine="420" w:firstLineChars="200"/>
        <w:rPr>
          <w:color w:val="auto"/>
          <w:highlight w:val="none"/>
        </w:rPr>
      </w:pPr>
      <w:r>
        <w:rPr>
          <w:rFonts w:hint="eastAsia"/>
          <w:color w:val="auto"/>
          <w:highlight w:val="none"/>
        </w:rPr>
        <w:t xml:space="preserve">3.2 注册：投标人登录云南省省级政府采购电子交易平台操作指南—入驻与配置—云南省供应商注册入驻与配置。注册入库操作流程指引进行自助注册绑定。 </w:t>
      </w:r>
    </w:p>
    <w:p w14:paraId="4D723F7C">
      <w:pPr>
        <w:wordWrap w:val="0"/>
        <w:spacing w:line="360" w:lineRule="auto"/>
        <w:ind w:firstLine="420" w:firstLineChars="200"/>
        <w:rPr>
          <w:color w:val="auto"/>
          <w:highlight w:val="none"/>
        </w:rPr>
      </w:pPr>
      <w:r>
        <w:rPr>
          <w:rFonts w:hint="eastAsia"/>
          <w:color w:val="auto"/>
          <w:highlight w:val="none"/>
        </w:rPr>
        <w:t>3.3 驱动、客户端下载：投标人登录云南省省级政府采购电子交易平台—我的工作台-CA管理—给当前账号绑定CA—选择对应CA—下载驱动—客户端&amp;驱动下载。下载相关驱动及客户端。相关驱动及客户端网址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p>
    <w:p w14:paraId="56606CEA">
      <w:pPr>
        <w:spacing w:line="360" w:lineRule="auto"/>
        <w:ind w:firstLine="420" w:firstLineChars="200"/>
        <w:rPr>
          <w:color w:val="auto"/>
          <w:highlight w:val="none"/>
        </w:rPr>
      </w:pPr>
      <w:r>
        <w:rPr>
          <w:rFonts w:hint="eastAsia"/>
          <w:color w:val="auto"/>
          <w:highlight w:val="none"/>
        </w:rPr>
        <w:t xml:space="preserve">3.4 获取电子招标文件：投标人使用账号密码或CA数字证书登录相关驱动及客户端获取电子招标文件。投标人如计划参与多个采购包的投标，在获取采购文件详情页面，在意向标段（包）栏目依次选择对应采购包，提交申请即可。未在规定期限内按上述操作获取文件的采购包，投标人无法提交相应包的电子投标文件。 </w:t>
      </w:r>
    </w:p>
    <w:p w14:paraId="4334D5B6">
      <w:pPr>
        <w:spacing w:line="360" w:lineRule="auto"/>
        <w:ind w:firstLine="420" w:firstLineChars="200"/>
        <w:rPr>
          <w:color w:val="auto"/>
          <w:highlight w:val="none"/>
        </w:rPr>
      </w:pPr>
      <w:r>
        <w:rPr>
          <w:rFonts w:hint="eastAsia"/>
          <w:color w:val="auto"/>
          <w:highlight w:val="none"/>
        </w:rPr>
        <w:t xml:space="preserve">3.5 编制电子投标文件：投标人应使用电子投标客户端编制电子投标文件并进行线上投标，投标人电子投标文件需要加密并加盖电子签章，如无法按照要求在电子投标文件中加盖电子签章和加密，请及时通过技术支持服务热线联系技术人员。 </w:t>
      </w:r>
    </w:p>
    <w:p w14:paraId="4E06CD75">
      <w:pPr>
        <w:spacing w:line="360" w:lineRule="auto"/>
        <w:ind w:firstLine="420" w:firstLineChars="200"/>
        <w:rPr>
          <w:color w:val="auto"/>
          <w:highlight w:val="none"/>
        </w:rPr>
      </w:pPr>
      <w:r>
        <w:rPr>
          <w:rFonts w:hint="eastAsia"/>
          <w:color w:val="auto"/>
          <w:highlight w:val="none"/>
        </w:rPr>
        <w:t xml:space="preserve">3.6 提交电子投标文件：投标人应于投标截止时间前在政府采购电子交易平台提交电子投标文件，上传电子投标文件过程中请保持与互联网的连接畅通。 </w:t>
      </w:r>
    </w:p>
    <w:p w14:paraId="6773873E">
      <w:pPr>
        <w:spacing w:line="360" w:lineRule="auto"/>
        <w:ind w:firstLine="420" w:firstLineChars="200"/>
        <w:rPr>
          <w:color w:val="auto"/>
          <w:highlight w:val="none"/>
        </w:rPr>
      </w:pPr>
      <w:r>
        <w:rPr>
          <w:rFonts w:hint="eastAsia"/>
          <w:color w:val="auto"/>
          <w:highlight w:val="none"/>
        </w:rPr>
        <w:t>3.7 电子开标：投标人使用账号密码或 CA 数字证书登录云南省省级政府采购电子交易平台进行电子开标，投标人需按规定时间（</w:t>
      </w:r>
      <w:r>
        <w:rPr>
          <w:rFonts w:hint="eastAsia"/>
          <w:b/>
          <w:bCs/>
          <w:color w:val="auto"/>
          <w:highlight w:val="none"/>
        </w:rPr>
        <w:t>30分钟内</w:t>
      </w:r>
      <w:r>
        <w:rPr>
          <w:rFonts w:hint="eastAsia"/>
          <w:color w:val="auto"/>
          <w:highlight w:val="none"/>
        </w:rPr>
        <w:t>）对加密的投标文件进行解密，否则后果自负。</w:t>
      </w:r>
    </w:p>
    <w:p w14:paraId="5AE31F9A">
      <w:pPr>
        <w:pStyle w:val="3"/>
        <w:keepLines/>
        <w:numPr>
          <w:ilvl w:val="0"/>
          <w:numId w:val="0"/>
        </w:numPr>
        <w:adjustRightInd/>
        <w:spacing w:after="120"/>
        <w:ind w:left="425"/>
        <w:textAlignment w:val="auto"/>
        <w:rPr>
          <w:rFonts w:hint="eastAsia" w:ascii="宋体" w:hAnsi="宋体" w:eastAsia="宋体" w:cs="宋体"/>
          <w:bCs/>
          <w:color w:val="auto"/>
          <w:kern w:val="2"/>
          <w:sz w:val="21"/>
          <w:szCs w:val="21"/>
          <w:highlight w:val="none"/>
        </w:rPr>
      </w:pPr>
      <w:bookmarkStart w:id="64" w:name="_Toc5610"/>
      <w:bookmarkStart w:id="65" w:name="_Toc18604"/>
      <w:bookmarkStart w:id="66" w:name="_Toc14026"/>
      <w:bookmarkStart w:id="67" w:name="_Toc2965"/>
      <w:r>
        <w:rPr>
          <w:rFonts w:hint="eastAsia" w:ascii="宋体" w:hAnsi="宋体" w:eastAsia="宋体" w:cs="宋体"/>
          <w:bCs/>
          <w:color w:val="auto"/>
          <w:kern w:val="2"/>
          <w:sz w:val="21"/>
          <w:szCs w:val="21"/>
          <w:highlight w:val="none"/>
        </w:rPr>
        <w:t>七、凡对本次采购提出询问，请按以下方式联系</w:t>
      </w:r>
      <w:bookmarkEnd w:id="59"/>
      <w:bookmarkEnd w:id="60"/>
      <w:bookmarkEnd w:id="61"/>
      <w:bookmarkEnd w:id="62"/>
      <w:bookmarkEnd w:id="63"/>
      <w:bookmarkEnd w:id="64"/>
      <w:bookmarkEnd w:id="65"/>
      <w:bookmarkEnd w:id="66"/>
      <w:bookmarkEnd w:id="67"/>
    </w:p>
    <w:p w14:paraId="516F8820">
      <w:pPr>
        <w:ind w:firstLine="420" w:firstLineChars="200"/>
        <w:rPr>
          <w:rFonts w:hint="eastAsia" w:ascii="宋体" w:hAnsi="宋体" w:cs="宋体"/>
          <w:b/>
          <w:color w:val="auto"/>
          <w:szCs w:val="21"/>
          <w:highlight w:val="none"/>
        </w:rPr>
      </w:pPr>
      <w:bookmarkStart w:id="68" w:name="_Toc28359096"/>
      <w:bookmarkStart w:id="69" w:name="_Toc35393806"/>
      <w:bookmarkStart w:id="70" w:name="_Toc28359019"/>
      <w:bookmarkStart w:id="71" w:name="_Toc35393637"/>
      <w:r>
        <w:rPr>
          <w:rFonts w:hint="eastAsia" w:ascii="宋体" w:hAnsi="宋体" w:cs="宋体"/>
          <w:b/>
          <w:color w:val="auto"/>
          <w:szCs w:val="21"/>
          <w:highlight w:val="none"/>
        </w:rPr>
        <w:t>1.采购人信息</w:t>
      </w:r>
      <w:bookmarkEnd w:id="68"/>
      <w:bookmarkEnd w:id="69"/>
      <w:bookmarkEnd w:id="70"/>
      <w:bookmarkEnd w:id="71"/>
    </w:p>
    <w:p w14:paraId="6F78AD6F">
      <w:pPr>
        <w:spacing w:line="360" w:lineRule="auto"/>
        <w:ind w:firstLine="420"/>
        <w:rPr>
          <w:rFonts w:hint="eastAsia" w:ascii="宋体" w:hAnsi="宋体" w:eastAsia="宋体"/>
          <w:color w:val="auto"/>
          <w:szCs w:val="21"/>
          <w:highlight w:val="none"/>
          <w:lang w:eastAsia="zh-CN"/>
        </w:rPr>
      </w:pPr>
      <w:r>
        <w:rPr>
          <w:rFonts w:hint="eastAsia" w:ascii="宋体" w:hAnsi="宋体"/>
          <w:color w:val="auto"/>
          <w:szCs w:val="21"/>
          <w:highlight w:val="none"/>
        </w:rPr>
        <w:t>名    称：</w:t>
      </w:r>
      <w:r>
        <w:rPr>
          <w:rFonts w:hint="eastAsia" w:ascii="宋体" w:hAnsi="宋体"/>
          <w:color w:val="auto"/>
          <w:szCs w:val="21"/>
          <w:highlight w:val="none"/>
          <w:lang w:eastAsia="zh-CN"/>
        </w:rPr>
        <w:t>云南技师学院</w:t>
      </w:r>
    </w:p>
    <w:p w14:paraId="030AA243">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地    址：</w:t>
      </w:r>
      <w:r>
        <w:rPr>
          <w:rFonts w:hint="eastAsia" w:ascii="宋体" w:hAnsi="宋体"/>
          <w:color w:val="auto"/>
          <w:szCs w:val="21"/>
          <w:highlight w:val="none"/>
          <w:lang w:val="en-US" w:eastAsia="zh-CN"/>
        </w:rPr>
        <w:t>云南省安宁市昆畹中路23号</w:t>
      </w:r>
    </w:p>
    <w:p w14:paraId="77F16513">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联 系 人：</w:t>
      </w:r>
      <w:r>
        <w:rPr>
          <w:rFonts w:hint="eastAsia" w:ascii="宋体" w:hAnsi="宋体"/>
          <w:color w:val="auto"/>
          <w:szCs w:val="21"/>
          <w:highlight w:val="none"/>
          <w:lang w:val="en-US" w:eastAsia="zh-CN"/>
        </w:rPr>
        <w:t>朱飞宇</w:t>
      </w:r>
    </w:p>
    <w:p w14:paraId="41E30C4A">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联系方式：</w:t>
      </w:r>
      <w:bookmarkStart w:id="72" w:name="OLE_LINK1"/>
      <w:bookmarkStart w:id="73" w:name="_Toc28359020"/>
      <w:bookmarkStart w:id="74" w:name="_Toc35393638"/>
      <w:bookmarkStart w:id="75" w:name="_Toc35393807"/>
      <w:bookmarkStart w:id="76" w:name="_Toc28359097"/>
      <w:r>
        <w:rPr>
          <w:rFonts w:ascii="宋体" w:hAnsi="宋体"/>
          <w:color w:val="auto"/>
          <w:szCs w:val="21"/>
          <w:highlight w:val="none"/>
        </w:rPr>
        <w:t>0871-</w:t>
      </w:r>
      <w:bookmarkEnd w:id="72"/>
      <w:r>
        <w:rPr>
          <w:rFonts w:hint="eastAsia" w:ascii="宋体" w:hAnsi="宋体"/>
          <w:color w:val="auto"/>
          <w:szCs w:val="21"/>
          <w:highlight w:val="none"/>
          <w:lang w:val="en-US" w:eastAsia="zh-CN"/>
        </w:rPr>
        <w:t>68616717</w:t>
      </w:r>
    </w:p>
    <w:p w14:paraId="53E982A8">
      <w:pPr>
        <w:ind w:firstLine="420" w:firstLineChars="200"/>
        <w:rPr>
          <w:rFonts w:hint="eastAsia" w:ascii="宋体" w:hAnsi="宋体" w:cs="宋体"/>
          <w:b/>
          <w:color w:val="auto"/>
          <w:szCs w:val="21"/>
          <w:highlight w:val="none"/>
        </w:rPr>
      </w:pPr>
      <w:r>
        <w:rPr>
          <w:rFonts w:hint="eastAsia" w:ascii="宋体" w:hAnsi="宋体" w:cs="宋体"/>
          <w:b/>
          <w:color w:val="auto"/>
          <w:szCs w:val="21"/>
          <w:highlight w:val="none"/>
        </w:rPr>
        <w:t>2.采购代理机构信息</w:t>
      </w:r>
      <w:bookmarkEnd w:id="73"/>
      <w:bookmarkEnd w:id="74"/>
      <w:bookmarkEnd w:id="75"/>
      <w:bookmarkEnd w:id="76"/>
    </w:p>
    <w:p w14:paraId="15A17F61">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名    称：云南省政府采购和出让中心</w:t>
      </w:r>
    </w:p>
    <w:p w14:paraId="4788BAC8">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地    址：昆明高新区科发路269号交易大厦六楼</w:t>
      </w:r>
    </w:p>
    <w:p w14:paraId="36EC1614">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联系方式：</w:t>
      </w:r>
      <w:r>
        <w:rPr>
          <w:rFonts w:hint="eastAsia" w:ascii="宋体" w:hAnsi="宋体"/>
          <w:bCs/>
          <w:color w:val="auto"/>
          <w:szCs w:val="21"/>
          <w:highlight w:val="none"/>
        </w:rPr>
        <w:t>0871-65302558</w:t>
      </w:r>
    </w:p>
    <w:p w14:paraId="1B988436">
      <w:pPr>
        <w:spacing w:line="360" w:lineRule="auto"/>
        <w:ind w:firstLine="420"/>
        <w:rPr>
          <w:rFonts w:hint="eastAsia" w:ascii="宋体" w:hAnsi="宋体"/>
          <w:color w:val="auto"/>
          <w:szCs w:val="21"/>
          <w:highlight w:val="none"/>
          <w:u w:val="single"/>
        </w:rPr>
      </w:pPr>
      <w:r>
        <w:rPr>
          <w:rFonts w:hint="eastAsia" w:ascii="宋体" w:hAnsi="宋体"/>
          <w:color w:val="auto"/>
          <w:szCs w:val="21"/>
          <w:highlight w:val="none"/>
        </w:rPr>
        <w:t>邮政编码：650106</w:t>
      </w:r>
    </w:p>
    <w:p w14:paraId="41BCDA69">
      <w:pPr>
        <w:ind w:firstLine="420" w:firstLineChars="200"/>
        <w:rPr>
          <w:rFonts w:hint="eastAsia" w:ascii="宋体" w:hAnsi="宋体" w:cs="宋体"/>
          <w:b/>
          <w:color w:val="auto"/>
          <w:szCs w:val="21"/>
          <w:highlight w:val="none"/>
        </w:rPr>
      </w:pPr>
      <w:bookmarkStart w:id="77" w:name="_Toc35393808"/>
      <w:bookmarkStart w:id="78" w:name="_Toc28359021"/>
      <w:bookmarkStart w:id="79" w:name="_Toc35393639"/>
      <w:bookmarkStart w:id="80" w:name="_Toc28359098"/>
      <w:r>
        <w:rPr>
          <w:rFonts w:hint="eastAsia" w:ascii="宋体" w:hAnsi="宋体" w:cs="宋体"/>
          <w:b/>
          <w:color w:val="auto"/>
          <w:szCs w:val="21"/>
          <w:highlight w:val="none"/>
        </w:rPr>
        <w:t>3.项目联系方式</w:t>
      </w:r>
      <w:bookmarkEnd w:id="77"/>
      <w:bookmarkEnd w:id="78"/>
      <w:bookmarkEnd w:id="79"/>
      <w:bookmarkEnd w:id="80"/>
    </w:p>
    <w:p w14:paraId="48EE67B0">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项目联系人：李翔</w:t>
      </w:r>
    </w:p>
    <w:p w14:paraId="7A114746">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电      话：</w:t>
      </w:r>
      <w:r>
        <w:rPr>
          <w:rFonts w:hint="eastAsia" w:ascii="宋体" w:hAnsi="宋体"/>
          <w:bCs/>
          <w:color w:val="auto"/>
          <w:szCs w:val="21"/>
          <w:highlight w:val="none"/>
        </w:rPr>
        <w:t>0871-65302558</w:t>
      </w:r>
    </w:p>
    <w:p w14:paraId="7E3E8DFF">
      <w:pPr>
        <w:widowControl/>
        <w:ind w:right="840"/>
        <w:rPr>
          <w:rFonts w:hint="eastAsia" w:ascii="宋体" w:hAnsi="宋体"/>
          <w:color w:val="auto"/>
          <w:szCs w:val="21"/>
          <w:highlight w:val="none"/>
        </w:rPr>
      </w:pPr>
    </w:p>
    <w:p w14:paraId="34D8723F">
      <w:pPr>
        <w:widowControl/>
        <w:ind w:right="840"/>
        <w:jc w:val="right"/>
        <w:rPr>
          <w:rFonts w:hint="eastAsia" w:ascii="宋体" w:hAnsi="宋体"/>
          <w:color w:val="auto"/>
          <w:szCs w:val="21"/>
          <w:highlight w:val="none"/>
        </w:rPr>
      </w:pPr>
      <w:r>
        <w:rPr>
          <w:rFonts w:hint="eastAsia" w:ascii="宋体" w:hAnsi="宋体"/>
          <w:color w:val="auto"/>
          <w:szCs w:val="21"/>
          <w:highlight w:val="none"/>
          <w:u w:val="single"/>
        </w:rPr>
        <w:t>202</w:t>
      </w:r>
      <w:r>
        <w:rPr>
          <w:rFonts w:hint="eastAsia" w:ascii="宋体" w:hAnsi="宋体"/>
          <w:color w:val="auto"/>
          <w:szCs w:val="21"/>
          <w:highlight w:val="none"/>
          <w:u w:val="single"/>
          <w:lang w:val="en-US" w:eastAsia="zh-CN"/>
        </w:rPr>
        <w:t>6</w:t>
      </w:r>
      <w:r>
        <w:rPr>
          <w:rFonts w:hint="eastAsia" w:ascii="宋体" w:hAnsi="宋体"/>
          <w:color w:val="auto"/>
          <w:szCs w:val="21"/>
          <w:highlight w:val="none"/>
        </w:rPr>
        <w:t>年</w:t>
      </w:r>
      <w:r>
        <w:rPr>
          <w:rFonts w:hint="eastAsia" w:ascii="宋体" w:hAnsi="宋体"/>
          <w:color w:val="auto"/>
          <w:szCs w:val="21"/>
          <w:highlight w:val="none"/>
          <w:u w:val="single"/>
          <w:lang w:val="en-US" w:eastAsia="zh-CN"/>
        </w:rPr>
        <w:t xml:space="preserve"> 5</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lang w:val="en-US" w:eastAsia="zh-CN"/>
        </w:rPr>
        <w:t xml:space="preserve"> 20</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487FEB7C">
      <w:pPr>
        <w:rPr>
          <w:rFonts w:hint="eastAsia" w:ascii="宋体" w:hAnsi="宋体"/>
          <w:color w:val="auto"/>
          <w:highlight w:val="none"/>
        </w:rPr>
      </w:pPr>
    </w:p>
    <w:p w14:paraId="5F5F6BB9">
      <w:pPr>
        <w:pStyle w:val="2"/>
        <w:numPr>
          <w:ilvl w:val="0"/>
          <w:numId w:val="0"/>
        </w:numPr>
        <w:spacing w:before="0"/>
        <w:jc w:val="center"/>
        <w:rPr>
          <w:rFonts w:hint="eastAsia" w:ascii="宋体" w:hAnsi="宋体" w:eastAsia="宋体"/>
          <w:color w:val="auto"/>
          <w:sz w:val="32"/>
          <w:szCs w:val="32"/>
          <w:highlight w:val="none"/>
        </w:rPr>
      </w:pPr>
      <w:r>
        <w:rPr>
          <w:rFonts w:hint="eastAsia" w:ascii="宋体" w:hAnsi="宋体" w:eastAsia="宋体"/>
          <w:color w:val="auto"/>
          <w:sz w:val="32"/>
          <w:szCs w:val="32"/>
          <w:highlight w:val="none"/>
        </w:rPr>
        <w:br w:type="page"/>
      </w:r>
      <w:bookmarkStart w:id="81" w:name="_Toc12658"/>
      <w:bookmarkStart w:id="82" w:name="_Toc24904"/>
      <w:bookmarkStart w:id="83" w:name="_Toc12140"/>
      <w:bookmarkStart w:id="84" w:name="_Toc1182"/>
      <w:r>
        <w:rPr>
          <w:rFonts w:hint="eastAsia" w:ascii="宋体" w:hAnsi="宋体" w:eastAsia="宋体"/>
          <w:color w:val="auto"/>
          <w:sz w:val="32"/>
          <w:szCs w:val="32"/>
          <w:highlight w:val="none"/>
        </w:rPr>
        <w:t>第二章  投标人须知</w:t>
      </w:r>
      <w:bookmarkEnd w:id="81"/>
      <w:bookmarkEnd w:id="82"/>
      <w:bookmarkEnd w:id="83"/>
      <w:bookmarkEnd w:id="84"/>
    </w:p>
    <w:p w14:paraId="59B39649">
      <w:pPr>
        <w:pStyle w:val="3"/>
        <w:numPr>
          <w:ilvl w:val="0"/>
          <w:numId w:val="0"/>
        </w:numPr>
        <w:spacing w:before="0"/>
        <w:jc w:val="center"/>
        <w:rPr>
          <w:rFonts w:hint="eastAsia" w:ascii="宋体" w:hAnsi="宋体" w:eastAsia="宋体"/>
          <w:color w:val="auto"/>
          <w:szCs w:val="28"/>
          <w:highlight w:val="none"/>
        </w:rPr>
      </w:pPr>
      <w:bookmarkStart w:id="85" w:name="_Toc12558"/>
      <w:bookmarkStart w:id="86" w:name="_Toc8905"/>
      <w:bookmarkStart w:id="87" w:name="_Toc23157"/>
      <w:bookmarkStart w:id="88" w:name="_Toc5498"/>
      <w:r>
        <w:rPr>
          <w:rFonts w:hint="eastAsia" w:ascii="宋体" w:hAnsi="宋体" w:eastAsia="宋体"/>
          <w:color w:val="auto"/>
          <w:szCs w:val="28"/>
          <w:highlight w:val="none"/>
        </w:rPr>
        <w:t>投标人须知前附表</w:t>
      </w:r>
      <w:bookmarkEnd w:id="85"/>
      <w:bookmarkEnd w:id="86"/>
      <w:bookmarkEnd w:id="87"/>
      <w:bookmarkEnd w:id="88"/>
    </w:p>
    <w:tbl>
      <w:tblPr>
        <w:tblStyle w:val="33"/>
        <w:tblW w:w="9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2"/>
        <w:gridCol w:w="2693"/>
        <w:gridCol w:w="5406"/>
      </w:tblGrid>
      <w:tr w14:paraId="6EA54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582" w:type="dxa"/>
            <w:vAlign w:val="center"/>
          </w:tcPr>
          <w:p w14:paraId="65855EF8">
            <w:pPr>
              <w:pStyle w:val="16"/>
              <w:spacing w:line="276" w:lineRule="auto"/>
              <w:jc w:val="center"/>
              <w:rPr>
                <w:rFonts w:hint="eastAsia" w:hAnsi="宋体" w:cs="宋体"/>
                <w:b/>
                <w:color w:val="auto"/>
                <w:sz w:val="24"/>
                <w:szCs w:val="24"/>
                <w:highlight w:val="none"/>
              </w:rPr>
            </w:pPr>
            <w:r>
              <w:rPr>
                <w:rFonts w:hint="eastAsia" w:hAnsi="宋体" w:cs="宋体"/>
                <w:b/>
                <w:color w:val="auto"/>
                <w:sz w:val="24"/>
                <w:szCs w:val="24"/>
                <w:highlight w:val="none"/>
              </w:rPr>
              <w:t>条款号</w:t>
            </w:r>
          </w:p>
        </w:tc>
        <w:tc>
          <w:tcPr>
            <w:tcW w:w="2693" w:type="dxa"/>
            <w:vAlign w:val="center"/>
          </w:tcPr>
          <w:p w14:paraId="3A491656">
            <w:pPr>
              <w:pStyle w:val="16"/>
              <w:spacing w:line="276" w:lineRule="auto"/>
              <w:jc w:val="center"/>
              <w:rPr>
                <w:rFonts w:hint="eastAsia" w:hAnsi="宋体" w:cs="宋体"/>
                <w:b/>
                <w:color w:val="auto"/>
                <w:sz w:val="24"/>
                <w:szCs w:val="24"/>
                <w:highlight w:val="none"/>
              </w:rPr>
            </w:pPr>
            <w:r>
              <w:rPr>
                <w:rFonts w:hint="eastAsia" w:hAnsi="宋体" w:cs="宋体"/>
                <w:b/>
                <w:color w:val="auto"/>
                <w:sz w:val="24"/>
                <w:szCs w:val="24"/>
                <w:highlight w:val="none"/>
              </w:rPr>
              <w:t>条 款 名 称</w:t>
            </w:r>
          </w:p>
        </w:tc>
        <w:tc>
          <w:tcPr>
            <w:tcW w:w="5406" w:type="dxa"/>
            <w:vAlign w:val="center"/>
          </w:tcPr>
          <w:p w14:paraId="72821BAD">
            <w:pPr>
              <w:pStyle w:val="16"/>
              <w:spacing w:line="276" w:lineRule="auto"/>
              <w:jc w:val="center"/>
              <w:rPr>
                <w:rFonts w:hint="eastAsia" w:hAnsi="宋体" w:cs="宋体"/>
                <w:b/>
                <w:color w:val="auto"/>
                <w:sz w:val="24"/>
                <w:szCs w:val="24"/>
                <w:highlight w:val="none"/>
              </w:rPr>
            </w:pPr>
            <w:r>
              <w:rPr>
                <w:rFonts w:hint="eastAsia" w:hAnsi="宋体" w:cs="宋体"/>
                <w:b/>
                <w:color w:val="auto"/>
                <w:sz w:val="24"/>
                <w:szCs w:val="24"/>
                <w:highlight w:val="none"/>
              </w:rPr>
              <w:t>编 列 内 容</w:t>
            </w:r>
          </w:p>
        </w:tc>
      </w:tr>
      <w:tr w14:paraId="1794D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vMerge w:val="restart"/>
            <w:vAlign w:val="center"/>
          </w:tcPr>
          <w:p w14:paraId="56739394">
            <w:pPr>
              <w:pStyle w:val="16"/>
              <w:spacing w:line="276" w:lineRule="auto"/>
              <w:jc w:val="center"/>
              <w:rPr>
                <w:rFonts w:hint="eastAsia" w:hAnsi="宋体" w:cs="宋体"/>
                <w:color w:val="auto"/>
                <w:szCs w:val="21"/>
                <w:highlight w:val="none"/>
              </w:rPr>
            </w:pPr>
            <w:r>
              <w:rPr>
                <w:rFonts w:hint="eastAsia" w:hAnsi="宋体" w:cs="宋体"/>
                <w:color w:val="auto"/>
                <w:szCs w:val="21"/>
                <w:highlight w:val="none"/>
              </w:rPr>
              <w:t>1.2</w:t>
            </w:r>
          </w:p>
        </w:tc>
        <w:tc>
          <w:tcPr>
            <w:tcW w:w="2693" w:type="dxa"/>
            <w:vAlign w:val="center"/>
          </w:tcPr>
          <w:p w14:paraId="58A316BE">
            <w:pPr>
              <w:pStyle w:val="16"/>
              <w:spacing w:line="276" w:lineRule="auto"/>
              <w:rPr>
                <w:rFonts w:hint="eastAsia" w:hAnsi="宋体" w:cs="宋体"/>
                <w:color w:val="auto"/>
                <w:szCs w:val="21"/>
                <w:highlight w:val="none"/>
                <w:u w:val="single"/>
              </w:rPr>
            </w:pPr>
            <w:r>
              <w:rPr>
                <w:rFonts w:hint="eastAsia" w:hAnsi="宋体" w:cs="宋体"/>
                <w:bCs/>
                <w:color w:val="auto"/>
                <w:szCs w:val="21"/>
                <w:highlight w:val="none"/>
              </w:rPr>
              <w:t>采购人</w:t>
            </w:r>
          </w:p>
        </w:tc>
        <w:tc>
          <w:tcPr>
            <w:tcW w:w="5406" w:type="dxa"/>
            <w:vAlign w:val="center"/>
          </w:tcPr>
          <w:p w14:paraId="5C91835B">
            <w:pPr>
              <w:pStyle w:val="16"/>
              <w:spacing w:line="276" w:lineRule="auto"/>
              <w:rPr>
                <w:rFonts w:hint="eastAsia" w:hAnsi="宋体" w:eastAsia="宋体" w:cs="宋体"/>
                <w:bCs/>
                <w:color w:val="auto"/>
                <w:szCs w:val="21"/>
                <w:highlight w:val="none"/>
                <w:lang w:eastAsia="zh-CN"/>
              </w:rPr>
            </w:pPr>
            <w:r>
              <w:rPr>
                <w:rFonts w:hint="eastAsia" w:hAnsi="宋体" w:cs="宋体"/>
                <w:bCs/>
                <w:color w:val="auto"/>
                <w:szCs w:val="21"/>
                <w:highlight w:val="none"/>
                <w:lang w:eastAsia="zh-CN"/>
              </w:rPr>
              <w:t>云南技师学院</w:t>
            </w:r>
          </w:p>
        </w:tc>
      </w:tr>
      <w:tr w14:paraId="61821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1582" w:type="dxa"/>
            <w:vMerge w:val="continue"/>
            <w:vAlign w:val="center"/>
          </w:tcPr>
          <w:p w14:paraId="449E028F">
            <w:pPr>
              <w:spacing w:line="276" w:lineRule="auto"/>
              <w:rPr>
                <w:rFonts w:hint="eastAsia" w:ascii="宋体" w:hAnsi="宋体" w:cs="宋体"/>
                <w:color w:val="auto"/>
                <w:szCs w:val="21"/>
                <w:highlight w:val="none"/>
              </w:rPr>
            </w:pPr>
          </w:p>
        </w:tc>
        <w:tc>
          <w:tcPr>
            <w:tcW w:w="2693" w:type="dxa"/>
            <w:vAlign w:val="center"/>
          </w:tcPr>
          <w:p w14:paraId="39E651C4">
            <w:pPr>
              <w:pStyle w:val="16"/>
              <w:spacing w:line="276" w:lineRule="auto"/>
              <w:rPr>
                <w:rFonts w:hint="eastAsia" w:hAnsi="宋体" w:cs="宋体"/>
                <w:bCs/>
                <w:color w:val="auto"/>
                <w:szCs w:val="21"/>
                <w:highlight w:val="none"/>
              </w:rPr>
            </w:pPr>
            <w:r>
              <w:rPr>
                <w:rFonts w:hint="eastAsia" w:hAnsi="宋体" w:cs="宋体"/>
                <w:bCs/>
                <w:color w:val="auto"/>
                <w:szCs w:val="21"/>
                <w:highlight w:val="none"/>
              </w:rPr>
              <w:t>采购代理机构</w:t>
            </w:r>
          </w:p>
        </w:tc>
        <w:tc>
          <w:tcPr>
            <w:tcW w:w="5406" w:type="dxa"/>
            <w:vAlign w:val="center"/>
          </w:tcPr>
          <w:p w14:paraId="4656AF8E">
            <w:pPr>
              <w:pStyle w:val="16"/>
              <w:spacing w:line="276" w:lineRule="auto"/>
              <w:rPr>
                <w:rFonts w:hint="eastAsia" w:hAnsi="宋体" w:cs="宋体"/>
                <w:bCs/>
                <w:color w:val="auto"/>
                <w:szCs w:val="21"/>
                <w:highlight w:val="none"/>
              </w:rPr>
            </w:pPr>
            <w:r>
              <w:rPr>
                <w:rFonts w:hint="eastAsia" w:hAnsi="宋体" w:cs="宋体"/>
                <w:bCs/>
                <w:color w:val="auto"/>
                <w:szCs w:val="21"/>
                <w:highlight w:val="none"/>
              </w:rPr>
              <w:t>云南省政府采购和出让中心</w:t>
            </w:r>
          </w:p>
        </w:tc>
      </w:tr>
      <w:tr w14:paraId="078D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vMerge w:val="continue"/>
            <w:vAlign w:val="center"/>
          </w:tcPr>
          <w:p w14:paraId="0E19C3E9">
            <w:pPr>
              <w:spacing w:line="276" w:lineRule="auto"/>
              <w:rPr>
                <w:rFonts w:hint="eastAsia" w:ascii="宋体" w:hAnsi="宋体" w:cs="宋体"/>
                <w:color w:val="auto"/>
                <w:szCs w:val="21"/>
                <w:highlight w:val="none"/>
              </w:rPr>
            </w:pPr>
          </w:p>
        </w:tc>
        <w:tc>
          <w:tcPr>
            <w:tcW w:w="2693" w:type="dxa"/>
            <w:vAlign w:val="center"/>
          </w:tcPr>
          <w:p w14:paraId="2CF66A0B">
            <w:pPr>
              <w:pStyle w:val="16"/>
              <w:spacing w:line="276" w:lineRule="auto"/>
              <w:rPr>
                <w:rFonts w:hint="eastAsia" w:hAnsi="宋体" w:cs="宋体"/>
                <w:color w:val="auto"/>
                <w:szCs w:val="21"/>
                <w:highlight w:val="none"/>
              </w:rPr>
            </w:pPr>
            <w:r>
              <w:rPr>
                <w:rFonts w:hint="eastAsia" w:hAnsi="宋体" w:cs="宋体"/>
                <w:color w:val="auto"/>
                <w:szCs w:val="21"/>
                <w:highlight w:val="none"/>
              </w:rPr>
              <w:t>项目名称</w:t>
            </w:r>
          </w:p>
        </w:tc>
        <w:tc>
          <w:tcPr>
            <w:tcW w:w="5406" w:type="dxa"/>
            <w:vAlign w:val="center"/>
          </w:tcPr>
          <w:p w14:paraId="13392142">
            <w:pPr>
              <w:pStyle w:val="16"/>
              <w:spacing w:line="276" w:lineRule="auto"/>
              <w:rPr>
                <w:rFonts w:hint="eastAsia" w:hAnsi="宋体" w:eastAsia="宋体" w:cs="宋体"/>
                <w:bCs/>
                <w:color w:val="auto"/>
                <w:szCs w:val="21"/>
                <w:highlight w:val="none"/>
                <w:lang w:eastAsia="zh-CN"/>
              </w:rPr>
            </w:pPr>
            <w:r>
              <w:rPr>
                <w:rFonts w:hint="eastAsia" w:hAnsi="宋体" w:cs="宋体"/>
                <w:bCs/>
                <w:color w:val="auto"/>
                <w:szCs w:val="21"/>
                <w:highlight w:val="none"/>
                <w:lang w:eastAsia="zh-CN"/>
              </w:rPr>
              <w:t>云南技师学院（云南工贸职业技术学院）2026-2029年物业服务项目采购</w:t>
            </w:r>
          </w:p>
        </w:tc>
      </w:tr>
      <w:tr w14:paraId="2B9B3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vMerge w:val="continue"/>
            <w:vAlign w:val="center"/>
          </w:tcPr>
          <w:p w14:paraId="7A095568">
            <w:pPr>
              <w:spacing w:line="276" w:lineRule="auto"/>
              <w:rPr>
                <w:rFonts w:hint="eastAsia" w:ascii="宋体" w:hAnsi="宋体" w:cs="宋体"/>
                <w:color w:val="auto"/>
                <w:szCs w:val="21"/>
                <w:highlight w:val="none"/>
              </w:rPr>
            </w:pPr>
          </w:p>
        </w:tc>
        <w:tc>
          <w:tcPr>
            <w:tcW w:w="2693" w:type="dxa"/>
            <w:vAlign w:val="center"/>
          </w:tcPr>
          <w:p w14:paraId="4AA3ED4A">
            <w:pPr>
              <w:pStyle w:val="16"/>
              <w:spacing w:line="276" w:lineRule="auto"/>
              <w:rPr>
                <w:rFonts w:hint="eastAsia" w:hAnsi="宋体" w:cs="宋体"/>
                <w:color w:val="auto"/>
                <w:szCs w:val="21"/>
                <w:highlight w:val="none"/>
              </w:rPr>
            </w:pPr>
            <w:r>
              <w:rPr>
                <w:rFonts w:hint="eastAsia" w:hAnsi="宋体" w:cs="宋体"/>
                <w:color w:val="auto"/>
                <w:szCs w:val="21"/>
                <w:highlight w:val="none"/>
              </w:rPr>
              <w:t>招标编号</w:t>
            </w:r>
          </w:p>
        </w:tc>
        <w:tc>
          <w:tcPr>
            <w:tcW w:w="5406" w:type="dxa"/>
            <w:vAlign w:val="center"/>
          </w:tcPr>
          <w:p w14:paraId="21BF373F">
            <w:pPr>
              <w:pStyle w:val="16"/>
              <w:spacing w:line="276" w:lineRule="auto"/>
              <w:rPr>
                <w:rFonts w:hint="eastAsia" w:hAnsi="宋体" w:cs="宋体"/>
                <w:bCs/>
                <w:color w:val="auto"/>
                <w:szCs w:val="21"/>
                <w:highlight w:val="none"/>
              </w:rPr>
            </w:pPr>
            <w:r>
              <w:rPr>
                <w:color w:val="auto"/>
                <w:highlight w:val="none"/>
              </w:rPr>
              <w:fldChar w:fldCharType="begin"/>
            </w:r>
            <w:r>
              <w:rPr>
                <w:color w:val="auto"/>
                <w:highlight w:val="none"/>
              </w:rPr>
              <w:instrText xml:space="preserve"> HYPERLINK "https://www.zcygov.cn/gaea/api/project/flow/redirect?projectId=7319696609837056049&amp;newUrl=https://www.zcygov.cn/micro-app-back-index/blank?_flow_type_=agency&amp;_flow_projectId_=7319696609837056049&amp;_jump_page_type_=project_procurement_management_flow&amp;_app_=zcy.procurement&amp;oldUrl=https://www.zcygov.cn/project-center/_procurement_/project-result-detail/7319696609837056049" \t "https://www.zcygov.cn/project-center/_procurement_/self-project/_blank" </w:instrText>
            </w:r>
            <w:r>
              <w:rPr>
                <w:color w:val="auto"/>
                <w:highlight w:val="none"/>
              </w:rPr>
              <w:fldChar w:fldCharType="separate"/>
            </w:r>
            <w:r>
              <w:rPr>
                <w:rFonts w:hint="eastAsia" w:hAnsi="宋体" w:cs="宋体"/>
                <w:bCs/>
                <w:color w:val="auto"/>
                <w:szCs w:val="21"/>
                <w:highlight w:val="none"/>
                <w:lang w:eastAsia="zh-CN"/>
              </w:rPr>
              <w:t>YNZC2026-G3-02247-YNSZ-0114</w:t>
            </w:r>
            <w:r>
              <w:rPr>
                <w:rFonts w:hint="eastAsia" w:hAnsi="宋体" w:cs="宋体"/>
                <w:bCs/>
                <w:color w:val="auto"/>
                <w:szCs w:val="21"/>
                <w:highlight w:val="none"/>
              </w:rPr>
              <w:fldChar w:fldCharType="end"/>
            </w:r>
          </w:p>
        </w:tc>
      </w:tr>
      <w:tr w14:paraId="6BD1C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582" w:type="dxa"/>
            <w:vMerge w:val="continue"/>
            <w:vAlign w:val="center"/>
          </w:tcPr>
          <w:p w14:paraId="19083D08">
            <w:pPr>
              <w:spacing w:line="276" w:lineRule="auto"/>
              <w:rPr>
                <w:rFonts w:hint="eastAsia" w:ascii="宋体" w:hAnsi="宋体" w:cs="宋体"/>
                <w:color w:val="auto"/>
                <w:szCs w:val="21"/>
                <w:highlight w:val="none"/>
              </w:rPr>
            </w:pPr>
          </w:p>
        </w:tc>
        <w:tc>
          <w:tcPr>
            <w:tcW w:w="2693" w:type="dxa"/>
            <w:vAlign w:val="center"/>
          </w:tcPr>
          <w:p w14:paraId="1BA6FD42">
            <w:pPr>
              <w:pStyle w:val="16"/>
              <w:spacing w:line="276" w:lineRule="auto"/>
              <w:rPr>
                <w:rFonts w:hint="eastAsia" w:hAnsi="宋体" w:cs="宋体"/>
                <w:color w:val="auto"/>
                <w:szCs w:val="21"/>
                <w:highlight w:val="none"/>
              </w:rPr>
            </w:pPr>
            <w:r>
              <w:rPr>
                <w:rFonts w:hint="eastAsia" w:hAnsi="宋体" w:cs="宋体"/>
                <w:color w:val="auto"/>
                <w:szCs w:val="21"/>
                <w:highlight w:val="none"/>
              </w:rPr>
              <w:t>项目预算及最高限价</w:t>
            </w:r>
          </w:p>
        </w:tc>
        <w:tc>
          <w:tcPr>
            <w:tcW w:w="5406" w:type="dxa"/>
            <w:vAlign w:val="center"/>
          </w:tcPr>
          <w:p w14:paraId="449F6B36">
            <w:pPr>
              <w:spacing w:line="360" w:lineRule="auto"/>
              <w:rPr>
                <w:rFonts w:hint="eastAsia" w:ascii="宋体" w:hAnsi="宋体" w:cs="宋体"/>
                <w:bCs/>
                <w:color w:val="auto"/>
                <w:sz w:val="20"/>
                <w:szCs w:val="21"/>
                <w:highlight w:val="none"/>
              </w:rPr>
            </w:pPr>
            <w:r>
              <w:rPr>
                <w:rFonts w:hint="eastAsia" w:ascii="宋体" w:hAnsi="宋体" w:cs="宋体"/>
                <w:bCs/>
                <w:color w:val="auto"/>
                <w:szCs w:val="21"/>
                <w:highlight w:val="none"/>
              </w:rPr>
              <w:t>预算金额及最高限价：</w:t>
            </w:r>
            <w:r>
              <w:rPr>
                <w:rFonts w:hint="eastAsia" w:ascii="宋体" w:hAnsi="宋体" w:cs="宋体"/>
                <w:bCs/>
                <w:color w:val="auto"/>
                <w:szCs w:val="21"/>
                <w:highlight w:val="none"/>
                <w:lang w:val="en-US" w:eastAsia="zh-CN"/>
              </w:rPr>
              <w:t>300.00万元/年</w:t>
            </w:r>
          </w:p>
        </w:tc>
      </w:tr>
      <w:tr w14:paraId="2AD2D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582" w:type="dxa"/>
            <w:vAlign w:val="center"/>
          </w:tcPr>
          <w:p w14:paraId="53592A4B">
            <w:pPr>
              <w:pStyle w:val="16"/>
              <w:spacing w:line="276" w:lineRule="auto"/>
              <w:jc w:val="center"/>
              <w:rPr>
                <w:rFonts w:hint="eastAsia" w:hAnsi="宋体" w:cs="宋体"/>
                <w:color w:val="auto"/>
                <w:szCs w:val="21"/>
                <w:highlight w:val="none"/>
              </w:rPr>
            </w:pPr>
            <w:r>
              <w:rPr>
                <w:rFonts w:hint="eastAsia" w:hAnsi="宋体" w:cs="宋体"/>
                <w:color w:val="auto"/>
                <w:szCs w:val="21"/>
                <w:highlight w:val="none"/>
              </w:rPr>
              <w:t>3.1</w:t>
            </w:r>
          </w:p>
        </w:tc>
        <w:tc>
          <w:tcPr>
            <w:tcW w:w="2693" w:type="dxa"/>
            <w:vAlign w:val="center"/>
          </w:tcPr>
          <w:p w14:paraId="648BE3D6">
            <w:pPr>
              <w:pStyle w:val="16"/>
              <w:spacing w:line="276" w:lineRule="auto"/>
              <w:rPr>
                <w:rFonts w:hint="eastAsia" w:hAnsi="宋体" w:cs="宋体"/>
                <w:color w:val="auto"/>
                <w:szCs w:val="21"/>
                <w:highlight w:val="none"/>
              </w:rPr>
            </w:pPr>
            <w:r>
              <w:rPr>
                <w:rFonts w:hint="eastAsia" w:hAnsi="宋体" w:cs="宋体"/>
                <w:color w:val="auto"/>
                <w:szCs w:val="21"/>
                <w:highlight w:val="none"/>
              </w:rPr>
              <w:t>招标范围</w:t>
            </w:r>
          </w:p>
        </w:tc>
        <w:tc>
          <w:tcPr>
            <w:tcW w:w="5406" w:type="dxa"/>
            <w:vAlign w:val="center"/>
          </w:tcPr>
          <w:p w14:paraId="7036E2BF">
            <w:pPr>
              <w:pStyle w:val="16"/>
              <w:spacing w:line="276" w:lineRule="auto"/>
              <w:jc w:val="left"/>
              <w:rPr>
                <w:rFonts w:hint="eastAsia" w:hAnsi="宋体" w:cs="宋体"/>
                <w:bCs/>
                <w:color w:val="auto"/>
                <w:szCs w:val="21"/>
                <w:highlight w:val="none"/>
              </w:rPr>
            </w:pPr>
            <w:r>
              <w:rPr>
                <w:rFonts w:hint="eastAsia" w:hAnsi="宋体"/>
                <w:color w:val="auto"/>
                <w:szCs w:val="21"/>
                <w:highlight w:val="none"/>
              </w:rPr>
              <w:t>本项目不分包，</w:t>
            </w:r>
            <w:r>
              <w:rPr>
                <w:rFonts w:hint="eastAsia" w:hAnsi="宋体"/>
                <w:color w:val="auto"/>
                <w:szCs w:val="21"/>
                <w:highlight w:val="none"/>
                <w:lang w:eastAsia="zh-CN"/>
              </w:rPr>
              <w:t>云南技师学院</w:t>
            </w:r>
            <w:r>
              <w:rPr>
                <w:rFonts w:hint="eastAsia" w:hAnsi="宋体"/>
                <w:color w:val="auto"/>
                <w:szCs w:val="21"/>
                <w:highlight w:val="none"/>
                <w:lang w:val="en-US" w:eastAsia="zh-CN"/>
              </w:rPr>
              <w:t>位于云南省昆明安宁市昆畹中路23号，占地面积1167.65亩，拥有单体建筑37栋，总建筑面积31.7万平米，建设4个国家级高技能人才培训基地，2个世界技能大赛中国集训基地、1个国家级康养基地，4个省级公共集训基地，60多个校内实训基地。物业服务主要包含，环境卫生保障、校园公物、水电气设施日常维护及修缮服务</w:t>
            </w:r>
            <w:r>
              <w:rPr>
                <w:rFonts w:hint="eastAsia" w:hAnsi="宋体"/>
                <w:color w:val="auto"/>
                <w:szCs w:val="21"/>
                <w:highlight w:val="none"/>
              </w:rPr>
              <w:t>，具体服务内容详见招标文件第五章服务需求。</w:t>
            </w:r>
          </w:p>
        </w:tc>
      </w:tr>
      <w:tr w14:paraId="518AB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523C2E7E">
            <w:pPr>
              <w:pStyle w:val="16"/>
              <w:spacing w:line="276" w:lineRule="auto"/>
              <w:jc w:val="center"/>
              <w:rPr>
                <w:rFonts w:hint="eastAsia" w:hAnsi="宋体" w:cs="宋体"/>
                <w:color w:val="auto"/>
                <w:szCs w:val="21"/>
                <w:highlight w:val="none"/>
              </w:rPr>
            </w:pPr>
            <w:r>
              <w:rPr>
                <w:rFonts w:hint="eastAsia" w:hAnsi="宋体" w:cs="宋体"/>
                <w:color w:val="auto"/>
                <w:szCs w:val="21"/>
                <w:highlight w:val="none"/>
              </w:rPr>
              <w:t>3.2</w:t>
            </w:r>
          </w:p>
        </w:tc>
        <w:tc>
          <w:tcPr>
            <w:tcW w:w="2693" w:type="dxa"/>
            <w:vAlign w:val="center"/>
          </w:tcPr>
          <w:p w14:paraId="76A8ABE8">
            <w:pPr>
              <w:pStyle w:val="16"/>
              <w:spacing w:line="276" w:lineRule="auto"/>
              <w:rPr>
                <w:rFonts w:hint="eastAsia" w:hAnsi="宋体" w:cs="宋体"/>
                <w:color w:val="auto"/>
                <w:szCs w:val="21"/>
                <w:highlight w:val="none"/>
              </w:rPr>
            </w:pPr>
            <w:r>
              <w:rPr>
                <w:rFonts w:hint="eastAsia" w:hAnsi="宋体" w:cs="宋体"/>
                <w:color w:val="auto"/>
                <w:szCs w:val="21"/>
                <w:highlight w:val="none"/>
              </w:rPr>
              <w:t>服务期限</w:t>
            </w:r>
          </w:p>
        </w:tc>
        <w:tc>
          <w:tcPr>
            <w:tcW w:w="5406" w:type="dxa"/>
            <w:vAlign w:val="center"/>
          </w:tcPr>
          <w:p w14:paraId="6A0486AC">
            <w:pP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一采三年（合同一年一签），自合同签订之日起至次年对应之日止。本次采购中，供应商应以年服务费进行报价，一旦中标，中标价即为第一年服务的合同价；第二年及第三年合同履行按云财采〔2015〕16号、云财采〔2016〕22号文件执行。</w:t>
            </w:r>
          </w:p>
        </w:tc>
      </w:tr>
      <w:tr w14:paraId="62868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4AB51173">
            <w:pPr>
              <w:pStyle w:val="16"/>
              <w:spacing w:line="276" w:lineRule="auto"/>
              <w:jc w:val="center"/>
              <w:rPr>
                <w:rFonts w:hint="eastAsia" w:hAnsi="宋体"/>
                <w:color w:val="auto"/>
                <w:szCs w:val="21"/>
                <w:highlight w:val="none"/>
              </w:rPr>
            </w:pPr>
            <w:r>
              <w:rPr>
                <w:rFonts w:hint="eastAsia" w:hAnsi="宋体"/>
                <w:color w:val="auto"/>
                <w:szCs w:val="21"/>
                <w:highlight w:val="none"/>
              </w:rPr>
              <w:t>4.2</w:t>
            </w:r>
          </w:p>
        </w:tc>
        <w:tc>
          <w:tcPr>
            <w:tcW w:w="2693" w:type="dxa"/>
            <w:vAlign w:val="center"/>
          </w:tcPr>
          <w:p w14:paraId="2DE2E879">
            <w:pPr>
              <w:pStyle w:val="16"/>
              <w:spacing w:line="276" w:lineRule="auto"/>
              <w:rPr>
                <w:rFonts w:hint="eastAsia" w:hAnsi="宋体"/>
                <w:b/>
                <w:color w:val="auto"/>
                <w:szCs w:val="21"/>
                <w:highlight w:val="none"/>
              </w:rPr>
            </w:pPr>
            <w:r>
              <w:rPr>
                <w:rFonts w:hint="eastAsia" w:hAnsi="宋体"/>
                <w:b/>
                <w:color w:val="auto"/>
                <w:szCs w:val="21"/>
                <w:highlight w:val="none"/>
              </w:rPr>
              <w:t>★</w:t>
            </w:r>
            <w:r>
              <w:rPr>
                <w:rFonts w:hAnsi="宋体"/>
                <w:b/>
                <w:color w:val="auto"/>
                <w:szCs w:val="21"/>
                <w:highlight w:val="none"/>
              </w:rPr>
              <w:t>特定条件</w:t>
            </w:r>
          </w:p>
        </w:tc>
        <w:tc>
          <w:tcPr>
            <w:tcW w:w="5406" w:type="dxa"/>
            <w:vAlign w:val="center"/>
          </w:tcPr>
          <w:p w14:paraId="5454AE39">
            <w:pPr>
              <w:spacing w:line="360" w:lineRule="auto"/>
              <w:rPr>
                <w:rFonts w:hint="eastAsia" w:ascii="宋体" w:hAnsi="宋体"/>
                <w:bCs/>
                <w:color w:val="auto"/>
                <w:szCs w:val="21"/>
                <w:highlight w:val="none"/>
              </w:rPr>
            </w:pPr>
            <w:r>
              <w:rPr>
                <w:rFonts w:ascii="宋体" w:hAnsi="宋体"/>
                <w:color w:val="auto"/>
                <w:szCs w:val="21"/>
                <w:highlight w:val="none"/>
              </w:rPr>
              <w:t>见第一章</w:t>
            </w:r>
            <w:r>
              <w:rPr>
                <w:rFonts w:hint="eastAsia" w:ascii="宋体" w:hAnsi="宋体"/>
                <w:color w:val="auto"/>
                <w:szCs w:val="21"/>
                <w:highlight w:val="none"/>
              </w:rPr>
              <w:t>“投标邀请”</w:t>
            </w:r>
          </w:p>
        </w:tc>
      </w:tr>
      <w:tr w14:paraId="71004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3190F442">
            <w:pPr>
              <w:pStyle w:val="16"/>
              <w:spacing w:line="276" w:lineRule="auto"/>
              <w:jc w:val="center"/>
              <w:rPr>
                <w:rFonts w:hint="eastAsia" w:hAnsi="宋体" w:cs="宋体"/>
                <w:color w:val="auto"/>
                <w:szCs w:val="21"/>
                <w:highlight w:val="none"/>
              </w:rPr>
            </w:pPr>
            <w:r>
              <w:rPr>
                <w:rFonts w:hint="eastAsia" w:hAnsi="宋体" w:cs="宋体"/>
                <w:color w:val="auto"/>
                <w:szCs w:val="21"/>
                <w:highlight w:val="none"/>
              </w:rPr>
              <w:t>4.4</w:t>
            </w:r>
          </w:p>
        </w:tc>
        <w:tc>
          <w:tcPr>
            <w:tcW w:w="2693" w:type="dxa"/>
            <w:vAlign w:val="center"/>
          </w:tcPr>
          <w:p w14:paraId="46AC1E05">
            <w:pPr>
              <w:pStyle w:val="16"/>
              <w:spacing w:line="276" w:lineRule="auto"/>
              <w:rPr>
                <w:rFonts w:hint="eastAsia" w:hAnsi="宋体" w:cs="宋体"/>
                <w:color w:val="auto"/>
                <w:szCs w:val="21"/>
                <w:highlight w:val="none"/>
              </w:rPr>
            </w:pPr>
            <w:r>
              <w:rPr>
                <w:rFonts w:hint="eastAsia" w:hAnsi="宋体" w:cs="宋体"/>
                <w:color w:val="auto"/>
                <w:szCs w:val="21"/>
                <w:highlight w:val="none"/>
              </w:rPr>
              <w:t>是否接受联合体投标</w:t>
            </w:r>
          </w:p>
        </w:tc>
        <w:tc>
          <w:tcPr>
            <w:tcW w:w="5406" w:type="dxa"/>
            <w:vAlign w:val="center"/>
          </w:tcPr>
          <w:p w14:paraId="615C0ADF">
            <w:pPr>
              <w:pStyle w:val="16"/>
              <w:spacing w:line="276" w:lineRule="auto"/>
              <w:jc w:val="left"/>
              <w:rPr>
                <w:rFonts w:hint="eastAsia" w:hAnsi="宋体" w:cs="宋体"/>
                <w:color w:val="auto"/>
                <w:szCs w:val="21"/>
                <w:highlight w:val="none"/>
              </w:rPr>
            </w:pPr>
            <w:r>
              <w:rPr>
                <w:rFonts w:hint="eastAsia" w:hAnsi="宋体" w:cs="宋体"/>
                <w:b/>
                <w:color w:val="auto"/>
                <w:sz w:val="24"/>
                <w:szCs w:val="24"/>
                <w:highlight w:val="none"/>
              </w:rPr>
              <w:fldChar w:fldCharType="begin"/>
            </w:r>
            <w:r>
              <w:rPr>
                <w:rFonts w:hint="eastAsia" w:hAnsi="宋体" w:cs="宋体"/>
                <w:b/>
                <w:color w:val="auto"/>
                <w:sz w:val="24"/>
                <w:szCs w:val="24"/>
                <w:highlight w:val="none"/>
              </w:rPr>
              <w:instrText xml:space="preserve"> EQ \o(□)</w:instrText>
            </w:r>
            <w:r>
              <w:rPr>
                <w:rFonts w:hint="eastAsia" w:hAnsi="宋体" w:cs="宋体"/>
                <w:b/>
                <w:color w:val="auto"/>
                <w:sz w:val="24"/>
                <w:szCs w:val="24"/>
                <w:highlight w:val="none"/>
              </w:rPr>
              <w:fldChar w:fldCharType="end"/>
            </w:r>
            <w:r>
              <w:rPr>
                <w:rFonts w:hint="eastAsia" w:hAnsi="宋体" w:cs="宋体"/>
                <w:color w:val="auto"/>
                <w:szCs w:val="21"/>
                <w:highlight w:val="none"/>
              </w:rPr>
              <w:t xml:space="preserve">不接受     </w:t>
            </w:r>
            <w:r>
              <w:rPr>
                <w:rFonts w:hint="eastAsia" w:hAnsi="宋体" w:cs="宋体"/>
                <w:color w:val="auto"/>
                <w:szCs w:val="21"/>
                <w:highlight w:val="none"/>
                <w:lang w:eastAsia="zh-CN"/>
              </w:rPr>
              <w:t>☑</w:t>
            </w:r>
            <w:r>
              <w:rPr>
                <w:rFonts w:hint="eastAsia" w:hAnsi="宋体" w:cs="宋体"/>
                <w:color w:val="auto"/>
                <w:szCs w:val="21"/>
                <w:highlight w:val="none"/>
              </w:rPr>
              <w:t>接受</w:t>
            </w:r>
          </w:p>
        </w:tc>
      </w:tr>
      <w:tr w14:paraId="205EC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67559AB2">
            <w:pPr>
              <w:pStyle w:val="16"/>
              <w:spacing w:line="276" w:lineRule="auto"/>
              <w:jc w:val="center"/>
              <w:rPr>
                <w:rFonts w:hint="eastAsia" w:hAnsi="宋体" w:cs="宋体"/>
                <w:color w:val="auto"/>
                <w:szCs w:val="21"/>
                <w:highlight w:val="none"/>
              </w:rPr>
            </w:pPr>
            <w:r>
              <w:rPr>
                <w:rFonts w:hint="eastAsia" w:hAnsi="宋体" w:cs="宋体"/>
                <w:color w:val="auto"/>
                <w:szCs w:val="21"/>
                <w:highlight w:val="none"/>
              </w:rPr>
              <w:t>9.1</w:t>
            </w:r>
          </w:p>
        </w:tc>
        <w:tc>
          <w:tcPr>
            <w:tcW w:w="2693" w:type="dxa"/>
            <w:vAlign w:val="center"/>
          </w:tcPr>
          <w:p w14:paraId="4928722E">
            <w:pPr>
              <w:autoSpaceDE w:val="0"/>
              <w:autoSpaceDN w:val="0"/>
              <w:snapToGrid w:val="0"/>
              <w:spacing w:line="276"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招标文件澄清截止时间</w:t>
            </w:r>
          </w:p>
        </w:tc>
        <w:tc>
          <w:tcPr>
            <w:tcW w:w="5406" w:type="dxa"/>
            <w:vAlign w:val="center"/>
          </w:tcPr>
          <w:p w14:paraId="579A277E">
            <w:pPr>
              <w:autoSpaceDE w:val="0"/>
              <w:autoSpaceDN w:val="0"/>
              <w:snapToGrid w:val="0"/>
              <w:spacing w:line="276" w:lineRule="auto"/>
              <w:textAlignment w:val="bottom"/>
              <w:rPr>
                <w:rFonts w:hint="eastAsia" w:ascii="宋体" w:hAnsi="宋体" w:cs="宋体"/>
                <w:b/>
                <w:bCs/>
                <w:color w:val="auto"/>
                <w:szCs w:val="21"/>
                <w:highlight w:val="none"/>
              </w:rPr>
            </w:pPr>
            <w:r>
              <w:rPr>
                <w:rFonts w:hint="eastAsia" w:ascii="宋体" w:hAnsi="宋体" w:cs="宋体"/>
                <w:color w:val="auto"/>
                <w:szCs w:val="21"/>
                <w:highlight w:val="none"/>
              </w:rPr>
              <w:t>提交投标文件的截止日期15日前</w:t>
            </w:r>
          </w:p>
        </w:tc>
      </w:tr>
      <w:tr w14:paraId="63E4D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473460B9">
            <w:pPr>
              <w:pStyle w:val="16"/>
              <w:spacing w:line="276" w:lineRule="auto"/>
              <w:jc w:val="center"/>
              <w:rPr>
                <w:rFonts w:hint="eastAsia" w:hAnsi="宋体" w:cs="宋体"/>
                <w:color w:val="auto"/>
                <w:szCs w:val="21"/>
                <w:highlight w:val="none"/>
              </w:rPr>
            </w:pPr>
            <w:r>
              <w:rPr>
                <w:rFonts w:hint="eastAsia" w:hAnsi="宋体" w:cs="宋体"/>
                <w:color w:val="auto"/>
                <w:szCs w:val="21"/>
                <w:highlight w:val="none"/>
              </w:rPr>
              <w:t>9.3</w:t>
            </w:r>
          </w:p>
        </w:tc>
        <w:tc>
          <w:tcPr>
            <w:tcW w:w="2693" w:type="dxa"/>
            <w:vAlign w:val="center"/>
          </w:tcPr>
          <w:p w14:paraId="47683AE3">
            <w:pPr>
              <w:autoSpaceDE w:val="0"/>
              <w:autoSpaceDN w:val="0"/>
              <w:snapToGrid w:val="0"/>
              <w:spacing w:line="276"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招标文件澄清联系方式</w:t>
            </w:r>
          </w:p>
        </w:tc>
        <w:tc>
          <w:tcPr>
            <w:tcW w:w="5406" w:type="dxa"/>
            <w:vAlign w:val="center"/>
          </w:tcPr>
          <w:p w14:paraId="3B7FD638">
            <w:pPr>
              <w:spacing w:line="360" w:lineRule="auto"/>
              <w:rPr>
                <w:rFonts w:hint="eastAsia" w:ascii="宋体" w:hAnsi="宋体"/>
                <w:color w:val="auto"/>
                <w:szCs w:val="21"/>
                <w:highlight w:val="none"/>
              </w:rPr>
            </w:pPr>
            <w:r>
              <w:rPr>
                <w:rFonts w:hint="eastAsia" w:ascii="宋体" w:hAnsi="宋体" w:cs="宋体"/>
                <w:bCs/>
                <w:color w:val="auto"/>
                <w:szCs w:val="21"/>
                <w:highlight w:val="none"/>
              </w:rPr>
              <w:t>澄清联系人：李翔</w:t>
            </w:r>
          </w:p>
          <w:p w14:paraId="7AAC5F90">
            <w:pPr>
              <w:spacing w:line="360" w:lineRule="auto"/>
              <w:rPr>
                <w:rFonts w:hint="eastAsia" w:ascii="宋体" w:hAnsi="宋体" w:cs="宋体"/>
                <w:bCs/>
                <w:color w:val="auto"/>
                <w:szCs w:val="21"/>
                <w:highlight w:val="none"/>
              </w:rPr>
            </w:pPr>
            <w:r>
              <w:rPr>
                <w:rFonts w:hint="eastAsia" w:ascii="宋体" w:hAnsi="宋体"/>
                <w:color w:val="auto"/>
                <w:szCs w:val="21"/>
                <w:highlight w:val="none"/>
              </w:rPr>
              <w:t xml:space="preserve">电　　 话： </w:t>
            </w:r>
            <w:r>
              <w:rPr>
                <w:rFonts w:hint="eastAsia" w:ascii="宋体" w:hAnsi="宋体"/>
                <w:bCs/>
                <w:color w:val="auto"/>
                <w:szCs w:val="21"/>
                <w:highlight w:val="none"/>
              </w:rPr>
              <w:t>0871-65302558</w:t>
            </w:r>
          </w:p>
        </w:tc>
      </w:tr>
      <w:tr w14:paraId="274EF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582" w:type="dxa"/>
            <w:vAlign w:val="center"/>
          </w:tcPr>
          <w:p w14:paraId="22A1FBC3">
            <w:pPr>
              <w:pStyle w:val="16"/>
              <w:spacing w:line="276" w:lineRule="auto"/>
              <w:jc w:val="center"/>
              <w:rPr>
                <w:rFonts w:hint="eastAsia" w:hAnsi="宋体" w:cs="宋体"/>
                <w:color w:val="auto"/>
                <w:szCs w:val="21"/>
                <w:highlight w:val="none"/>
              </w:rPr>
            </w:pPr>
            <w:r>
              <w:rPr>
                <w:rFonts w:hint="eastAsia" w:hAnsi="宋体" w:cs="宋体"/>
                <w:color w:val="auto"/>
                <w:szCs w:val="21"/>
                <w:highlight w:val="none"/>
              </w:rPr>
              <w:t>11.4</w:t>
            </w:r>
          </w:p>
        </w:tc>
        <w:tc>
          <w:tcPr>
            <w:tcW w:w="2693" w:type="dxa"/>
            <w:vAlign w:val="center"/>
          </w:tcPr>
          <w:p w14:paraId="595560C4">
            <w:pPr>
              <w:autoSpaceDE w:val="0"/>
              <w:autoSpaceDN w:val="0"/>
              <w:snapToGrid w:val="0"/>
              <w:spacing w:line="276"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实质性要求和条件</w:t>
            </w:r>
          </w:p>
        </w:tc>
        <w:tc>
          <w:tcPr>
            <w:tcW w:w="5406" w:type="dxa"/>
            <w:vAlign w:val="center"/>
          </w:tcPr>
          <w:p w14:paraId="2D63EF16">
            <w:pPr>
              <w:autoSpaceDE w:val="0"/>
              <w:autoSpaceDN w:val="0"/>
              <w:snapToGrid w:val="0"/>
              <w:spacing w:line="400" w:lineRule="exact"/>
              <w:textAlignment w:val="bottom"/>
              <w:rPr>
                <w:rFonts w:hint="eastAsia" w:ascii="宋体" w:hAnsi="宋体" w:cs="宋体"/>
                <w:bCs/>
                <w:color w:val="auto"/>
                <w:szCs w:val="21"/>
                <w:highlight w:val="none"/>
              </w:rPr>
            </w:pPr>
            <w:r>
              <w:rPr>
                <w:rFonts w:hint="eastAsia" w:ascii="宋体" w:hAnsi="宋体" w:cs="宋体"/>
                <w:bCs/>
                <w:color w:val="auto"/>
                <w:szCs w:val="21"/>
                <w:highlight w:val="none"/>
              </w:rPr>
              <w:t>本招标文件中标注★号的条款为实质性要求和条件，</w:t>
            </w:r>
            <w:r>
              <w:rPr>
                <w:rFonts w:hint="eastAsia" w:ascii="宋体" w:hAnsi="宋体" w:cs="宋体"/>
                <w:b/>
                <w:bCs/>
                <w:color w:val="auto"/>
                <w:szCs w:val="21"/>
                <w:highlight w:val="none"/>
              </w:rPr>
              <w:t>不满足任何一条将导致投标无效。</w:t>
            </w:r>
            <w:r>
              <w:rPr>
                <w:rFonts w:hint="eastAsia" w:ascii="宋体" w:hAnsi="宋体" w:cs="宋体"/>
                <w:bCs/>
                <w:color w:val="auto"/>
                <w:szCs w:val="21"/>
                <w:highlight w:val="none"/>
              </w:rPr>
              <w:t>请各投标人仔细阅读。</w:t>
            </w:r>
          </w:p>
        </w:tc>
      </w:tr>
      <w:tr w14:paraId="5968A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1582" w:type="dxa"/>
            <w:vMerge w:val="restart"/>
            <w:vAlign w:val="center"/>
          </w:tcPr>
          <w:p w14:paraId="6709F760">
            <w:pPr>
              <w:pStyle w:val="16"/>
              <w:spacing w:line="276" w:lineRule="auto"/>
              <w:jc w:val="center"/>
              <w:rPr>
                <w:rFonts w:hint="eastAsia" w:hAnsi="宋体" w:cs="宋体"/>
                <w:color w:val="auto"/>
                <w:szCs w:val="21"/>
                <w:highlight w:val="none"/>
              </w:rPr>
            </w:pPr>
            <w:r>
              <w:rPr>
                <w:rFonts w:hint="eastAsia" w:hAnsi="宋体" w:cs="宋体"/>
                <w:color w:val="auto"/>
                <w:szCs w:val="21"/>
                <w:highlight w:val="none"/>
              </w:rPr>
              <w:t>13.1</w:t>
            </w:r>
          </w:p>
        </w:tc>
        <w:tc>
          <w:tcPr>
            <w:tcW w:w="2693" w:type="dxa"/>
            <w:vMerge w:val="restart"/>
            <w:vAlign w:val="center"/>
          </w:tcPr>
          <w:p w14:paraId="57CC8526">
            <w:pPr>
              <w:pStyle w:val="16"/>
              <w:spacing w:line="276" w:lineRule="auto"/>
              <w:rPr>
                <w:rFonts w:hint="eastAsia" w:hAnsi="宋体" w:cs="宋体"/>
                <w:color w:val="auto"/>
                <w:szCs w:val="21"/>
                <w:highlight w:val="none"/>
              </w:rPr>
            </w:pPr>
            <w:r>
              <w:rPr>
                <w:rFonts w:hint="eastAsia" w:hAnsi="宋体" w:cs="宋体"/>
                <w:color w:val="auto"/>
                <w:szCs w:val="21"/>
                <w:highlight w:val="none"/>
              </w:rPr>
              <w:t>资格证明文件</w:t>
            </w:r>
          </w:p>
        </w:tc>
        <w:tc>
          <w:tcPr>
            <w:tcW w:w="5406" w:type="dxa"/>
            <w:vAlign w:val="center"/>
          </w:tcPr>
          <w:p w14:paraId="5E3AD9A2">
            <w:pPr>
              <w:autoSpaceDE w:val="0"/>
              <w:autoSpaceDN w:val="0"/>
              <w:snapToGrid w:val="0"/>
              <w:spacing w:line="400" w:lineRule="exact"/>
              <w:textAlignment w:val="bottom"/>
              <w:rPr>
                <w:rFonts w:hint="eastAsia" w:ascii="宋体" w:hAnsi="宋体"/>
                <w:b/>
                <w:color w:val="auto"/>
                <w:szCs w:val="21"/>
                <w:highlight w:val="none"/>
              </w:rPr>
            </w:pPr>
            <w:r>
              <w:rPr>
                <w:rFonts w:hint="eastAsia" w:ascii="宋体" w:hAnsi="宋体"/>
                <w:b/>
                <w:color w:val="auto"/>
                <w:szCs w:val="21"/>
                <w:highlight w:val="none"/>
              </w:rPr>
              <w:t>1、投标人为企业（包括合伙企业）的，应提供有效的“营业执照”；投标人为事业单位的，应提供有效的“事业单位法人证书”；投标人为非企业专业服务机构的，应提供有效的“执业许可证”、“登记证书”等证明文件；投标人是个体工商户的，应提供有效的“个体工商户营业执照”；投标人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tc>
      </w:tr>
      <w:tr w14:paraId="146BD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1582" w:type="dxa"/>
            <w:vMerge w:val="continue"/>
            <w:vAlign w:val="center"/>
          </w:tcPr>
          <w:p w14:paraId="5256B94D">
            <w:pPr>
              <w:autoSpaceDE w:val="0"/>
              <w:autoSpaceDN w:val="0"/>
              <w:snapToGrid w:val="0"/>
              <w:spacing w:line="400" w:lineRule="exact"/>
              <w:textAlignment w:val="bottom"/>
              <w:rPr>
                <w:color w:val="auto"/>
                <w:highlight w:val="none"/>
              </w:rPr>
            </w:pPr>
          </w:p>
        </w:tc>
        <w:tc>
          <w:tcPr>
            <w:tcW w:w="2693" w:type="dxa"/>
            <w:vMerge w:val="continue"/>
            <w:vAlign w:val="center"/>
          </w:tcPr>
          <w:p w14:paraId="70A825E0">
            <w:pPr>
              <w:autoSpaceDE w:val="0"/>
              <w:autoSpaceDN w:val="0"/>
              <w:snapToGrid w:val="0"/>
              <w:spacing w:line="400" w:lineRule="exact"/>
              <w:textAlignment w:val="bottom"/>
              <w:rPr>
                <w:color w:val="auto"/>
                <w:highlight w:val="none"/>
              </w:rPr>
            </w:pPr>
          </w:p>
        </w:tc>
        <w:tc>
          <w:tcPr>
            <w:tcW w:w="5406" w:type="dxa"/>
            <w:vAlign w:val="center"/>
          </w:tcPr>
          <w:p w14:paraId="3F3E495F">
            <w:pPr>
              <w:autoSpaceDE w:val="0"/>
              <w:autoSpaceDN w:val="0"/>
              <w:snapToGrid w:val="0"/>
              <w:spacing w:line="400" w:lineRule="exact"/>
              <w:textAlignment w:val="bottom"/>
              <w:rPr>
                <w:rFonts w:hint="eastAsia" w:ascii="宋体" w:hAnsi="宋体"/>
                <w:b/>
                <w:color w:val="auto"/>
                <w:szCs w:val="21"/>
                <w:highlight w:val="none"/>
              </w:rPr>
            </w:pPr>
            <w:r>
              <w:rPr>
                <w:rFonts w:hint="eastAsia" w:ascii="宋体" w:hAnsi="宋体"/>
                <w:b/>
                <w:color w:val="auto"/>
                <w:szCs w:val="21"/>
                <w:highlight w:val="none"/>
              </w:rPr>
              <w:t>2、投标人应提供202</w:t>
            </w:r>
            <w:r>
              <w:rPr>
                <w:rFonts w:hint="eastAsia" w:ascii="宋体" w:hAnsi="宋体"/>
                <w:b/>
                <w:color w:val="auto"/>
                <w:szCs w:val="21"/>
                <w:highlight w:val="none"/>
                <w:lang w:val="en-US" w:eastAsia="zh-CN"/>
              </w:rPr>
              <w:t>4</w:t>
            </w:r>
            <w:r>
              <w:rPr>
                <w:rFonts w:hint="eastAsia" w:ascii="宋体" w:hAnsi="宋体"/>
                <w:b/>
                <w:color w:val="auto"/>
                <w:szCs w:val="21"/>
                <w:highlight w:val="none"/>
              </w:rPr>
              <w:t>年1月至今期间（税款所属时期）任意1个月的税务局税收通用缴款书复印件或银行电子缴税凭证复印件或税务局出具的纳税情况相关证明复印件；依法免税的投标人，应提供相应文件证明其依法免税；新成立企业尚未缴纳税款的，应出具情况证明。</w:t>
            </w:r>
          </w:p>
        </w:tc>
      </w:tr>
      <w:tr w14:paraId="2160C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1582" w:type="dxa"/>
            <w:vMerge w:val="continue"/>
            <w:vAlign w:val="center"/>
          </w:tcPr>
          <w:p w14:paraId="45B055F9">
            <w:pPr>
              <w:autoSpaceDE w:val="0"/>
              <w:autoSpaceDN w:val="0"/>
              <w:snapToGrid w:val="0"/>
              <w:spacing w:line="400" w:lineRule="exact"/>
              <w:textAlignment w:val="bottom"/>
              <w:rPr>
                <w:rFonts w:hint="eastAsia" w:ascii="宋体" w:hAnsi="宋体"/>
                <w:b/>
                <w:color w:val="auto"/>
                <w:szCs w:val="21"/>
                <w:highlight w:val="none"/>
                <w:u w:val="single"/>
              </w:rPr>
            </w:pPr>
          </w:p>
        </w:tc>
        <w:tc>
          <w:tcPr>
            <w:tcW w:w="2693" w:type="dxa"/>
            <w:vMerge w:val="continue"/>
            <w:vAlign w:val="center"/>
          </w:tcPr>
          <w:p w14:paraId="3E88D291">
            <w:pPr>
              <w:autoSpaceDE w:val="0"/>
              <w:autoSpaceDN w:val="0"/>
              <w:snapToGrid w:val="0"/>
              <w:spacing w:line="400" w:lineRule="exact"/>
              <w:textAlignment w:val="bottom"/>
              <w:rPr>
                <w:rFonts w:hint="eastAsia" w:ascii="宋体" w:hAnsi="宋体"/>
                <w:b/>
                <w:color w:val="auto"/>
                <w:szCs w:val="21"/>
                <w:highlight w:val="none"/>
                <w:u w:val="single"/>
              </w:rPr>
            </w:pPr>
          </w:p>
        </w:tc>
        <w:tc>
          <w:tcPr>
            <w:tcW w:w="5406" w:type="dxa"/>
            <w:vAlign w:val="center"/>
          </w:tcPr>
          <w:p w14:paraId="29BED7B6">
            <w:pPr>
              <w:autoSpaceDE w:val="0"/>
              <w:autoSpaceDN w:val="0"/>
              <w:snapToGrid w:val="0"/>
              <w:spacing w:line="400" w:lineRule="exact"/>
              <w:textAlignment w:val="bottom"/>
              <w:rPr>
                <w:rFonts w:hint="eastAsia" w:ascii="宋体" w:hAnsi="宋体"/>
                <w:b/>
                <w:color w:val="auto"/>
                <w:szCs w:val="21"/>
                <w:highlight w:val="none"/>
              </w:rPr>
            </w:pPr>
            <w:r>
              <w:rPr>
                <w:rFonts w:hint="eastAsia" w:ascii="宋体" w:hAnsi="宋体"/>
                <w:b/>
                <w:color w:val="auto"/>
                <w:szCs w:val="21"/>
                <w:highlight w:val="none"/>
              </w:rPr>
              <w:t>3、投标人应提供202</w:t>
            </w:r>
            <w:r>
              <w:rPr>
                <w:rFonts w:hint="eastAsia" w:ascii="宋体" w:hAnsi="宋体"/>
                <w:b/>
                <w:color w:val="auto"/>
                <w:szCs w:val="21"/>
                <w:highlight w:val="none"/>
                <w:lang w:val="en-US" w:eastAsia="zh-CN"/>
              </w:rPr>
              <w:t>4</w:t>
            </w:r>
            <w:r>
              <w:rPr>
                <w:rFonts w:hint="eastAsia" w:ascii="宋体" w:hAnsi="宋体"/>
                <w:b/>
                <w:color w:val="auto"/>
                <w:szCs w:val="21"/>
                <w:highlight w:val="none"/>
              </w:rPr>
              <w:t>年1月至今期间（费款所属时期）任意1个月的社会保险费缴款书复印件或银行电子缴费凭证复印件或社保管理部门出具的有效缴款证明复印件；依法不需要缴纳社会保障资金的投标人，应提供相应文件证明其不需要缴纳社会保障资金；新成立企业尚未缴纳社保的，应出具情况证明。</w:t>
            </w:r>
          </w:p>
        </w:tc>
      </w:tr>
      <w:tr w14:paraId="79CF8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1582" w:type="dxa"/>
            <w:vMerge w:val="continue"/>
            <w:vAlign w:val="center"/>
          </w:tcPr>
          <w:p w14:paraId="7CD0B736">
            <w:pPr>
              <w:autoSpaceDE w:val="0"/>
              <w:autoSpaceDN w:val="0"/>
              <w:snapToGrid w:val="0"/>
              <w:spacing w:line="400" w:lineRule="exact"/>
              <w:textAlignment w:val="bottom"/>
              <w:rPr>
                <w:rFonts w:hint="eastAsia" w:ascii="宋体" w:hAnsi="宋体"/>
                <w:b/>
                <w:color w:val="auto"/>
                <w:szCs w:val="21"/>
                <w:highlight w:val="none"/>
                <w:u w:val="single"/>
              </w:rPr>
            </w:pPr>
          </w:p>
        </w:tc>
        <w:tc>
          <w:tcPr>
            <w:tcW w:w="2693" w:type="dxa"/>
            <w:vMerge w:val="continue"/>
            <w:vAlign w:val="center"/>
          </w:tcPr>
          <w:p w14:paraId="6A5EB1E0">
            <w:pPr>
              <w:autoSpaceDE w:val="0"/>
              <w:autoSpaceDN w:val="0"/>
              <w:snapToGrid w:val="0"/>
              <w:spacing w:line="400" w:lineRule="exact"/>
              <w:textAlignment w:val="bottom"/>
              <w:rPr>
                <w:rFonts w:hint="eastAsia" w:ascii="宋体" w:hAnsi="宋体"/>
                <w:b/>
                <w:color w:val="auto"/>
                <w:szCs w:val="21"/>
                <w:highlight w:val="none"/>
                <w:u w:val="single"/>
              </w:rPr>
            </w:pPr>
          </w:p>
        </w:tc>
        <w:tc>
          <w:tcPr>
            <w:tcW w:w="5406" w:type="dxa"/>
            <w:vAlign w:val="center"/>
          </w:tcPr>
          <w:p w14:paraId="78113E94">
            <w:pPr>
              <w:autoSpaceDE w:val="0"/>
              <w:autoSpaceDN w:val="0"/>
              <w:snapToGrid w:val="0"/>
              <w:spacing w:line="400" w:lineRule="exact"/>
              <w:textAlignment w:val="bottom"/>
              <w:rPr>
                <w:rFonts w:hint="eastAsia" w:ascii="宋体" w:hAnsi="宋体"/>
                <w:b/>
                <w:color w:val="auto"/>
                <w:szCs w:val="21"/>
                <w:highlight w:val="none"/>
              </w:rPr>
            </w:pPr>
            <w:r>
              <w:rPr>
                <w:rFonts w:hint="eastAsia" w:ascii="宋体" w:hAnsi="宋体"/>
                <w:b/>
                <w:color w:val="auto"/>
                <w:szCs w:val="21"/>
                <w:highlight w:val="none"/>
              </w:rPr>
              <w:t>4、投标人应提供202</w:t>
            </w:r>
            <w:r>
              <w:rPr>
                <w:rFonts w:hint="eastAsia" w:ascii="宋体" w:hAnsi="宋体"/>
                <w:b/>
                <w:color w:val="auto"/>
                <w:szCs w:val="21"/>
                <w:highlight w:val="none"/>
                <w:lang w:val="en-US" w:eastAsia="zh-CN"/>
              </w:rPr>
              <w:t>4</w:t>
            </w:r>
            <w:r>
              <w:rPr>
                <w:rFonts w:hint="eastAsia" w:ascii="宋体" w:hAnsi="宋体"/>
                <w:b/>
                <w:color w:val="auto"/>
                <w:szCs w:val="21"/>
                <w:highlight w:val="none"/>
              </w:rPr>
              <w:t>年至今任意一年度的财务状况报告复印件（包括但不限于资产负债表、现金流量表、利润表）或提供投标文件提交截止时间前三个月内基本开户银行出具的资信证明。</w:t>
            </w:r>
          </w:p>
          <w:p w14:paraId="34DFEDAD">
            <w:pPr>
              <w:autoSpaceDE w:val="0"/>
              <w:autoSpaceDN w:val="0"/>
              <w:snapToGrid w:val="0"/>
              <w:spacing w:line="400" w:lineRule="exact"/>
              <w:textAlignment w:val="bottom"/>
              <w:rPr>
                <w:rFonts w:hint="eastAsia" w:ascii="宋体" w:hAnsi="宋体"/>
                <w:b/>
                <w:color w:val="auto"/>
                <w:szCs w:val="21"/>
                <w:highlight w:val="none"/>
              </w:rPr>
            </w:pPr>
            <w:r>
              <w:rPr>
                <w:rFonts w:hint="eastAsia" w:ascii="宋体" w:hAnsi="宋体"/>
                <w:b/>
                <w:color w:val="auto"/>
                <w:szCs w:val="21"/>
                <w:highlight w:val="none"/>
              </w:rPr>
              <w:t>注：资信证明中未明确为基本开户银行的，需同时提供《基本存款账号信息》或《开户许可证》</w:t>
            </w:r>
          </w:p>
        </w:tc>
      </w:tr>
      <w:tr w14:paraId="3448A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1582" w:type="dxa"/>
            <w:vMerge w:val="continue"/>
            <w:vAlign w:val="center"/>
          </w:tcPr>
          <w:p w14:paraId="1694A460">
            <w:pPr>
              <w:autoSpaceDE w:val="0"/>
              <w:autoSpaceDN w:val="0"/>
              <w:snapToGrid w:val="0"/>
              <w:spacing w:line="400" w:lineRule="exact"/>
              <w:textAlignment w:val="bottom"/>
              <w:rPr>
                <w:rFonts w:hint="eastAsia" w:ascii="宋体" w:hAnsi="宋体"/>
                <w:b/>
                <w:color w:val="auto"/>
                <w:szCs w:val="21"/>
                <w:highlight w:val="none"/>
                <w:u w:val="single"/>
              </w:rPr>
            </w:pPr>
          </w:p>
        </w:tc>
        <w:tc>
          <w:tcPr>
            <w:tcW w:w="2693" w:type="dxa"/>
            <w:vMerge w:val="continue"/>
            <w:vAlign w:val="center"/>
          </w:tcPr>
          <w:p w14:paraId="0CB74658">
            <w:pPr>
              <w:autoSpaceDE w:val="0"/>
              <w:autoSpaceDN w:val="0"/>
              <w:snapToGrid w:val="0"/>
              <w:spacing w:line="400" w:lineRule="exact"/>
              <w:textAlignment w:val="bottom"/>
              <w:rPr>
                <w:rFonts w:hint="eastAsia" w:ascii="宋体" w:hAnsi="宋体"/>
                <w:b/>
                <w:color w:val="auto"/>
                <w:szCs w:val="21"/>
                <w:highlight w:val="none"/>
                <w:u w:val="single"/>
              </w:rPr>
            </w:pPr>
          </w:p>
        </w:tc>
        <w:tc>
          <w:tcPr>
            <w:tcW w:w="5406" w:type="dxa"/>
            <w:vAlign w:val="center"/>
          </w:tcPr>
          <w:p w14:paraId="7915A188">
            <w:pPr>
              <w:autoSpaceDE w:val="0"/>
              <w:autoSpaceDN w:val="0"/>
              <w:snapToGrid w:val="0"/>
              <w:spacing w:line="400" w:lineRule="exact"/>
              <w:textAlignment w:val="bottom"/>
              <w:rPr>
                <w:rFonts w:hint="eastAsia" w:ascii="宋体" w:hAnsi="宋体"/>
                <w:b/>
                <w:color w:val="auto"/>
                <w:szCs w:val="21"/>
                <w:highlight w:val="none"/>
              </w:rPr>
            </w:pPr>
            <w:r>
              <w:rPr>
                <w:rFonts w:hint="eastAsia" w:ascii="宋体" w:hAnsi="宋体"/>
                <w:b/>
                <w:color w:val="auto"/>
                <w:szCs w:val="21"/>
                <w:highlight w:val="none"/>
              </w:rPr>
              <w:t>5、投标人书面声明原件。</w:t>
            </w:r>
          </w:p>
        </w:tc>
      </w:tr>
      <w:tr w14:paraId="5BB13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29EEA7F4">
            <w:pPr>
              <w:pStyle w:val="16"/>
              <w:spacing w:line="276" w:lineRule="auto"/>
              <w:jc w:val="center"/>
              <w:rPr>
                <w:rFonts w:hint="eastAsia" w:hAnsi="宋体" w:cs="宋体"/>
                <w:color w:val="auto"/>
                <w:szCs w:val="21"/>
                <w:highlight w:val="none"/>
              </w:rPr>
            </w:pPr>
            <w:r>
              <w:rPr>
                <w:rFonts w:hint="eastAsia" w:hAnsi="宋体" w:cs="宋体"/>
                <w:color w:val="auto"/>
                <w:szCs w:val="21"/>
                <w:highlight w:val="none"/>
              </w:rPr>
              <w:t>13.1</w:t>
            </w:r>
          </w:p>
        </w:tc>
        <w:tc>
          <w:tcPr>
            <w:tcW w:w="2693" w:type="dxa"/>
            <w:vAlign w:val="center"/>
          </w:tcPr>
          <w:p w14:paraId="66D19F84">
            <w:pPr>
              <w:pStyle w:val="16"/>
              <w:spacing w:line="276" w:lineRule="auto"/>
              <w:rPr>
                <w:rFonts w:hint="eastAsia" w:hAnsi="宋体" w:cs="宋体"/>
                <w:bCs/>
                <w:color w:val="auto"/>
                <w:szCs w:val="21"/>
                <w:highlight w:val="none"/>
              </w:rPr>
            </w:pPr>
            <w:r>
              <w:rPr>
                <w:rFonts w:hint="eastAsia" w:hAnsi="宋体" w:cs="宋体"/>
                <w:bCs/>
                <w:color w:val="auto"/>
                <w:szCs w:val="21"/>
                <w:highlight w:val="none"/>
              </w:rPr>
              <w:t>构成投标文件的其他资料</w:t>
            </w:r>
          </w:p>
        </w:tc>
        <w:tc>
          <w:tcPr>
            <w:tcW w:w="5406" w:type="dxa"/>
            <w:vAlign w:val="center"/>
          </w:tcPr>
          <w:p w14:paraId="472376C7">
            <w:pPr>
              <w:autoSpaceDE w:val="0"/>
              <w:autoSpaceDN w:val="0"/>
              <w:snapToGrid w:val="0"/>
              <w:spacing w:line="400" w:lineRule="exact"/>
              <w:textAlignment w:val="bottom"/>
              <w:rPr>
                <w:rFonts w:hint="eastAsia" w:ascii="宋体" w:hAnsi="宋体" w:cs="宋体"/>
                <w:bCs/>
                <w:color w:val="auto"/>
                <w:szCs w:val="21"/>
                <w:highlight w:val="none"/>
              </w:rPr>
            </w:pPr>
            <w:r>
              <w:rPr>
                <w:rFonts w:hint="eastAsia" w:ascii="宋体" w:hAnsi="宋体" w:cs="宋体"/>
                <w:bCs/>
                <w:color w:val="auto"/>
                <w:szCs w:val="21"/>
                <w:highlight w:val="none"/>
              </w:rPr>
              <w:t>1、</w:t>
            </w:r>
            <w:r>
              <w:rPr>
                <w:rFonts w:hint="eastAsia" w:ascii="宋体" w:hAnsi="宋体" w:cs="宋体"/>
                <w:color w:val="auto"/>
                <w:spacing w:val="6"/>
                <w:szCs w:val="21"/>
                <w:highlight w:val="none"/>
              </w:rPr>
              <w:t>中小企业声明函、残疾人福利性单位声明函、监狱企业证明文件、聘用建档立卡贫困人员企业证明文件（如是）；</w:t>
            </w:r>
          </w:p>
          <w:p w14:paraId="79EB4369">
            <w:pPr>
              <w:autoSpaceDE w:val="0"/>
              <w:autoSpaceDN w:val="0"/>
              <w:snapToGrid w:val="0"/>
              <w:spacing w:line="400" w:lineRule="exact"/>
              <w:textAlignment w:val="bottom"/>
              <w:rPr>
                <w:rFonts w:hint="eastAsia" w:ascii="宋体" w:hAnsi="宋体" w:cs="宋体"/>
                <w:bCs/>
                <w:color w:val="auto"/>
                <w:szCs w:val="21"/>
                <w:highlight w:val="none"/>
              </w:rPr>
            </w:pPr>
            <w:r>
              <w:rPr>
                <w:rFonts w:hint="eastAsia" w:ascii="宋体" w:hAnsi="宋体" w:cs="宋体"/>
                <w:bCs/>
                <w:color w:val="auto"/>
                <w:szCs w:val="21"/>
                <w:highlight w:val="none"/>
              </w:rPr>
              <w:t>2、第五章“服务需求”中要求提供的其他资料；</w:t>
            </w:r>
          </w:p>
          <w:p w14:paraId="0DF14F33">
            <w:pPr>
              <w:autoSpaceDE w:val="0"/>
              <w:autoSpaceDN w:val="0"/>
              <w:snapToGrid w:val="0"/>
              <w:spacing w:line="400" w:lineRule="exact"/>
              <w:textAlignment w:val="bottom"/>
              <w:rPr>
                <w:rFonts w:hint="eastAsia" w:ascii="宋体" w:hAnsi="宋体" w:cs="宋体"/>
                <w:b/>
                <w:bCs/>
                <w:color w:val="auto"/>
                <w:szCs w:val="21"/>
                <w:highlight w:val="none"/>
                <w:u w:val="single"/>
              </w:rPr>
            </w:pPr>
            <w:r>
              <w:rPr>
                <w:rFonts w:hint="eastAsia" w:ascii="宋体" w:hAnsi="宋体" w:cs="宋体"/>
                <w:bCs/>
                <w:color w:val="auto"/>
                <w:szCs w:val="21"/>
                <w:highlight w:val="none"/>
              </w:rPr>
              <w:t>3、招标文件中所涉及到的相关资料及证明文件或投标人认为必须提供的其他相关资料。</w:t>
            </w:r>
          </w:p>
        </w:tc>
      </w:tr>
      <w:tr w14:paraId="661F0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32402C9A">
            <w:pPr>
              <w:pStyle w:val="16"/>
              <w:spacing w:line="276" w:lineRule="auto"/>
              <w:jc w:val="center"/>
              <w:rPr>
                <w:rFonts w:hint="eastAsia" w:hAnsi="宋体" w:cs="宋体"/>
                <w:color w:val="auto"/>
                <w:szCs w:val="21"/>
                <w:highlight w:val="none"/>
              </w:rPr>
            </w:pPr>
            <w:r>
              <w:rPr>
                <w:rFonts w:hint="eastAsia" w:hAnsi="宋体" w:cs="宋体"/>
                <w:color w:val="auto"/>
                <w:szCs w:val="21"/>
                <w:highlight w:val="none"/>
              </w:rPr>
              <w:t>17.1</w:t>
            </w:r>
          </w:p>
        </w:tc>
        <w:tc>
          <w:tcPr>
            <w:tcW w:w="2693" w:type="dxa"/>
            <w:vAlign w:val="center"/>
          </w:tcPr>
          <w:p w14:paraId="521F276F">
            <w:pPr>
              <w:pStyle w:val="16"/>
              <w:spacing w:line="276" w:lineRule="auto"/>
              <w:rPr>
                <w:rFonts w:hint="eastAsia" w:hAnsi="宋体" w:cs="宋体"/>
                <w:color w:val="auto"/>
                <w:szCs w:val="21"/>
                <w:highlight w:val="none"/>
              </w:rPr>
            </w:pPr>
            <w:r>
              <w:rPr>
                <w:rFonts w:hint="eastAsia" w:hAnsi="宋体" w:cs="宋体"/>
                <w:color w:val="auto"/>
                <w:szCs w:val="21"/>
                <w:highlight w:val="none"/>
              </w:rPr>
              <w:t>投标有效期</w:t>
            </w:r>
          </w:p>
        </w:tc>
        <w:tc>
          <w:tcPr>
            <w:tcW w:w="5406" w:type="dxa"/>
            <w:vAlign w:val="center"/>
          </w:tcPr>
          <w:p w14:paraId="60B8B2A6">
            <w:pPr>
              <w:pStyle w:val="16"/>
              <w:spacing w:line="276" w:lineRule="auto"/>
              <w:rPr>
                <w:rFonts w:hint="eastAsia" w:hAnsi="宋体" w:cs="宋体"/>
                <w:color w:val="auto"/>
                <w:szCs w:val="21"/>
                <w:highlight w:val="none"/>
              </w:rPr>
            </w:pPr>
            <w:r>
              <w:rPr>
                <w:rFonts w:hint="eastAsia" w:hAnsi="宋体" w:cs="宋体"/>
                <w:color w:val="auto"/>
                <w:szCs w:val="21"/>
                <w:highlight w:val="none"/>
              </w:rPr>
              <w:t>90天</w:t>
            </w:r>
          </w:p>
        </w:tc>
      </w:tr>
      <w:tr w14:paraId="47AF7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1582" w:type="dxa"/>
            <w:vAlign w:val="center"/>
          </w:tcPr>
          <w:p w14:paraId="0133ED50">
            <w:pPr>
              <w:pStyle w:val="16"/>
              <w:spacing w:line="276" w:lineRule="auto"/>
              <w:jc w:val="center"/>
              <w:rPr>
                <w:rFonts w:hint="eastAsia" w:hAnsi="宋体" w:cs="宋体"/>
                <w:color w:val="auto"/>
                <w:szCs w:val="21"/>
                <w:highlight w:val="none"/>
              </w:rPr>
            </w:pPr>
            <w:r>
              <w:rPr>
                <w:rFonts w:hint="eastAsia" w:hAnsi="宋体" w:cs="宋体"/>
                <w:color w:val="auto"/>
                <w:szCs w:val="21"/>
                <w:highlight w:val="none"/>
              </w:rPr>
              <w:t>20.1</w:t>
            </w:r>
          </w:p>
        </w:tc>
        <w:tc>
          <w:tcPr>
            <w:tcW w:w="2693" w:type="dxa"/>
            <w:vAlign w:val="center"/>
          </w:tcPr>
          <w:p w14:paraId="22530F8A">
            <w:pPr>
              <w:pStyle w:val="16"/>
              <w:spacing w:line="276" w:lineRule="auto"/>
              <w:rPr>
                <w:rFonts w:hint="eastAsia" w:hAnsi="宋体" w:cs="宋体"/>
                <w:color w:val="auto"/>
                <w:szCs w:val="21"/>
                <w:highlight w:val="none"/>
              </w:rPr>
            </w:pPr>
            <w:r>
              <w:rPr>
                <w:rFonts w:hint="eastAsia" w:hAnsi="宋体" w:cs="宋体"/>
                <w:color w:val="auto"/>
                <w:szCs w:val="21"/>
                <w:highlight w:val="none"/>
              </w:rPr>
              <w:t>开标时间和地点</w:t>
            </w:r>
          </w:p>
        </w:tc>
        <w:tc>
          <w:tcPr>
            <w:tcW w:w="5406" w:type="dxa"/>
            <w:vAlign w:val="center"/>
          </w:tcPr>
          <w:p w14:paraId="0E53E4D7">
            <w:pPr>
              <w:pStyle w:val="16"/>
              <w:spacing w:line="276" w:lineRule="auto"/>
              <w:rPr>
                <w:rFonts w:hint="eastAsia" w:hAnsi="宋体" w:cs="宋体"/>
                <w:color w:val="auto"/>
                <w:szCs w:val="21"/>
                <w:highlight w:val="none"/>
                <w:u w:val="single"/>
              </w:rPr>
            </w:pPr>
            <w:r>
              <w:rPr>
                <w:rFonts w:hint="eastAsia" w:hAnsi="宋体" w:cs="宋体"/>
                <w:color w:val="auto"/>
                <w:szCs w:val="21"/>
                <w:highlight w:val="none"/>
              </w:rPr>
              <w:t>开标时间：</w:t>
            </w:r>
            <w:r>
              <w:rPr>
                <w:rFonts w:hint="eastAsia" w:hAnsi="宋体" w:cs="宋体"/>
                <w:color w:val="auto"/>
                <w:szCs w:val="21"/>
                <w:highlight w:val="none"/>
                <w:u w:val="single"/>
              </w:rPr>
              <w:t>2026</w:t>
            </w:r>
            <w:r>
              <w:rPr>
                <w:rFonts w:hint="eastAsia" w:hAnsi="宋体" w:cs="宋体"/>
                <w:color w:val="auto"/>
                <w:szCs w:val="21"/>
                <w:highlight w:val="none"/>
              </w:rPr>
              <w:t>年</w:t>
            </w:r>
            <w:r>
              <w:rPr>
                <w:rFonts w:hint="eastAsia" w:hAnsi="宋体" w:cs="宋体"/>
                <w:color w:val="auto"/>
                <w:szCs w:val="21"/>
                <w:highlight w:val="none"/>
                <w:u w:val="single"/>
                <w:lang w:val="en-US" w:eastAsia="zh-CN"/>
              </w:rPr>
              <w:t xml:space="preserve"> 6</w:t>
            </w:r>
            <w:r>
              <w:rPr>
                <w:rFonts w:hint="eastAsia" w:hAnsi="宋体" w:cs="宋体"/>
                <w:color w:val="auto"/>
                <w:szCs w:val="21"/>
                <w:highlight w:val="none"/>
                <w:u w:val="single"/>
              </w:rPr>
              <w:t xml:space="preserve"> </w:t>
            </w:r>
            <w:r>
              <w:rPr>
                <w:rFonts w:hint="eastAsia" w:hAnsi="宋体" w:cs="宋体"/>
                <w:color w:val="auto"/>
                <w:szCs w:val="21"/>
                <w:highlight w:val="none"/>
              </w:rPr>
              <w:t>月</w:t>
            </w:r>
            <w:r>
              <w:rPr>
                <w:rFonts w:hint="eastAsia" w:hAnsi="宋体" w:cs="宋体"/>
                <w:color w:val="auto"/>
                <w:szCs w:val="21"/>
                <w:highlight w:val="none"/>
                <w:u w:val="single"/>
              </w:rPr>
              <w:t xml:space="preserve"> </w:t>
            </w:r>
            <w:r>
              <w:rPr>
                <w:rFonts w:hint="eastAsia" w:hAnsi="宋体" w:cs="宋体"/>
                <w:color w:val="auto"/>
                <w:szCs w:val="21"/>
                <w:highlight w:val="none"/>
                <w:u w:val="single"/>
                <w:lang w:val="en-US" w:eastAsia="zh-CN"/>
              </w:rPr>
              <w:t xml:space="preserve">11 </w:t>
            </w:r>
            <w:r>
              <w:rPr>
                <w:rFonts w:hint="eastAsia" w:hAnsi="宋体" w:cs="宋体"/>
                <w:color w:val="auto"/>
                <w:szCs w:val="21"/>
                <w:highlight w:val="none"/>
              </w:rPr>
              <w:t>日</w:t>
            </w:r>
            <w:r>
              <w:rPr>
                <w:rFonts w:hint="eastAsia" w:hAnsi="宋体" w:cs="宋体"/>
                <w:color w:val="auto"/>
                <w:szCs w:val="21"/>
                <w:highlight w:val="none"/>
                <w:u w:val="single"/>
              </w:rPr>
              <w:t xml:space="preserve">09 </w:t>
            </w:r>
            <w:r>
              <w:rPr>
                <w:rFonts w:hint="eastAsia" w:hAnsi="宋体" w:cs="宋体"/>
                <w:color w:val="auto"/>
                <w:szCs w:val="21"/>
                <w:highlight w:val="none"/>
              </w:rPr>
              <w:t>时</w:t>
            </w:r>
            <w:r>
              <w:rPr>
                <w:rFonts w:hint="eastAsia" w:hAnsi="宋体" w:cs="宋体"/>
                <w:color w:val="auto"/>
                <w:szCs w:val="21"/>
                <w:highlight w:val="none"/>
                <w:u w:val="single"/>
              </w:rPr>
              <w:t>00</w:t>
            </w:r>
            <w:r>
              <w:rPr>
                <w:rFonts w:hint="eastAsia" w:hAnsi="宋体" w:cs="宋体"/>
                <w:color w:val="auto"/>
                <w:szCs w:val="21"/>
                <w:highlight w:val="none"/>
              </w:rPr>
              <w:t xml:space="preserve"> 分</w:t>
            </w:r>
          </w:p>
          <w:p w14:paraId="13CEF8FF">
            <w:pPr>
              <w:pStyle w:val="16"/>
              <w:spacing w:line="276" w:lineRule="auto"/>
              <w:rPr>
                <w:rFonts w:hint="eastAsia" w:hAnsi="宋体" w:cs="宋体"/>
                <w:color w:val="auto"/>
                <w:szCs w:val="21"/>
                <w:highlight w:val="none"/>
              </w:rPr>
            </w:pPr>
            <w:r>
              <w:rPr>
                <w:rFonts w:hint="eastAsia" w:hAnsi="宋体" w:cs="宋体"/>
                <w:color w:val="auto"/>
                <w:szCs w:val="21"/>
                <w:highlight w:val="none"/>
              </w:rPr>
              <w:t>开标地点：昆明高新区科发路269号（科发路与科高路交叉口）交易大厦</w:t>
            </w:r>
            <w:r>
              <w:rPr>
                <w:rFonts w:hint="eastAsia" w:hAnsi="宋体" w:cs="宋体"/>
                <w:color w:val="auto"/>
                <w:szCs w:val="21"/>
                <w:highlight w:val="none"/>
                <w:u w:val="single"/>
              </w:rPr>
              <w:t>4楼政采开标厅</w:t>
            </w:r>
            <w:r>
              <w:rPr>
                <w:rFonts w:hint="eastAsia" w:hAnsi="宋体" w:cs="宋体"/>
                <w:color w:val="auto"/>
                <w:szCs w:val="21"/>
                <w:highlight w:val="none"/>
              </w:rPr>
              <w:t>（投标人不须到现场）</w:t>
            </w:r>
          </w:p>
        </w:tc>
      </w:tr>
      <w:tr w14:paraId="61A0C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3280D600">
            <w:pPr>
              <w:pStyle w:val="16"/>
              <w:spacing w:line="276" w:lineRule="auto"/>
              <w:jc w:val="center"/>
              <w:rPr>
                <w:rFonts w:hint="eastAsia" w:hAnsi="宋体" w:cs="宋体"/>
                <w:color w:val="auto"/>
                <w:szCs w:val="21"/>
                <w:highlight w:val="none"/>
              </w:rPr>
            </w:pPr>
            <w:r>
              <w:rPr>
                <w:rFonts w:hint="eastAsia" w:hAnsi="宋体" w:cs="宋体"/>
                <w:color w:val="auto"/>
                <w:szCs w:val="21"/>
                <w:highlight w:val="none"/>
              </w:rPr>
              <w:t>22.3</w:t>
            </w:r>
          </w:p>
        </w:tc>
        <w:tc>
          <w:tcPr>
            <w:tcW w:w="2693" w:type="dxa"/>
            <w:vAlign w:val="center"/>
          </w:tcPr>
          <w:p w14:paraId="05E25B00">
            <w:pPr>
              <w:pStyle w:val="16"/>
              <w:spacing w:line="276" w:lineRule="auto"/>
              <w:rPr>
                <w:rFonts w:hint="eastAsia" w:hAnsi="宋体" w:cs="宋体"/>
                <w:color w:val="auto"/>
                <w:szCs w:val="21"/>
                <w:highlight w:val="none"/>
              </w:rPr>
            </w:pPr>
            <w:r>
              <w:rPr>
                <w:rFonts w:hint="eastAsia" w:hAnsi="宋体" w:cs="宋体"/>
                <w:color w:val="auto"/>
                <w:szCs w:val="21"/>
                <w:highlight w:val="none"/>
              </w:rPr>
              <w:t>评标办法</w:t>
            </w:r>
          </w:p>
        </w:tc>
        <w:tc>
          <w:tcPr>
            <w:tcW w:w="5406" w:type="dxa"/>
            <w:vAlign w:val="center"/>
          </w:tcPr>
          <w:p w14:paraId="7B673D6F">
            <w:pPr>
              <w:pStyle w:val="16"/>
              <w:spacing w:line="276" w:lineRule="auto"/>
              <w:rPr>
                <w:rFonts w:hint="eastAsia" w:hAnsi="宋体" w:cs="宋体"/>
                <w:color w:val="auto"/>
                <w:szCs w:val="21"/>
                <w:highlight w:val="none"/>
              </w:rPr>
            </w:pPr>
            <w:r>
              <w:rPr>
                <w:rFonts w:hint="eastAsia" w:hAnsi="宋体" w:cs="宋体"/>
                <w:color w:val="auto"/>
                <w:szCs w:val="21"/>
                <w:highlight w:val="none"/>
              </w:rPr>
              <w:t>□最低评标价法</w:t>
            </w:r>
          </w:p>
          <w:p w14:paraId="474BCB46">
            <w:pPr>
              <w:pStyle w:val="16"/>
              <w:spacing w:line="276" w:lineRule="auto"/>
              <w:rPr>
                <w:rFonts w:hint="eastAsia" w:hAnsi="宋体" w:cs="宋体"/>
                <w:color w:val="auto"/>
                <w:szCs w:val="21"/>
                <w:highlight w:val="none"/>
              </w:rPr>
            </w:pPr>
            <w:r>
              <w:rPr>
                <w:rFonts w:hint="eastAsia" w:hAnsi="宋体" w:cs="宋体"/>
                <w:b/>
                <w:color w:val="auto"/>
                <w:sz w:val="24"/>
                <w:highlight w:val="none"/>
              </w:rPr>
              <w:fldChar w:fldCharType="begin"/>
            </w:r>
            <w:r>
              <w:rPr>
                <w:rFonts w:hint="eastAsia" w:hAnsi="宋体" w:cs="宋体"/>
                <w:b/>
                <w:color w:val="auto"/>
                <w:sz w:val="24"/>
                <w:highlight w:val="none"/>
              </w:rPr>
              <w:instrText xml:space="preserve"> EQ \o(□,√)</w:instrText>
            </w:r>
            <w:r>
              <w:rPr>
                <w:rFonts w:hint="eastAsia" w:hAnsi="宋体" w:cs="宋体"/>
                <w:b/>
                <w:color w:val="auto"/>
                <w:sz w:val="24"/>
                <w:highlight w:val="none"/>
              </w:rPr>
              <w:fldChar w:fldCharType="end"/>
            </w:r>
            <w:r>
              <w:rPr>
                <w:rFonts w:hint="eastAsia" w:hAnsi="宋体" w:cs="宋体"/>
                <w:color w:val="auto"/>
                <w:szCs w:val="21"/>
                <w:highlight w:val="none"/>
              </w:rPr>
              <w:t>综合评分法</w:t>
            </w:r>
          </w:p>
        </w:tc>
      </w:tr>
      <w:tr w14:paraId="14516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7CE0D423">
            <w:pPr>
              <w:pStyle w:val="16"/>
              <w:spacing w:line="276" w:lineRule="auto"/>
              <w:jc w:val="center"/>
              <w:rPr>
                <w:rFonts w:hint="eastAsia" w:hAnsi="宋体" w:cs="宋体"/>
                <w:color w:val="auto"/>
                <w:szCs w:val="21"/>
                <w:highlight w:val="none"/>
              </w:rPr>
            </w:pPr>
            <w:r>
              <w:rPr>
                <w:rFonts w:hint="eastAsia" w:hAnsi="宋体" w:cs="宋体"/>
                <w:color w:val="auto"/>
                <w:szCs w:val="21"/>
                <w:highlight w:val="none"/>
              </w:rPr>
              <w:t>30.1</w:t>
            </w:r>
          </w:p>
        </w:tc>
        <w:tc>
          <w:tcPr>
            <w:tcW w:w="2693" w:type="dxa"/>
            <w:vAlign w:val="center"/>
          </w:tcPr>
          <w:p w14:paraId="079C5C6E">
            <w:pPr>
              <w:pStyle w:val="16"/>
              <w:spacing w:line="276" w:lineRule="auto"/>
              <w:rPr>
                <w:rFonts w:hint="eastAsia" w:hAnsi="宋体" w:cs="宋体"/>
                <w:color w:val="auto"/>
                <w:szCs w:val="21"/>
                <w:highlight w:val="none"/>
              </w:rPr>
            </w:pPr>
            <w:r>
              <w:rPr>
                <w:rFonts w:hint="eastAsia" w:hAnsi="宋体" w:cs="宋体"/>
                <w:bCs/>
                <w:color w:val="auto"/>
                <w:szCs w:val="21"/>
                <w:highlight w:val="none"/>
              </w:rPr>
              <w:t>履约保证金</w:t>
            </w:r>
            <w:r>
              <w:rPr>
                <w:rFonts w:hint="eastAsia" w:hAnsi="宋体" w:cs="宋体"/>
                <w:color w:val="auto"/>
                <w:szCs w:val="21"/>
                <w:highlight w:val="none"/>
              </w:rPr>
              <w:t>金额</w:t>
            </w:r>
          </w:p>
        </w:tc>
        <w:tc>
          <w:tcPr>
            <w:tcW w:w="5406" w:type="dxa"/>
            <w:vAlign w:val="center"/>
          </w:tcPr>
          <w:p w14:paraId="175F9F84">
            <w:pPr>
              <w:pStyle w:val="11"/>
              <w:rPr>
                <w:rFonts w:hint="eastAsia" w:hAnsi="宋体" w:eastAsia="宋体" w:cs="宋体"/>
                <w:color w:val="auto"/>
                <w:szCs w:val="21"/>
                <w:highlight w:val="none"/>
                <w:lang w:val="en-US" w:eastAsia="zh-CN"/>
              </w:rPr>
            </w:pPr>
            <w:r>
              <w:rPr>
                <w:rFonts w:hint="eastAsia" w:hAnsi="宋体" w:cs="宋体"/>
                <w:color w:val="auto"/>
                <w:szCs w:val="21"/>
                <w:highlight w:val="none"/>
                <w:lang w:val="en-US" w:eastAsia="zh-CN"/>
              </w:rPr>
              <w:t>无</w:t>
            </w:r>
          </w:p>
        </w:tc>
      </w:tr>
      <w:tr w14:paraId="51F16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582" w:type="dxa"/>
            <w:vAlign w:val="center"/>
          </w:tcPr>
          <w:p w14:paraId="3A42C97D">
            <w:pPr>
              <w:pStyle w:val="16"/>
              <w:spacing w:line="276" w:lineRule="auto"/>
              <w:jc w:val="center"/>
              <w:rPr>
                <w:rFonts w:hint="eastAsia" w:hAnsi="宋体" w:cs="宋体"/>
                <w:color w:val="auto"/>
                <w:szCs w:val="21"/>
                <w:highlight w:val="none"/>
              </w:rPr>
            </w:pPr>
            <w:r>
              <w:rPr>
                <w:rFonts w:hint="eastAsia" w:hAnsi="宋体" w:cs="宋体"/>
                <w:color w:val="auto"/>
                <w:szCs w:val="21"/>
                <w:highlight w:val="none"/>
              </w:rPr>
              <w:t>30.3</w:t>
            </w:r>
          </w:p>
        </w:tc>
        <w:tc>
          <w:tcPr>
            <w:tcW w:w="2693" w:type="dxa"/>
            <w:vAlign w:val="center"/>
          </w:tcPr>
          <w:p w14:paraId="3ADE9973">
            <w:pPr>
              <w:pStyle w:val="16"/>
              <w:spacing w:line="276" w:lineRule="auto"/>
              <w:rPr>
                <w:rFonts w:hint="eastAsia" w:hAnsi="宋体" w:cs="宋体"/>
                <w:color w:val="auto"/>
                <w:szCs w:val="21"/>
                <w:highlight w:val="none"/>
              </w:rPr>
            </w:pPr>
            <w:r>
              <w:rPr>
                <w:rFonts w:hint="eastAsia" w:hAnsi="宋体" w:cs="宋体"/>
                <w:color w:val="auto"/>
                <w:szCs w:val="21"/>
                <w:highlight w:val="none"/>
              </w:rPr>
              <w:t>履约保证金退还时间</w:t>
            </w:r>
          </w:p>
        </w:tc>
        <w:tc>
          <w:tcPr>
            <w:tcW w:w="5406" w:type="dxa"/>
            <w:vAlign w:val="center"/>
          </w:tcPr>
          <w:p w14:paraId="31DE1B99">
            <w:pPr>
              <w:pStyle w:val="16"/>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无</w:t>
            </w:r>
          </w:p>
        </w:tc>
      </w:tr>
      <w:tr w14:paraId="7B979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582" w:type="dxa"/>
            <w:vAlign w:val="center"/>
          </w:tcPr>
          <w:p w14:paraId="001CEF5B">
            <w:pPr>
              <w:pStyle w:val="16"/>
              <w:spacing w:line="276" w:lineRule="auto"/>
              <w:jc w:val="center"/>
              <w:rPr>
                <w:rFonts w:hint="eastAsia" w:hAnsi="宋体" w:cs="宋体"/>
                <w:color w:val="auto"/>
                <w:szCs w:val="21"/>
                <w:highlight w:val="none"/>
              </w:rPr>
            </w:pPr>
            <w:r>
              <w:rPr>
                <w:rFonts w:hint="eastAsia" w:hAnsi="宋体" w:cs="宋体"/>
                <w:color w:val="auto"/>
                <w:szCs w:val="21"/>
                <w:highlight w:val="none"/>
              </w:rPr>
              <w:t>31</w:t>
            </w:r>
          </w:p>
        </w:tc>
        <w:tc>
          <w:tcPr>
            <w:tcW w:w="2693" w:type="dxa"/>
            <w:vAlign w:val="center"/>
          </w:tcPr>
          <w:p w14:paraId="02D4EF9B">
            <w:pPr>
              <w:pStyle w:val="16"/>
              <w:spacing w:line="276" w:lineRule="auto"/>
              <w:rPr>
                <w:rFonts w:hint="eastAsia" w:hAnsi="宋体" w:cs="宋体"/>
                <w:color w:val="auto"/>
                <w:szCs w:val="21"/>
                <w:highlight w:val="none"/>
              </w:rPr>
            </w:pPr>
            <w:r>
              <w:rPr>
                <w:rFonts w:hint="eastAsia" w:hAnsi="宋体" w:cs="宋体"/>
                <w:color w:val="auto"/>
                <w:szCs w:val="21"/>
                <w:highlight w:val="none"/>
              </w:rPr>
              <w:t>采购代理服务费</w:t>
            </w:r>
          </w:p>
        </w:tc>
        <w:tc>
          <w:tcPr>
            <w:tcW w:w="5406" w:type="dxa"/>
            <w:vAlign w:val="center"/>
          </w:tcPr>
          <w:p w14:paraId="56D1A0D2">
            <w:pPr>
              <w:pStyle w:val="16"/>
              <w:rPr>
                <w:rFonts w:hint="eastAsia" w:hAnsi="宋体" w:cs="宋体"/>
                <w:color w:val="auto"/>
                <w:szCs w:val="21"/>
                <w:highlight w:val="none"/>
              </w:rPr>
            </w:pPr>
            <w:r>
              <w:rPr>
                <w:rFonts w:hint="eastAsia" w:hAnsi="宋体" w:cs="宋体"/>
                <w:color w:val="auto"/>
                <w:szCs w:val="21"/>
                <w:highlight w:val="none"/>
              </w:rPr>
              <w:t>无。</w:t>
            </w:r>
          </w:p>
        </w:tc>
      </w:tr>
    </w:tbl>
    <w:p w14:paraId="6A458EFD">
      <w:pPr>
        <w:pStyle w:val="3"/>
        <w:numPr>
          <w:ilvl w:val="0"/>
          <w:numId w:val="0"/>
        </w:numPr>
        <w:spacing w:before="0"/>
        <w:ind w:firstLine="3612" w:firstLineChars="1290"/>
        <w:rPr>
          <w:rFonts w:hint="eastAsia" w:ascii="宋体" w:hAnsi="宋体" w:eastAsia="宋体"/>
          <w:color w:val="auto"/>
          <w:szCs w:val="28"/>
          <w:highlight w:val="none"/>
        </w:rPr>
      </w:pPr>
      <w:r>
        <w:rPr>
          <w:rFonts w:hint="eastAsia" w:ascii="宋体" w:hAnsi="宋体" w:eastAsia="宋体"/>
          <w:color w:val="auto"/>
          <w:highlight w:val="none"/>
        </w:rPr>
        <w:br w:type="page"/>
      </w:r>
      <w:bookmarkStart w:id="89" w:name="_Toc16507"/>
      <w:bookmarkStart w:id="90" w:name="_Toc32012"/>
      <w:bookmarkStart w:id="91" w:name="_Toc24844"/>
      <w:bookmarkStart w:id="92" w:name="_Toc10271"/>
      <w:r>
        <w:rPr>
          <w:rFonts w:hint="eastAsia" w:ascii="宋体" w:hAnsi="宋体" w:eastAsia="宋体"/>
          <w:color w:val="auto"/>
          <w:szCs w:val="28"/>
          <w:highlight w:val="none"/>
        </w:rPr>
        <w:t>一、总  则</w:t>
      </w:r>
      <w:bookmarkEnd w:id="89"/>
      <w:bookmarkEnd w:id="90"/>
      <w:bookmarkEnd w:id="91"/>
      <w:bookmarkEnd w:id="92"/>
    </w:p>
    <w:p w14:paraId="5CBC40A9">
      <w:pPr>
        <w:pStyle w:val="4"/>
        <w:numPr>
          <w:ilvl w:val="0"/>
          <w:numId w:val="2"/>
        </w:numPr>
        <w:spacing w:before="0"/>
        <w:rPr>
          <w:rFonts w:hint="eastAsia" w:ascii="宋体" w:hAnsi="宋体" w:eastAsia="宋体" w:cs="宋体"/>
          <w:color w:val="auto"/>
          <w:sz w:val="24"/>
          <w:szCs w:val="24"/>
          <w:highlight w:val="none"/>
        </w:rPr>
      </w:pPr>
      <w:bookmarkStart w:id="93" w:name="_Toc29316"/>
      <w:bookmarkStart w:id="94" w:name="_Toc31835"/>
      <w:bookmarkStart w:id="95" w:name="_Toc29748"/>
      <w:bookmarkStart w:id="96" w:name="_Toc7502"/>
      <w:r>
        <w:rPr>
          <w:rFonts w:hint="eastAsia" w:ascii="宋体" w:hAnsi="宋体" w:eastAsia="宋体" w:cs="宋体"/>
          <w:color w:val="auto"/>
          <w:sz w:val="24"/>
          <w:szCs w:val="24"/>
          <w:highlight w:val="none"/>
        </w:rPr>
        <w:t>项目概况</w:t>
      </w:r>
      <w:bookmarkEnd w:id="93"/>
      <w:bookmarkEnd w:id="94"/>
      <w:bookmarkEnd w:id="95"/>
      <w:bookmarkEnd w:id="96"/>
    </w:p>
    <w:p w14:paraId="2EE6CFF8">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1.1 根据《中华人民共和国政府采购法》、《中华人民共和国政府采购法实施条例》、《政府采购货物和服务招标投标管理办法》（财政部令第87号）等有关法律、法规和规章的规定，本招标项目已具备招标条件，现对本次服务采购进行招标。</w:t>
      </w:r>
    </w:p>
    <w:p w14:paraId="231A1F87">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 本项目采购人、采购代理机构、项目名称、招标编号、项目预算及最高限价：见“</w:t>
      </w:r>
      <w:r>
        <w:rPr>
          <w:rFonts w:hint="eastAsia" w:ascii="宋体" w:hAnsi="宋体" w:cs="宋体"/>
          <w:color w:val="auto"/>
          <w:kern w:val="0"/>
          <w:szCs w:val="21"/>
          <w:highlight w:val="none"/>
        </w:rPr>
        <w:t>投标人</w:t>
      </w:r>
      <w:r>
        <w:rPr>
          <w:rFonts w:hint="eastAsia" w:ascii="宋体" w:hAnsi="宋体" w:cs="宋体"/>
          <w:bCs/>
          <w:color w:val="auto"/>
          <w:szCs w:val="21"/>
          <w:highlight w:val="none"/>
        </w:rPr>
        <w:t>须知前附表</w:t>
      </w:r>
      <w:r>
        <w:rPr>
          <w:rFonts w:hint="eastAsia" w:ascii="宋体" w:hAnsi="宋体" w:cs="宋体"/>
          <w:color w:val="auto"/>
          <w:szCs w:val="21"/>
          <w:highlight w:val="none"/>
        </w:rPr>
        <w:t>”。</w:t>
      </w:r>
    </w:p>
    <w:p w14:paraId="2995F4E9">
      <w:pPr>
        <w:pStyle w:val="4"/>
        <w:numPr>
          <w:ilvl w:val="0"/>
          <w:numId w:val="2"/>
        </w:numPr>
        <w:spacing w:before="0"/>
        <w:rPr>
          <w:rFonts w:hint="eastAsia" w:ascii="宋体" w:hAnsi="宋体" w:eastAsia="宋体" w:cs="宋体"/>
          <w:color w:val="auto"/>
          <w:sz w:val="24"/>
          <w:szCs w:val="24"/>
          <w:highlight w:val="none"/>
        </w:rPr>
      </w:pPr>
      <w:bookmarkStart w:id="97" w:name="_Toc16838"/>
      <w:bookmarkStart w:id="98" w:name="_Toc22608"/>
      <w:bookmarkStart w:id="99" w:name="_Toc23066"/>
      <w:bookmarkStart w:id="100" w:name="_Toc1802"/>
      <w:bookmarkStart w:id="101" w:name="_Toc468805854"/>
      <w:r>
        <w:rPr>
          <w:rFonts w:hint="eastAsia" w:ascii="宋体" w:hAnsi="宋体" w:eastAsia="宋体" w:cs="宋体"/>
          <w:color w:val="auto"/>
          <w:sz w:val="24"/>
          <w:szCs w:val="24"/>
          <w:highlight w:val="none"/>
        </w:rPr>
        <w:t>资金来源</w:t>
      </w:r>
      <w:bookmarkEnd w:id="97"/>
      <w:bookmarkEnd w:id="98"/>
      <w:bookmarkEnd w:id="99"/>
      <w:bookmarkEnd w:id="100"/>
    </w:p>
    <w:p w14:paraId="68D39611">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2.1 “</w:t>
      </w:r>
      <w:r>
        <w:rPr>
          <w:rFonts w:hint="eastAsia" w:ascii="宋体" w:hAnsi="宋体" w:cs="宋体"/>
          <w:color w:val="auto"/>
          <w:kern w:val="0"/>
          <w:szCs w:val="21"/>
          <w:highlight w:val="none"/>
        </w:rPr>
        <w:t>投标人</w:t>
      </w:r>
      <w:r>
        <w:rPr>
          <w:rFonts w:hint="eastAsia" w:ascii="宋体" w:hAnsi="宋体" w:cs="宋体"/>
          <w:bCs/>
          <w:color w:val="auto"/>
          <w:szCs w:val="21"/>
          <w:highlight w:val="none"/>
        </w:rPr>
        <w:t>须知前附表</w:t>
      </w:r>
      <w:r>
        <w:rPr>
          <w:rFonts w:hint="eastAsia" w:ascii="宋体" w:hAnsi="宋体" w:cs="宋体"/>
          <w:color w:val="auto"/>
          <w:szCs w:val="21"/>
          <w:highlight w:val="none"/>
        </w:rPr>
        <w:t>”中所述的采购人已获得一笔政府采购资金，用于采购“</w:t>
      </w:r>
      <w:r>
        <w:rPr>
          <w:rFonts w:hint="eastAsia" w:ascii="宋体" w:hAnsi="宋体" w:cs="宋体"/>
          <w:bCs/>
          <w:color w:val="auto"/>
          <w:szCs w:val="21"/>
          <w:highlight w:val="none"/>
        </w:rPr>
        <w:t>服务需求</w:t>
      </w:r>
      <w:r>
        <w:rPr>
          <w:rFonts w:hint="eastAsia" w:ascii="宋体" w:hAnsi="宋体" w:cs="宋体"/>
          <w:color w:val="auto"/>
          <w:szCs w:val="21"/>
          <w:highlight w:val="none"/>
        </w:rPr>
        <w:t>”所列服务。</w:t>
      </w:r>
    </w:p>
    <w:p w14:paraId="367FED91">
      <w:pPr>
        <w:pStyle w:val="4"/>
        <w:numPr>
          <w:ilvl w:val="0"/>
          <w:numId w:val="2"/>
        </w:numPr>
        <w:spacing w:before="0"/>
        <w:rPr>
          <w:rFonts w:hint="eastAsia" w:ascii="宋体" w:hAnsi="宋体" w:eastAsia="宋体" w:cs="宋体"/>
          <w:color w:val="auto"/>
          <w:sz w:val="24"/>
          <w:szCs w:val="24"/>
          <w:highlight w:val="none"/>
        </w:rPr>
      </w:pPr>
      <w:bookmarkStart w:id="102" w:name="_Toc20184"/>
      <w:bookmarkStart w:id="103" w:name="_Toc3347"/>
      <w:bookmarkStart w:id="104" w:name="_Toc32022"/>
      <w:bookmarkStart w:id="105" w:name="_Toc27702"/>
      <w:r>
        <w:rPr>
          <w:rFonts w:hint="eastAsia" w:ascii="宋体" w:hAnsi="宋体" w:eastAsia="宋体" w:cs="宋体"/>
          <w:color w:val="auto"/>
          <w:sz w:val="24"/>
          <w:szCs w:val="24"/>
          <w:highlight w:val="none"/>
        </w:rPr>
        <w:t>招标范围及服务期</w:t>
      </w:r>
      <w:bookmarkEnd w:id="102"/>
      <w:bookmarkEnd w:id="103"/>
      <w:bookmarkEnd w:id="104"/>
      <w:bookmarkEnd w:id="105"/>
    </w:p>
    <w:p w14:paraId="7E1769B6">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3.1 本项目招标范围：见“</w:t>
      </w:r>
      <w:r>
        <w:rPr>
          <w:rFonts w:hint="eastAsia" w:ascii="宋体" w:hAnsi="宋体" w:cs="宋体"/>
          <w:color w:val="auto"/>
          <w:kern w:val="0"/>
          <w:szCs w:val="21"/>
          <w:highlight w:val="none"/>
        </w:rPr>
        <w:t>投标人</w:t>
      </w:r>
      <w:r>
        <w:rPr>
          <w:rFonts w:hint="eastAsia" w:ascii="宋体" w:hAnsi="宋体" w:cs="宋体"/>
          <w:bCs/>
          <w:color w:val="auto"/>
          <w:szCs w:val="21"/>
          <w:highlight w:val="none"/>
        </w:rPr>
        <w:t>须知前附表</w:t>
      </w:r>
      <w:r>
        <w:rPr>
          <w:rFonts w:hint="eastAsia" w:ascii="宋体" w:hAnsi="宋体" w:cs="宋体"/>
          <w:color w:val="auto"/>
          <w:szCs w:val="21"/>
          <w:highlight w:val="none"/>
        </w:rPr>
        <w:t>”。</w:t>
      </w:r>
    </w:p>
    <w:p w14:paraId="4DFC4AD5">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3.2 本项目服务期：见“</w:t>
      </w:r>
      <w:r>
        <w:rPr>
          <w:rFonts w:hint="eastAsia" w:ascii="宋体" w:hAnsi="宋体" w:cs="宋体"/>
          <w:color w:val="auto"/>
          <w:kern w:val="0"/>
          <w:szCs w:val="21"/>
          <w:highlight w:val="none"/>
        </w:rPr>
        <w:t>投标人</w:t>
      </w:r>
      <w:r>
        <w:rPr>
          <w:rFonts w:hint="eastAsia" w:ascii="宋体" w:hAnsi="宋体" w:cs="宋体"/>
          <w:bCs/>
          <w:color w:val="auto"/>
          <w:szCs w:val="21"/>
          <w:highlight w:val="none"/>
        </w:rPr>
        <w:t>须知前附表</w:t>
      </w:r>
      <w:r>
        <w:rPr>
          <w:rFonts w:hint="eastAsia" w:ascii="宋体" w:hAnsi="宋体" w:cs="宋体"/>
          <w:color w:val="auto"/>
          <w:szCs w:val="21"/>
          <w:highlight w:val="none"/>
        </w:rPr>
        <w:t>”。</w:t>
      </w:r>
    </w:p>
    <w:p w14:paraId="2B45334B">
      <w:pPr>
        <w:pStyle w:val="4"/>
        <w:numPr>
          <w:ilvl w:val="0"/>
          <w:numId w:val="2"/>
        </w:numPr>
        <w:spacing w:before="0"/>
        <w:rPr>
          <w:rFonts w:hint="eastAsia" w:ascii="宋体" w:hAnsi="宋体" w:eastAsia="宋体" w:cs="宋体"/>
          <w:color w:val="auto"/>
          <w:sz w:val="24"/>
          <w:szCs w:val="24"/>
          <w:highlight w:val="none"/>
        </w:rPr>
      </w:pPr>
      <w:bookmarkStart w:id="106" w:name="_Toc28324"/>
      <w:bookmarkStart w:id="107" w:name="_Toc22948"/>
      <w:bookmarkStart w:id="108" w:name="_Toc17333"/>
      <w:bookmarkStart w:id="109" w:name="_Toc5354"/>
      <w:r>
        <w:rPr>
          <w:rFonts w:hint="eastAsia" w:ascii="宋体" w:hAnsi="宋体" w:eastAsia="宋体" w:cs="宋体"/>
          <w:color w:val="auto"/>
          <w:sz w:val="24"/>
          <w:szCs w:val="24"/>
          <w:highlight w:val="none"/>
        </w:rPr>
        <w:t>合格的投标人</w:t>
      </w:r>
      <w:bookmarkEnd w:id="106"/>
      <w:bookmarkEnd w:id="107"/>
      <w:bookmarkEnd w:id="108"/>
      <w:bookmarkEnd w:id="109"/>
    </w:p>
    <w:p w14:paraId="5F9FF3B6">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4.1 </w:t>
      </w:r>
      <w:r>
        <w:rPr>
          <w:rFonts w:hint="eastAsia" w:ascii="宋体" w:hAnsi="宋体" w:cs="宋体"/>
          <w:color w:val="auto"/>
          <w:kern w:val="0"/>
          <w:szCs w:val="21"/>
          <w:highlight w:val="none"/>
        </w:rPr>
        <w:t>投标人</w:t>
      </w:r>
      <w:r>
        <w:rPr>
          <w:rFonts w:hint="eastAsia" w:ascii="宋体" w:hAnsi="宋体" w:cs="宋体"/>
          <w:color w:val="auto"/>
          <w:szCs w:val="21"/>
          <w:highlight w:val="none"/>
        </w:rPr>
        <w:t>应具备《中华人民共和国政府采购法》第二十二条规定的条件。</w:t>
      </w:r>
    </w:p>
    <w:p w14:paraId="0168D679">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4.2 投标人应符合采购人根据采购项目的特殊要求规定的特定条件。特定条件见 “投标邀请”。</w:t>
      </w:r>
    </w:p>
    <w:p w14:paraId="0A2FC999">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4.3 投标人在投标截止时间前未被列入“失信被执行人”、“</w:t>
      </w:r>
      <w:r>
        <w:rPr>
          <w:rFonts w:hint="eastAsia" w:ascii="宋体" w:hAnsi="宋体"/>
          <w:color w:val="auto"/>
          <w:szCs w:val="21"/>
          <w:highlight w:val="none"/>
        </w:rPr>
        <w:t>重大税收违法失信主体</w:t>
      </w:r>
      <w:r>
        <w:rPr>
          <w:rFonts w:hint="eastAsia" w:ascii="宋体" w:hAnsi="宋体" w:cs="宋体"/>
          <w:color w:val="auto"/>
          <w:szCs w:val="21"/>
          <w:highlight w:val="none"/>
        </w:rPr>
        <w:t>”、“政府采购严重违法失信名单”。</w:t>
      </w:r>
    </w:p>
    <w:p w14:paraId="55B0E5FA">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4.4 “投标人须知前附表”规定接受联合体投标的，联合体各方还应遵守以下规定：</w:t>
      </w:r>
    </w:p>
    <w:p w14:paraId="7A0DAD11">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4.4.1 联合体各方均应具备《中华人民共和国政府采购法》第二十二条规定的条件；</w:t>
      </w:r>
    </w:p>
    <w:p w14:paraId="168B75E0">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4.4.2 采购人根据采购项目的特殊要求规定投标人特定条件的，联合体各方均应符合本项目的特定条件；</w:t>
      </w:r>
    </w:p>
    <w:p w14:paraId="0C35F6B9">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4.4.3 联合体各方在投标截止时间前均未被列入“失信被执行人”、“重大税收违法失信主体”、“政府采购严重违法失信名单”；</w:t>
      </w:r>
    </w:p>
    <w:p w14:paraId="68E9C6A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4.4.4联合体各方之间应当签订共同投标协议，明确约定联合体各方承担的工作和相应的责任，并将共同投标协议连同投标文件一并提交；</w:t>
      </w:r>
    </w:p>
    <w:p w14:paraId="5A64DAF3">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4.4.5联合体各方不得再以自己名义单独或参加其他联合体在同一项目中投标。</w:t>
      </w:r>
    </w:p>
    <w:p w14:paraId="458A26DE">
      <w:pPr>
        <w:pStyle w:val="32"/>
        <w:ind w:left="0" w:leftChars="0" w:firstLine="404"/>
        <w:rPr>
          <w:rFonts w:hint="eastAsia" w:hAnsi="宋体" w:cs="宋体"/>
          <w:color w:val="auto"/>
          <w:szCs w:val="21"/>
          <w:highlight w:val="none"/>
        </w:rPr>
      </w:pPr>
      <w:r>
        <w:rPr>
          <w:rFonts w:hint="eastAsia" w:hAnsi="宋体" w:cs="宋体"/>
          <w:color w:val="auto"/>
          <w:szCs w:val="21"/>
          <w:highlight w:val="none"/>
        </w:rPr>
        <w:t>4.4.6单位负责人为同一人或者存在直接控股、管理关系的不同投标人，不得参加同一合同项下的政府采购活动。</w:t>
      </w:r>
    </w:p>
    <w:p w14:paraId="01CFB0A2">
      <w:pPr>
        <w:pStyle w:val="32"/>
        <w:ind w:left="0" w:leftChars="0" w:firstLine="404"/>
        <w:rPr>
          <w:color w:val="auto"/>
          <w:highlight w:val="none"/>
        </w:rPr>
      </w:pPr>
      <w:r>
        <w:rPr>
          <w:rFonts w:hAnsi="宋体" w:cs="宋体"/>
          <w:color w:val="auto"/>
          <w:szCs w:val="21"/>
          <w:highlight w:val="none"/>
        </w:rPr>
        <w:t>若发现相关供应商参加投标的，可按本章第6项要求向云南省政府采购和出让中心或采购人提出书面质疑。</w:t>
      </w:r>
    </w:p>
    <w:p w14:paraId="0CE518B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4.5 符合上述条件的投标人应承担投标及履约中应承担的全部责任与义务。</w:t>
      </w:r>
    </w:p>
    <w:p w14:paraId="2CB19696">
      <w:pPr>
        <w:pStyle w:val="4"/>
        <w:numPr>
          <w:ilvl w:val="0"/>
          <w:numId w:val="2"/>
        </w:numPr>
        <w:spacing w:before="0"/>
        <w:rPr>
          <w:rFonts w:hint="eastAsia" w:ascii="宋体" w:hAnsi="宋体" w:eastAsia="宋体" w:cs="宋体"/>
          <w:color w:val="auto"/>
          <w:sz w:val="24"/>
          <w:szCs w:val="24"/>
          <w:highlight w:val="none"/>
        </w:rPr>
      </w:pPr>
      <w:bookmarkStart w:id="110" w:name="_Toc32487"/>
      <w:bookmarkStart w:id="111" w:name="_Toc19203"/>
      <w:r>
        <w:rPr>
          <w:rFonts w:hint="eastAsia" w:ascii="宋体" w:hAnsi="宋体" w:eastAsia="宋体" w:cs="宋体"/>
          <w:color w:val="auto"/>
          <w:sz w:val="24"/>
          <w:szCs w:val="24"/>
          <w:highlight w:val="none"/>
        </w:rPr>
        <w:t>投标费用</w:t>
      </w:r>
      <w:bookmarkEnd w:id="110"/>
      <w:bookmarkEnd w:id="111"/>
    </w:p>
    <w:p w14:paraId="42C1B4AA">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5.1 不论投标结果如何，投标人均应自行承担所有与准备和参加投标活动有关的全部费用。</w:t>
      </w:r>
    </w:p>
    <w:p w14:paraId="786E0700">
      <w:pPr>
        <w:pStyle w:val="4"/>
        <w:numPr>
          <w:ilvl w:val="0"/>
          <w:numId w:val="2"/>
        </w:numPr>
        <w:spacing w:before="0"/>
        <w:rPr>
          <w:rFonts w:hint="eastAsia" w:ascii="宋体" w:hAnsi="宋体" w:eastAsia="宋体" w:cs="宋体"/>
          <w:color w:val="auto"/>
          <w:sz w:val="24"/>
          <w:szCs w:val="24"/>
          <w:highlight w:val="none"/>
        </w:rPr>
      </w:pPr>
      <w:bookmarkStart w:id="112" w:name="_Toc16587"/>
      <w:bookmarkStart w:id="113" w:name="_Toc27419"/>
      <w:bookmarkStart w:id="114" w:name="_Toc6770"/>
      <w:bookmarkStart w:id="115" w:name="_Toc11658"/>
      <w:r>
        <w:rPr>
          <w:rFonts w:hint="eastAsia" w:ascii="宋体" w:hAnsi="宋体" w:eastAsia="宋体" w:cs="宋体"/>
          <w:color w:val="auto"/>
          <w:sz w:val="24"/>
          <w:szCs w:val="24"/>
          <w:highlight w:val="none"/>
        </w:rPr>
        <w:t>质疑</w:t>
      </w:r>
      <w:bookmarkEnd w:id="112"/>
      <w:bookmarkEnd w:id="113"/>
      <w:bookmarkEnd w:id="114"/>
      <w:bookmarkEnd w:id="115"/>
    </w:p>
    <w:p w14:paraId="0E33910A">
      <w:pPr>
        <w:pStyle w:val="32"/>
        <w:spacing w:after="0" w:line="360" w:lineRule="auto"/>
        <w:ind w:left="0" w:leftChars="0" w:firstLine="404"/>
        <w:rPr>
          <w:rFonts w:hint="eastAsia" w:hAnsi="宋体" w:cs="宋体"/>
          <w:color w:val="auto"/>
          <w:highlight w:val="none"/>
        </w:rPr>
      </w:pPr>
      <w:r>
        <w:rPr>
          <w:rFonts w:hint="eastAsia" w:hAnsi="宋体" w:cs="宋体"/>
          <w:color w:val="auto"/>
          <w:highlight w:val="none"/>
        </w:rPr>
        <w:t>6.1 投标人认为招标文件、招标过程和中标结果使自己的合法权益受到损害的，可以在知道或者应知其权益受到损害之日起七个工作日内，以书面形式向下列部门或采购人提出质疑。提出质疑的投标人应当是参与所质疑项目采购活动的投标人，投标人针对同一采购程序环节的质疑应当在法定质疑期内一次性提出，提出质疑时应当有明确的请求和必要的证明材料。</w:t>
      </w:r>
    </w:p>
    <w:p w14:paraId="3D8E64EE">
      <w:pPr>
        <w:pStyle w:val="32"/>
        <w:spacing w:after="0" w:line="360" w:lineRule="auto"/>
        <w:ind w:left="0" w:leftChars="0" w:firstLine="404"/>
        <w:rPr>
          <w:rFonts w:hint="eastAsia" w:hAnsi="宋体" w:cs="宋体"/>
          <w:color w:val="auto"/>
          <w:highlight w:val="none"/>
        </w:rPr>
      </w:pPr>
      <w:r>
        <w:rPr>
          <w:rFonts w:hint="eastAsia" w:hAnsi="宋体" w:cs="宋体"/>
          <w:color w:val="auto"/>
          <w:highlight w:val="none"/>
        </w:rPr>
        <w:t>受理质疑部门：云南省政府采购和出让中心；联系人：</w:t>
      </w:r>
      <w:r>
        <w:rPr>
          <w:rFonts w:hint="eastAsia" w:hAnsi="宋体" w:cs="宋体"/>
          <w:color w:val="auto"/>
          <w:highlight w:val="none"/>
          <w:lang w:val="en-US" w:eastAsia="zh-CN"/>
        </w:rPr>
        <w:t>王靖</w:t>
      </w:r>
      <w:r>
        <w:rPr>
          <w:rFonts w:hint="eastAsia" w:hAnsi="宋体" w:cs="宋体"/>
          <w:color w:val="auto"/>
          <w:highlight w:val="none"/>
        </w:rPr>
        <w:t>、唐爱云；电话：0871-65300229；地址：昆明高新区科发路269号交易大厦4楼综合监管科（政采402室）。</w:t>
      </w:r>
    </w:p>
    <w:p w14:paraId="1401C388">
      <w:pPr>
        <w:pStyle w:val="32"/>
        <w:spacing w:after="0" w:line="360" w:lineRule="auto"/>
        <w:ind w:left="0" w:leftChars="0" w:firstLine="404"/>
        <w:rPr>
          <w:rFonts w:hint="eastAsia" w:hAnsi="宋体" w:cs="宋体"/>
          <w:color w:val="auto"/>
          <w:highlight w:val="none"/>
        </w:rPr>
      </w:pPr>
      <w:r>
        <w:rPr>
          <w:rFonts w:hint="eastAsia" w:hAnsi="宋体" w:cs="宋体"/>
          <w:color w:val="auto"/>
          <w:highlight w:val="none"/>
        </w:rPr>
        <w:t>6.2 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468E68D5">
      <w:pPr>
        <w:pStyle w:val="32"/>
        <w:spacing w:after="0" w:line="360" w:lineRule="auto"/>
        <w:ind w:left="0" w:leftChars="0" w:firstLine="404"/>
        <w:rPr>
          <w:rFonts w:hint="eastAsia" w:hAnsi="宋体" w:cs="宋体"/>
          <w:color w:val="auto"/>
          <w:highlight w:val="none"/>
        </w:rPr>
      </w:pPr>
      <w:r>
        <w:rPr>
          <w:rFonts w:hint="eastAsia" w:hAnsi="宋体" w:cs="宋体"/>
          <w:color w:val="auto"/>
          <w:highlight w:val="none"/>
        </w:rPr>
        <w:t>递交质疑函时，若投标人为自然人的，须同时递交身份证复印件；若投标人为法人或者其他组织的，须同时递交法定代表人或主要负责人的资格证明书。</w:t>
      </w:r>
    </w:p>
    <w:p w14:paraId="74618A32">
      <w:pPr>
        <w:pStyle w:val="32"/>
        <w:spacing w:after="0" w:line="360" w:lineRule="auto"/>
        <w:ind w:left="0" w:leftChars="0" w:firstLine="404"/>
        <w:rPr>
          <w:rFonts w:hint="eastAsia" w:hAnsi="宋体" w:cs="宋体"/>
          <w:color w:val="auto"/>
          <w:highlight w:val="none"/>
        </w:rPr>
      </w:pPr>
      <w:r>
        <w:rPr>
          <w:rFonts w:hint="eastAsia" w:hAnsi="宋体" w:cs="宋体"/>
          <w:color w:val="auto"/>
          <w:highlight w:val="none"/>
        </w:rPr>
        <w:t>6.3 投标人提出质疑应当提交质疑函和必要的证明材料（如材料中有外文资料应同时附上中文译本）。质疑函应当包括下列内容：</w:t>
      </w:r>
    </w:p>
    <w:p w14:paraId="0FF2A490">
      <w:pPr>
        <w:pStyle w:val="32"/>
        <w:spacing w:after="0" w:line="360" w:lineRule="auto"/>
        <w:ind w:left="0" w:leftChars="0" w:firstLine="404"/>
        <w:rPr>
          <w:rFonts w:hint="eastAsia" w:hAnsi="宋体" w:cs="宋体"/>
          <w:color w:val="auto"/>
          <w:highlight w:val="none"/>
        </w:rPr>
      </w:pPr>
      <w:r>
        <w:rPr>
          <w:rFonts w:hint="eastAsia" w:hAnsi="宋体" w:cs="宋体"/>
          <w:color w:val="auto"/>
          <w:highlight w:val="none"/>
        </w:rPr>
        <w:t>（1）投标人的姓名或者名称、地址、邮编、联系人及联系电话；</w:t>
      </w:r>
    </w:p>
    <w:p w14:paraId="19426D9C">
      <w:pPr>
        <w:pStyle w:val="32"/>
        <w:spacing w:after="0" w:line="360" w:lineRule="auto"/>
        <w:ind w:left="0" w:leftChars="0" w:firstLine="404"/>
        <w:rPr>
          <w:rFonts w:hint="eastAsia" w:hAnsi="宋体" w:cs="宋体"/>
          <w:color w:val="auto"/>
          <w:highlight w:val="none"/>
        </w:rPr>
      </w:pPr>
      <w:r>
        <w:rPr>
          <w:rFonts w:hint="eastAsia" w:hAnsi="宋体" w:cs="宋体"/>
          <w:color w:val="auto"/>
          <w:highlight w:val="none"/>
        </w:rPr>
        <w:t>（2）质疑项目的名称、编号；</w:t>
      </w:r>
    </w:p>
    <w:p w14:paraId="3ED18E36">
      <w:pPr>
        <w:pStyle w:val="32"/>
        <w:spacing w:after="0" w:line="360" w:lineRule="auto"/>
        <w:ind w:left="0" w:leftChars="0" w:firstLine="404"/>
        <w:rPr>
          <w:rFonts w:hint="eastAsia" w:hAnsi="宋体" w:cs="宋体"/>
          <w:color w:val="auto"/>
          <w:highlight w:val="none"/>
        </w:rPr>
      </w:pPr>
      <w:r>
        <w:rPr>
          <w:rFonts w:hint="eastAsia" w:hAnsi="宋体" w:cs="宋体"/>
          <w:color w:val="auto"/>
          <w:highlight w:val="none"/>
        </w:rPr>
        <w:t>（3）具体、明确的质疑事项和与质疑事项相关的请求；</w:t>
      </w:r>
    </w:p>
    <w:p w14:paraId="1FC1A913">
      <w:pPr>
        <w:pStyle w:val="32"/>
        <w:spacing w:after="0" w:line="360" w:lineRule="auto"/>
        <w:ind w:left="0" w:leftChars="0" w:firstLine="404"/>
        <w:rPr>
          <w:rFonts w:hint="eastAsia" w:hAnsi="宋体" w:cs="宋体"/>
          <w:color w:val="auto"/>
          <w:highlight w:val="none"/>
        </w:rPr>
      </w:pPr>
      <w:r>
        <w:rPr>
          <w:rFonts w:hint="eastAsia" w:hAnsi="宋体" w:cs="宋体"/>
          <w:color w:val="auto"/>
          <w:highlight w:val="none"/>
        </w:rPr>
        <w:t>（4）事实依据；</w:t>
      </w:r>
    </w:p>
    <w:p w14:paraId="2DC16F33">
      <w:pPr>
        <w:pStyle w:val="32"/>
        <w:spacing w:after="0" w:line="360" w:lineRule="auto"/>
        <w:ind w:left="0" w:leftChars="0" w:firstLine="404"/>
        <w:rPr>
          <w:rFonts w:hint="eastAsia" w:hAnsi="宋体" w:cs="宋体"/>
          <w:color w:val="auto"/>
          <w:highlight w:val="none"/>
        </w:rPr>
      </w:pPr>
      <w:r>
        <w:rPr>
          <w:rFonts w:hint="eastAsia" w:hAnsi="宋体" w:cs="宋体"/>
          <w:color w:val="auto"/>
          <w:highlight w:val="none"/>
        </w:rPr>
        <w:t>（5）必要的法律依据；</w:t>
      </w:r>
    </w:p>
    <w:p w14:paraId="742D5FD5">
      <w:pPr>
        <w:pStyle w:val="32"/>
        <w:spacing w:after="0" w:line="360" w:lineRule="auto"/>
        <w:ind w:left="0" w:leftChars="0" w:firstLine="404"/>
        <w:rPr>
          <w:rFonts w:hint="eastAsia" w:hAnsi="宋体" w:cs="宋体"/>
          <w:color w:val="auto"/>
          <w:highlight w:val="none"/>
        </w:rPr>
      </w:pPr>
      <w:r>
        <w:rPr>
          <w:rFonts w:hint="eastAsia" w:hAnsi="宋体" w:cs="宋体"/>
          <w:color w:val="auto"/>
          <w:highlight w:val="none"/>
        </w:rPr>
        <w:t>（6）提出质疑的日期。</w:t>
      </w:r>
    </w:p>
    <w:p w14:paraId="146AFD7F">
      <w:pPr>
        <w:pStyle w:val="32"/>
        <w:spacing w:after="0" w:line="360" w:lineRule="auto"/>
        <w:ind w:left="0" w:leftChars="0" w:firstLine="404"/>
        <w:rPr>
          <w:rFonts w:hint="eastAsia" w:hAnsi="宋体" w:cs="宋体"/>
          <w:color w:val="auto"/>
          <w:highlight w:val="none"/>
        </w:rPr>
      </w:pPr>
      <w:r>
        <w:rPr>
          <w:rFonts w:hint="eastAsia" w:hAnsi="宋体" w:cs="宋体"/>
          <w:color w:val="auto"/>
          <w:highlight w:val="none"/>
        </w:rPr>
        <w:t>投标人为自然人的，应当由本人签字；投标人为法人或者其他组织的，应当由法定代表人、主要负责人，或者其授权代表签字或者盖章，并加盖公章。注：《政府采购供应商质疑函范本》详见中国政府采购网（http://www.ccgp.gov.cn/）。质疑函不符合以上要求的，政府集中采购机构应当一次性告知供应商需更正或补充的内容。投标人未在质疑期限内提交更正、补充材料或重新提交的材料仍不符合要求的，政府集中采购机构不予受理，并告知理由。</w:t>
      </w:r>
    </w:p>
    <w:p w14:paraId="3DC43254">
      <w:pPr>
        <w:pStyle w:val="32"/>
        <w:spacing w:after="0" w:line="360" w:lineRule="auto"/>
        <w:ind w:left="0" w:leftChars="0" w:firstLine="404"/>
        <w:rPr>
          <w:rFonts w:hint="eastAsia" w:hAnsi="宋体" w:cs="宋体"/>
          <w:color w:val="auto"/>
          <w:szCs w:val="21"/>
          <w:highlight w:val="none"/>
        </w:rPr>
      </w:pPr>
      <w:r>
        <w:rPr>
          <w:rFonts w:hint="eastAsia" w:hAnsi="宋体" w:cs="宋体"/>
          <w:color w:val="auto"/>
          <w:highlight w:val="none"/>
        </w:rPr>
        <w:t>6.4 采购人、采购代理机构将在收到投标人的书面质疑后七个工作日内做出答复，并以书面形式通知质疑投标人和其他有关投标人，但答复的内容不涉及商业秘密</w:t>
      </w:r>
      <w:r>
        <w:rPr>
          <w:rFonts w:hint="eastAsia" w:hAnsi="宋体" w:cs="宋体"/>
          <w:color w:val="auto"/>
          <w:szCs w:val="21"/>
          <w:highlight w:val="none"/>
        </w:rPr>
        <w:t>。</w:t>
      </w:r>
    </w:p>
    <w:p w14:paraId="7CC79EF2">
      <w:pPr>
        <w:pStyle w:val="4"/>
        <w:numPr>
          <w:ilvl w:val="0"/>
          <w:numId w:val="2"/>
        </w:numPr>
        <w:spacing w:before="0"/>
        <w:rPr>
          <w:rFonts w:hint="eastAsia" w:ascii="宋体" w:hAnsi="宋体" w:eastAsia="宋体" w:cs="宋体"/>
          <w:color w:val="auto"/>
          <w:sz w:val="24"/>
          <w:szCs w:val="24"/>
          <w:highlight w:val="none"/>
        </w:rPr>
      </w:pPr>
      <w:bookmarkStart w:id="116" w:name="_Toc10877"/>
      <w:bookmarkStart w:id="117" w:name="_Toc19385"/>
      <w:bookmarkStart w:id="118" w:name="_Toc28274"/>
      <w:bookmarkStart w:id="119" w:name="_Toc17037"/>
      <w:r>
        <w:rPr>
          <w:rFonts w:hint="eastAsia" w:ascii="宋体" w:hAnsi="宋体" w:eastAsia="宋体" w:cs="宋体"/>
          <w:color w:val="auto"/>
          <w:sz w:val="24"/>
          <w:szCs w:val="24"/>
          <w:highlight w:val="none"/>
        </w:rPr>
        <w:t>投诉</w:t>
      </w:r>
      <w:bookmarkEnd w:id="116"/>
      <w:bookmarkEnd w:id="117"/>
      <w:bookmarkEnd w:id="118"/>
      <w:bookmarkEnd w:id="119"/>
    </w:p>
    <w:p w14:paraId="1F25F2B1">
      <w:pPr>
        <w:widowControl/>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投诉必须首先经过质疑程序。质疑投标人对采购人、采购代理机构的答复不满意，或者采购人、采购代理机构未在规定的时间内做出答复的，可以在答复期满后十五个工作日内书面向云南省财政厅政府采购管理处提起投诉。</w:t>
      </w:r>
    </w:p>
    <w:p w14:paraId="02400DA4">
      <w:pPr>
        <w:pStyle w:val="3"/>
        <w:numPr>
          <w:ilvl w:val="0"/>
          <w:numId w:val="0"/>
        </w:numPr>
        <w:spacing w:before="0"/>
        <w:ind w:firstLine="3612" w:firstLineChars="1290"/>
        <w:rPr>
          <w:rFonts w:hint="eastAsia" w:ascii="宋体" w:hAnsi="宋体" w:eastAsia="宋体"/>
          <w:color w:val="auto"/>
          <w:szCs w:val="28"/>
          <w:highlight w:val="none"/>
        </w:rPr>
      </w:pPr>
      <w:bookmarkStart w:id="120" w:name="_Toc20127"/>
      <w:bookmarkStart w:id="121" w:name="_Toc19827"/>
      <w:bookmarkStart w:id="122" w:name="_Toc31175"/>
      <w:bookmarkStart w:id="123" w:name="_Toc20119"/>
      <w:r>
        <w:rPr>
          <w:rFonts w:hint="eastAsia" w:ascii="宋体" w:hAnsi="宋体" w:eastAsia="宋体"/>
          <w:color w:val="auto"/>
          <w:szCs w:val="28"/>
          <w:highlight w:val="none"/>
        </w:rPr>
        <w:t>二、招标文件</w:t>
      </w:r>
      <w:bookmarkEnd w:id="120"/>
      <w:bookmarkEnd w:id="121"/>
      <w:bookmarkEnd w:id="122"/>
      <w:bookmarkEnd w:id="123"/>
    </w:p>
    <w:p w14:paraId="7557C42C">
      <w:pPr>
        <w:pStyle w:val="4"/>
        <w:numPr>
          <w:ilvl w:val="0"/>
          <w:numId w:val="2"/>
        </w:numPr>
        <w:spacing w:before="0"/>
        <w:rPr>
          <w:rFonts w:hint="eastAsia" w:ascii="宋体" w:hAnsi="宋体" w:eastAsia="宋体" w:cs="宋体"/>
          <w:color w:val="auto"/>
          <w:sz w:val="24"/>
          <w:szCs w:val="24"/>
          <w:highlight w:val="none"/>
        </w:rPr>
      </w:pPr>
      <w:bookmarkStart w:id="124" w:name="_Toc6421"/>
      <w:bookmarkStart w:id="125" w:name="_Toc23132"/>
      <w:bookmarkStart w:id="126" w:name="_Toc31158"/>
      <w:bookmarkStart w:id="127" w:name="_Toc18620"/>
      <w:r>
        <w:rPr>
          <w:rFonts w:hint="eastAsia" w:ascii="宋体" w:hAnsi="宋体" w:eastAsia="宋体" w:cs="宋体"/>
          <w:color w:val="auto"/>
          <w:sz w:val="24"/>
          <w:szCs w:val="24"/>
          <w:highlight w:val="none"/>
        </w:rPr>
        <w:t>招标文件构成</w:t>
      </w:r>
      <w:bookmarkEnd w:id="124"/>
      <w:bookmarkEnd w:id="125"/>
      <w:bookmarkEnd w:id="126"/>
      <w:bookmarkEnd w:id="127"/>
    </w:p>
    <w:p w14:paraId="5562EEC1">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8.1 要求提供的服务、采购过程及合同条款在招标文件中均有说明，招标文件共七章，各章的内容如下：</w:t>
      </w:r>
    </w:p>
    <w:p w14:paraId="6A8029C2">
      <w:pPr>
        <w:spacing w:line="360" w:lineRule="auto"/>
        <w:ind w:firstLine="359" w:firstLineChars="171"/>
        <w:jc w:val="left"/>
        <w:rPr>
          <w:rFonts w:hint="eastAsia" w:ascii="宋体" w:hAnsi="宋体" w:cs="宋体"/>
          <w:color w:val="auto"/>
          <w:szCs w:val="21"/>
          <w:highlight w:val="none"/>
        </w:rPr>
      </w:pPr>
      <w:r>
        <w:rPr>
          <w:rFonts w:hint="eastAsia" w:ascii="宋体" w:hAnsi="宋体" w:cs="宋体"/>
          <w:color w:val="auto"/>
          <w:szCs w:val="21"/>
          <w:highlight w:val="none"/>
        </w:rPr>
        <w:t>第一章  投标邀请</w:t>
      </w:r>
    </w:p>
    <w:p w14:paraId="541B2FC0">
      <w:pPr>
        <w:spacing w:line="360" w:lineRule="auto"/>
        <w:ind w:firstLine="359" w:firstLineChars="171"/>
        <w:jc w:val="left"/>
        <w:rPr>
          <w:rFonts w:hint="eastAsia" w:ascii="宋体" w:hAnsi="宋体" w:cs="宋体"/>
          <w:color w:val="auto"/>
          <w:szCs w:val="21"/>
          <w:highlight w:val="none"/>
        </w:rPr>
      </w:pPr>
      <w:r>
        <w:rPr>
          <w:rFonts w:hint="eastAsia" w:ascii="宋体" w:hAnsi="宋体" w:cs="宋体"/>
          <w:color w:val="auto"/>
          <w:szCs w:val="21"/>
          <w:highlight w:val="none"/>
        </w:rPr>
        <w:t>第二章  投标人须知</w:t>
      </w:r>
    </w:p>
    <w:p w14:paraId="0D2648F8">
      <w:pPr>
        <w:spacing w:line="360" w:lineRule="auto"/>
        <w:ind w:firstLine="359" w:firstLineChars="171"/>
        <w:jc w:val="left"/>
        <w:rPr>
          <w:rFonts w:hint="eastAsia" w:ascii="宋体" w:hAnsi="宋体" w:cs="宋体"/>
          <w:color w:val="auto"/>
          <w:szCs w:val="21"/>
          <w:highlight w:val="none"/>
        </w:rPr>
      </w:pPr>
      <w:r>
        <w:rPr>
          <w:rFonts w:hint="eastAsia" w:ascii="宋体" w:hAnsi="宋体" w:cs="宋体"/>
          <w:color w:val="auto"/>
          <w:szCs w:val="21"/>
          <w:highlight w:val="none"/>
        </w:rPr>
        <w:t>第三章  合同书样式及主要条款</w:t>
      </w:r>
    </w:p>
    <w:p w14:paraId="503DBD88">
      <w:pPr>
        <w:spacing w:line="360" w:lineRule="auto"/>
        <w:ind w:firstLine="359" w:firstLineChars="171"/>
        <w:jc w:val="left"/>
        <w:rPr>
          <w:rFonts w:hint="eastAsia" w:ascii="宋体" w:hAnsi="宋体" w:cs="宋体"/>
          <w:color w:val="auto"/>
          <w:szCs w:val="21"/>
          <w:highlight w:val="none"/>
        </w:rPr>
      </w:pPr>
      <w:r>
        <w:rPr>
          <w:rFonts w:hint="eastAsia" w:ascii="宋体" w:hAnsi="宋体" w:cs="宋体"/>
          <w:color w:val="auto"/>
          <w:szCs w:val="21"/>
          <w:highlight w:val="none"/>
        </w:rPr>
        <w:t>第四章  投标文件格式</w:t>
      </w:r>
    </w:p>
    <w:p w14:paraId="59DB40E5">
      <w:pPr>
        <w:spacing w:line="360" w:lineRule="auto"/>
        <w:ind w:firstLine="359" w:firstLineChars="171"/>
        <w:jc w:val="left"/>
        <w:rPr>
          <w:rFonts w:hint="eastAsia" w:ascii="宋体" w:hAnsi="宋体" w:cs="宋体"/>
          <w:color w:val="auto"/>
          <w:szCs w:val="21"/>
          <w:highlight w:val="none"/>
        </w:rPr>
      </w:pPr>
      <w:r>
        <w:rPr>
          <w:rFonts w:hint="eastAsia" w:ascii="宋体" w:hAnsi="宋体" w:cs="宋体"/>
          <w:color w:val="auto"/>
          <w:szCs w:val="21"/>
          <w:highlight w:val="none"/>
        </w:rPr>
        <w:t>第五章  服务需求</w:t>
      </w:r>
    </w:p>
    <w:p w14:paraId="7D3DF18E">
      <w:pPr>
        <w:spacing w:line="360" w:lineRule="auto"/>
        <w:ind w:firstLine="359" w:firstLineChars="171"/>
        <w:jc w:val="left"/>
        <w:rPr>
          <w:rFonts w:hint="eastAsia" w:ascii="宋体" w:hAnsi="宋体" w:cs="宋体"/>
          <w:color w:val="auto"/>
          <w:szCs w:val="21"/>
          <w:highlight w:val="none"/>
        </w:rPr>
      </w:pPr>
      <w:r>
        <w:rPr>
          <w:rFonts w:hint="eastAsia" w:ascii="宋体" w:hAnsi="宋体" w:cs="宋体"/>
          <w:color w:val="auto"/>
          <w:szCs w:val="21"/>
          <w:highlight w:val="none"/>
        </w:rPr>
        <w:t>第六章  资格审查</w:t>
      </w:r>
    </w:p>
    <w:p w14:paraId="76B98BC9">
      <w:pPr>
        <w:spacing w:line="360" w:lineRule="auto"/>
        <w:ind w:firstLine="359" w:firstLineChars="171"/>
        <w:jc w:val="left"/>
        <w:rPr>
          <w:rFonts w:hint="eastAsia" w:ascii="宋体" w:hAnsi="宋体" w:cs="宋体"/>
          <w:color w:val="auto"/>
          <w:szCs w:val="21"/>
          <w:highlight w:val="none"/>
        </w:rPr>
      </w:pPr>
      <w:r>
        <w:rPr>
          <w:rFonts w:hint="eastAsia" w:ascii="宋体" w:hAnsi="宋体" w:cs="宋体"/>
          <w:color w:val="auto"/>
          <w:szCs w:val="21"/>
          <w:highlight w:val="none"/>
        </w:rPr>
        <w:t>第七章  评标办法</w:t>
      </w:r>
    </w:p>
    <w:p w14:paraId="369D033D">
      <w:pPr>
        <w:pStyle w:val="4"/>
        <w:numPr>
          <w:ilvl w:val="0"/>
          <w:numId w:val="2"/>
        </w:numPr>
        <w:spacing w:before="0"/>
        <w:rPr>
          <w:rFonts w:hint="eastAsia" w:ascii="宋体" w:hAnsi="宋体" w:eastAsia="宋体" w:cs="宋体"/>
          <w:color w:val="auto"/>
          <w:sz w:val="24"/>
          <w:szCs w:val="24"/>
          <w:highlight w:val="none"/>
        </w:rPr>
      </w:pPr>
      <w:bookmarkStart w:id="128" w:name="_Toc18674"/>
      <w:bookmarkStart w:id="129" w:name="_Toc12749"/>
      <w:bookmarkStart w:id="130" w:name="_Toc19917"/>
      <w:bookmarkStart w:id="131" w:name="_Toc12634"/>
      <w:r>
        <w:rPr>
          <w:rFonts w:hint="eastAsia" w:ascii="宋体" w:hAnsi="宋体" w:eastAsia="宋体" w:cs="宋体"/>
          <w:color w:val="auto"/>
          <w:sz w:val="24"/>
          <w:szCs w:val="24"/>
          <w:highlight w:val="none"/>
        </w:rPr>
        <w:t>招标文件的澄清</w:t>
      </w:r>
      <w:bookmarkEnd w:id="128"/>
      <w:bookmarkEnd w:id="129"/>
      <w:bookmarkEnd w:id="130"/>
      <w:bookmarkEnd w:id="131"/>
    </w:p>
    <w:p w14:paraId="25CDD1FC">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9.1 投标人应认真审核第五章“服务需求”中的要求，如发现要求不合理的，投标人必须在“投标人须知前附表”规定截止时间前以书面形式（加盖公章）要求采购代理机构澄清，截止时间后送达的澄清要求概不接受，由此产生的后果由投标人负责。</w:t>
      </w:r>
    </w:p>
    <w:p w14:paraId="4D4C88D3">
      <w:pPr>
        <w:spacing w:line="360" w:lineRule="auto"/>
        <w:ind w:firstLine="420" w:firstLineChars="200"/>
        <w:rPr>
          <w:rFonts w:hint="eastAsia" w:ascii="宋体" w:hAnsi="宋体" w:cs="宋体"/>
          <w:b/>
          <w:bCs/>
          <w:color w:val="auto"/>
          <w:szCs w:val="21"/>
          <w:highlight w:val="none"/>
        </w:rPr>
      </w:pPr>
      <w:r>
        <w:rPr>
          <w:rFonts w:hint="eastAsia" w:ascii="宋体" w:hAnsi="宋体" w:cs="宋体"/>
          <w:color w:val="auto"/>
          <w:szCs w:val="21"/>
          <w:highlight w:val="none"/>
        </w:rPr>
        <w:t>9.2 采购代理机构将以书面或网上发布公告形式（发布媒体详见招标公告</w:t>
      </w:r>
      <w:r>
        <w:rPr>
          <w:rFonts w:hint="eastAsia" w:ascii="宋体" w:hAnsi="宋体" w:cs="宋体"/>
          <w:bCs/>
          <w:color w:val="auto"/>
          <w:szCs w:val="21"/>
          <w:highlight w:val="none"/>
        </w:rPr>
        <w:t>）</w:t>
      </w:r>
      <w:r>
        <w:rPr>
          <w:rFonts w:hint="eastAsia" w:ascii="宋体" w:hAnsi="宋体" w:cs="宋体"/>
          <w:color w:val="auto"/>
          <w:szCs w:val="21"/>
          <w:highlight w:val="none"/>
        </w:rPr>
        <w:t>答复所有报名的投标人（答复中不包含问题的来源）要求澄清的问题，其他澄清方式无效。</w:t>
      </w:r>
    </w:p>
    <w:p w14:paraId="6960D4E2">
      <w:pPr>
        <w:spacing w:line="360" w:lineRule="auto"/>
        <w:ind w:firstLine="420" w:firstLineChars="200"/>
        <w:jc w:val="left"/>
        <w:rPr>
          <w:rFonts w:hint="eastAsia" w:ascii="宋体" w:hAnsi="宋体" w:cs="宋体"/>
          <w:b/>
          <w:color w:val="auto"/>
          <w:szCs w:val="21"/>
          <w:highlight w:val="none"/>
        </w:rPr>
      </w:pPr>
      <w:r>
        <w:rPr>
          <w:rFonts w:hint="eastAsia" w:ascii="宋体" w:hAnsi="宋体" w:cs="宋体"/>
          <w:color w:val="auto"/>
          <w:szCs w:val="21"/>
          <w:highlight w:val="none"/>
        </w:rPr>
        <w:t>9.3 招标文件澄清联系方式见“投标人须知前附表”。</w:t>
      </w:r>
    </w:p>
    <w:p w14:paraId="40329CDE">
      <w:pPr>
        <w:pStyle w:val="4"/>
        <w:numPr>
          <w:ilvl w:val="0"/>
          <w:numId w:val="2"/>
        </w:numPr>
        <w:spacing w:before="0"/>
        <w:rPr>
          <w:rFonts w:hint="eastAsia" w:ascii="宋体" w:hAnsi="宋体" w:eastAsia="宋体" w:cs="宋体"/>
          <w:color w:val="auto"/>
          <w:sz w:val="24"/>
          <w:szCs w:val="24"/>
          <w:highlight w:val="none"/>
        </w:rPr>
      </w:pPr>
      <w:bookmarkStart w:id="132" w:name="_Toc21425"/>
      <w:bookmarkStart w:id="133" w:name="_Toc24593"/>
      <w:bookmarkStart w:id="134" w:name="_Toc26840"/>
      <w:bookmarkStart w:id="135" w:name="_Toc27892"/>
      <w:r>
        <w:rPr>
          <w:rFonts w:hint="eastAsia" w:ascii="宋体" w:hAnsi="宋体" w:eastAsia="宋体" w:cs="宋体"/>
          <w:color w:val="auto"/>
          <w:sz w:val="24"/>
          <w:szCs w:val="24"/>
          <w:highlight w:val="none"/>
        </w:rPr>
        <w:t>招标文件的修改</w:t>
      </w:r>
      <w:bookmarkEnd w:id="132"/>
      <w:bookmarkEnd w:id="133"/>
      <w:bookmarkEnd w:id="134"/>
      <w:bookmarkEnd w:id="135"/>
    </w:p>
    <w:p w14:paraId="0CFC737A">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10.1</w:t>
      </w:r>
      <w:r>
        <w:rPr>
          <w:rFonts w:hint="eastAsia" w:ascii="宋体" w:hAnsi="宋体" w:cs="宋体"/>
          <w:color w:val="auto"/>
          <w:szCs w:val="28"/>
          <w:highlight w:val="none"/>
        </w:rPr>
        <w:t>采购代理机构</w:t>
      </w:r>
      <w:r>
        <w:rPr>
          <w:rFonts w:hint="eastAsia" w:ascii="宋体" w:hAnsi="宋体" w:cs="宋体"/>
          <w:color w:val="auto"/>
          <w:szCs w:val="21"/>
          <w:highlight w:val="none"/>
        </w:rPr>
        <w:t>对已发出的招标文件进行必要澄清或者修改的，于招标文件要求提交投标文件截止时间十五日前，在指定采购信息发布媒体（发布媒体详见招标公告</w:t>
      </w:r>
      <w:r>
        <w:rPr>
          <w:rFonts w:hint="eastAsia" w:ascii="宋体" w:hAnsi="宋体" w:cs="宋体"/>
          <w:bCs/>
          <w:color w:val="auto"/>
          <w:szCs w:val="21"/>
          <w:highlight w:val="none"/>
        </w:rPr>
        <w:t>）</w:t>
      </w:r>
      <w:r>
        <w:rPr>
          <w:rFonts w:hint="eastAsia" w:ascii="宋体" w:hAnsi="宋体" w:cs="宋体"/>
          <w:color w:val="auto"/>
          <w:szCs w:val="21"/>
          <w:highlight w:val="none"/>
        </w:rPr>
        <w:t>上发布</w:t>
      </w:r>
      <w:r>
        <w:rPr>
          <w:rFonts w:hint="eastAsia" w:ascii="宋体" w:hAnsi="宋体" w:cs="宋体"/>
          <w:color w:val="auto"/>
          <w:szCs w:val="28"/>
          <w:highlight w:val="none"/>
        </w:rPr>
        <w:t>澄清公告</w:t>
      </w:r>
      <w:r>
        <w:rPr>
          <w:rFonts w:hint="eastAsia" w:ascii="宋体" w:hAnsi="宋体" w:cs="宋体"/>
          <w:color w:val="auto"/>
          <w:szCs w:val="21"/>
          <w:highlight w:val="none"/>
        </w:rPr>
        <w:t>。该澄清或者修改的内容为招标文件的组成部分。</w:t>
      </w:r>
    </w:p>
    <w:p w14:paraId="69D1A1F4">
      <w:pPr>
        <w:spacing w:line="360" w:lineRule="auto"/>
        <w:ind w:firstLine="420" w:firstLineChars="200"/>
        <w:rPr>
          <w:rFonts w:hint="eastAsia" w:ascii="宋体" w:hAnsi="宋体" w:cs="宋体"/>
          <w:color w:val="auto"/>
          <w:szCs w:val="28"/>
          <w:highlight w:val="none"/>
        </w:rPr>
      </w:pPr>
      <w:r>
        <w:rPr>
          <w:rFonts w:hint="eastAsia" w:ascii="宋体" w:hAnsi="宋体" w:cs="宋体"/>
          <w:color w:val="auto"/>
          <w:szCs w:val="21"/>
          <w:highlight w:val="none"/>
        </w:rPr>
        <w:t xml:space="preserve">10.2 </w:t>
      </w:r>
      <w:r>
        <w:rPr>
          <w:rFonts w:hint="eastAsia" w:ascii="宋体" w:hAnsi="宋体" w:cs="宋体"/>
          <w:color w:val="auto"/>
          <w:szCs w:val="28"/>
          <w:highlight w:val="none"/>
        </w:rPr>
        <w:t>澄清或者修改的内容可能影响投标文件编制的，采购代理机构于投标截止时间十五日前，以书面形式通知所有获取招标文件的潜在投标人；不足十五日的，顺延提交投标文件的截止时间。</w:t>
      </w:r>
    </w:p>
    <w:p w14:paraId="0E1D0BF8">
      <w:pPr>
        <w:spacing w:line="360" w:lineRule="auto"/>
        <w:ind w:firstLine="420" w:firstLineChars="200"/>
        <w:rPr>
          <w:rFonts w:hint="eastAsia" w:ascii="宋体" w:hAnsi="宋体" w:cs="宋体"/>
          <w:color w:val="auto"/>
          <w:szCs w:val="28"/>
          <w:highlight w:val="none"/>
        </w:rPr>
      </w:pPr>
      <w:r>
        <w:rPr>
          <w:rFonts w:hint="eastAsia" w:ascii="宋体" w:hAnsi="宋体" w:cs="宋体"/>
          <w:color w:val="auto"/>
          <w:szCs w:val="28"/>
          <w:highlight w:val="none"/>
        </w:rPr>
        <w:t>10.3采购代理机构对招标文件中的采购需求、评标办法、评审项目等重要评审内容做出变更，将同时发布补遗文件进行说明以保证各投标人都能重新下载并用于编制电子投标文件。</w:t>
      </w:r>
    </w:p>
    <w:p w14:paraId="7FECE0DF">
      <w:pPr>
        <w:spacing w:line="360" w:lineRule="auto"/>
        <w:ind w:firstLine="420" w:firstLineChars="200"/>
        <w:jc w:val="left"/>
        <w:rPr>
          <w:rFonts w:hint="eastAsia" w:ascii="宋体" w:hAnsi="宋体" w:cs="宋体"/>
          <w:color w:val="auto"/>
          <w:szCs w:val="28"/>
          <w:highlight w:val="none"/>
        </w:rPr>
      </w:pPr>
      <w:r>
        <w:rPr>
          <w:rFonts w:hint="eastAsia" w:ascii="宋体" w:hAnsi="宋体" w:cs="宋体"/>
          <w:color w:val="auto"/>
          <w:szCs w:val="28"/>
          <w:highlight w:val="none"/>
        </w:rPr>
        <w:t>10.4投标人在收到采购代理机构书面答疑和澄清后，请自行登录云南省政府采购交易平台收取修改内容。投标人应在截标时间前随时查看</w:t>
      </w:r>
      <w:r>
        <w:rPr>
          <w:rFonts w:hint="eastAsia" w:ascii="宋体" w:hAnsi="宋体" w:cs="宋体"/>
          <w:color w:val="auto"/>
          <w:szCs w:val="21"/>
          <w:highlight w:val="none"/>
        </w:rPr>
        <w:t>指定采购信息发布媒体（发布媒体详见招标公告</w:t>
      </w:r>
      <w:r>
        <w:rPr>
          <w:rFonts w:hint="eastAsia" w:ascii="宋体" w:hAnsi="宋体" w:cs="宋体"/>
          <w:bCs/>
          <w:color w:val="auto"/>
          <w:szCs w:val="21"/>
          <w:highlight w:val="none"/>
        </w:rPr>
        <w:t>）</w:t>
      </w:r>
      <w:r>
        <w:rPr>
          <w:rFonts w:hint="eastAsia" w:ascii="宋体" w:hAnsi="宋体" w:cs="宋体"/>
          <w:color w:val="auto"/>
          <w:szCs w:val="28"/>
          <w:highlight w:val="none"/>
        </w:rPr>
        <w:t>中有关该项目招标文件的答疑、补遗内容。</w:t>
      </w:r>
    </w:p>
    <w:p w14:paraId="72333423">
      <w:pPr>
        <w:widowControl/>
        <w:spacing w:line="360" w:lineRule="auto"/>
        <w:ind w:firstLine="435"/>
        <w:jc w:val="left"/>
        <w:rPr>
          <w:rFonts w:hint="eastAsia" w:ascii="宋体" w:hAnsi="宋体" w:cs="宋体"/>
          <w:b/>
          <w:bCs/>
          <w:color w:val="auto"/>
          <w:kern w:val="0"/>
          <w:szCs w:val="21"/>
          <w:highlight w:val="none"/>
        </w:rPr>
      </w:pPr>
      <w:r>
        <w:rPr>
          <w:rFonts w:hint="eastAsia" w:ascii="宋体" w:hAnsi="宋体" w:cs="宋体"/>
          <w:color w:val="auto"/>
          <w:szCs w:val="28"/>
          <w:highlight w:val="none"/>
        </w:rPr>
        <w:t>10.5招标文件澄清、招标文件修改文件内容均以网上发布的文件为准，当招标文件、招标文件澄清、招标文件修改文件内容前后相互矛盾时，以最后发出的为准。</w:t>
      </w:r>
    </w:p>
    <w:p w14:paraId="419C624A">
      <w:pPr>
        <w:pStyle w:val="3"/>
        <w:numPr>
          <w:ilvl w:val="0"/>
          <w:numId w:val="0"/>
        </w:numPr>
        <w:spacing w:before="0"/>
        <w:ind w:firstLine="3612" w:firstLineChars="1290"/>
        <w:rPr>
          <w:rFonts w:hint="eastAsia" w:ascii="宋体" w:hAnsi="宋体" w:eastAsia="宋体"/>
          <w:color w:val="auto"/>
          <w:szCs w:val="28"/>
          <w:highlight w:val="none"/>
        </w:rPr>
      </w:pPr>
      <w:bookmarkStart w:id="136" w:name="_Toc14363"/>
      <w:bookmarkStart w:id="137" w:name="_Toc27856"/>
      <w:bookmarkStart w:id="138" w:name="_Toc11252"/>
      <w:bookmarkStart w:id="139" w:name="_Toc26721"/>
      <w:r>
        <w:rPr>
          <w:rFonts w:hint="eastAsia" w:ascii="宋体" w:hAnsi="宋体" w:eastAsia="宋体"/>
          <w:color w:val="auto"/>
          <w:szCs w:val="28"/>
          <w:highlight w:val="none"/>
        </w:rPr>
        <w:t>三、投标文件的编制</w:t>
      </w:r>
      <w:bookmarkEnd w:id="136"/>
      <w:bookmarkEnd w:id="137"/>
      <w:bookmarkEnd w:id="138"/>
      <w:bookmarkEnd w:id="139"/>
    </w:p>
    <w:p w14:paraId="27D1AD97">
      <w:pPr>
        <w:pStyle w:val="4"/>
        <w:numPr>
          <w:ilvl w:val="0"/>
          <w:numId w:val="2"/>
        </w:numPr>
        <w:spacing w:before="0"/>
        <w:rPr>
          <w:rFonts w:hint="eastAsia" w:ascii="宋体" w:hAnsi="宋体" w:eastAsia="宋体" w:cs="宋体"/>
          <w:color w:val="auto"/>
          <w:sz w:val="24"/>
          <w:szCs w:val="24"/>
          <w:highlight w:val="none"/>
        </w:rPr>
      </w:pPr>
      <w:bookmarkStart w:id="140" w:name="_Toc26518"/>
      <w:bookmarkStart w:id="141" w:name="_Toc32451"/>
      <w:bookmarkStart w:id="142" w:name="_Toc22360"/>
      <w:bookmarkStart w:id="143" w:name="_Toc31542"/>
      <w:r>
        <w:rPr>
          <w:rFonts w:hint="eastAsia" w:ascii="宋体" w:hAnsi="宋体" w:eastAsia="宋体" w:cs="宋体"/>
          <w:color w:val="auto"/>
          <w:sz w:val="24"/>
          <w:szCs w:val="24"/>
          <w:highlight w:val="none"/>
        </w:rPr>
        <w:t>投标文件编写注意事项</w:t>
      </w:r>
      <w:bookmarkEnd w:id="140"/>
      <w:bookmarkEnd w:id="141"/>
      <w:bookmarkEnd w:id="142"/>
      <w:bookmarkEnd w:id="143"/>
    </w:p>
    <w:p w14:paraId="1C46C197">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11.1本项目所述的投标文件包含电子投标文件</w:t>
      </w:r>
    </w:p>
    <w:p w14:paraId="0E08825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11.2 投标人应仔细阅读招标文件，在完全了解采购的内容、技术性能要求（见第五章“</w:t>
      </w:r>
      <w:r>
        <w:rPr>
          <w:rFonts w:hint="eastAsia" w:ascii="宋体" w:hAnsi="宋体"/>
          <w:bCs/>
          <w:color w:val="auto"/>
          <w:szCs w:val="21"/>
          <w:highlight w:val="none"/>
        </w:rPr>
        <w:t>服务需求</w:t>
      </w:r>
      <w:r>
        <w:rPr>
          <w:rFonts w:hint="eastAsia" w:ascii="宋体" w:hAnsi="宋体"/>
          <w:color w:val="auto"/>
          <w:szCs w:val="21"/>
          <w:highlight w:val="none"/>
        </w:rPr>
        <w:t>”）和商务条件后，编写投标文件。如果没有按照招标文件要求提交全部投标文件或者资料，没有对招标文件的实质性要求和条件作出响应是投标人的风险，并可能导致该投标无效。</w:t>
      </w:r>
    </w:p>
    <w:p w14:paraId="5D9D3BD3">
      <w:pPr>
        <w:spacing w:line="360" w:lineRule="auto"/>
        <w:ind w:firstLine="420" w:firstLineChars="200"/>
        <w:jc w:val="left"/>
        <w:rPr>
          <w:rFonts w:hint="eastAsia" w:ascii="宋体" w:hAnsi="宋体" w:cs="宋体"/>
          <w:color w:val="auto"/>
          <w:szCs w:val="21"/>
          <w:highlight w:val="none"/>
        </w:rPr>
      </w:pPr>
      <w:r>
        <w:rPr>
          <w:rFonts w:hint="eastAsia" w:ascii="宋体" w:hAnsi="宋体"/>
          <w:color w:val="auto"/>
          <w:szCs w:val="21"/>
          <w:highlight w:val="none"/>
        </w:rPr>
        <w:t>11.3 对招标文件提出的实质性要求和条件作出响应是指投标人必须对招标文件中标明的实质性服务需求、合同主要条款及其它要求等内容作出满足或者优于原要求和条件的承诺</w:t>
      </w:r>
      <w:r>
        <w:rPr>
          <w:rFonts w:hint="eastAsia" w:ascii="宋体" w:hAnsi="宋体" w:cs="宋体"/>
          <w:color w:val="auto"/>
          <w:szCs w:val="21"/>
          <w:highlight w:val="none"/>
        </w:rPr>
        <w:t>。</w:t>
      </w:r>
    </w:p>
    <w:p w14:paraId="387D0D14">
      <w:pPr>
        <w:spacing w:line="360" w:lineRule="auto"/>
        <w:ind w:firstLine="411" w:firstLineChars="196"/>
        <w:jc w:val="lef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11.4 招标文件中的实质性要求和条件详见“投标人须知前附表”。 </w:t>
      </w:r>
    </w:p>
    <w:p w14:paraId="76A45324">
      <w:pPr>
        <w:pStyle w:val="4"/>
        <w:numPr>
          <w:ilvl w:val="0"/>
          <w:numId w:val="2"/>
        </w:numPr>
        <w:spacing w:before="0"/>
        <w:rPr>
          <w:rFonts w:hint="eastAsia" w:ascii="宋体" w:hAnsi="宋体" w:eastAsia="宋体" w:cs="宋体"/>
          <w:color w:val="auto"/>
          <w:sz w:val="24"/>
          <w:szCs w:val="24"/>
          <w:highlight w:val="none"/>
        </w:rPr>
      </w:pPr>
      <w:bookmarkStart w:id="144" w:name="_Toc8885"/>
      <w:bookmarkStart w:id="145" w:name="_Toc24057"/>
      <w:bookmarkStart w:id="146" w:name="_Toc10463"/>
      <w:bookmarkStart w:id="147" w:name="_Toc25576"/>
      <w:r>
        <w:rPr>
          <w:rFonts w:hint="eastAsia" w:ascii="宋体" w:hAnsi="宋体" w:eastAsia="宋体" w:cs="宋体"/>
          <w:color w:val="auto"/>
          <w:sz w:val="24"/>
          <w:szCs w:val="24"/>
          <w:highlight w:val="none"/>
        </w:rPr>
        <w:t>投标的语言及计量单位</w:t>
      </w:r>
      <w:bookmarkEnd w:id="144"/>
      <w:bookmarkEnd w:id="145"/>
      <w:bookmarkEnd w:id="146"/>
      <w:bookmarkEnd w:id="147"/>
    </w:p>
    <w:p w14:paraId="3C3731F8">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12.1 投标人的投标文件以及投标人与采购代理机构就有关投标的所有来往函电统一使用中文（特别规定除外）。</w:t>
      </w:r>
    </w:p>
    <w:p w14:paraId="3D7F8458">
      <w:pPr>
        <w:spacing w:line="360" w:lineRule="auto"/>
        <w:ind w:firstLine="420" w:firstLineChars="200"/>
        <w:jc w:val="left"/>
        <w:rPr>
          <w:rFonts w:hint="eastAsia" w:ascii="宋体" w:hAnsi="宋体"/>
          <w:color w:val="auto"/>
          <w:szCs w:val="21"/>
          <w:highlight w:val="none"/>
        </w:rPr>
      </w:pPr>
      <w:r>
        <w:rPr>
          <w:rFonts w:hint="eastAsia" w:ascii="宋体" w:hAnsi="宋体" w:cs="宋体"/>
          <w:color w:val="auto"/>
          <w:szCs w:val="21"/>
          <w:highlight w:val="none"/>
        </w:rPr>
        <w:t>12.2 投标文件中使用的计量单位除招标文件中有特殊规定外，一律使用中国法定计量单位。</w:t>
      </w:r>
    </w:p>
    <w:p w14:paraId="114F5C06">
      <w:pPr>
        <w:pStyle w:val="4"/>
        <w:numPr>
          <w:ilvl w:val="0"/>
          <w:numId w:val="2"/>
        </w:numPr>
        <w:spacing w:before="0"/>
        <w:rPr>
          <w:rFonts w:hint="eastAsia" w:ascii="宋体" w:hAnsi="宋体" w:eastAsia="宋体" w:cs="宋体"/>
          <w:color w:val="auto"/>
          <w:sz w:val="24"/>
          <w:szCs w:val="24"/>
          <w:highlight w:val="none"/>
        </w:rPr>
      </w:pPr>
      <w:bookmarkStart w:id="148" w:name="_Toc2730"/>
      <w:bookmarkStart w:id="149" w:name="_Toc5359"/>
      <w:bookmarkStart w:id="150" w:name="_Toc19682"/>
      <w:bookmarkStart w:id="151" w:name="_Toc10616"/>
      <w:r>
        <w:rPr>
          <w:rFonts w:hint="eastAsia" w:ascii="宋体" w:hAnsi="宋体" w:eastAsia="宋体" w:cs="宋体"/>
          <w:color w:val="auto"/>
          <w:sz w:val="24"/>
          <w:szCs w:val="24"/>
          <w:highlight w:val="none"/>
        </w:rPr>
        <w:t>投标文件构成</w:t>
      </w:r>
      <w:bookmarkEnd w:id="148"/>
      <w:bookmarkEnd w:id="149"/>
      <w:bookmarkEnd w:id="150"/>
      <w:bookmarkEnd w:id="151"/>
    </w:p>
    <w:p w14:paraId="4C74659B">
      <w:pPr>
        <w:spacing w:line="360" w:lineRule="auto"/>
        <w:ind w:firstLine="420" w:firstLineChars="200"/>
        <w:jc w:val="left"/>
        <w:rPr>
          <w:rFonts w:hint="eastAsia" w:ascii="宋体" w:hAnsi="宋体" w:cs="宋体"/>
          <w:b/>
          <w:color w:val="auto"/>
          <w:szCs w:val="21"/>
          <w:highlight w:val="none"/>
        </w:rPr>
      </w:pPr>
      <w:r>
        <w:rPr>
          <w:rFonts w:hint="eastAsia" w:ascii="宋体" w:hAnsi="宋体" w:cs="宋体"/>
          <w:color w:val="auto"/>
          <w:szCs w:val="21"/>
          <w:highlight w:val="none"/>
        </w:rPr>
        <w:t>13.1投标人编写的投标文件应由下列部分构成：</w:t>
      </w:r>
    </w:p>
    <w:p w14:paraId="08EFBFA7">
      <w:pPr>
        <w:spacing w:line="360" w:lineRule="auto"/>
        <w:ind w:firstLine="420" w:firstLineChars="200"/>
        <w:jc w:val="left"/>
        <w:rPr>
          <w:rFonts w:ascii="宋体"/>
          <w:b/>
          <w:color w:val="auto"/>
          <w:szCs w:val="21"/>
          <w:highlight w:val="none"/>
        </w:rPr>
      </w:pPr>
      <w:r>
        <w:rPr>
          <w:rFonts w:hint="eastAsia" w:ascii="宋体"/>
          <w:b/>
          <w:color w:val="auto"/>
          <w:szCs w:val="21"/>
          <w:highlight w:val="none"/>
        </w:rPr>
        <w:t>（1）资格响应文件：按第四章“投标文件格式”提供的“一、资格响应文件”的格式及要求填写；</w:t>
      </w:r>
    </w:p>
    <w:p w14:paraId="616BE25F">
      <w:pPr>
        <w:spacing w:line="360" w:lineRule="auto"/>
        <w:ind w:firstLine="420" w:firstLineChars="200"/>
        <w:jc w:val="left"/>
        <w:rPr>
          <w:rFonts w:ascii="宋体"/>
          <w:b/>
          <w:color w:val="auto"/>
          <w:szCs w:val="21"/>
          <w:highlight w:val="none"/>
        </w:rPr>
      </w:pPr>
      <w:r>
        <w:rPr>
          <w:rFonts w:hint="eastAsia" w:ascii="宋体"/>
          <w:b/>
          <w:color w:val="auto"/>
          <w:szCs w:val="21"/>
          <w:highlight w:val="none"/>
        </w:rPr>
        <w:t>（2）商务响应文件：按第四章“投标文件格式”提供的“二、商务响应文件”格式及要求填写；</w:t>
      </w:r>
    </w:p>
    <w:p w14:paraId="2A1002A6">
      <w:pPr>
        <w:spacing w:line="360" w:lineRule="auto"/>
        <w:ind w:firstLine="420" w:firstLineChars="200"/>
        <w:jc w:val="left"/>
        <w:rPr>
          <w:rFonts w:ascii="宋体"/>
          <w:b/>
          <w:color w:val="auto"/>
          <w:szCs w:val="21"/>
          <w:highlight w:val="none"/>
        </w:rPr>
      </w:pPr>
      <w:r>
        <w:rPr>
          <w:rFonts w:hint="eastAsia" w:ascii="宋体"/>
          <w:b/>
          <w:color w:val="auto"/>
          <w:szCs w:val="21"/>
          <w:highlight w:val="none"/>
        </w:rPr>
        <w:t>（3）技术响应文件：按第四章“投标文件格式”提供的“三、技术响应文件”格式及要求填写；</w:t>
      </w:r>
    </w:p>
    <w:p w14:paraId="1D104DDF">
      <w:pPr>
        <w:spacing w:line="360" w:lineRule="auto"/>
        <w:ind w:firstLine="420" w:firstLineChars="200"/>
        <w:jc w:val="left"/>
        <w:rPr>
          <w:rFonts w:ascii="宋体"/>
          <w:b/>
          <w:color w:val="auto"/>
          <w:szCs w:val="21"/>
          <w:highlight w:val="none"/>
        </w:rPr>
      </w:pPr>
      <w:r>
        <w:rPr>
          <w:rFonts w:hint="eastAsia" w:ascii="宋体"/>
          <w:b/>
          <w:color w:val="auto"/>
          <w:szCs w:val="21"/>
          <w:highlight w:val="none"/>
        </w:rPr>
        <w:t>（4）报价响应文件：按第四章“投标文件格式”提供的“四、报价响应文件” 的格式及要求填写。</w:t>
      </w:r>
    </w:p>
    <w:p w14:paraId="2F3B82EF">
      <w:pPr>
        <w:spacing w:line="360" w:lineRule="auto"/>
        <w:ind w:firstLine="210" w:firstLineChars="100"/>
        <w:jc w:val="left"/>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24BEE9A8">
      <w:pPr>
        <w:pStyle w:val="4"/>
        <w:numPr>
          <w:ilvl w:val="0"/>
          <w:numId w:val="2"/>
        </w:numPr>
        <w:spacing w:before="0"/>
        <w:rPr>
          <w:rFonts w:hint="eastAsia" w:ascii="宋体" w:hAnsi="宋体" w:eastAsia="宋体" w:cs="宋体"/>
          <w:color w:val="auto"/>
          <w:sz w:val="24"/>
          <w:szCs w:val="24"/>
          <w:highlight w:val="none"/>
        </w:rPr>
      </w:pPr>
      <w:bookmarkStart w:id="152" w:name="_Toc23285"/>
      <w:bookmarkStart w:id="153" w:name="_Toc25619"/>
      <w:bookmarkStart w:id="154" w:name="_Toc19072"/>
      <w:bookmarkStart w:id="155" w:name="_Toc24133"/>
      <w:r>
        <w:rPr>
          <w:rFonts w:hint="eastAsia" w:ascii="宋体" w:hAnsi="宋体" w:eastAsia="宋体" w:cs="宋体"/>
          <w:color w:val="auto"/>
          <w:sz w:val="24"/>
          <w:szCs w:val="24"/>
          <w:highlight w:val="none"/>
        </w:rPr>
        <w:t>投标文件的格式要求</w:t>
      </w:r>
      <w:bookmarkEnd w:id="152"/>
      <w:bookmarkEnd w:id="153"/>
      <w:bookmarkEnd w:id="154"/>
      <w:bookmarkEnd w:id="155"/>
    </w:p>
    <w:p w14:paraId="24A85350">
      <w:pPr>
        <w:spacing w:line="360" w:lineRule="auto"/>
        <w:ind w:firstLine="420" w:firstLineChars="200"/>
        <w:jc w:val="left"/>
        <w:rPr>
          <w:rFonts w:hint="eastAsia" w:ascii="宋体" w:hAnsi="宋体" w:cs="宋体"/>
          <w:bCs/>
          <w:color w:val="auto"/>
          <w:szCs w:val="21"/>
          <w:highlight w:val="none"/>
        </w:rPr>
      </w:pPr>
      <w:r>
        <w:rPr>
          <w:rFonts w:hint="eastAsia" w:ascii="宋体" w:hAnsi="宋体" w:cs="宋体"/>
          <w:color w:val="auto"/>
          <w:szCs w:val="21"/>
          <w:highlight w:val="none"/>
        </w:rPr>
        <w:t>投标人应按第四章“投标文件格式”提供的格式完整地填写。</w:t>
      </w:r>
    </w:p>
    <w:p w14:paraId="2DE07561">
      <w:pPr>
        <w:pStyle w:val="4"/>
        <w:numPr>
          <w:ilvl w:val="0"/>
          <w:numId w:val="2"/>
        </w:numPr>
        <w:spacing w:before="0"/>
        <w:rPr>
          <w:rFonts w:hint="eastAsia" w:ascii="宋体" w:hAnsi="宋体" w:eastAsia="宋体" w:cs="宋体"/>
          <w:color w:val="auto"/>
          <w:sz w:val="24"/>
          <w:szCs w:val="24"/>
          <w:highlight w:val="none"/>
        </w:rPr>
      </w:pPr>
      <w:bookmarkStart w:id="156" w:name="_Toc10627"/>
      <w:bookmarkStart w:id="157" w:name="_Toc27778"/>
      <w:bookmarkStart w:id="158" w:name="_Toc27328"/>
      <w:bookmarkStart w:id="159" w:name="_Toc13891"/>
      <w:r>
        <w:rPr>
          <w:rFonts w:hint="eastAsia" w:ascii="宋体" w:hAnsi="宋体" w:eastAsia="宋体" w:cs="宋体"/>
          <w:color w:val="auto"/>
          <w:sz w:val="24"/>
          <w:szCs w:val="24"/>
          <w:highlight w:val="none"/>
        </w:rPr>
        <w:t>投标报价</w:t>
      </w:r>
      <w:bookmarkEnd w:id="156"/>
      <w:bookmarkEnd w:id="157"/>
      <w:bookmarkEnd w:id="158"/>
      <w:bookmarkEnd w:id="159"/>
    </w:p>
    <w:p w14:paraId="464F01AB">
      <w:pPr>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15.1报价指完成整个项目的人员工资、社保费、福利费、保险费、装备费、管理费、税费等及合理利润的总和。</w:t>
      </w:r>
    </w:p>
    <w:p w14:paraId="27107B34">
      <w:pPr>
        <w:spacing w:line="360" w:lineRule="auto"/>
        <w:ind w:firstLine="420" w:firstLineChars="200"/>
        <w:jc w:val="left"/>
        <w:rPr>
          <w:rFonts w:hint="eastAsia" w:ascii="宋体" w:hAnsi="宋体" w:cs="宋体"/>
          <w:b/>
          <w:color w:val="auto"/>
          <w:szCs w:val="21"/>
          <w:highlight w:val="none"/>
        </w:rPr>
      </w:pPr>
      <w:r>
        <w:rPr>
          <w:rFonts w:hint="eastAsia" w:ascii="宋体" w:hAnsi="宋体" w:cs="宋体"/>
          <w:b/>
          <w:color w:val="auto"/>
          <w:szCs w:val="21"/>
          <w:highlight w:val="none"/>
        </w:rPr>
        <w:t>15.2 ★投标人须就“服务需求”中的</w:t>
      </w:r>
      <w:r>
        <w:rPr>
          <w:rFonts w:hint="eastAsia" w:ascii="宋体" w:hAnsi="宋体" w:cs="宋体"/>
          <w:b/>
          <w:bCs/>
          <w:color w:val="auto"/>
          <w:szCs w:val="21"/>
          <w:highlight w:val="none"/>
        </w:rPr>
        <w:t>服务内容作完整唯一报价，不得缺项、漏项</w:t>
      </w:r>
      <w:r>
        <w:rPr>
          <w:rFonts w:hint="eastAsia" w:ascii="宋体" w:hAnsi="宋体" w:cs="宋体"/>
          <w:b/>
          <w:color w:val="auto"/>
          <w:szCs w:val="21"/>
          <w:highlight w:val="none"/>
        </w:rPr>
        <w:t>。</w:t>
      </w:r>
    </w:p>
    <w:p w14:paraId="7EB04829">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15.3投标人的投标报价应依据招标文件的要求及有关资料，执行国家规定的现行技术、经济标准、定额及规范，由投标人自行测算出现行市场的各类价格。报价包括但不仅限于完成整个项目期间发生的人员工资、社保费及必要的保险费用和各项税金、培训等费用，该报价应符合实际情况并能保证投标人完成履行合同所需的一切工作。合同一旦签订，此合同价格在合同执行期间将不因工作量的变化而调整。</w:t>
      </w:r>
    </w:p>
    <w:p w14:paraId="441667B0">
      <w:pPr>
        <w:pStyle w:val="4"/>
        <w:numPr>
          <w:ilvl w:val="0"/>
          <w:numId w:val="2"/>
        </w:numPr>
        <w:spacing w:before="0"/>
        <w:rPr>
          <w:rFonts w:hint="eastAsia" w:ascii="宋体" w:hAnsi="宋体" w:eastAsia="宋体" w:cs="宋体"/>
          <w:color w:val="auto"/>
          <w:sz w:val="24"/>
          <w:szCs w:val="24"/>
          <w:highlight w:val="none"/>
        </w:rPr>
      </w:pPr>
      <w:bookmarkStart w:id="160" w:name="_Toc28170"/>
      <w:bookmarkStart w:id="161" w:name="_Toc24587"/>
      <w:bookmarkStart w:id="162" w:name="_Toc17550"/>
      <w:bookmarkStart w:id="163" w:name="_Toc21528"/>
      <w:r>
        <w:rPr>
          <w:rFonts w:hint="eastAsia" w:ascii="宋体" w:hAnsi="宋体" w:eastAsia="宋体" w:cs="宋体"/>
          <w:color w:val="auto"/>
          <w:sz w:val="24"/>
          <w:szCs w:val="24"/>
          <w:highlight w:val="none"/>
        </w:rPr>
        <w:t>投标货币</w:t>
      </w:r>
      <w:bookmarkEnd w:id="160"/>
      <w:bookmarkEnd w:id="161"/>
      <w:bookmarkEnd w:id="162"/>
      <w:bookmarkEnd w:id="163"/>
    </w:p>
    <w:p w14:paraId="1D8A99F7">
      <w:pPr>
        <w:spacing w:line="360" w:lineRule="auto"/>
        <w:ind w:firstLine="420" w:firstLineChars="200"/>
        <w:jc w:val="left"/>
        <w:rPr>
          <w:rFonts w:hint="eastAsia" w:ascii="宋体" w:hAnsi="宋体" w:cs="宋体"/>
          <w:bCs/>
          <w:color w:val="auto"/>
          <w:szCs w:val="21"/>
          <w:highlight w:val="none"/>
        </w:rPr>
      </w:pPr>
      <w:r>
        <w:rPr>
          <w:rFonts w:hint="eastAsia" w:ascii="宋体" w:hAnsi="宋体" w:cs="宋体"/>
          <w:color w:val="auto"/>
          <w:szCs w:val="21"/>
          <w:highlight w:val="none"/>
        </w:rPr>
        <w:t>投标应以人民币报价。</w:t>
      </w:r>
    </w:p>
    <w:p w14:paraId="5C4783F4">
      <w:pPr>
        <w:pStyle w:val="4"/>
        <w:numPr>
          <w:ilvl w:val="0"/>
          <w:numId w:val="2"/>
        </w:numPr>
        <w:spacing w:before="0"/>
        <w:rPr>
          <w:rFonts w:hint="eastAsia" w:ascii="宋体" w:hAnsi="宋体" w:eastAsia="宋体" w:cs="宋体"/>
          <w:color w:val="auto"/>
          <w:sz w:val="24"/>
          <w:szCs w:val="24"/>
          <w:highlight w:val="none"/>
        </w:rPr>
      </w:pPr>
      <w:bookmarkStart w:id="164" w:name="_Toc27222"/>
      <w:bookmarkStart w:id="165" w:name="_Toc2477"/>
      <w:bookmarkStart w:id="166" w:name="_Toc11734"/>
      <w:bookmarkStart w:id="167" w:name="_Toc6736"/>
      <w:r>
        <w:rPr>
          <w:rFonts w:hint="eastAsia" w:ascii="宋体" w:hAnsi="宋体" w:eastAsia="宋体" w:cs="宋体"/>
          <w:color w:val="auto"/>
          <w:sz w:val="24"/>
          <w:szCs w:val="24"/>
          <w:highlight w:val="none"/>
        </w:rPr>
        <w:t>投标有效期</w:t>
      </w:r>
      <w:bookmarkEnd w:id="164"/>
      <w:bookmarkEnd w:id="165"/>
      <w:bookmarkEnd w:id="166"/>
      <w:bookmarkEnd w:id="167"/>
    </w:p>
    <w:p w14:paraId="3177B6AB">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17.1 在“</w:t>
      </w:r>
      <w:r>
        <w:rPr>
          <w:rFonts w:hint="eastAsia" w:ascii="宋体" w:hAnsi="宋体" w:cs="宋体"/>
          <w:bCs/>
          <w:color w:val="auto"/>
          <w:szCs w:val="21"/>
          <w:highlight w:val="none"/>
        </w:rPr>
        <w:t>投标人须知前附表</w:t>
      </w:r>
      <w:r>
        <w:rPr>
          <w:rFonts w:hint="eastAsia" w:ascii="宋体" w:hAnsi="宋体" w:cs="宋体"/>
          <w:color w:val="auto"/>
          <w:szCs w:val="21"/>
          <w:highlight w:val="none"/>
        </w:rPr>
        <w:t>”规定的投标有效期内，投标人不得要求撤销或修改其投标文件。</w:t>
      </w:r>
    </w:p>
    <w:p w14:paraId="3EE411AD">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17.2 因特殊情况需要延长投标有效期的，采购人以书面形式通知所有投标人延长投标有效期。但不得要求或被允许修改或撤销其投标文件；投标人拒绝延长的，其投标失效。</w:t>
      </w:r>
    </w:p>
    <w:p w14:paraId="0E9BB4E2">
      <w:pPr>
        <w:pStyle w:val="4"/>
        <w:numPr>
          <w:ilvl w:val="0"/>
          <w:numId w:val="2"/>
        </w:numPr>
        <w:spacing w:before="0"/>
        <w:rPr>
          <w:rFonts w:hint="eastAsia" w:ascii="宋体" w:hAnsi="宋体" w:eastAsia="宋体" w:cs="宋体"/>
          <w:color w:val="auto"/>
          <w:sz w:val="24"/>
          <w:szCs w:val="24"/>
          <w:highlight w:val="none"/>
        </w:rPr>
      </w:pPr>
      <w:bookmarkStart w:id="168" w:name="_Toc3276"/>
      <w:bookmarkStart w:id="169" w:name="_Toc3394"/>
      <w:bookmarkStart w:id="170" w:name="_Toc11365"/>
      <w:bookmarkStart w:id="171" w:name="_Toc4502"/>
      <w:r>
        <w:rPr>
          <w:rFonts w:hint="eastAsia" w:ascii="宋体" w:hAnsi="宋体" w:eastAsia="宋体" w:cs="宋体"/>
          <w:color w:val="auto"/>
          <w:sz w:val="24"/>
          <w:szCs w:val="24"/>
          <w:highlight w:val="none"/>
        </w:rPr>
        <w:t>投标文件的签署要求</w:t>
      </w:r>
      <w:bookmarkEnd w:id="168"/>
      <w:bookmarkEnd w:id="169"/>
      <w:bookmarkEnd w:id="170"/>
      <w:bookmarkEnd w:id="171"/>
    </w:p>
    <w:p w14:paraId="67D3BE17">
      <w:pPr>
        <w:widowControl/>
        <w:spacing w:line="360" w:lineRule="auto"/>
        <w:ind w:firstLine="420"/>
        <w:jc w:val="left"/>
        <w:rPr>
          <w:rFonts w:hint="eastAsia" w:ascii="宋体" w:hAnsi="宋体" w:cs="宋体"/>
          <w:color w:val="auto"/>
          <w:szCs w:val="28"/>
          <w:highlight w:val="none"/>
        </w:rPr>
      </w:pPr>
      <w:r>
        <w:rPr>
          <w:rFonts w:hint="eastAsia" w:ascii="宋体" w:hAnsi="宋体" w:cs="宋体"/>
          <w:bCs/>
          <w:color w:val="auto"/>
          <w:kern w:val="0"/>
          <w:szCs w:val="21"/>
          <w:highlight w:val="none"/>
        </w:rPr>
        <w:t>18.1 电子投标文件的签章和签名要求：</w:t>
      </w:r>
      <w:r>
        <w:rPr>
          <w:rFonts w:hint="eastAsia" w:ascii="宋体" w:hAnsi="宋体" w:cs="宋体"/>
          <w:color w:val="auto"/>
          <w:szCs w:val="28"/>
          <w:highlight w:val="none"/>
        </w:rPr>
        <w:t>按照投标文件格式，采用单位和个人数字证书电子签章及电子签名：投标文件需要企业、法定代表人电子签章及电子签名。</w:t>
      </w:r>
    </w:p>
    <w:p w14:paraId="6961B35C">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8"/>
          <w:highlight w:val="none"/>
        </w:rPr>
        <w:t>18.2</w:t>
      </w:r>
      <w:r>
        <w:rPr>
          <w:rFonts w:hint="eastAsia" w:ascii="宋体" w:hAnsi="宋体" w:cs="宋体"/>
          <w:color w:val="auto"/>
          <w:szCs w:val="21"/>
          <w:highlight w:val="none"/>
        </w:rPr>
        <w:t>因复印、扫描、拍摄模糊，字迹潦草，表达不清，未按要求填写而导致非唯一理解，造成未实质性响应招标文件的投标文件将会被认定为无效的投标。</w:t>
      </w:r>
    </w:p>
    <w:p w14:paraId="1EA9A4B4">
      <w:pPr>
        <w:pStyle w:val="3"/>
        <w:numPr>
          <w:ilvl w:val="0"/>
          <w:numId w:val="0"/>
        </w:numPr>
        <w:spacing w:before="0"/>
        <w:ind w:firstLine="3612" w:firstLineChars="1290"/>
        <w:rPr>
          <w:rFonts w:hint="eastAsia" w:ascii="宋体" w:hAnsi="宋体" w:eastAsia="宋体"/>
          <w:color w:val="auto"/>
          <w:szCs w:val="28"/>
          <w:highlight w:val="none"/>
        </w:rPr>
      </w:pPr>
      <w:bookmarkStart w:id="172" w:name="_Toc2180"/>
      <w:bookmarkStart w:id="173" w:name="_Toc26131"/>
      <w:bookmarkStart w:id="174" w:name="_Toc29271"/>
      <w:bookmarkStart w:id="175" w:name="_Toc29120"/>
      <w:r>
        <w:rPr>
          <w:rFonts w:hint="eastAsia" w:ascii="宋体" w:hAnsi="宋体" w:eastAsia="宋体"/>
          <w:color w:val="auto"/>
          <w:szCs w:val="28"/>
          <w:highlight w:val="none"/>
        </w:rPr>
        <w:t>四、投标文件的提交</w:t>
      </w:r>
      <w:bookmarkEnd w:id="172"/>
      <w:bookmarkEnd w:id="173"/>
      <w:bookmarkEnd w:id="174"/>
      <w:bookmarkEnd w:id="175"/>
    </w:p>
    <w:p w14:paraId="23F488DD">
      <w:pPr>
        <w:pStyle w:val="4"/>
        <w:numPr>
          <w:ilvl w:val="0"/>
          <w:numId w:val="2"/>
        </w:numPr>
        <w:spacing w:before="0"/>
        <w:rPr>
          <w:rFonts w:hint="eastAsia" w:ascii="宋体" w:hAnsi="宋体" w:eastAsia="宋体" w:cs="宋体"/>
          <w:color w:val="auto"/>
          <w:sz w:val="24"/>
          <w:szCs w:val="24"/>
          <w:highlight w:val="none"/>
        </w:rPr>
      </w:pPr>
      <w:bookmarkStart w:id="176" w:name="_Toc1689"/>
      <w:bookmarkStart w:id="177" w:name="_Toc2922"/>
      <w:bookmarkStart w:id="178" w:name="_Toc20289"/>
      <w:bookmarkStart w:id="179" w:name="_Toc11890"/>
      <w:r>
        <w:rPr>
          <w:rFonts w:hint="eastAsia" w:ascii="宋体" w:hAnsi="宋体" w:eastAsia="宋体" w:cs="宋体"/>
          <w:color w:val="auto"/>
          <w:sz w:val="24"/>
          <w:szCs w:val="24"/>
          <w:highlight w:val="none"/>
        </w:rPr>
        <w:t>投标文件的密封、标记与提交</w:t>
      </w:r>
      <w:bookmarkEnd w:id="176"/>
      <w:bookmarkEnd w:id="177"/>
      <w:bookmarkEnd w:id="178"/>
      <w:bookmarkEnd w:id="179"/>
    </w:p>
    <w:p w14:paraId="536B427C">
      <w:pPr>
        <w:spacing w:line="360" w:lineRule="auto"/>
        <w:ind w:firstLine="420" w:firstLineChars="200"/>
        <w:jc w:val="left"/>
        <w:rPr>
          <w:rFonts w:hint="eastAsia" w:ascii="宋体" w:hAnsi="宋体"/>
          <w:color w:val="auto"/>
          <w:szCs w:val="28"/>
          <w:highlight w:val="none"/>
        </w:rPr>
      </w:pPr>
      <w:r>
        <w:rPr>
          <w:rFonts w:hint="eastAsia" w:ascii="宋体" w:hAnsi="宋体"/>
          <w:color w:val="auto"/>
          <w:szCs w:val="28"/>
          <w:highlight w:val="none"/>
        </w:rPr>
        <w:t>（1）本项目为全流程电子化项目，通过“政采云”平台（http：//www.zcygov.cn）实行在线电子投标，投标人应先安装“政采云电子交易客户端”（请自行前往“政采云”平台进行下载），并按照本项目采购文件和“政采云”平台的要求编制、加密后在投标提交截止时间前通过网络上传至“政采云”平台，投标人在“政采云”平台提交电子投标文件时，请填写参加远程采购活动经办人联系方式。</w:t>
      </w:r>
    </w:p>
    <w:p w14:paraId="58DC9238">
      <w:pPr>
        <w:spacing w:line="360" w:lineRule="auto"/>
        <w:ind w:firstLine="420" w:firstLineChars="200"/>
        <w:jc w:val="left"/>
        <w:rPr>
          <w:rFonts w:hint="eastAsia" w:ascii="宋体" w:hAnsi="宋体"/>
          <w:color w:val="auto"/>
          <w:szCs w:val="28"/>
          <w:highlight w:val="none"/>
        </w:rPr>
      </w:pPr>
      <w:r>
        <w:rPr>
          <w:rFonts w:hint="eastAsia" w:ascii="宋体" w:hAnsi="宋体"/>
          <w:color w:val="auto"/>
          <w:szCs w:val="28"/>
          <w:highlight w:val="none"/>
        </w:rPr>
        <w:t>（2）投标人对网上提交的投标文件必须加密，如果投标人使用某个数字证书（CA）对投标文件进行了数字证书（CA）加密，需要在开标过程中使用该数字证书（CA）进行解密，才能读取或导入响应文件，因投标人原因造成投标文件未解密的，视为撤回其响应文件。</w:t>
      </w:r>
    </w:p>
    <w:p w14:paraId="42B67768">
      <w:pPr>
        <w:spacing w:line="360" w:lineRule="auto"/>
        <w:ind w:firstLine="420" w:firstLineChars="200"/>
        <w:jc w:val="left"/>
        <w:rPr>
          <w:rFonts w:hint="eastAsia" w:ascii="宋体" w:hAnsi="宋体"/>
          <w:b/>
          <w:color w:val="auto"/>
          <w:szCs w:val="21"/>
          <w:highlight w:val="none"/>
        </w:rPr>
      </w:pPr>
      <w:r>
        <w:rPr>
          <w:rFonts w:hint="eastAsia" w:ascii="宋体" w:hAnsi="宋体"/>
          <w:color w:val="auto"/>
          <w:szCs w:val="28"/>
          <w:highlight w:val="none"/>
        </w:rPr>
        <w:t>（3）网上递交投标文件应根据招标文件要求，在提交电子投标文件截止时间前通过“政采云”平台（http：//www.zcygov.cn）上传相应招标项目的电子投标文件。</w:t>
      </w:r>
    </w:p>
    <w:p w14:paraId="0E72A4C5">
      <w:pPr>
        <w:pStyle w:val="3"/>
        <w:numPr>
          <w:ilvl w:val="0"/>
          <w:numId w:val="0"/>
        </w:numPr>
        <w:spacing w:before="0"/>
        <w:ind w:firstLine="3612" w:firstLineChars="1290"/>
        <w:rPr>
          <w:rFonts w:hint="eastAsia" w:ascii="宋体" w:hAnsi="宋体" w:eastAsia="宋体"/>
          <w:color w:val="auto"/>
          <w:szCs w:val="28"/>
          <w:highlight w:val="none"/>
        </w:rPr>
      </w:pPr>
      <w:bookmarkStart w:id="180" w:name="_Toc3310"/>
      <w:bookmarkStart w:id="181" w:name="_Toc29420"/>
      <w:bookmarkStart w:id="182" w:name="_Toc14460"/>
      <w:bookmarkStart w:id="183" w:name="_Toc21026"/>
      <w:r>
        <w:rPr>
          <w:rFonts w:hint="eastAsia" w:ascii="宋体" w:hAnsi="宋体" w:eastAsia="宋体"/>
          <w:color w:val="auto"/>
          <w:szCs w:val="28"/>
          <w:highlight w:val="none"/>
        </w:rPr>
        <w:t>五、开标与评标</w:t>
      </w:r>
      <w:bookmarkEnd w:id="180"/>
      <w:bookmarkEnd w:id="181"/>
      <w:bookmarkEnd w:id="182"/>
      <w:bookmarkEnd w:id="183"/>
    </w:p>
    <w:p w14:paraId="467FFA9F">
      <w:pPr>
        <w:pStyle w:val="4"/>
        <w:numPr>
          <w:ilvl w:val="0"/>
          <w:numId w:val="2"/>
        </w:numPr>
        <w:spacing w:before="0"/>
        <w:rPr>
          <w:rFonts w:hint="eastAsia" w:ascii="宋体" w:hAnsi="宋体" w:eastAsia="宋体" w:cs="宋体"/>
          <w:color w:val="auto"/>
          <w:sz w:val="24"/>
          <w:szCs w:val="24"/>
          <w:highlight w:val="none"/>
        </w:rPr>
      </w:pPr>
      <w:bookmarkStart w:id="184" w:name="_Toc14776"/>
      <w:bookmarkStart w:id="185" w:name="_Toc4535"/>
      <w:bookmarkStart w:id="186" w:name="_Toc28900"/>
      <w:bookmarkStart w:id="187" w:name="_Toc7697"/>
      <w:r>
        <w:rPr>
          <w:rFonts w:hint="eastAsia" w:ascii="宋体" w:hAnsi="宋体" w:eastAsia="宋体" w:cs="宋体"/>
          <w:color w:val="auto"/>
          <w:sz w:val="24"/>
          <w:szCs w:val="24"/>
          <w:highlight w:val="none"/>
        </w:rPr>
        <w:t>开标</w:t>
      </w:r>
      <w:bookmarkEnd w:id="184"/>
      <w:bookmarkEnd w:id="185"/>
      <w:bookmarkEnd w:id="186"/>
      <w:bookmarkEnd w:id="187"/>
    </w:p>
    <w:p w14:paraId="727E0564">
      <w:pPr>
        <w:widowControl/>
        <w:spacing w:line="360" w:lineRule="auto"/>
        <w:ind w:firstLine="420" w:firstLineChars="200"/>
        <w:jc w:val="left"/>
        <w:rPr>
          <w:rFonts w:hint="eastAsia" w:ascii="宋体" w:hAnsi="宋体"/>
          <w:b/>
          <w:bCs/>
          <w:color w:val="auto"/>
          <w:szCs w:val="21"/>
          <w:highlight w:val="none"/>
        </w:rPr>
      </w:pPr>
      <w:r>
        <w:rPr>
          <w:rFonts w:hint="eastAsia" w:ascii="宋体" w:hAnsi="宋体"/>
          <w:b/>
          <w:bCs/>
          <w:color w:val="auto"/>
          <w:szCs w:val="21"/>
          <w:highlight w:val="none"/>
        </w:rPr>
        <w:t>20.1 采购代理机构将在“投标人须知前附表”规定的时间和地点进行开标，投标人不须到达开标地点，须在"政采云"平台在规定的时间内进行远程解密，否则视为撤销其投标文件，不再进入评标阶段。</w:t>
      </w:r>
    </w:p>
    <w:p w14:paraId="734838F0">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20.2开标程序</w:t>
      </w:r>
    </w:p>
    <w:p w14:paraId="6E79A399">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开标程序在政采云平台进行， 所有上传投标文件的投标人应登录政采云平台参加。开标程序主要流程为签到、解密、唱标和签名，每一步骤均应按照采购云平台的规定进行操作。</w:t>
      </w:r>
    </w:p>
    <w:p w14:paraId="6931AC63">
      <w:pPr>
        <w:pStyle w:val="16"/>
        <w:tabs>
          <w:tab w:val="left" w:pos="2472"/>
        </w:tabs>
        <w:spacing w:line="360" w:lineRule="auto"/>
        <w:ind w:firstLine="420" w:firstLineChars="200"/>
        <w:rPr>
          <w:rFonts w:hint="eastAsia" w:hAnsi="宋体"/>
          <w:color w:val="auto"/>
          <w:szCs w:val="21"/>
          <w:highlight w:val="none"/>
        </w:rPr>
      </w:pPr>
      <w:r>
        <w:rPr>
          <w:rFonts w:hint="eastAsia" w:hAnsi="宋体"/>
          <w:color w:val="auto"/>
          <w:szCs w:val="21"/>
          <w:highlight w:val="none"/>
        </w:rPr>
        <w:t>提交投标文件截止，政采云平台显示开启后，投标人应在规定时间内使用数字证书对其投标文件解密。 逾期未完成签到或解密的投标人，其投标文件将作无效投标处理。因平台系统原因导致投标人无法在上述要求时间内完成签到或解密的除外。</w:t>
      </w:r>
    </w:p>
    <w:p w14:paraId="67062059">
      <w:pPr>
        <w:pStyle w:val="16"/>
        <w:tabs>
          <w:tab w:val="left" w:pos="2472"/>
        </w:tabs>
        <w:spacing w:line="360" w:lineRule="auto"/>
        <w:ind w:firstLine="420" w:firstLineChars="200"/>
        <w:rPr>
          <w:rFonts w:hint="eastAsia" w:hAnsi="宋体"/>
          <w:color w:val="auto"/>
          <w:szCs w:val="21"/>
          <w:highlight w:val="none"/>
        </w:rPr>
      </w:pPr>
      <w:r>
        <w:rPr>
          <w:rFonts w:hint="eastAsia" w:hAnsi="宋体"/>
          <w:color w:val="auto"/>
          <w:szCs w:val="21"/>
          <w:highlight w:val="none"/>
        </w:rPr>
        <w:t>20.3 投标文件如果出现计算或表达上的错误，按照下列规定修正：</w:t>
      </w:r>
    </w:p>
    <w:p w14:paraId="34C5D664">
      <w:pPr>
        <w:pStyle w:val="16"/>
        <w:tabs>
          <w:tab w:val="left" w:pos="2472"/>
        </w:tabs>
        <w:spacing w:line="360" w:lineRule="auto"/>
        <w:ind w:firstLine="420" w:firstLineChars="200"/>
        <w:rPr>
          <w:rFonts w:hint="eastAsia" w:hAnsi="宋体"/>
          <w:color w:val="auto"/>
          <w:szCs w:val="21"/>
          <w:highlight w:val="none"/>
        </w:rPr>
      </w:pPr>
      <w:r>
        <w:rPr>
          <w:rFonts w:hint="eastAsia" w:hAnsi="宋体"/>
          <w:color w:val="auto"/>
          <w:szCs w:val="21"/>
          <w:highlight w:val="none"/>
        </w:rPr>
        <w:t>（1）投标文件中开标一览表（开标系统中填写部分）内容与投标文件中相应内容不一致的，以开标一览表（开标系统中填写部分）为准。</w:t>
      </w:r>
    </w:p>
    <w:p w14:paraId="1FE3883C">
      <w:pPr>
        <w:pStyle w:val="16"/>
        <w:tabs>
          <w:tab w:val="left" w:pos="2472"/>
        </w:tabs>
        <w:spacing w:line="360" w:lineRule="auto"/>
        <w:ind w:firstLine="420" w:firstLineChars="200"/>
        <w:rPr>
          <w:rFonts w:hint="eastAsia" w:hAnsi="宋体"/>
          <w:color w:val="auto"/>
          <w:szCs w:val="21"/>
          <w:highlight w:val="none"/>
        </w:rPr>
      </w:pPr>
      <w:r>
        <w:rPr>
          <w:rFonts w:hint="eastAsia" w:hAnsi="宋体"/>
          <w:color w:val="auto"/>
          <w:szCs w:val="21"/>
          <w:highlight w:val="none"/>
        </w:rPr>
        <w:t>（2）大写金额和小写金额不一致的，以大写金额为准；</w:t>
      </w:r>
    </w:p>
    <w:p w14:paraId="232265BF">
      <w:pPr>
        <w:pStyle w:val="16"/>
        <w:tabs>
          <w:tab w:val="left" w:pos="2472"/>
        </w:tabs>
        <w:spacing w:line="360" w:lineRule="auto"/>
        <w:ind w:firstLine="420" w:firstLineChars="200"/>
        <w:rPr>
          <w:rFonts w:hint="eastAsia" w:hAnsi="宋体"/>
          <w:color w:val="auto"/>
          <w:szCs w:val="21"/>
          <w:highlight w:val="none"/>
        </w:rPr>
      </w:pPr>
      <w:r>
        <w:rPr>
          <w:rFonts w:hint="eastAsia" w:hAnsi="宋体"/>
          <w:color w:val="auto"/>
          <w:szCs w:val="21"/>
          <w:highlight w:val="none"/>
        </w:rPr>
        <w:t>（3）单价金额小数点或者百分比有明显错位的，以开标一览表的总价为准，并修改单价；</w:t>
      </w:r>
    </w:p>
    <w:p w14:paraId="5B2347E3">
      <w:pPr>
        <w:pStyle w:val="16"/>
        <w:tabs>
          <w:tab w:val="left" w:pos="2472"/>
        </w:tabs>
        <w:spacing w:line="360" w:lineRule="auto"/>
        <w:ind w:firstLine="420" w:firstLineChars="200"/>
        <w:rPr>
          <w:rFonts w:hint="eastAsia" w:hAnsi="宋体"/>
          <w:color w:val="auto"/>
          <w:szCs w:val="21"/>
          <w:highlight w:val="none"/>
        </w:rPr>
      </w:pPr>
      <w:r>
        <w:rPr>
          <w:rFonts w:hint="eastAsia" w:hAnsi="宋体"/>
          <w:color w:val="auto"/>
          <w:szCs w:val="21"/>
          <w:highlight w:val="none"/>
        </w:rPr>
        <w:t>（4）总价金额与按单价汇总金额不一致的，以单价金额计算结果为准；</w:t>
      </w:r>
    </w:p>
    <w:p w14:paraId="774844BC">
      <w:pPr>
        <w:pStyle w:val="16"/>
        <w:tabs>
          <w:tab w:val="left" w:pos="2472"/>
        </w:tabs>
        <w:spacing w:line="360" w:lineRule="auto"/>
        <w:ind w:firstLine="420" w:firstLineChars="200"/>
        <w:rPr>
          <w:rFonts w:hint="eastAsia" w:hAnsi="宋体"/>
          <w:color w:val="auto"/>
          <w:szCs w:val="21"/>
          <w:highlight w:val="none"/>
        </w:rPr>
      </w:pPr>
      <w:r>
        <w:rPr>
          <w:rFonts w:hint="eastAsia" w:hAnsi="宋体"/>
          <w:color w:val="auto"/>
          <w:szCs w:val="21"/>
          <w:highlight w:val="none"/>
        </w:rPr>
        <w:t>（5）对不同文字文本投标文件的解释发生异议的，以中文文本为准。</w:t>
      </w:r>
    </w:p>
    <w:p w14:paraId="36FA8FFE">
      <w:pPr>
        <w:pStyle w:val="16"/>
        <w:tabs>
          <w:tab w:val="left" w:pos="2472"/>
        </w:tabs>
        <w:spacing w:line="360" w:lineRule="auto"/>
        <w:ind w:firstLine="420" w:firstLineChars="200"/>
        <w:rPr>
          <w:rFonts w:hint="eastAsia" w:hAnsi="宋体" w:cs="宋体"/>
          <w:color w:val="auto"/>
          <w:szCs w:val="21"/>
          <w:highlight w:val="none"/>
        </w:rPr>
      </w:pPr>
      <w:r>
        <w:rPr>
          <w:rFonts w:hint="eastAsia" w:hAnsi="宋体"/>
          <w:color w:val="auto"/>
          <w:szCs w:val="21"/>
          <w:highlight w:val="none"/>
        </w:rPr>
        <w:t>（6）同时出现两种以上不一致的，按照前款规定的顺序修正。按上述规定修正后的报价经投标人确认后对投标人起约束作用。如果投标人不确认修正后的报价，则其投标无效</w:t>
      </w:r>
      <w:r>
        <w:rPr>
          <w:rFonts w:hint="eastAsia" w:hAnsi="宋体" w:cs="宋体"/>
          <w:color w:val="auto"/>
          <w:szCs w:val="21"/>
          <w:highlight w:val="none"/>
        </w:rPr>
        <w:t>。</w:t>
      </w:r>
    </w:p>
    <w:p w14:paraId="34AFFAAB">
      <w:pPr>
        <w:pStyle w:val="4"/>
        <w:numPr>
          <w:ilvl w:val="0"/>
          <w:numId w:val="2"/>
        </w:numPr>
        <w:spacing w:before="0"/>
        <w:rPr>
          <w:rFonts w:hint="eastAsia" w:ascii="宋体" w:hAnsi="宋体" w:eastAsia="宋体" w:cs="宋体"/>
          <w:color w:val="auto"/>
          <w:sz w:val="24"/>
          <w:szCs w:val="24"/>
          <w:highlight w:val="none"/>
        </w:rPr>
      </w:pPr>
      <w:bookmarkStart w:id="188" w:name="_Toc19848"/>
      <w:bookmarkStart w:id="189" w:name="_Toc15526"/>
      <w:bookmarkStart w:id="190" w:name="_Toc27417"/>
      <w:bookmarkStart w:id="191" w:name="_Toc13190"/>
      <w:r>
        <w:rPr>
          <w:rFonts w:hint="eastAsia" w:ascii="宋体" w:hAnsi="宋体" w:eastAsia="宋体" w:cs="宋体"/>
          <w:color w:val="auto"/>
          <w:sz w:val="24"/>
          <w:szCs w:val="24"/>
          <w:highlight w:val="none"/>
        </w:rPr>
        <w:t>资格审查</w:t>
      </w:r>
      <w:bookmarkEnd w:id="188"/>
      <w:bookmarkEnd w:id="189"/>
      <w:bookmarkEnd w:id="190"/>
      <w:bookmarkEnd w:id="191"/>
    </w:p>
    <w:p w14:paraId="2F916E39">
      <w:pPr>
        <w:ind w:firstLine="420" w:firstLineChars="200"/>
        <w:rPr>
          <w:rFonts w:hint="eastAsia" w:ascii="宋体" w:hAnsi="宋体" w:cs="宋体"/>
          <w:color w:val="auto"/>
          <w:highlight w:val="none"/>
        </w:rPr>
      </w:pPr>
      <w:r>
        <w:rPr>
          <w:rFonts w:hint="eastAsia" w:ascii="宋体" w:hAnsi="宋体" w:cs="宋体"/>
          <w:color w:val="auto"/>
          <w:szCs w:val="21"/>
          <w:highlight w:val="none"/>
        </w:rPr>
        <w:t>公开招标采购项目开标结束后，采购人或者采购代理机构依法对投标人的资格进行审查。</w:t>
      </w:r>
    </w:p>
    <w:p w14:paraId="3F8EF004">
      <w:pPr>
        <w:pStyle w:val="4"/>
        <w:numPr>
          <w:ilvl w:val="0"/>
          <w:numId w:val="2"/>
        </w:numPr>
        <w:spacing w:before="0"/>
        <w:rPr>
          <w:rFonts w:hint="eastAsia" w:ascii="宋体" w:hAnsi="宋体" w:eastAsia="宋体" w:cs="宋体"/>
          <w:color w:val="auto"/>
          <w:sz w:val="24"/>
          <w:szCs w:val="24"/>
          <w:highlight w:val="none"/>
        </w:rPr>
      </w:pPr>
      <w:bookmarkStart w:id="192" w:name="_Toc4017"/>
      <w:bookmarkStart w:id="193" w:name="_Toc23170"/>
      <w:bookmarkStart w:id="194" w:name="_Toc30972"/>
      <w:bookmarkStart w:id="195" w:name="_Toc9113"/>
      <w:r>
        <w:rPr>
          <w:rFonts w:hint="eastAsia" w:ascii="宋体" w:hAnsi="宋体" w:eastAsia="宋体" w:cs="宋体"/>
          <w:color w:val="auto"/>
          <w:sz w:val="24"/>
          <w:szCs w:val="24"/>
          <w:highlight w:val="none"/>
        </w:rPr>
        <w:t>评标</w:t>
      </w:r>
      <w:bookmarkEnd w:id="192"/>
      <w:bookmarkEnd w:id="193"/>
      <w:bookmarkEnd w:id="194"/>
      <w:bookmarkEnd w:id="195"/>
    </w:p>
    <w:p w14:paraId="02450B3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22.1 评标由采购人依法组建的评标委员会负责。评标委员会由采购人熟悉相关业务的代表，以及有关技术、经济等方面的专家组成。其中，技术、经济等方面的专家不得少于成员总数的三分之二。</w:t>
      </w:r>
    </w:p>
    <w:p w14:paraId="729A61C6">
      <w:pPr>
        <w:spacing w:line="360" w:lineRule="auto"/>
        <w:ind w:firstLine="420" w:firstLineChars="200"/>
        <w:jc w:val="left"/>
        <w:rPr>
          <w:rFonts w:hint="eastAsia" w:ascii="宋体" w:hAnsi="宋体" w:cs="宋体"/>
          <w:color w:val="auto"/>
          <w:szCs w:val="21"/>
          <w:highlight w:val="none"/>
        </w:rPr>
      </w:pPr>
      <w:bookmarkStart w:id="196" w:name="_Toc191374422"/>
      <w:r>
        <w:rPr>
          <w:rFonts w:hint="eastAsia" w:ascii="宋体" w:hAnsi="宋体" w:cs="宋体"/>
          <w:color w:val="auto"/>
          <w:szCs w:val="21"/>
          <w:highlight w:val="none"/>
        </w:rPr>
        <w:t>22.2 评标原则</w:t>
      </w:r>
      <w:bookmarkEnd w:id="196"/>
    </w:p>
    <w:p w14:paraId="202FA992">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评标活动遵循公平、公正、科学和择优的原则。</w:t>
      </w:r>
    </w:p>
    <w:p w14:paraId="52CC482C">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22.3 评标</w:t>
      </w:r>
    </w:p>
    <w:p w14:paraId="0CF90363">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本项目采用电子评标，评标委员会按照第七章“评标办法”规定的方法、评审因素、标准和程序对投标文件进行评审。第七章“评标办法”没有规定的方法、评审因素和标准，不作为评标依据。</w:t>
      </w:r>
    </w:p>
    <w:p w14:paraId="3C840FDF">
      <w:pPr>
        <w:pStyle w:val="4"/>
        <w:numPr>
          <w:ilvl w:val="0"/>
          <w:numId w:val="2"/>
        </w:numPr>
        <w:spacing w:before="0"/>
        <w:rPr>
          <w:rFonts w:hint="eastAsia" w:ascii="宋体" w:hAnsi="宋体" w:eastAsia="宋体" w:cs="宋体"/>
          <w:color w:val="auto"/>
          <w:sz w:val="24"/>
          <w:szCs w:val="24"/>
          <w:highlight w:val="none"/>
        </w:rPr>
      </w:pPr>
      <w:bookmarkStart w:id="197" w:name="_Toc3529"/>
      <w:bookmarkStart w:id="198" w:name="_Toc24997"/>
      <w:bookmarkStart w:id="199" w:name="_Toc16878"/>
      <w:bookmarkStart w:id="200" w:name="_Toc21656"/>
      <w:r>
        <w:rPr>
          <w:rFonts w:hint="eastAsia" w:ascii="宋体" w:hAnsi="宋体" w:eastAsia="宋体" w:cs="宋体"/>
          <w:color w:val="auto"/>
          <w:sz w:val="24"/>
          <w:szCs w:val="24"/>
          <w:highlight w:val="none"/>
        </w:rPr>
        <w:t>评标过程的保密</w:t>
      </w:r>
      <w:bookmarkEnd w:id="197"/>
      <w:bookmarkEnd w:id="198"/>
      <w:bookmarkEnd w:id="199"/>
      <w:bookmarkEnd w:id="200"/>
    </w:p>
    <w:p w14:paraId="57665AD1">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开标后，直到授予中标人合同止，凡是属于审查、澄清、评审和比较的有关资料以及授标建议等均不得向投标人或其他无关的人员透露。投标人在评标过程中，所进行的力图影响评标结果的不公正活动，可能导致其投标无效。</w:t>
      </w:r>
    </w:p>
    <w:p w14:paraId="638ABF1C">
      <w:pPr>
        <w:pStyle w:val="4"/>
        <w:numPr>
          <w:ilvl w:val="0"/>
          <w:numId w:val="2"/>
        </w:numPr>
        <w:spacing w:before="0"/>
        <w:rPr>
          <w:rFonts w:hint="eastAsia" w:ascii="宋体" w:hAnsi="宋体" w:eastAsia="宋体" w:cs="宋体"/>
          <w:color w:val="auto"/>
          <w:sz w:val="24"/>
          <w:szCs w:val="24"/>
          <w:highlight w:val="none"/>
        </w:rPr>
      </w:pPr>
      <w:bookmarkStart w:id="201" w:name="_Toc17989"/>
      <w:bookmarkStart w:id="202" w:name="_Toc32295"/>
      <w:bookmarkStart w:id="203" w:name="_Toc21213"/>
      <w:bookmarkStart w:id="204" w:name="_Toc18320"/>
      <w:r>
        <w:rPr>
          <w:rFonts w:hint="eastAsia" w:ascii="宋体" w:hAnsi="宋体" w:eastAsia="宋体" w:cs="宋体"/>
          <w:color w:val="auto"/>
          <w:sz w:val="24"/>
          <w:szCs w:val="24"/>
          <w:highlight w:val="none"/>
        </w:rPr>
        <w:t>投标人存在下列情况之一的，投标无效：</w:t>
      </w:r>
      <w:bookmarkEnd w:id="201"/>
      <w:bookmarkEnd w:id="202"/>
      <w:bookmarkEnd w:id="203"/>
      <w:bookmarkEnd w:id="204"/>
    </w:p>
    <w:p w14:paraId="6AF62103">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（1）投标文件未按招标文件要求签署、盖章的；</w:t>
      </w:r>
    </w:p>
    <w:p w14:paraId="2FCFAAE3">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（2）不具备招标文件中规定的资格要求的；</w:t>
      </w:r>
    </w:p>
    <w:p w14:paraId="76F87C45">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（3）报价超过招标文件中规定的预算金额或者最高限价的；</w:t>
      </w:r>
    </w:p>
    <w:p w14:paraId="1DB9DB9B">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（4）投标文件含有采购人不能接受的附加条件的；</w:t>
      </w:r>
    </w:p>
    <w:p w14:paraId="0C51A32E">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（5）法律、法规和招标文件规定的其他无效情形。</w:t>
      </w:r>
    </w:p>
    <w:p w14:paraId="3E9683C6">
      <w:pPr>
        <w:pStyle w:val="4"/>
        <w:numPr>
          <w:ilvl w:val="0"/>
          <w:numId w:val="2"/>
        </w:numPr>
        <w:spacing w:before="0"/>
        <w:rPr>
          <w:rFonts w:hint="eastAsia" w:ascii="宋体" w:hAnsi="宋体" w:eastAsia="宋体" w:cs="宋体"/>
          <w:color w:val="auto"/>
          <w:sz w:val="24"/>
          <w:szCs w:val="24"/>
          <w:highlight w:val="none"/>
        </w:rPr>
      </w:pPr>
      <w:bookmarkStart w:id="205" w:name="_Toc6940"/>
      <w:bookmarkStart w:id="206" w:name="_Toc180"/>
      <w:bookmarkStart w:id="207" w:name="_Toc21326"/>
      <w:bookmarkStart w:id="208" w:name="_Toc31894"/>
      <w:r>
        <w:rPr>
          <w:rFonts w:hint="eastAsia" w:ascii="宋体" w:hAnsi="宋体" w:eastAsia="宋体" w:cs="宋体"/>
          <w:color w:val="auto"/>
          <w:sz w:val="24"/>
          <w:szCs w:val="24"/>
          <w:highlight w:val="none"/>
        </w:rPr>
        <w:t>有下列情形之一的，视为投标人串通投标，其投标无效：</w:t>
      </w:r>
      <w:bookmarkEnd w:id="205"/>
      <w:bookmarkEnd w:id="206"/>
      <w:bookmarkEnd w:id="207"/>
      <w:bookmarkEnd w:id="208"/>
    </w:p>
    <w:p w14:paraId="0D9F0CBB">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（1）不同投标人的投标文件由同一单位或者个人编制；</w:t>
      </w:r>
    </w:p>
    <w:p w14:paraId="2FB668FB">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（2）不同投标人委托同一单位或者个人办理投标事宜；</w:t>
      </w:r>
    </w:p>
    <w:p w14:paraId="39BF882C">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（3）不同投标人的投标文件载明的项目管理成员或者联系人员为同一人；</w:t>
      </w:r>
    </w:p>
    <w:p w14:paraId="147B9F40">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（4）不同投标人的投标文件异常一致或者投标报价呈规律性差异；</w:t>
      </w:r>
    </w:p>
    <w:p w14:paraId="18034808">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（5）不同投标人的投标文件相互混装；</w:t>
      </w:r>
    </w:p>
    <w:p w14:paraId="652293B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（6）不同投标人的投标保证金从同一单位或者个人的账户转出。</w:t>
      </w:r>
    </w:p>
    <w:p w14:paraId="7C147369">
      <w:pPr>
        <w:pStyle w:val="4"/>
        <w:numPr>
          <w:ilvl w:val="0"/>
          <w:numId w:val="2"/>
        </w:numPr>
        <w:spacing w:before="0"/>
        <w:rPr>
          <w:rFonts w:hint="eastAsia" w:ascii="宋体" w:hAnsi="宋体" w:eastAsia="宋体" w:cs="宋体"/>
          <w:color w:val="auto"/>
          <w:sz w:val="24"/>
          <w:szCs w:val="24"/>
          <w:highlight w:val="none"/>
        </w:rPr>
      </w:pPr>
      <w:bookmarkStart w:id="209" w:name="_Toc4994"/>
      <w:bookmarkStart w:id="210" w:name="_Toc2741"/>
      <w:bookmarkStart w:id="211" w:name="_Toc24583"/>
      <w:bookmarkStart w:id="212" w:name="_Toc12300"/>
      <w:r>
        <w:rPr>
          <w:rFonts w:hint="eastAsia" w:ascii="宋体" w:hAnsi="宋体" w:eastAsia="宋体" w:cs="宋体"/>
          <w:color w:val="auto"/>
          <w:sz w:val="24"/>
          <w:szCs w:val="24"/>
          <w:highlight w:val="none"/>
        </w:rPr>
        <w:t>在招标采购中，出现下列情形之一的，应予废标：</w:t>
      </w:r>
      <w:bookmarkEnd w:id="209"/>
      <w:bookmarkEnd w:id="210"/>
      <w:bookmarkEnd w:id="211"/>
      <w:bookmarkEnd w:id="212"/>
    </w:p>
    <w:p w14:paraId="5965C5B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（1）符合专业条件的投标人或者对招标文件作实质响应的投标人不足3家的；</w:t>
      </w:r>
    </w:p>
    <w:p w14:paraId="4B858F1D">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（2）出现影响采购公正的违法、违规行为的；</w:t>
      </w:r>
    </w:p>
    <w:p w14:paraId="7A64EA59">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（3）投标人的报价均超过了采购预算，采购人不能支付的；</w:t>
      </w:r>
    </w:p>
    <w:p w14:paraId="68132664">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（4）因重大变故，采购任务取消的。</w:t>
      </w:r>
    </w:p>
    <w:p w14:paraId="5EBD5311">
      <w:pPr>
        <w:spacing w:line="360" w:lineRule="auto"/>
        <w:ind w:firstLine="420" w:firstLineChars="200"/>
        <w:jc w:val="left"/>
        <w:rPr>
          <w:rFonts w:hint="eastAsia" w:ascii="宋体" w:hAnsi="宋体"/>
          <w:color w:val="auto"/>
          <w:szCs w:val="21"/>
          <w:highlight w:val="none"/>
        </w:rPr>
      </w:pPr>
      <w:r>
        <w:rPr>
          <w:rFonts w:hint="eastAsia" w:ascii="宋体" w:hAnsi="宋体" w:cs="宋体"/>
          <w:color w:val="auto"/>
          <w:szCs w:val="21"/>
          <w:highlight w:val="none"/>
        </w:rPr>
        <w:t>废标后，采购人应当将废标理由通知所有投标人。</w:t>
      </w:r>
    </w:p>
    <w:p w14:paraId="56A0256B">
      <w:pPr>
        <w:pStyle w:val="3"/>
        <w:numPr>
          <w:ilvl w:val="0"/>
          <w:numId w:val="0"/>
        </w:numPr>
        <w:spacing w:before="0"/>
        <w:ind w:firstLine="3612" w:firstLineChars="1290"/>
        <w:rPr>
          <w:rFonts w:hint="eastAsia" w:ascii="宋体" w:hAnsi="宋体" w:eastAsia="宋体"/>
          <w:color w:val="auto"/>
          <w:szCs w:val="28"/>
          <w:highlight w:val="none"/>
        </w:rPr>
      </w:pPr>
      <w:bookmarkStart w:id="213" w:name="_Toc18872"/>
      <w:bookmarkStart w:id="214" w:name="_Toc19391"/>
      <w:bookmarkStart w:id="215" w:name="_Toc21929"/>
      <w:bookmarkStart w:id="216" w:name="_Toc12470"/>
      <w:r>
        <w:rPr>
          <w:rFonts w:hint="eastAsia" w:ascii="宋体" w:hAnsi="宋体" w:eastAsia="宋体"/>
          <w:color w:val="auto"/>
          <w:szCs w:val="28"/>
          <w:highlight w:val="none"/>
        </w:rPr>
        <w:t>六、中标结果</w:t>
      </w:r>
      <w:bookmarkEnd w:id="213"/>
      <w:bookmarkEnd w:id="214"/>
      <w:bookmarkEnd w:id="215"/>
      <w:bookmarkEnd w:id="216"/>
    </w:p>
    <w:p w14:paraId="28CABD7A">
      <w:pPr>
        <w:pStyle w:val="4"/>
        <w:numPr>
          <w:ilvl w:val="0"/>
          <w:numId w:val="2"/>
        </w:numPr>
        <w:spacing w:before="0"/>
        <w:rPr>
          <w:rFonts w:hint="eastAsia" w:ascii="宋体" w:hAnsi="宋体" w:eastAsia="宋体" w:cs="宋体"/>
          <w:color w:val="auto"/>
          <w:sz w:val="24"/>
          <w:szCs w:val="24"/>
          <w:highlight w:val="none"/>
        </w:rPr>
      </w:pPr>
      <w:bookmarkStart w:id="217" w:name="_Toc20300"/>
      <w:bookmarkStart w:id="218" w:name="_Toc1546"/>
      <w:bookmarkStart w:id="219" w:name="_Toc28897"/>
      <w:bookmarkStart w:id="220" w:name="_Toc6857"/>
      <w:r>
        <w:rPr>
          <w:rFonts w:hint="eastAsia" w:ascii="宋体" w:hAnsi="宋体" w:eastAsia="宋体" w:cs="宋体"/>
          <w:color w:val="auto"/>
          <w:sz w:val="24"/>
          <w:szCs w:val="24"/>
          <w:highlight w:val="none"/>
        </w:rPr>
        <w:t>中标人的确定</w:t>
      </w:r>
      <w:bookmarkEnd w:id="217"/>
      <w:bookmarkEnd w:id="218"/>
      <w:bookmarkEnd w:id="219"/>
      <w:bookmarkEnd w:id="220"/>
    </w:p>
    <w:p w14:paraId="44348BB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27.1 采购代理机构应当在评标结束后两个工作日内将评标报告送采购人。</w:t>
      </w:r>
    </w:p>
    <w:p w14:paraId="7FE96295">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27.2采购人应当自收到评标报告之日起五个工作日内，在评标报告确定的中标候选人名单中按顺序确定中标人。中标候选人并列的，由采购人按照以下原则确定中标人：依据云财采［2019］9号文，原则上鼓励优先采购聘用建档立卡贫困人员物业公司提供的物业服务。 </w:t>
      </w:r>
    </w:p>
    <w:p w14:paraId="00A1F51A">
      <w:pPr>
        <w:pStyle w:val="4"/>
        <w:numPr>
          <w:ilvl w:val="0"/>
          <w:numId w:val="2"/>
        </w:numPr>
        <w:spacing w:before="0"/>
        <w:rPr>
          <w:rFonts w:hint="eastAsia" w:ascii="宋体" w:hAnsi="宋体" w:eastAsia="宋体" w:cs="宋体"/>
          <w:color w:val="auto"/>
          <w:sz w:val="24"/>
          <w:szCs w:val="24"/>
          <w:highlight w:val="none"/>
        </w:rPr>
      </w:pPr>
      <w:bookmarkStart w:id="221" w:name="_Toc19897"/>
      <w:bookmarkStart w:id="222" w:name="_Toc22236"/>
      <w:bookmarkStart w:id="223" w:name="_Toc27673"/>
      <w:bookmarkStart w:id="224" w:name="_Toc20009"/>
      <w:r>
        <w:rPr>
          <w:rFonts w:hint="eastAsia" w:ascii="宋体" w:hAnsi="宋体" w:eastAsia="宋体" w:cs="宋体"/>
          <w:color w:val="auto"/>
          <w:sz w:val="24"/>
          <w:szCs w:val="24"/>
          <w:highlight w:val="none"/>
        </w:rPr>
        <w:t>中标通知书</w:t>
      </w:r>
      <w:bookmarkEnd w:id="221"/>
      <w:bookmarkEnd w:id="222"/>
      <w:bookmarkEnd w:id="223"/>
      <w:bookmarkEnd w:id="224"/>
    </w:p>
    <w:p w14:paraId="6184791B">
      <w:pPr>
        <w:spacing w:line="360" w:lineRule="auto"/>
        <w:ind w:firstLine="420" w:firstLineChars="200"/>
        <w:rPr>
          <w:rFonts w:hint="eastAsia" w:ascii="宋体" w:hAnsi="宋体" w:cs="宋体"/>
          <w:bCs/>
          <w:color w:val="auto"/>
          <w:szCs w:val="21"/>
          <w:highlight w:val="none"/>
        </w:rPr>
      </w:pPr>
      <w:r>
        <w:rPr>
          <w:rFonts w:hint="eastAsia" w:ascii="宋体" w:hAnsi="宋体" w:cs="宋体"/>
          <w:color w:val="auto"/>
          <w:szCs w:val="21"/>
          <w:highlight w:val="none"/>
        </w:rPr>
        <w:t>28.1 中标人确定后，中标结果由采购代理机构在在指定媒体上进行公告（发布媒体详见招标公告</w:t>
      </w:r>
      <w:r>
        <w:rPr>
          <w:rFonts w:hint="eastAsia" w:ascii="宋体" w:hAnsi="宋体" w:cs="宋体"/>
          <w:bCs/>
          <w:color w:val="auto"/>
          <w:szCs w:val="21"/>
          <w:highlight w:val="none"/>
        </w:rPr>
        <w:t>）</w:t>
      </w:r>
      <w:r>
        <w:rPr>
          <w:rFonts w:hint="eastAsia" w:ascii="宋体" w:hAnsi="宋体" w:cs="宋体"/>
          <w:color w:val="auto"/>
          <w:szCs w:val="21"/>
          <w:highlight w:val="none"/>
        </w:rPr>
        <w:t>,并向中标人发出中标通知书。</w:t>
      </w:r>
    </w:p>
    <w:p w14:paraId="4F431F80">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28.2 中标通知书是合同的一个组成部分。</w:t>
      </w:r>
    </w:p>
    <w:p w14:paraId="73309F20">
      <w:pPr>
        <w:pStyle w:val="4"/>
        <w:numPr>
          <w:ilvl w:val="0"/>
          <w:numId w:val="2"/>
        </w:numPr>
        <w:spacing w:before="0"/>
        <w:rPr>
          <w:rFonts w:hint="eastAsia" w:ascii="宋体" w:hAnsi="宋体" w:eastAsia="宋体" w:cs="宋体"/>
          <w:color w:val="auto"/>
          <w:sz w:val="24"/>
          <w:szCs w:val="24"/>
          <w:highlight w:val="none"/>
        </w:rPr>
      </w:pPr>
      <w:bookmarkStart w:id="225" w:name="_Toc4920"/>
      <w:bookmarkStart w:id="226" w:name="_Toc4399"/>
      <w:bookmarkStart w:id="227" w:name="_Toc10230"/>
      <w:bookmarkStart w:id="228" w:name="_Toc19642"/>
      <w:r>
        <w:rPr>
          <w:rFonts w:hint="eastAsia" w:ascii="宋体" w:hAnsi="宋体" w:eastAsia="宋体" w:cs="宋体"/>
          <w:color w:val="auto"/>
          <w:sz w:val="24"/>
          <w:szCs w:val="24"/>
          <w:highlight w:val="none"/>
        </w:rPr>
        <w:t>签订合同</w:t>
      </w:r>
      <w:bookmarkEnd w:id="225"/>
      <w:bookmarkEnd w:id="226"/>
      <w:bookmarkEnd w:id="227"/>
      <w:bookmarkEnd w:id="228"/>
    </w:p>
    <w:p w14:paraId="429511F4">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29.1 中标人收到中标通知书后，按招标文件、投标文件及有关澄清承诺书的要求与采购人签订合同。</w:t>
      </w:r>
    </w:p>
    <w:p w14:paraId="0710B0C0">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29.2 中标人拒绝与采购人签订合同的，采购人可以按照评标报告推荐的中标候选人名单排序，确定下一候选人为中标人，采购人也可以重新招标。</w:t>
      </w:r>
    </w:p>
    <w:p w14:paraId="7E993D8D">
      <w:pPr>
        <w:pStyle w:val="4"/>
        <w:numPr>
          <w:ilvl w:val="0"/>
          <w:numId w:val="2"/>
        </w:numPr>
        <w:spacing w:before="0"/>
        <w:rPr>
          <w:rFonts w:hint="eastAsia" w:ascii="宋体" w:hAnsi="宋体" w:eastAsia="宋体" w:cs="宋体"/>
          <w:b w:val="0"/>
          <w:color w:val="auto"/>
          <w:kern w:val="2"/>
          <w:sz w:val="21"/>
          <w:szCs w:val="21"/>
          <w:highlight w:val="none"/>
        </w:rPr>
      </w:pPr>
      <w:bookmarkStart w:id="229" w:name="_Toc22650"/>
      <w:bookmarkStart w:id="230" w:name="_Toc28087"/>
      <w:bookmarkStart w:id="231" w:name="_Toc1520"/>
      <w:bookmarkStart w:id="232" w:name="_Toc12198"/>
      <w:r>
        <w:rPr>
          <w:rFonts w:hint="eastAsia" w:ascii="宋体" w:hAnsi="宋体" w:eastAsia="宋体" w:cs="宋体"/>
          <w:color w:val="auto"/>
          <w:sz w:val="24"/>
          <w:szCs w:val="24"/>
          <w:highlight w:val="none"/>
        </w:rPr>
        <w:t>履约保证金：</w:t>
      </w:r>
      <w:bookmarkEnd w:id="229"/>
      <w:bookmarkEnd w:id="230"/>
      <w:bookmarkEnd w:id="231"/>
      <w:bookmarkEnd w:id="232"/>
    </w:p>
    <w:p w14:paraId="5368CDD1">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30.1中标人应按“投标人须知前附表”中确定的履约保证金的金额，向采购人交纳履约保证金，否则，视中标人违约。</w:t>
      </w:r>
    </w:p>
    <w:p w14:paraId="47504B87">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30.2 签订合同后，如中标人不按双方签订合同约定履约，则没收其全部履约保证金，履约保证金不足以赔偿损失的，按实际损失赔偿。</w:t>
      </w:r>
    </w:p>
    <w:p w14:paraId="5F992E8B">
      <w:pPr>
        <w:tabs>
          <w:tab w:val="left" w:pos="360"/>
          <w:tab w:val="left" w:pos="900"/>
          <w:tab w:val="left" w:pos="1588"/>
        </w:tabs>
        <w:adjustRightInd w:val="0"/>
        <w:ind w:firstLine="420" w:firstLineChars="200"/>
        <w:textAlignment w:val="baseline"/>
        <w:rPr>
          <w:color w:val="auto"/>
          <w:highlight w:val="none"/>
        </w:rPr>
      </w:pPr>
      <w:bookmarkStart w:id="233" w:name="_Toc28304"/>
      <w:bookmarkStart w:id="234" w:name="_Toc9321"/>
      <w:r>
        <w:rPr>
          <w:rFonts w:hint="eastAsia" w:ascii="宋体" w:hAnsi="宋体" w:cs="宋体"/>
          <w:color w:val="auto"/>
          <w:szCs w:val="21"/>
          <w:highlight w:val="none"/>
        </w:rPr>
        <w:t>30.3 履约保证金按“投标人须知前附表”规定的履约保证金退还时间由采购人退还。</w:t>
      </w:r>
      <w:bookmarkEnd w:id="233"/>
      <w:bookmarkEnd w:id="234"/>
    </w:p>
    <w:p w14:paraId="719C73A5">
      <w:pPr>
        <w:rPr>
          <w:rFonts w:hint="eastAsia" w:ascii="宋体" w:hAnsi="宋体"/>
          <w:color w:val="auto"/>
          <w:highlight w:val="none"/>
        </w:rPr>
      </w:pPr>
    </w:p>
    <w:p w14:paraId="6DEF2FDA">
      <w:pPr>
        <w:pStyle w:val="3"/>
        <w:numPr>
          <w:ilvl w:val="0"/>
          <w:numId w:val="0"/>
        </w:numPr>
        <w:spacing w:before="0"/>
        <w:ind w:firstLine="3612" w:firstLineChars="1290"/>
        <w:rPr>
          <w:rFonts w:hint="eastAsia" w:ascii="宋体" w:hAnsi="宋体" w:eastAsia="宋体"/>
          <w:color w:val="auto"/>
          <w:szCs w:val="28"/>
          <w:highlight w:val="none"/>
        </w:rPr>
      </w:pPr>
      <w:bookmarkStart w:id="235" w:name="_Toc27319"/>
      <w:bookmarkStart w:id="236" w:name="_Toc5130"/>
      <w:bookmarkStart w:id="237" w:name="_Toc29712"/>
      <w:bookmarkStart w:id="238" w:name="_Toc3046"/>
      <w:r>
        <w:rPr>
          <w:rFonts w:hint="eastAsia" w:ascii="宋体" w:hAnsi="宋体" w:eastAsia="宋体"/>
          <w:color w:val="auto"/>
          <w:szCs w:val="28"/>
          <w:highlight w:val="none"/>
        </w:rPr>
        <w:t>七、其他事项</w:t>
      </w:r>
      <w:bookmarkEnd w:id="235"/>
      <w:bookmarkEnd w:id="236"/>
      <w:bookmarkEnd w:id="237"/>
      <w:bookmarkEnd w:id="238"/>
    </w:p>
    <w:p w14:paraId="3E738015">
      <w:pPr>
        <w:pStyle w:val="4"/>
        <w:numPr>
          <w:ilvl w:val="0"/>
          <w:numId w:val="2"/>
        </w:numPr>
        <w:spacing w:before="0"/>
        <w:rPr>
          <w:rFonts w:hint="eastAsia" w:ascii="宋体" w:hAnsi="宋体" w:eastAsia="宋体" w:cs="宋体"/>
          <w:color w:val="auto"/>
          <w:sz w:val="24"/>
          <w:szCs w:val="24"/>
          <w:highlight w:val="none"/>
        </w:rPr>
      </w:pPr>
      <w:bookmarkStart w:id="239" w:name="_Toc23715"/>
      <w:bookmarkStart w:id="240" w:name="_Toc9533"/>
      <w:bookmarkStart w:id="241" w:name="_Toc28092"/>
      <w:bookmarkStart w:id="242" w:name="_Toc11161"/>
      <w:r>
        <w:rPr>
          <w:rFonts w:hint="eastAsia" w:ascii="宋体" w:hAnsi="宋体" w:eastAsia="宋体" w:cs="宋体"/>
          <w:color w:val="auto"/>
          <w:sz w:val="24"/>
          <w:szCs w:val="24"/>
          <w:highlight w:val="none"/>
        </w:rPr>
        <w:t>采购代理服务费</w:t>
      </w:r>
      <w:bookmarkEnd w:id="239"/>
      <w:bookmarkEnd w:id="240"/>
      <w:bookmarkEnd w:id="241"/>
      <w:bookmarkEnd w:id="242"/>
    </w:p>
    <w:p w14:paraId="550C1CF2">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无。</w:t>
      </w:r>
    </w:p>
    <w:p w14:paraId="3D9678FE">
      <w:pPr>
        <w:pStyle w:val="4"/>
        <w:numPr>
          <w:ilvl w:val="0"/>
          <w:numId w:val="2"/>
        </w:numPr>
        <w:spacing w:before="0"/>
        <w:rPr>
          <w:rFonts w:hint="eastAsia" w:ascii="宋体" w:hAnsi="宋体" w:eastAsia="宋体" w:cs="宋体"/>
          <w:color w:val="auto"/>
          <w:sz w:val="24"/>
          <w:szCs w:val="24"/>
          <w:highlight w:val="none"/>
        </w:rPr>
      </w:pPr>
      <w:bookmarkStart w:id="243" w:name="_Toc747"/>
      <w:bookmarkStart w:id="244" w:name="_Toc4360"/>
      <w:bookmarkStart w:id="245" w:name="_Toc1176"/>
      <w:bookmarkStart w:id="246" w:name="_Toc6870"/>
      <w:r>
        <w:rPr>
          <w:rFonts w:hint="eastAsia" w:ascii="宋体" w:hAnsi="宋体" w:eastAsia="宋体" w:cs="宋体"/>
          <w:color w:val="auto"/>
          <w:sz w:val="24"/>
          <w:szCs w:val="24"/>
          <w:highlight w:val="none"/>
        </w:rPr>
        <w:t>解释权</w:t>
      </w:r>
      <w:bookmarkEnd w:id="243"/>
      <w:bookmarkEnd w:id="244"/>
      <w:bookmarkEnd w:id="245"/>
      <w:bookmarkEnd w:id="246"/>
    </w:p>
    <w:p w14:paraId="3F08591A">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本招标文件是根据《中华人民共和国政府采购法》及相关法律法规编制，解释权属采购代理机构。</w:t>
      </w:r>
    </w:p>
    <w:p w14:paraId="63E2DE76">
      <w:pPr>
        <w:pStyle w:val="4"/>
        <w:numPr>
          <w:ilvl w:val="0"/>
          <w:numId w:val="2"/>
        </w:numPr>
        <w:spacing w:before="0"/>
        <w:rPr>
          <w:rFonts w:hint="eastAsia" w:ascii="宋体" w:hAnsi="宋体" w:eastAsia="宋体" w:cs="宋体"/>
          <w:color w:val="auto"/>
          <w:sz w:val="24"/>
          <w:szCs w:val="24"/>
          <w:highlight w:val="none"/>
        </w:rPr>
      </w:pPr>
      <w:bookmarkStart w:id="247" w:name="_Toc20950"/>
      <w:bookmarkStart w:id="248" w:name="_Toc30715"/>
      <w:bookmarkStart w:id="249" w:name="_Toc16015"/>
      <w:bookmarkStart w:id="250" w:name="_Toc18058"/>
      <w:r>
        <w:rPr>
          <w:rFonts w:hint="eastAsia" w:ascii="宋体" w:hAnsi="宋体" w:eastAsia="宋体" w:cs="宋体"/>
          <w:color w:val="auto"/>
          <w:sz w:val="24"/>
          <w:szCs w:val="24"/>
          <w:highlight w:val="none"/>
        </w:rPr>
        <w:t>需要补充的其他内容</w:t>
      </w:r>
      <w:bookmarkEnd w:id="247"/>
      <w:bookmarkEnd w:id="248"/>
      <w:bookmarkEnd w:id="249"/>
      <w:bookmarkEnd w:id="250"/>
    </w:p>
    <w:p w14:paraId="31CC6A75">
      <w:pPr>
        <w:spacing w:line="360" w:lineRule="auto"/>
        <w:ind w:firstLine="420" w:firstLineChars="200"/>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依照《国务院办公厅关于在政府采购中实施本国产品标准及相关政策的通知》（国办发〔2025〕34号）及《财政部关于贯彻落实&lt;国务院办公厅关于在政府采购中实施本国产品标准及相关政策的通知&gt;的意见》（财库〔2025〕30号）等相关规定。</w:t>
      </w:r>
    </w:p>
    <w:p w14:paraId="59D5ACA5">
      <w:pPr>
        <w:spacing w:line="360" w:lineRule="auto"/>
        <w:ind w:firstLine="420" w:firstLineChars="200"/>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1）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100D049">
      <w:pPr>
        <w:spacing w:line="360" w:lineRule="auto"/>
        <w:ind w:firstLine="420" w:firstLineChars="200"/>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2）准确界定产品在中国境内生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B27CECA">
      <w:pPr>
        <w:spacing w:line="360" w:lineRule="auto"/>
        <w:ind w:firstLine="420" w:firstLineChars="200"/>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（3）对本国产品的支持政策。政府采购活动中既有本国产品又有非本国产品参与竞争的，依法对本国产品给予价格评审优惠，对本国产品的报价给予20%的价格扣除，用扣除后的价格参与评审。</w:t>
      </w:r>
    </w:p>
    <w:p w14:paraId="23457673">
      <w:pPr>
        <w:spacing w:line="360" w:lineRule="auto"/>
        <w:ind w:firstLine="420" w:firstLineChars="200"/>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D5AD779">
      <w:pPr>
        <w:spacing w:line="360" w:lineRule="auto"/>
        <w:ind w:firstLine="420" w:firstLineChars="200"/>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4）认真审查有关证明文件。采购人应当在采购文件中明确对供应商所出具的《关于符合本国产品标准的声明函》（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260320A2">
      <w:pPr>
        <w:spacing w:line="360" w:lineRule="auto"/>
        <w:ind w:firstLine="420" w:firstLineChars="200"/>
        <w:jc w:val="left"/>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若</w:t>
      </w:r>
      <w:r>
        <w:rPr>
          <w:rFonts w:hint="eastAsia" w:ascii="宋体" w:hAnsi="宋体" w:cs="宋体"/>
          <w:color w:val="auto"/>
          <w:szCs w:val="21"/>
          <w:highlight w:val="none"/>
          <w:lang w:eastAsia="zh-CN"/>
        </w:rPr>
        <w:t>采购项目或者采购包中为单一产品，供应商</w:t>
      </w:r>
      <w:r>
        <w:rPr>
          <w:rFonts w:hint="eastAsia" w:ascii="宋体" w:hAnsi="宋体" w:cs="宋体"/>
          <w:color w:val="auto"/>
          <w:szCs w:val="21"/>
          <w:highlight w:val="none"/>
          <w:lang w:val="en-US" w:eastAsia="zh-CN"/>
        </w:rPr>
        <w:t>需按要求提供</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关于符合本国产品标准的声明函</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若</w:t>
      </w:r>
      <w:r>
        <w:rPr>
          <w:rFonts w:hint="eastAsia" w:ascii="宋体" w:hAnsi="宋体" w:cs="宋体"/>
          <w:color w:val="auto"/>
          <w:szCs w:val="21"/>
          <w:highlight w:val="none"/>
          <w:lang w:eastAsia="zh-CN"/>
        </w:rPr>
        <w:t>采购项目或者采购包中含有多种产品，供应商应依据《中国境内生产的组件成本核算基本规则》核算产品成本占比，并对核算结果负责，按要求提交《关于符合本国产品标准的成本占比承诺函》（如适用）（详见响应文件格式）。相关成本核算的原始凭证应妥善留存，以备核查。采购人可在履约验收环节对相关材料进行抽查。</w:t>
      </w:r>
    </w:p>
    <w:bookmarkEnd w:id="101"/>
    <w:p w14:paraId="275196BE">
      <w:pPr>
        <w:pStyle w:val="2"/>
        <w:numPr>
          <w:ilvl w:val="0"/>
          <w:numId w:val="0"/>
        </w:numPr>
        <w:spacing w:before="0"/>
        <w:jc w:val="center"/>
        <w:rPr>
          <w:rFonts w:hint="eastAsia" w:ascii="宋体" w:hAnsi="宋体" w:eastAsia="宋体"/>
          <w:color w:val="auto"/>
          <w:szCs w:val="21"/>
          <w:highlight w:val="none"/>
        </w:rPr>
      </w:pPr>
      <w:r>
        <w:rPr>
          <w:rFonts w:hint="eastAsia" w:ascii="宋体" w:hAnsi="宋体" w:eastAsia="宋体" w:cs="黑体"/>
          <w:color w:val="auto"/>
          <w:szCs w:val="28"/>
          <w:highlight w:val="none"/>
        </w:rPr>
        <w:br w:type="page"/>
      </w:r>
      <w:bookmarkStart w:id="251" w:name="_Toc1414"/>
      <w:bookmarkStart w:id="252" w:name="_Toc6755"/>
      <w:bookmarkStart w:id="253" w:name="_Toc3304"/>
      <w:bookmarkStart w:id="254" w:name="_Toc7262"/>
      <w:r>
        <w:rPr>
          <w:rFonts w:hint="eastAsia" w:ascii="宋体" w:hAnsi="宋体" w:eastAsia="宋体"/>
          <w:color w:val="auto"/>
          <w:sz w:val="32"/>
          <w:szCs w:val="32"/>
          <w:highlight w:val="none"/>
        </w:rPr>
        <w:t>第三章  合同书样式及主要条款</w:t>
      </w:r>
      <w:bookmarkEnd w:id="251"/>
      <w:bookmarkEnd w:id="252"/>
      <w:bookmarkEnd w:id="253"/>
      <w:bookmarkEnd w:id="254"/>
    </w:p>
    <w:p w14:paraId="6B4C50E6">
      <w:pPr>
        <w:pStyle w:val="3"/>
        <w:numPr>
          <w:ilvl w:val="0"/>
          <w:numId w:val="0"/>
        </w:numPr>
        <w:spacing w:before="0"/>
        <w:ind w:left="596" w:hanging="593" w:hangingChars="212"/>
        <w:jc w:val="center"/>
        <w:rPr>
          <w:rFonts w:hint="eastAsia" w:ascii="宋体" w:hAnsi="宋体" w:eastAsia="宋体"/>
          <w:color w:val="auto"/>
          <w:szCs w:val="28"/>
          <w:highlight w:val="none"/>
        </w:rPr>
      </w:pPr>
      <w:bookmarkStart w:id="255" w:name="_Toc2416"/>
      <w:bookmarkStart w:id="256" w:name="_Toc18151"/>
      <w:bookmarkStart w:id="257" w:name="_Toc31738"/>
      <w:bookmarkStart w:id="258" w:name="_Toc15224"/>
      <w:bookmarkStart w:id="259" w:name="_Toc15466"/>
      <w:r>
        <w:rPr>
          <w:rFonts w:hint="eastAsia" w:ascii="宋体" w:hAnsi="宋体" w:eastAsia="宋体"/>
          <w:color w:val="auto"/>
          <w:szCs w:val="28"/>
          <w:highlight w:val="none"/>
        </w:rPr>
        <w:t>合同条款前附表</w:t>
      </w:r>
      <w:bookmarkEnd w:id="255"/>
      <w:bookmarkEnd w:id="256"/>
      <w:bookmarkEnd w:id="257"/>
      <w:bookmarkEnd w:id="258"/>
      <w:bookmarkEnd w:id="259"/>
    </w:p>
    <w:tbl>
      <w:tblPr>
        <w:tblStyle w:val="33"/>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14:paraId="5867D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vAlign w:val="center"/>
          </w:tcPr>
          <w:p w14:paraId="7ADE1901">
            <w:pPr>
              <w:pStyle w:val="16"/>
              <w:jc w:val="center"/>
              <w:rPr>
                <w:rFonts w:hint="eastAsia" w:hAnsi="宋体" w:cs="宋体"/>
                <w:bCs/>
                <w:color w:val="auto"/>
                <w:szCs w:val="21"/>
                <w:highlight w:val="none"/>
              </w:rPr>
            </w:pPr>
            <w:r>
              <w:rPr>
                <w:rFonts w:hint="eastAsia" w:hAnsi="宋体" w:cs="宋体"/>
                <w:bCs/>
                <w:color w:val="auto"/>
                <w:szCs w:val="21"/>
                <w:highlight w:val="none"/>
              </w:rPr>
              <w:t>序号</w:t>
            </w:r>
          </w:p>
        </w:tc>
        <w:tc>
          <w:tcPr>
            <w:tcW w:w="7819" w:type="dxa"/>
            <w:vAlign w:val="center"/>
          </w:tcPr>
          <w:p w14:paraId="4FA8D0D8">
            <w:pPr>
              <w:pStyle w:val="16"/>
              <w:ind w:firstLine="2" w:firstLineChars="1"/>
              <w:jc w:val="center"/>
              <w:rPr>
                <w:rFonts w:hint="eastAsia" w:hAnsi="宋体" w:cs="宋体"/>
                <w:bCs/>
                <w:color w:val="auto"/>
                <w:szCs w:val="21"/>
                <w:highlight w:val="none"/>
              </w:rPr>
            </w:pPr>
            <w:r>
              <w:rPr>
                <w:rFonts w:hint="eastAsia" w:hAnsi="宋体" w:cs="宋体"/>
                <w:bCs/>
                <w:color w:val="auto"/>
                <w:szCs w:val="21"/>
                <w:highlight w:val="none"/>
              </w:rPr>
              <w:t>内      容</w:t>
            </w:r>
          </w:p>
        </w:tc>
      </w:tr>
      <w:tr w14:paraId="6C56C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7" w:hRule="atLeast"/>
          <w:jc w:val="center"/>
        </w:trPr>
        <w:tc>
          <w:tcPr>
            <w:tcW w:w="1122" w:type="dxa"/>
            <w:vAlign w:val="center"/>
          </w:tcPr>
          <w:p w14:paraId="3B75134C">
            <w:pPr>
              <w:pStyle w:val="16"/>
              <w:jc w:val="center"/>
              <w:rPr>
                <w:rFonts w:hint="eastAsia" w:hAnsi="宋体" w:cs="宋体"/>
                <w:bCs/>
                <w:color w:val="auto"/>
                <w:szCs w:val="21"/>
                <w:highlight w:val="none"/>
              </w:rPr>
            </w:pPr>
            <w:r>
              <w:rPr>
                <w:rFonts w:hint="eastAsia" w:hAnsi="宋体" w:cs="宋体"/>
                <w:bCs/>
                <w:color w:val="auto"/>
                <w:szCs w:val="21"/>
                <w:highlight w:val="none"/>
              </w:rPr>
              <w:t>1</w:t>
            </w:r>
          </w:p>
        </w:tc>
        <w:tc>
          <w:tcPr>
            <w:tcW w:w="7819" w:type="dxa"/>
            <w:vAlign w:val="center"/>
          </w:tcPr>
          <w:p w14:paraId="170B19D3">
            <w:pPr>
              <w:spacing w:line="360" w:lineRule="auto"/>
              <w:rPr>
                <w:rFonts w:hint="eastAsia" w:ascii="宋体" w:hAnsi="宋体"/>
                <w:b/>
                <w:bCs/>
                <w:color w:val="auto"/>
                <w:highlight w:val="none"/>
              </w:rPr>
            </w:pPr>
            <w:r>
              <w:rPr>
                <w:rFonts w:ascii="宋体" w:hAnsi="宋体"/>
                <w:b/>
                <w:bCs/>
                <w:color w:val="auto"/>
                <w:highlight w:val="none"/>
              </w:rPr>
              <w:t>服务期限：</w:t>
            </w:r>
          </w:p>
          <w:p w14:paraId="0384C921">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lang w:val="en-US" w:eastAsia="zh-CN"/>
              </w:rPr>
              <w:t>一采三年（合同一年一签），自合同签订之日起至次年对应之日止。本次采购中，供应商应以年服务费进行报价，一旦中标，中标价即为第一年服务的合同价；第二年及第三年合同履行按云财采〔2015〕16号、云财采〔2016〕22号文件执行。</w:t>
            </w:r>
          </w:p>
          <w:p w14:paraId="413061A8">
            <w:pPr>
              <w:spacing w:line="360" w:lineRule="auto"/>
              <w:rPr>
                <w:rFonts w:hint="eastAsia" w:ascii="宋体" w:hAnsi="宋体"/>
                <w:b/>
                <w:bCs/>
                <w:color w:val="auto"/>
                <w:szCs w:val="21"/>
                <w:highlight w:val="none"/>
              </w:rPr>
            </w:pPr>
            <w:r>
              <w:rPr>
                <w:rFonts w:hint="eastAsia" w:ascii="宋体" w:hAnsi="宋体"/>
                <w:b/>
                <w:bCs/>
                <w:color w:val="auto"/>
                <w:szCs w:val="21"/>
                <w:highlight w:val="none"/>
              </w:rPr>
              <w:t>服务地点：</w:t>
            </w:r>
          </w:p>
          <w:p w14:paraId="450098E1">
            <w:pPr>
              <w:spacing w:line="360" w:lineRule="auto"/>
              <w:ind w:firstLine="420" w:firstLineChars="200"/>
              <w:rPr>
                <w:rFonts w:hint="eastAsia" w:ascii="宋体" w:hAnsi="宋体"/>
                <w:color w:val="auto"/>
                <w:highlight w:val="none"/>
              </w:rPr>
            </w:pPr>
            <w:r>
              <w:rPr>
                <w:rFonts w:hint="eastAsia" w:ascii="宋体" w:hAnsi="宋体"/>
                <w:color w:val="auto"/>
                <w:szCs w:val="21"/>
                <w:highlight w:val="none"/>
                <w:lang w:eastAsia="zh-CN"/>
              </w:rPr>
              <w:t>云南技师学院（云南工贸职业技术学院）安宁校区</w:t>
            </w:r>
            <w:r>
              <w:rPr>
                <w:rFonts w:hint="eastAsia" w:ascii="宋体" w:hAnsi="宋体"/>
                <w:color w:val="auto"/>
                <w:szCs w:val="21"/>
                <w:highlight w:val="none"/>
                <w:lang w:val="en-US" w:eastAsia="zh-CN"/>
              </w:rPr>
              <w:t>及茨坝校区</w:t>
            </w:r>
            <w:r>
              <w:rPr>
                <w:rFonts w:hint="eastAsia" w:ascii="宋体" w:hAnsi="宋体"/>
                <w:color w:val="auto"/>
                <w:szCs w:val="21"/>
                <w:highlight w:val="none"/>
              </w:rPr>
              <w:t>。</w:t>
            </w:r>
          </w:p>
        </w:tc>
      </w:tr>
      <w:tr w14:paraId="2435C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122" w:type="dxa"/>
            <w:vAlign w:val="center"/>
          </w:tcPr>
          <w:p w14:paraId="4657773F">
            <w:pPr>
              <w:pStyle w:val="16"/>
              <w:jc w:val="center"/>
              <w:rPr>
                <w:rFonts w:hint="eastAsia" w:hAnsi="宋体"/>
                <w:color w:val="auto"/>
                <w:szCs w:val="24"/>
                <w:highlight w:val="none"/>
              </w:rPr>
            </w:pPr>
            <w:r>
              <w:rPr>
                <w:rFonts w:hint="eastAsia" w:hAnsi="宋体"/>
                <w:color w:val="auto"/>
                <w:szCs w:val="24"/>
                <w:highlight w:val="none"/>
              </w:rPr>
              <w:t>2</w:t>
            </w:r>
          </w:p>
        </w:tc>
        <w:tc>
          <w:tcPr>
            <w:tcW w:w="7819" w:type="dxa"/>
            <w:vAlign w:val="center"/>
          </w:tcPr>
          <w:p w14:paraId="7240FFEC">
            <w:pPr>
              <w:spacing w:line="360" w:lineRule="auto"/>
              <w:rPr>
                <w:rFonts w:hint="eastAsia" w:ascii="宋体" w:hAnsi="宋体"/>
                <w:b/>
                <w:bCs/>
                <w:color w:val="auto"/>
                <w:highlight w:val="none"/>
              </w:rPr>
            </w:pPr>
            <w:r>
              <w:rPr>
                <w:rFonts w:hint="eastAsia" w:ascii="宋体" w:hAnsi="宋体"/>
                <w:b/>
                <w:bCs/>
                <w:color w:val="auto"/>
                <w:highlight w:val="none"/>
              </w:rPr>
              <w:t>付款方式：</w:t>
            </w:r>
          </w:p>
          <w:p w14:paraId="51A4D47E">
            <w:pPr>
              <w:spacing w:line="360" w:lineRule="auto"/>
              <w:ind w:firstLine="420" w:firstLineChars="200"/>
              <w:rPr>
                <w:color w:val="auto"/>
                <w:highlight w:val="none"/>
              </w:rPr>
            </w:pPr>
            <w:r>
              <w:rPr>
                <w:rFonts w:hint="eastAsia" w:ascii="宋体" w:hAnsi="宋体"/>
                <w:color w:val="auto"/>
                <w:highlight w:val="none"/>
                <w:lang w:val="en-US" w:eastAsia="zh-CN"/>
              </w:rPr>
              <w:t>按照合同总价的服务费，根据合同考核按月支付中标企业。甲方每月对乙方进行月度考核，考核合格，次月按照考核得分分值比例支付服务费。考核不合格，按照合同约定扣发相应的服务费。实际支付的服务费用以甲方考核后，甲乙双方确定的金额为准</w:t>
            </w:r>
            <w:r>
              <w:rPr>
                <w:rFonts w:hint="eastAsia" w:ascii="宋体" w:hAnsi="宋体"/>
                <w:color w:val="auto"/>
                <w:highlight w:val="none"/>
                <w:lang w:eastAsia="zh-CN"/>
              </w:rPr>
              <w:t>。</w:t>
            </w:r>
          </w:p>
        </w:tc>
      </w:tr>
    </w:tbl>
    <w:p w14:paraId="590C44A3">
      <w:pPr>
        <w:spacing w:line="360" w:lineRule="auto"/>
        <w:ind w:firstLine="480" w:firstLineChars="200"/>
        <w:rPr>
          <w:rFonts w:hint="eastAsia" w:ascii="宋体" w:hAnsi="宋体"/>
          <w:b/>
          <w:color w:val="auto"/>
          <w:sz w:val="24"/>
          <w:highlight w:val="none"/>
        </w:rPr>
      </w:pPr>
    </w:p>
    <w:p w14:paraId="4015DF44">
      <w:pPr>
        <w:spacing w:line="360" w:lineRule="auto"/>
        <w:ind w:firstLine="480" w:firstLineChars="200"/>
        <w:rPr>
          <w:rFonts w:hint="eastAsia" w:ascii="宋体" w:hAnsi="宋体"/>
          <w:b/>
          <w:color w:val="auto"/>
          <w:sz w:val="24"/>
          <w:highlight w:val="none"/>
        </w:rPr>
      </w:pPr>
    </w:p>
    <w:p w14:paraId="34C5B715">
      <w:pPr>
        <w:spacing w:line="360" w:lineRule="auto"/>
        <w:ind w:firstLine="480" w:firstLineChars="200"/>
        <w:rPr>
          <w:rFonts w:hint="eastAsia" w:ascii="宋体" w:hAnsi="宋体"/>
          <w:b/>
          <w:color w:val="auto"/>
          <w:sz w:val="24"/>
          <w:highlight w:val="none"/>
        </w:rPr>
      </w:pPr>
    </w:p>
    <w:p w14:paraId="0B3460D3">
      <w:pPr>
        <w:spacing w:line="360" w:lineRule="auto"/>
        <w:ind w:firstLine="480" w:firstLineChars="200"/>
        <w:rPr>
          <w:rFonts w:hint="eastAsia" w:ascii="宋体" w:hAnsi="宋体"/>
          <w:b/>
          <w:color w:val="auto"/>
          <w:sz w:val="24"/>
          <w:highlight w:val="none"/>
        </w:rPr>
      </w:pPr>
    </w:p>
    <w:p w14:paraId="2E222C7D">
      <w:pPr>
        <w:widowControl/>
        <w:jc w:val="left"/>
        <w:rPr>
          <w:rFonts w:hint="eastAsia" w:ascii="宋体" w:hAnsi="宋体"/>
          <w:b/>
          <w:color w:val="auto"/>
          <w:sz w:val="24"/>
          <w:highlight w:val="none"/>
        </w:rPr>
      </w:pPr>
      <w:r>
        <w:rPr>
          <w:rFonts w:ascii="宋体" w:hAnsi="宋体"/>
          <w:b/>
          <w:color w:val="auto"/>
          <w:sz w:val="24"/>
          <w:highlight w:val="none"/>
        </w:rPr>
        <w:br w:type="page"/>
      </w:r>
    </w:p>
    <w:p w14:paraId="3EAE4375">
      <w:pPr>
        <w:pStyle w:val="3"/>
        <w:numPr>
          <w:ilvl w:val="0"/>
          <w:numId w:val="0"/>
        </w:numPr>
        <w:spacing w:before="0"/>
        <w:jc w:val="center"/>
        <w:rPr>
          <w:rFonts w:hint="eastAsia" w:ascii="宋体" w:hAnsi="宋体" w:eastAsia="宋体"/>
          <w:color w:val="auto"/>
          <w:szCs w:val="28"/>
          <w:highlight w:val="none"/>
        </w:rPr>
      </w:pPr>
      <w:bookmarkStart w:id="260" w:name="_Toc18086"/>
      <w:bookmarkStart w:id="261" w:name="_Toc19852"/>
      <w:bookmarkStart w:id="262" w:name="_Toc8031"/>
      <w:bookmarkStart w:id="263" w:name="_Toc29165"/>
      <w:bookmarkStart w:id="264" w:name="_Toc31204"/>
      <w:r>
        <w:rPr>
          <w:rFonts w:hint="eastAsia" w:ascii="宋体" w:hAnsi="宋体" w:eastAsia="宋体"/>
          <w:color w:val="auto"/>
          <w:szCs w:val="28"/>
          <w:highlight w:val="none"/>
        </w:rPr>
        <w:t>云南省省级政府集中采购（服务类）合同书（格式）</w:t>
      </w:r>
      <w:bookmarkEnd w:id="260"/>
      <w:bookmarkEnd w:id="261"/>
      <w:bookmarkEnd w:id="262"/>
      <w:bookmarkEnd w:id="263"/>
      <w:bookmarkEnd w:id="264"/>
    </w:p>
    <w:p w14:paraId="53BD7CBF">
      <w:pPr>
        <w:autoSpaceDE w:val="0"/>
        <w:autoSpaceDN w:val="0"/>
        <w:adjustRightInd w:val="0"/>
        <w:spacing w:line="300" w:lineRule="auto"/>
        <w:ind w:right="-72"/>
        <w:rPr>
          <w:rFonts w:hint="eastAsia" w:ascii="宋体" w:hAnsi="宋体"/>
          <w:color w:val="auto"/>
          <w:kern w:val="0"/>
          <w:sz w:val="32"/>
          <w:szCs w:val="32"/>
          <w:highlight w:val="none"/>
          <w:u w:val="single"/>
        </w:rPr>
      </w:pPr>
      <w:r>
        <w:rPr>
          <w:rFonts w:hint="eastAsia" w:ascii="宋体" w:hAnsi="宋体"/>
          <w:color w:val="auto"/>
          <w:kern w:val="0"/>
          <w:sz w:val="32"/>
          <w:szCs w:val="32"/>
          <w:highlight w:val="none"/>
        </w:rPr>
        <w:t>合同编号：</w:t>
      </w:r>
    </w:p>
    <w:p w14:paraId="246A4D6B">
      <w:pPr>
        <w:autoSpaceDE w:val="0"/>
        <w:autoSpaceDN w:val="0"/>
        <w:adjustRightInd w:val="0"/>
        <w:spacing w:line="300" w:lineRule="auto"/>
        <w:ind w:right="-72"/>
        <w:rPr>
          <w:rFonts w:hint="eastAsia" w:ascii="宋体" w:hAnsi="宋体"/>
          <w:b/>
          <w:color w:val="auto"/>
          <w:kern w:val="0"/>
          <w:sz w:val="18"/>
          <w:szCs w:val="18"/>
          <w:highlight w:val="none"/>
        </w:rPr>
      </w:pPr>
      <w:r>
        <w:rPr>
          <w:rFonts w:hint="eastAsia" w:ascii="宋体" w:hAnsi="宋体"/>
          <w:color w:val="auto"/>
          <w:kern w:val="0"/>
          <w:sz w:val="32"/>
          <w:szCs w:val="32"/>
          <w:highlight w:val="none"/>
        </w:rPr>
        <w:t xml:space="preserve">合同自编号：                  项目编号：      </w:t>
      </w:r>
    </w:p>
    <w:p w14:paraId="1B16D48C">
      <w:pPr>
        <w:autoSpaceDE w:val="0"/>
        <w:autoSpaceDN w:val="0"/>
        <w:adjustRightInd w:val="0"/>
        <w:spacing w:line="300" w:lineRule="auto"/>
        <w:ind w:right="568"/>
        <w:rPr>
          <w:rFonts w:hint="eastAsia" w:ascii="宋体" w:hAnsi="宋体"/>
          <w:color w:val="auto"/>
          <w:kern w:val="0"/>
          <w:sz w:val="32"/>
          <w:szCs w:val="32"/>
          <w:highlight w:val="none"/>
        </w:rPr>
      </w:pPr>
      <w:r>
        <w:rPr>
          <w:rFonts w:hint="eastAsia" w:ascii="宋体" w:hAnsi="宋体"/>
          <w:color w:val="auto"/>
          <w:kern w:val="0"/>
          <w:sz w:val="32"/>
          <w:szCs w:val="32"/>
          <w:highlight w:val="none"/>
        </w:rPr>
        <w:t>●本合同须加盖甲乙双方骑缝章有效</w:t>
      </w:r>
    </w:p>
    <w:p w14:paraId="21F45AA1">
      <w:pPr>
        <w:rPr>
          <w:color w:val="auto"/>
          <w:highlight w:val="none"/>
        </w:rPr>
      </w:pPr>
    </w:p>
    <w:p w14:paraId="410D22DC">
      <w:pPr>
        <w:autoSpaceDE w:val="0"/>
        <w:autoSpaceDN w:val="0"/>
        <w:adjustRightInd w:val="0"/>
        <w:spacing w:line="300" w:lineRule="auto"/>
        <w:jc w:val="center"/>
        <w:rPr>
          <w:rFonts w:hint="eastAsia" w:ascii="宋体" w:hAnsi="宋体"/>
          <w:color w:val="auto"/>
          <w:kern w:val="0"/>
          <w:sz w:val="52"/>
          <w:szCs w:val="52"/>
          <w:highlight w:val="none"/>
        </w:rPr>
      </w:pPr>
      <w:r>
        <w:rPr>
          <w:rFonts w:hint="eastAsia" w:ascii="宋体" w:hAnsi="宋体"/>
          <w:color w:val="auto"/>
          <w:kern w:val="0"/>
          <w:sz w:val="52"/>
          <w:szCs w:val="52"/>
          <w:highlight w:val="none"/>
        </w:rPr>
        <w:t>云南省省级政府集中采购</w:t>
      </w:r>
    </w:p>
    <w:p w14:paraId="5F0D7B35">
      <w:pPr>
        <w:autoSpaceDE w:val="0"/>
        <w:autoSpaceDN w:val="0"/>
        <w:adjustRightInd w:val="0"/>
        <w:spacing w:line="300" w:lineRule="auto"/>
        <w:jc w:val="center"/>
        <w:rPr>
          <w:rFonts w:hint="eastAsia" w:ascii="宋体" w:hAnsi="宋体"/>
          <w:color w:val="auto"/>
          <w:kern w:val="0"/>
          <w:sz w:val="32"/>
          <w:szCs w:val="32"/>
          <w:highlight w:val="none"/>
        </w:rPr>
      </w:pPr>
      <w:r>
        <w:rPr>
          <w:rFonts w:hint="eastAsia" w:ascii="宋体" w:hAnsi="宋体"/>
          <w:color w:val="auto"/>
          <w:kern w:val="0"/>
          <w:sz w:val="32"/>
          <w:szCs w:val="32"/>
          <w:highlight w:val="none"/>
        </w:rPr>
        <w:t>(委托采购)</w:t>
      </w:r>
    </w:p>
    <w:p w14:paraId="1251BCAE">
      <w:pPr>
        <w:autoSpaceDE w:val="0"/>
        <w:autoSpaceDN w:val="0"/>
        <w:adjustRightInd w:val="0"/>
        <w:spacing w:line="300" w:lineRule="auto"/>
        <w:jc w:val="center"/>
        <w:rPr>
          <w:rFonts w:hint="eastAsia" w:ascii="宋体" w:hAnsi="宋体"/>
          <w:b/>
          <w:color w:val="auto"/>
          <w:kern w:val="0"/>
          <w:sz w:val="44"/>
          <w:szCs w:val="44"/>
          <w:highlight w:val="none"/>
        </w:rPr>
      </w:pPr>
      <w:r>
        <w:rPr>
          <w:rFonts w:hint="eastAsia" w:ascii="宋体" w:hAnsi="宋体"/>
          <w:b/>
          <w:color w:val="auto"/>
          <w:kern w:val="0"/>
          <w:sz w:val="44"/>
          <w:szCs w:val="44"/>
          <w:highlight w:val="none"/>
        </w:rPr>
        <w:t>服  务　类</w:t>
      </w:r>
    </w:p>
    <w:p w14:paraId="4AC51665">
      <w:pPr>
        <w:autoSpaceDE w:val="0"/>
        <w:autoSpaceDN w:val="0"/>
        <w:adjustRightInd w:val="0"/>
        <w:spacing w:line="300" w:lineRule="auto"/>
        <w:jc w:val="center"/>
        <w:rPr>
          <w:rFonts w:hint="eastAsia" w:ascii="宋体" w:hAnsi="宋体"/>
          <w:color w:val="auto"/>
          <w:kern w:val="0"/>
          <w:sz w:val="18"/>
          <w:szCs w:val="18"/>
          <w:highlight w:val="none"/>
        </w:rPr>
      </w:pPr>
    </w:p>
    <w:p w14:paraId="7EE23294">
      <w:pPr>
        <w:autoSpaceDE w:val="0"/>
        <w:autoSpaceDN w:val="0"/>
        <w:adjustRightInd w:val="0"/>
        <w:spacing w:line="300" w:lineRule="auto"/>
        <w:jc w:val="center"/>
        <w:rPr>
          <w:rFonts w:hint="eastAsia" w:ascii="宋体" w:hAnsi="宋体"/>
          <w:color w:val="auto"/>
          <w:kern w:val="0"/>
          <w:sz w:val="18"/>
          <w:szCs w:val="18"/>
          <w:highlight w:val="none"/>
        </w:rPr>
      </w:pPr>
    </w:p>
    <w:p w14:paraId="6DFBB790">
      <w:pPr>
        <w:autoSpaceDE w:val="0"/>
        <w:autoSpaceDN w:val="0"/>
        <w:adjustRightInd w:val="0"/>
        <w:spacing w:line="300" w:lineRule="auto"/>
        <w:jc w:val="center"/>
        <w:rPr>
          <w:rFonts w:hint="eastAsia" w:ascii="宋体" w:hAnsi="宋体"/>
          <w:color w:val="auto"/>
          <w:kern w:val="0"/>
          <w:sz w:val="18"/>
          <w:szCs w:val="18"/>
          <w:highlight w:val="none"/>
        </w:rPr>
      </w:pPr>
    </w:p>
    <w:p w14:paraId="2E9187DD">
      <w:pPr>
        <w:autoSpaceDE w:val="0"/>
        <w:autoSpaceDN w:val="0"/>
        <w:adjustRightInd w:val="0"/>
        <w:spacing w:line="300" w:lineRule="auto"/>
        <w:jc w:val="center"/>
        <w:rPr>
          <w:rFonts w:hint="eastAsia" w:ascii="宋体" w:hAnsi="宋体"/>
          <w:color w:val="auto"/>
          <w:kern w:val="0"/>
          <w:sz w:val="18"/>
          <w:szCs w:val="18"/>
          <w:highlight w:val="none"/>
        </w:rPr>
      </w:pPr>
    </w:p>
    <w:p w14:paraId="447394AE">
      <w:pPr>
        <w:autoSpaceDE w:val="0"/>
        <w:autoSpaceDN w:val="0"/>
        <w:adjustRightInd w:val="0"/>
        <w:spacing w:line="300" w:lineRule="auto"/>
        <w:jc w:val="center"/>
        <w:rPr>
          <w:rFonts w:hint="eastAsia" w:ascii="宋体" w:hAnsi="宋体"/>
          <w:color w:val="auto"/>
          <w:kern w:val="0"/>
          <w:sz w:val="84"/>
          <w:szCs w:val="84"/>
          <w:highlight w:val="none"/>
        </w:rPr>
      </w:pPr>
      <w:r>
        <w:rPr>
          <w:rFonts w:hint="eastAsia" w:ascii="宋体" w:hAnsi="宋体"/>
          <w:color w:val="auto"/>
          <w:kern w:val="0"/>
          <w:sz w:val="84"/>
          <w:szCs w:val="84"/>
          <w:highlight w:val="none"/>
        </w:rPr>
        <w:t xml:space="preserve">合 </w:t>
      </w:r>
    </w:p>
    <w:p w14:paraId="4CD5A0E2">
      <w:pPr>
        <w:autoSpaceDE w:val="0"/>
        <w:autoSpaceDN w:val="0"/>
        <w:adjustRightInd w:val="0"/>
        <w:spacing w:line="300" w:lineRule="auto"/>
        <w:jc w:val="center"/>
        <w:rPr>
          <w:rFonts w:hint="eastAsia" w:ascii="宋体" w:hAnsi="宋体"/>
          <w:color w:val="auto"/>
          <w:kern w:val="0"/>
          <w:sz w:val="72"/>
          <w:szCs w:val="72"/>
          <w:highlight w:val="none"/>
        </w:rPr>
      </w:pPr>
      <w:r>
        <w:rPr>
          <w:rFonts w:hint="eastAsia" w:ascii="宋体" w:hAnsi="宋体"/>
          <w:color w:val="auto"/>
          <w:kern w:val="0"/>
          <w:sz w:val="84"/>
          <w:szCs w:val="84"/>
          <w:highlight w:val="none"/>
        </w:rPr>
        <w:t xml:space="preserve">同 </w:t>
      </w:r>
    </w:p>
    <w:p w14:paraId="35C83FB9">
      <w:pPr>
        <w:autoSpaceDE w:val="0"/>
        <w:autoSpaceDN w:val="0"/>
        <w:adjustRightInd w:val="0"/>
        <w:spacing w:line="300" w:lineRule="auto"/>
        <w:jc w:val="center"/>
        <w:rPr>
          <w:rFonts w:hint="eastAsia" w:ascii="宋体" w:hAnsi="宋体"/>
          <w:color w:val="auto"/>
          <w:kern w:val="0"/>
          <w:sz w:val="84"/>
          <w:szCs w:val="84"/>
          <w:highlight w:val="none"/>
        </w:rPr>
      </w:pPr>
      <w:r>
        <w:rPr>
          <w:rFonts w:hint="eastAsia" w:ascii="宋体" w:hAnsi="宋体"/>
          <w:color w:val="auto"/>
          <w:kern w:val="0"/>
          <w:sz w:val="84"/>
          <w:szCs w:val="84"/>
          <w:highlight w:val="none"/>
        </w:rPr>
        <w:t xml:space="preserve">书 </w:t>
      </w:r>
    </w:p>
    <w:p w14:paraId="36CB4341">
      <w:pPr>
        <w:autoSpaceDE w:val="0"/>
        <w:autoSpaceDN w:val="0"/>
        <w:adjustRightInd w:val="0"/>
        <w:spacing w:line="300" w:lineRule="auto"/>
        <w:jc w:val="center"/>
        <w:rPr>
          <w:rFonts w:hint="eastAsia" w:ascii="宋体" w:hAnsi="宋体"/>
          <w:color w:val="auto"/>
          <w:kern w:val="0"/>
          <w:sz w:val="18"/>
          <w:szCs w:val="18"/>
          <w:highlight w:val="none"/>
        </w:rPr>
      </w:pPr>
    </w:p>
    <w:p w14:paraId="00C5591E">
      <w:pPr>
        <w:autoSpaceDE w:val="0"/>
        <w:autoSpaceDN w:val="0"/>
        <w:adjustRightInd w:val="0"/>
        <w:spacing w:line="300" w:lineRule="auto"/>
        <w:jc w:val="center"/>
        <w:rPr>
          <w:rFonts w:hint="eastAsia" w:ascii="宋体" w:hAnsi="宋体"/>
          <w:color w:val="auto"/>
          <w:kern w:val="0"/>
          <w:sz w:val="18"/>
          <w:szCs w:val="18"/>
          <w:highlight w:val="none"/>
        </w:rPr>
      </w:pPr>
    </w:p>
    <w:p w14:paraId="33510EEF">
      <w:pPr>
        <w:autoSpaceDE w:val="0"/>
        <w:autoSpaceDN w:val="0"/>
        <w:adjustRightInd w:val="0"/>
        <w:spacing w:line="300" w:lineRule="auto"/>
        <w:jc w:val="center"/>
        <w:rPr>
          <w:rFonts w:hint="eastAsia" w:ascii="宋体" w:hAnsi="宋体"/>
          <w:color w:val="auto"/>
          <w:kern w:val="0"/>
          <w:sz w:val="18"/>
          <w:szCs w:val="18"/>
          <w:highlight w:val="none"/>
        </w:rPr>
      </w:pPr>
    </w:p>
    <w:p w14:paraId="3C57B539">
      <w:pPr>
        <w:autoSpaceDE w:val="0"/>
        <w:autoSpaceDN w:val="0"/>
        <w:adjustRightInd w:val="0"/>
        <w:spacing w:line="300" w:lineRule="auto"/>
        <w:jc w:val="center"/>
        <w:rPr>
          <w:rFonts w:hint="eastAsia" w:ascii="宋体" w:hAnsi="宋体"/>
          <w:b/>
          <w:color w:val="auto"/>
          <w:kern w:val="0"/>
          <w:sz w:val="36"/>
          <w:szCs w:val="36"/>
          <w:highlight w:val="none"/>
          <w:lang w:val="zh-CN"/>
        </w:rPr>
      </w:pPr>
      <w:r>
        <w:rPr>
          <w:rFonts w:hint="eastAsia" w:ascii="宋体" w:hAnsi="宋体"/>
          <w:b/>
          <w:color w:val="auto"/>
          <w:kern w:val="0"/>
          <w:sz w:val="36"/>
          <w:szCs w:val="36"/>
          <w:highlight w:val="none"/>
          <w:lang w:val="zh-CN"/>
        </w:rPr>
        <w:t>签订地点：</w:t>
      </w:r>
      <w:r>
        <w:rPr>
          <w:rFonts w:hint="eastAsia" w:ascii="宋体" w:hAnsi="宋体"/>
          <w:b/>
          <w:color w:val="auto"/>
          <w:spacing w:val="40"/>
          <w:kern w:val="0"/>
          <w:sz w:val="36"/>
          <w:szCs w:val="36"/>
          <w:highlight w:val="none"/>
          <w:lang w:val="zh-CN"/>
        </w:rPr>
        <w:t>云南省</w:t>
      </w:r>
      <w:r>
        <w:rPr>
          <w:rFonts w:hint="eastAsia" w:ascii="宋体" w:hAnsi="宋体"/>
          <w:b/>
          <w:color w:val="auto"/>
          <w:spacing w:val="40"/>
          <w:kern w:val="0"/>
          <w:sz w:val="36"/>
          <w:szCs w:val="36"/>
          <w:highlight w:val="none"/>
        </w:rPr>
        <w:t>昆明</w:t>
      </w:r>
      <w:r>
        <w:rPr>
          <w:rFonts w:hint="eastAsia" w:ascii="宋体" w:hAnsi="宋体"/>
          <w:b/>
          <w:color w:val="auto"/>
          <w:spacing w:val="40"/>
          <w:kern w:val="0"/>
          <w:sz w:val="36"/>
          <w:szCs w:val="36"/>
          <w:highlight w:val="none"/>
          <w:lang w:val="zh-CN"/>
        </w:rPr>
        <w:t>市</w:t>
      </w:r>
    </w:p>
    <w:p w14:paraId="0910C20D">
      <w:pPr>
        <w:autoSpaceDE w:val="0"/>
        <w:autoSpaceDN w:val="0"/>
        <w:adjustRightInd w:val="0"/>
        <w:spacing w:line="300" w:lineRule="auto"/>
        <w:jc w:val="center"/>
        <w:rPr>
          <w:rFonts w:hint="eastAsia" w:ascii="宋体" w:hAnsi="宋体"/>
          <w:color w:val="auto"/>
          <w:kern w:val="0"/>
          <w:sz w:val="18"/>
          <w:szCs w:val="18"/>
          <w:highlight w:val="none"/>
        </w:rPr>
      </w:pPr>
    </w:p>
    <w:p w14:paraId="7CD7FA7C">
      <w:pPr>
        <w:autoSpaceDE w:val="0"/>
        <w:autoSpaceDN w:val="0"/>
        <w:adjustRightInd w:val="0"/>
        <w:spacing w:line="300" w:lineRule="auto"/>
        <w:jc w:val="center"/>
        <w:rPr>
          <w:rFonts w:hint="eastAsia" w:ascii="宋体" w:hAnsi="宋体"/>
          <w:b/>
          <w:color w:val="auto"/>
          <w:kern w:val="0"/>
          <w:sz w:val="36"/>
          <w:szCs w:val="36"/>
          <w:highlight w:val="none"/>
          <w:lang w:val="zh-CN"/>
        </w:rPr>
      </w:pPr>
      <w:r>
        <w:rPr>
          <w:rFonts w:hint="eastAsia" w:ascii="宋体" w:hAnsi="宋体"/>
          <w:b/>
          <w:color w:val="auto"/>
          <w:kern w:val="0"/>
          <w:sz w:val="36"/>
          <w:szCs w:val="36"/>
          <w:highlight w:val="none"/>
          <w:lang w:val="zh-CN"/>
        </w:rPr>
        <w:t>云南省财政厅　制</w:t>
      </w:r>
    </w:p>
    <w:p w14:paraId="12A8B184">
      <w:pPr>
        <w:widowControl/>
        <w:ind w:firstLine="640" w:firstLineChars="200"/>
        <w:jc w:val="left"/>
        <w:rPr>
          <w:rFonts w:hint="eastAsia" w:ascii="宋体" w:hAnsi="宋体" w:eastAsia="宋体" w:cs="Times New Roman"/>
          <w:bCs/>
          <w:color w:val="auto"/>
          <w:sz w:val="32"/>
          <w:szCs w:val="32"/>
          <w:highlight w:val="none"/>
        </w:rPr>
      </w:pPr>
      <w:r>
        <w:rPr>
          <w:rFonts w:hint="eastAsia" w:ascii="宋体" w:hAnsi="宋体" w:eastAsia="宋体" w:cs="Times New Roman"/>
          <w:bCs/>
          <w:color w:val="auto"/>
          <w:sz w:val="32"/>
          <w:szCs w:val="32"/>
          <w:highlight w:val="none"/>
        </w:rPr>
        <w:t>甲乙双方根据云南省政府采购和出让中心按照《中华人民共和国政府采购法》、《中华人民共和国政府采购法实施条例》和有关制度规定纳入省级政府采购、编号为</w:t>
      </w:r>
      <w:r>
        <w:rPr>
          <w:rFonts w:hint="eastAsia" w:ascii="宋体" w:hAnsi="宋体" w:eastAsia="宋体" w:cs="Times New Roman"/>
          <w:bCs/>
          <w:color w:val="auto"/>
          <w:sz w:val="32"/>
          <w:szCs w:val="32"/>
          <w:highlight w:val="none"/>
          <w:u w:val="single"/>
        </w:rPr>
        <w:t>（项目编号）</w:t>
      </w:r>
      <w:r>
        <w:rPr>
          <w:rFonts w:hint="eastAsia" w:ascii="宋体" w:hAnsi="宋体" w:eastAsia="宋体" w:cs="Times New Roman"/>
          <w:bCs/>
          <w:color w:val="auto"/>
          <w:sz w:val="32"/>
          <w:szCs w:val="32"/>
          <w:highlight w:val="none"/>
        </w:rPr>
        <w:t>的“</w:t>
      </w:r>
      <w:r>
        <w:rPr>
          <w:rFonts w:hint="eastAsia" w:ascii="宋体" w:hAnsi="宋体" w:eastAsia="宋体" w:cs="Times New Roman"/>
          <w:bCs/>
          <w:color w:val="auto"/>
          <w:sz w:val="32"/>
          <w:szCs w:val="32"/>
          <w:highlight w:val="none"/>
          <w:u w:val="single"/>
        </w:rPr>
        <w:t>（项目名称）</w:t>
      </w:r>
      <w:r>
        <w:rPr>
          <w:rFonts w:hint="eastAsia" w:ascii="宋体" w:hAnsi="宋体" w:eastAsia="宋体" w:cs="Times New Roman"/>
          <w:bCs/>
          <w:color w:val="auto"/>
          <w:sz w:val="32"/>
          <w:szCs w:val="32"/>
          <w:highlight w:val="none"/>
        </w:rPr>
        <w:t>”</w:t>
      </w:r>
      <w:r>
        <w:rPr>
          <w:rFonts w:hint="eastAsia" w:ascii="宋体" w:hAnsi="宋体" w:eastAsia="宋体" w:cs="Times New Roman"/>
          <w:bCs/>
          <w:color w:val="auto"/>
          <w:sz w:val="32"/>
          <w:szCs w:val="32"/>
          <w:highlight w:val="none"/>
          <w:u w:val="single"/>
        </w:rPr>
        <w:t>（采购方式）</w:t>
      </w:r>
      <w:r>
        <w:rPr>
          <w:rFonts w:hint="eastAsia" w:ascii="宋体" w:hAnsi="宋体" w:eastAsia="宋体" w:cs="Times New Roman"/>
          <w:bCs/>
          <w:color w:val="auto"/>
          <w:sz w:val="32"/>
          <w:szCs w:val="32"/>
          <w:highlight w:val="none"/>
        </w:rPr>
        <w:t>采购结果，经双方协定达成一致，签订以下内容：</w:t>
      </w:r>
    </w:p>
    <w:p w14:paraId="3BDEAA05">
      <w:pPr>
        <w:spacing w:line="600" w:lineRule="exact"/>
        <w:ind w:firstLine="640" w:firstLineChars="200"/>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一、项目合作或服务内容：</w:t>
      </w:r>
    </w:p>
    <w:p w14:paraId="5D0B90C9">
      <w:pPr>
        <w:spacing w:line="600" w:lineRule="exact"/>
        <w:ind w:firstLine="480" w:firstLineChars="200"/>
        <w:rPr>
          <w:rFonts w:hint="eastAsia" w:ascii="宋体" w:hAnsi="宋体" w:eastAsia="宋体" w:cs="Times New Roman"/>
          <w:color w:val="auto"/>
          <w:sz w:val="24"/>
          <w:highlight w:val="none"/>
        </w:rPr>
      </w:pPr>
    </w:p>
    <w:p w14:paraId="1A5A9BFD">
      <w:pPr>
        <w:spacing w:line="600" w:lineRule="exact"/>
        <w:ind w:firstLine="480" w:firstLineChars="200"/>
        <w:rPr>
          <w:rFonts w:hint="eastAsia" w:ascii="宋体" w:hAnsi="宋体" w:eastAsia="宋体" w:cs="Times New Roman"/>
          <w:color w:val="auto"/>
          <w:sz w:val="24"/>
          <w:highlight w:val="none"/>
        </w:rPr>
      </w:pPr>
    </w:p>
    <w:p w14:paraId="3896F1A2">
      <w:pPr>
        <w:spacing w:line="600" w:lineRule="exact"/>
        <w:ind w:firstLine="480" w:firstLineChars="200"/>
        <w:rPr>
          <w:rFonts w:hint="eastAsia" w:ascii="宋体" w:hAnsi="宋体" w:eastAsia="宋体" w:cs="Times New Roman"/>
          <w:color w:val="auto"/>
          <w:sz w:val="24"/>
          <w:highlight w:val="none"/>
        </w:rPr>
      </w:pPr>
    </w:p>
    <w:p w14:paraId="05E1935C">
      <w:pPr>
        <w:spacing w:line="600" w:lineRule="exact"/>
        <w:rPr>
          <w:rFonts w:hint="eastAsia" w:ascii="宋体" w:hAnsi="宋体" w:eastAsia="宋体" w:cs="Times New Roman"/>
          <w:b/>
          <w:color w:val="auto"/>
          <w:sz w:val="32"/>
          <w:szCs w:val="32"/>
          <w:highlight w:val="none"/>
        </w:rPr>
      </w:pPr>
    </w:p>
    <w:p w14:paraId="4693C5F6">
      <w:pPr>
        <w:spacing w:line="600" w:lineRule="exact"/>
        <w:ind w:firstLine="640" w:firstLineChars="200"/>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二、合同总价</w:t>
      </w:r>
    </w:p>
    <w:p w14:paraId="1CEABEC4">
      <w:pPr>
        <w:spacing w:line="600" w:lineRule="exact"/>
        <w:ind w:firstLine="640" w:firstLineChars="200"/>
        <w:rPr>
          <w:rFonts w:hint="eastAsia" w:ascii="宋体" w:hAnsi="宋体" w:eastAsia="宋体" w:cs="Times New Roman"/>
          <w:color w:val="auto"/>
          <w:kern w:val="0"/>
          <w:sz w:val="32"/>
          <w:szCs w:val="32"/>
          <w:highlight w:val="none"/>
          <w:lang w:val="zh-CN"/>
        </w:rPr>
      </w:pPr>
      <w:r>
        <w:rPr>
          <w:rFonts w:hint="eastAsia" w:ascii="宋体" w:hAnsi="宋体" w:eastAsia="宋体" w:cs="Times New Roman"/>
          <w:color w:val="auto"/>
          <w:kern w:val="0"/>
          <w:sz w:val="32"/>
          <w:szCs w:val="32"/>
          <w:highlight w:val="none"/>
          <w:lang w:val="zh-CN"/>
        </w:rPr>
        <w:t>人民币小写：</w:t>
      </w:r>
    </w:p>
    <w:p w14:paraId="0F1CFE0C">
      <w:pPr>
        <w:spacing w:line="600" w:lineRule="exact"/>
        <w:ind w:firstLine="1600" w:firstLineChars="500"/>
        <w:rPr>
          <w:rFonts w:hint="eastAsia" w:ascii="宋体" w:hAnsi="宋体" w:eastAsia="宋体" w:cs="Times New Roman"/>
          <w:b/>
          <w:bCs/>
          <w:color w:val="auto"/>
          <w:sz w:val="32"/>
          <w:szCs w:val="32"/>
          <w:highlight w:val="none"/>
        </w:rPr>
      </w:pPr>
      <w:r>
        <w:rPr>
          <w:rFonts w:hint="eastAsia" w:ascii="宋体" w:hAnsi="宋体" w:eastAsia="宋体" w:cs="Times New Roman"/>
          <w:color w:val="auto"/>
          <w:kern w:val="0"/>
          <w:sz w:val="32"/>
          <w:szCs w:val="32"/>
          <w:highlight w:val="none"/>
          <w:lang w:val="zh-CN"/>
        </w:rPr>
        <w:t>大写：</w:t>
      </w:r>
    </w:p>
    <w:p w14:paraId="0285C05A">
      <w:pPr>
        <w:autoSpaceDE w:val="0"/>
        <w:autoSpaceDN w:val="0"/>
        <w:adjustRightInd w:val="0"/>
        <w:spacing w:line="600" w:lineRule="exact"/>
        <w:ind w:firstLine="640" w:firstLineChars="200"/>
        <w:jc w:val="left"/>
        <w:rPr>
          <w:rFonts w:hint="eastAsia" w:ascii="宋体" w:hAnsi="宋体" w:eastAsia="宋体" w:cs="Times New Roman"/>
          <w:color w:val="auto"/>
          <w:kern w:val="0"/>
          <w:sz w:val="32"/>
          <w:szCs w:val="32"/>
          <w:highlight w:val="none"/>
          <w:lang w:val="zh-CN"/>
        </w:rPr>
      </w:pPr>
      <w:r>
        <w:rPr>
          <w:rFonts w:hint="eastAsia" w:ascii="宋体" w:hAnsi="宋体" w:eastAsia="宋体" w:cs="Times New Roman"/>
          <w:color w:val="auto"/>
          <w:kern w:val="0"/>
          <w:sz w:val="32"/>
          <w:szCs w:val="32"/>
          <w:highlight w:val="none"/>
          <w:lang w:val="zh-CN"/>
        </w:rPr>
        <w:t>其中：</w:t>
      </w:r>
      <w:r>
        <w:rPr>
          <w:rFonts w:hint="eastAsia" w:ascii="宋体" w:hAnsi="宋体" w:eastAsia="宋体" w:cs="Times New Roman"/>
          <w:bCs/>
          <w:color w:val="auto"/>
          <w:kern w:val="0"/>
          <w:sz w:val="32"/>
          <w:szCs w:val="32"/>
          <w:highlight w:val="none"/>
        </w:rPr>
        <w:t>（请在</w:t>
      </w:r>
      <w:r>
        <w:rPr>
          <w:rFonts w:hint="eastAsia" w:ascii="宋体" w:hAnsi="宋体" w:eastAsia="宋体" w:cs="Times New Roman"/>
          <w:color w:val="auto"/>
          <w:kern w:val="0"/>
          <w:sz w:val="32"/>
          <w:szCs w:val="32"/>
          <w:highlight w:val="none"/>
        </w:rPr>
        <w:t>□内打√，其余打×）</w:t>
      </w:r>
    </w:p>
    <w:p w14:paraId="2EAB284E">
      <w:pPr>
        <w:autoSpaceDE w:val="0"/>
        <w:autoSpaceDN w:val="0"/>
        <w:adjustRightInd w:val="0"/>
        <w:spacing w:line="560" w:lineRule="exact"/>
        <w:ind w:left="720"/>
        <w:jc w:val="left"/>
        <w:rPr>
          <w:rFonts w:hint="eastAsia" w:ascii="宋体" w:hAnsi="宋体" w:eastAsia="宋体" w:cs="Times New Roman"/>
          <w:color w:val="auto"/>
          <w:kern w:val="0"/>
          <w:sz w:val="32"/>
          <w:szCs w:val="32"/>
          <w:highlight w:val="none"/>
          <w:lang w:val="zh-CN"/>
        </w:rPr>
      </w:pPr>
      <w:r>
        <w:rPr>
          <w:rFonts w:hint="eastAsia" w:ascii="宋体" w:hAnsi="宋体" w:eastAsia="宋体" w:cs="Times New Roman"/>
          <w:color w:val="auto"/>
          <w:kern w:val="0"/>
          <w:sz w:val="32"/>
          <w:szCs w:val="32"/>
          <w:highlight w:val="none"/>
        </w:rPr>
        <w:t>□</w:t>
      </w:r>
      <w:r>
        <w:rPr>
          <w:rFonts w:hint="eastAsia" w:ascii="宋体" w:hAnsi="宋体" w:eastAsia="宋体" w:cs="Times New Roman"/>
          <w:color w:val="auto"/>
          <w:kern w:val="0"/>
          <w:sz w:val="32"/>
          <w:szCs w:val="32"/>
          <w:highlight w:val="none"/>
          <w:lang w:val="zh-CN"/>
        </w:rPr>
        <w:t>财政资金：</w:t>
      </w:r>
    </w:p>
    <w:p w14:paraId="403ABC70">
      <w:pPr>
        <w:autoSpaceDE w:val="0"/>
        <w:autoSpaceDN w:val="0"/>
        <w:adjustRightInd w:val="0"/>
        <w:spacing w:line="560" w:lineRule="exact"/>
        <w:ind w:left="720" w:leftChars="343" w:firstLine="960" w:firstLineChars="300"/>
        <w:jc w:val="left"/>
        <w:rPr>
          <w:rFonts w:hint="eastAsia" w:ascii="宋体" w:hAnsi="宋体" w:eastAsia="宋体" w:cs="Times New Roman"/>
          <w:color w:val="auto"/>
          <w:kern w:val="0"/>
          <w:sz w:val="32"/>
          <w:szCs w:val="32"/>
          <w:highlight w:val="none"/>
          <w:lang w:val="zh-CN"/>
        </w:rPr>
      </w:pPr>
      <w:r>
        <w:rPr>
          <w:rFonts w:hint="eastAsia" w:ascii="宋体" w:hAnsi="宋体" w:eastAsia="宋体" w:cs="Times New Roman"/>
          <w:color w:val="auto"/>
          <w:kern w:val="0"/>
          <w:sz w:val="32"/>
          <w:szCs w:val="32"/>
          <w:highlight w:val="none"/>
          <w:lang w:val="zh-CN"/>
        </w:rPr>
        <w:t>小写：</w:t>
      </w:r>
    </w:p>
    <w:p w14:paraId="48327A7C">
      <w:pPr>
        <w:autoSpaceDE w:val="0"/>
        <w:autoSpaceDN w:val="0"/>
        <w:adjustRightInd w:val="0"/>
        <w:spacing w:line="560" w:lineRule="exact"/>
        <w:ind w:firstLine="1705" w:firstLineChars="533"/>
        <w:jc w:val="left"/>
        <w:rPr>
          <w:rFonts w:hint="eastAsia" w:ascii="宋体" w:hAnsi="宋体" w:eastAsia="宋体" w:cs="Times New Roman"/>
          <w:color w:val="auto"/>
          <w:kern w:val="0"/>
          <w:sz w:val="32"/>
          <w:szCs w:val="32"/>
          <w:highlight w:val="none"/>
          <w:lang w:val="zh-CN"/>
        </w:rPr>
      </w:pPr>
      <w:r>
        <w:rPr>
          <w:rFonts w:hint="eastAsia" w:ascii="宋体" w:hAnsi="宋体" w:eastAsia="宋体" w:cs="Times New Roman"/>
          <w:color w:val="auto"/>
          <w:kern w:val="0"/>
          <w:sz w:val="32"/>
          <w:szCs w:val="32"/>
          <w:highlight w:val="none"/>
          <w:lang w:val="zh-CN"/>
        </w:rPr>
        <w:t>大写：</w:t>
      </w:r>
    </w:p>
    <w:p w14:paraId="36600B63">
      <w:pPr>
        <w:numPr>
          <w:ilvl w:val="0"/>
          <w:numId w:val="3"/>
        </w:numPr>
        <w:autoSpaceDE w:val="0"/>
        <w:autoSpaceDN w:val="0"/>
        <w:adjustRightInd w:val="0"/>
        <w:spacing w:line="560" w:lineRule="exact"/>
        <w:ind w:left="1050" w:hanging="330"/>
        <w:jc w:val="left"/>
        <w:rPr>
          <w:rFonts w:hint="eastAsia" w:ascii="宋体" w:hAnsi="宋体" w:eastAsia="宋体" w:cs="Times New Roman"/>
          <w:color w:val="auto"/>
          <w:kern w:val="0"/>
          <w:sz w:val="32"/>
          <w:szCs w:val="32"/>
          <w:highlight w:val="none"/>
          <w:lang w:val="zh-CN"/>
        </w:rPr>
      </w:pPr>
      <w:r>
        <w:rPr>
          <w:rFonts w:hint="eastAsia" w:ascii="宋体" w:hAnsi="宋体" w:eastAsia="宋体" w:cs="Times New Roman"/>
          <w:color w:val="auto"/>
          <w:kern w:val="0"/>
          <w:sz w:val="32"/>
          <w:szCs w:val="32"/>
          <w:highlight w:val="none"/>
          <w:lang w:val="zh-CN"/>
        </w:rPr>
        <w:t>自筹资金：</w:t>
      </w:r>
    </w:p>
    <w:p w14:paraId="70A39CBA">
      <w:pPr>
        <w:autoSpaceDE w:val="0"/>
        <w:autoSpaceDN w:val="0"/>
        <w:adjustRightInd w:val="0"/>
        <w:spacing w:line="560" w:lineRule="exact"/>
        <w:ind w:firstLine="1721" w:firstLineChars="538"/>
        <w:jc w:val="left"/>
        <w:rPr>
          <w:rFonts w:hint="eastAsia" w:ascii="宋体" w:hAnsi="宋体" w:eastAsia="宋体" w:cs="Times New Roman"/>
          <w:color w:val="auto"/>
          <w:kern w:val="0"/>
          <w:sz w:val="32"/>
          <w:szCs w:val="32"/>
          <w:highlight w:val="none"/>
          <w:lang w:val="zh-CN"/>
        </w:rPr>
      </w:pPr>
      <w:r>
        <w:rPr>
          <w:rFonts w:hint="eastAsia" w:ascii="宋体" w:hAnsi="宋体" w:eastAsia="宋体" w:cs="Times New Roman"/>
          <w:color w:val="auto"/>
          <w:kern w:val="0"/>
          <w:sz w:val="32"/>
          <w:szCs w:val="32"/>
          <w:highlight w:val="none"/>
          <w:lang w:val="zh-CN"/>
        </w:rPr>
        <w:t>小写：</w:t>
      </w:r>
    </w:p>
    <w:p w14:paraId="4D6B5E13">
      <w:pPr>
        <w:autoSpaceDE w:val="0"/>
        <w:autoSpaceDN w:val="0"/>
        <w:adjustRightInd w:val="0"/>
        <w:spacing w:line="560" w:lineRule="exact"/>
        <w:ind w:firstLine="1721" w:firstLineChars="538"/>
        <w:jc w:val="left"/>
        <w:rPr>
          <w:rFonts w:hint="eastAsia" w:ascii="宋体" w:hAnsi="宋体" w:eastAsia="宋体" w:cs="Times New Roman"/>
          <w:color w:val="auto"/>
          <w:kern w:val="0"/>
          <w:sz w:val="32"/>
          <w:szCs w:val="32"/>
          <w:highlight w:val="none"/>
          <w:lang w:val="zh-CN"/>
        </w:rPr>
      </w:pPr>
      <w:r>
        <w:rPr>
          <w:rFonts w:hint="eastAsia" w:ascii="宋体" w:hAnsi="宋体" w:eastAsia="宋体" w:cs="Times New Roman"/>
          <w:color w:val="auto"/>
          <w:kern w:val="0"/>
          <w:sz w:val="32"/>
          <w:szCs w:val="32"/>
          <w:highlight w:val="none"/>
          <w:lang w:val="zh-CN"/>
        </w:rPr>
        <w:t>大写：</w:t>
      </w:r>
    </w:p>
    <w:p w14:paraId="22375BFC">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以上价格应包含整个项目合作或服务的全部内容，不得再有其他费用。</w:t>
      </w:r>
    </w:p>
    <w:p w14:paraId="572640DA">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p>
    <w:p w14:paraId="31409701">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三、甲乙双方的权利和义务</w:t>
      </w:r>
    </w:p>
    <w:p w14:paraId="25A4CE05">
      <w:pPr>
        <w:autoSpaceDE w:val="0"/>
        <w:autoSpaceDN w:val="0"/>
        <w:adjustRightInd w:val="0"/>
        <w:spacing w:line="600" w:lineRule="exact"/>
        <w:ind w:firstLine="640" w:firstLineChars="200"/>
        <w:jc w:val="left"/>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（一）甲方的权利和义务</w:t>
      </w:r>
    </w:p>
    <w:p w14:paraId="4760F088">
      <w:pPr>
        <w:widowControl/>
        <w:wordWrap w:val="0"/>
        <w:spacing w:before="0" w:beforeAutospacing="0" w:after="0" w:afterAutospacing="0" w:line="540" w:lineRule="exact"/>
        <w:ind w:firstLine="960" w:firstLineChars="300"/>
        <w:jc w:val="both"/>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en-US" w:eastAsia="zh-CN" w:bidi="ar-SA"/>
        </w:rPr>
        <w:t>1.甲方的权利</w:t>
      </w:r>
    </w:p>
    <w:p w14:paraId="78B83EEC">
      <w:pPr>
        <w:spacing w:line="570" w:lineRule="exact"/>
        <w:ind w:firstLine="640" w:firstLineChars="200"/>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（1）甲方根据合同条款、乙方提供的服务承诺和工作计划等，甲方有权指派人员对乙方提供的服务进行监督、检查，如发现安全和质量问题，甲方有权以书面形式通知乙方并要求乙方限期整改。</w:t>
      </w:r>
    </w:p>
    <w:p w14:paraId="00F82C33">
      <w:pPr>
        <w:spacing w:line="570" w:lineRule="exact"/>
        <w:ind w:firstLine="640" w:firstLineChars="200"/>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（2）甲方有权要求乙方按照服务内容，建立健全相关规章制度和服务工作计划，并进行审定。</w:t>
      </w:r>
    </w:p>
    <w:p w14:paraId="57B49049">
      <w:pPr>
        <w:spacing w:line="570" w:lineRule="exact"/>
        <w:ind w:firstLine="640" w:firstLineChars="200"/>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（3）监督检查乙方服务工作的实施及规章制度的执行情况。</w:t>
      </w:r>
    </w:p>
    <w:p w14:paraId="0C09712F">
      <w:pPr>
        <w:spacing w:line="570" w:lineRule="exact"/>
        <w:ind w:firstLine="640" w:firstLineChars="200"/>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（4）因乙方人员故意、重大过失或违反合同明确约定的义务造成</w:t>
      </w:r>
      <w:r>
        <w:rPr>
          <w:rFonts w:hint="eastAsia" w:ascii="宋体" w:hAnsi="宋体" w:eastAsia="宋体" w:cs="Times New Roman"/>
          <w:bCs/>
          <w:color w:val="auto"/>
          <w:kern w:val="2"/>
          <w:sz w:val="32"/>
          <w:szCs w:val="32"/>
          <w:highlight w:val="none"/>
          <w:lang w:val="en-US" w:eastAsia="zh-CN" w:bidi="ar-SA"/>
        </w:rPr>
        <w:t>人身、</w:t>
      </w:r>
      <w:r>
        <w:rPr>
          <w:rFonts w:hint="eastAsia" w:ascii="宋体" w:hAnsi="宋体" w:eastAsia="宋体" w:cs="Times New Roman"/>
          <w:bCs/>
          <w:color w:val="auto"/>
          <w:kern w:val="2"/>
          <w:sz w:val="32"/>
          <w:szCs w:val="32"/>
          <w:highlight w:val="none"/>
          <w:lang w:val="zh-CN" w:eastAsia="zh-CN" w:bidi="ar-SA"/>
        </w:rPr>
        <w:t>财产损失，甲方有权向乙方追究赔偿责任。</w:t>
      </w:r>
    </w:p>
    <w:p w14:paraId="11F06D0C">
      <w:pPr>
        <w:spacing w:line="570" w:lineRule="exact"/>
        <w:ind w:firstLine="640" w:firstLineChars="200"/>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5）甲方如认为乙方安排的主要负责人员不能胜任工作，应以书面形式说明具体理由，乙方应在收到书面通知后15个工作日内予以调换。对于其他工作人员，如甲方有合理理由认为其不称职，乙方应在核查后与甲方协商处理，但甲方不得无故或频繁要求调换人员，以保障服务团队的稳定性。。</w:t>
      </w:r>
    </w:p>
    <w:p w14:paraId="57D01785">
      <w:pPr>
        <w:spacing w:line="570" w:lineRule="exact"/>
        <w:ind w:firstLine="640" w:firstLineChars="200"/>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（6）有关法律规定的其他权利。</w:t>
      </w:r>
    </w:p>
    <w:p w14:paraId="0D4E18D1">
      <w:pPr>
        <w:widowControl/>
        <w:wordWrap w:val="0"/>
        <w:spacing w:before="0" w:beforeAutospacing="0" w:after="0" w:afterAutospacing="0" w:line="540" w:lineRule="exact"/>
        <w:ind w:firstLine="640" w:firstLineChars="200"/>
        <w:jc w:val="both"/>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en-US" w:eastAsia="zh-CN" w:bidi="ar-SA"/>
        </w:rPr>
        <w:t>2.</w:t>
      </w:r>
      <w:r>
        <w:rPr>
          <w:rFonts w:hint="eastAsia" w:ascii="宋体" w:hAnsi="宋体" w:eastAsia="宋体" w:cs="Times New Roman"/>
          <w:bCs/>
          <w:color w:val="auto"/>
          <w:kern w:val="2"/>
          <w:sz w:val="32"/>
          <w:szCs w:val="32"/>
          <w:highlight w:val="none"/>
          <w:lang w:val="zh-CN" w:eastAsia="zh-CN" w:bidi="ar-SA"/>
        </w:rPr>
        <w:t>甲方的义务</w:t>
      </w:r>
    </w:p>
    <w:p w14:paraId="1431B46A">
      <w:pPr>
        <w:widowControl/>
        <w:wordWrap w:val="0"/>
        <w:spacing w:before="0" w:beforeAutospacing="0" w:after="0" w:afterAutospacing="0" w:line="540" w:lineRule="exact"/>
        <w:ind w:firstLine="640" w:firstLineChars="200"/>
        <w:jc w:val="both"/>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（1）协助乙方履行本合同。</w:t>
      </w:r>
    </w:p>
    <w:p w14:paraId="390A385D">
      <w:pPr>
        <w:spacing w:line="570" w:lineRule="exact"/>
        <w:ind w:firstLine="640" w:firstLineChars="200"/>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（2）组织物业的交接验收工作。</w:t>
      </w:r>
    </w:p>
    <w:p w14:paraId="2C835196">
      <w:pPr>
        <w:spacing w:line="570" w:lineRule="exact"/>
        <w:ind w:firstLine="640" w:firstLineChars="200"/>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w:t>
      </w:r>
      <w:r>
        <w:rPr>
          <w:rFonts w:hint="eastAsia" w:ascii="宋体" w:hAnsi="宋体" w:eastAsia="宋体" w:cs="Times New Roman"/>
          <w:bCs/>
          <w:color w:val="auto"/>
          <w:kern w:val="2"/>
          <w:sz w:val="32"/>
          <w:szCs w:val="32"/>
          <w:highlight w:val="none"/>
          <w:lang w:val="en-US" w:eastAsia="zh-CN" w:bidi="ar-SA"/>
        </w:rPr>
        <w:t>3</w:t>
      </w:r>
      <w:r>
        <w:rPr>
          <w:rFonts w:hint="eastAsia" w:ascii="宋体" w:hAnsi="宋体" w:eastAsia="宋体" w:cs="Times New Roman"/>
          <w:bCs/>
          <w:color w:val="auto"/>
          <w:kern w:val="2"/>
          <w:sz w:val="32"/>
          <w:szCs w:val="32"/>
          <w:highlight w:val="none"/>
          <w:lang w:val="zh-CN" w:eastAsia="zh-CN" w:bidi="ar-SA"/>
        </w:rPr>
        <w:t>）按合同约定时间向乙方支付合同约定的服务费。</w:t>
      </w:r>
    </w:p>
    <w:p w14:paraId="669EB267">
      <w:pPr>
        <w:spacing w:line="570" w:lineRule="exact"/>
        <w:ind w:firstLine="640" w:firstLineChars="200"/>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w:t>
      </w:r>
      <w:r>
        <w:rPr>
          <w:rFonts w:hint="eastAsia" w:ascii="宋体" w:hAnsi="宋体" w:eastAsia="宋体" w:cs="Times New Roman"/>
          <w:bCs/>
          <w:color w:val="auto"/>
          <w:kern w:val="2"/>
          <w:sz w:val="32"/>
          <w:szCs w:val="32"/>
          <w:highlight w:val="none"/>
          <w:lang w:val="en-US" w:eastAsia="zh-CN" w:bidi="ar-SA"/>
        </w:rPr>
        <w:t>4</w:t>
      </w:r>
      <w:r>
        <w:rPr>
          <w:rFonts w:hint="eastAsia" w:ascii="宋体" w:hAnsi="宋体" w:eastAsia="宋体" w:cs="Times New Roman"/>
          <w:bCs/>
          <w:color w:val="auto"/>
          <w:kern w:val="2"/>
          <w:sz w:val="32"/>
          <w:szCs w:val="32"/>
          <w:highlight w:val="none"/>
          <w:lang w:val="zh-CN" w:eastAsia="zh-CN" w:bidi="ar-SA"/>
        </w:rPr>
        <w:t>）甲方提供必要的服务工具、用品外的其他工作设备（如：会议设备及场所等），保证水、电、气的正常供应,所产生的水、电、气费由甲方承担。在合同期间无偿向乙方提供物业服务用房、保洁、会议、工程、绿化、餐饮值班或休息用房及方便存取工具的库房供乙方使用。</w:t>
      </w:r>
    </w:p>
    <w:p w14:paraId="3C80827D">
      <w:pPr>
        <w:spacing w:line="570" w:lineRule="exact"/>
        <w:ind w:firstLine="640" w:firstLineChars="200"/>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w:t>
      </w:r>
      <w:r>
        <w:rPr>
          <w:rFonts w:hint="eastAsia" w:ascii="宋体" w:hAnsi="宋体" w:eastAsia="宋体" w:cs="Times New Roman"/>
          <w:bCs/>
          <w:color w:val="auto"/>
          <w:kern w:val="2"/>
          <w:sz w:val="32"/>
          <w:szCs w:val="32"/>
          <w:highlight w:val="none"/>
          <w:lang w:val="en-US" w:eastAsia="zh-CN" w:bidi="ar-SA"/>
        </w:rPr>
        <w:t>5</w:t>
      </w:r>
      <w:r>
        <w:rPr>
          <w:rFonts w:hint="eastAsia" w:ascii="宋体" w:hAnsi="宋体" w:eastAsia="宋体" w:cs="Times New Roman"/>
          <w:bCs/>
          <w:color w:val="auto"/>
          <w:kern w:val="2"/>
          <w:sz w:val="32"/>
          <w:szCs w:val="32"/>
          <w:highlight w:val="none"/>
          <w:lang w:val="zh-CN" w:eastAsia="zh-CN" w:bidi="ar-SA"/>
        </w:rPr>
        <w:t>）甲方应尊重乙方人员的工作，对乙方人员履行职责的行为给予支持和配合。</w:t>
      </w:r>
    </w:p>
    <w:p w14:paraId="25E250D0">
      <w:pPr>
        <w:autoSpaceDE w:val="0"/>
        <w:autoSpaceDN w:val="0"/>
        <w:adjustRightInd w:val="0"/>
        <w:spacing w:line="600" w:lineRule="exact"/>
        <w:ind w:firstLine="640" w:firstLineChars="200"/>
        <w:jc w:val="left"/>
        <w:rPr>
          <w:rFonts w:hint="eastAsia" w:ascii="宋体" w:hAnsi="宋体" w:eastAsia="宋体" w:cs="Times New Roman"/>
          <w:bCs/>
          <w:color w:val="auto"/>
          <w:kern w:val="2"/>
          <w:sz w:val="32"/>
          <w:szCs w:val="32"/>
          <w:highlight w:val="none"/>
          <w:lang w:val="en-US" w:eastAsia="zh-CN" w:bidi="ar-SA"/>
        </w:rPr>
      </w:pPr>
      <w:r>
        <w:rPr>
          <w:rFonts w:hint="eastAsia" w:ascii="宋体" w:hAnsi="宋体" w:eastAsia="宋体" w:cs="Times New Roman"/>
          <w:bCs/>
          <w:color w:val="auto"/>
          <w:kern w:val="2"/>
          <w:sz w:val="32"/>
          <w:szCs w:val="32"/>
          <w:highlight w:val="none"/>
          <w:lang w:val="en-US" w:eastAsia="zh-CN" w:bidi="ar-SA"/>
        </w:rPr>
        <w:t>（二）乙方的权利和义务</w:t>
      </w:r>
    </w:p>
    <w:p w14:paraId="5A551B20">
      <w:pPr>
        <w:widowControl/>
        <w:wordWrap w:val="0"/>
        <w:spacing w:before="0" w:beforeAutospacing="0" w:after="0" w:afterAutospacing="0" w:line="540" w:lineRule="exact"/>
        <w:ind w:firstLine="960" w:firstLineChars="300"/>
        <w:jc w:val="both"/>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1.乙方的权利</w:t>
      </w:r>
    </w:p>
    <w:p w14:paraId="55E6FC09">
      <w:pPr>
        <w:widowControl/>
        <w:wordWrap w:val="0"/>
        <w:spacing w:before="0" w:beforeAutospacing="0" w:after="0" w:afterAutospacing="0" w:line="540" w:lineRule="exact"/>
        <w:ind w:firstLine="640" w:firstLineChars="200"/>
        <w:jc w:val="both"/>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（1）有权要求甲方按合同约定时间支付合同约定的服务费。</w:t>
      </w:r>
    </w:p>
    <w:p w14:paraId="45D4BF42">
      <w:pPr>
        <w:spacing w:line="570" w:lineRule="exact"/>
        <w:ind w:firstLine="640" w:firstLineChars="200"/>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（2）有权要求甲方和物业使用人配合乙方的服务行为，并对物业使用人违反服务制度的行为，有权根据情节轻重，采取劝阻、制止、报告甲方等措施。</w:t>
      </w:r>
    </w:p>
    <w:p w14:paraId="5BF2CD4E">
      <w:pPr>
        <w:spacing w:line="570" w:lineRule="exact"/>
        <w:ind w:firstLine="640" w:firstLineChars="200"/>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（3）乙方有权拒绝甲方提出的法律、法规不允许和约定的服务合同内容以外的职责任务，有权拒绝甲方指定工作负责人以外的其他人员的指挥。</w:t>
      </w:r>
    </w:p>
    <w:p w14:paraId="24EFE013">
      <w:pPr>
        <w:spacing w:line="570" w:lineRule="exact"/>
        <w:ind w:firstLine="640" w:firstLineChars="200"/>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（4）乙方发现服务范围内的不安全隐患，有权向甲方提出建议或防范措施，甲方应认真研究解决，因甲方未及时采取有效措施造成甲方或第三方人身、财产损失的，乙方不承担责任。</w:t>
      </w:r>
    </w:p>
    <w:p w14:paraId="7D1B4AC8">
      <w:pPr>
        <w:spacing w:line="570" w:lineRule="exact"/>
        <w:ind w:firstLine="640" w:firstLineChars="200"/>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（5）有关法律规定的其他权利。</w:t>
      </w:r>
    </w:p>
    <w:p w14:paraId="6F3129D1">
      <w:pPr>
        <w:widowControl/>
        <w:wordWrap w:val="0"/>
        <w:spacing w:before="0" w:beforeAutospacing="0" w:after="0" w:afterAutospacing="0" w:line="540" w:lineRule="exact"/>
        <w:ind w:firstLine="960" w:firstLineChars="300"/>
        <w:jc w:val="both"/>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2.乙方的义务</w:t>
      </w:r>
    </w:p>
    <w:p w14:paraId="0EE2F0D3">
      <w:pPr>
        <w:widowControl/>
        <w:wordWrap w:val="0"/>
        <w:spacing w:before="0" w:beforeAutospacing="0" w:after="0" w:afterAutospacing="0" w:line="540" w:lineRule="exact"/>
        <w:ind w:firstLine="640" w:firstLineChars="200"/>
        <w:jc w:val="both"/>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（1）根据甲方的授权和有关法律、法规及本合同的约定，提供优质、高效、快捷的物业服务。</w:t>
      </w:r>
    </w:p>
    <w:p w14:paraId="75EDE559">
      <w:pPr>
        <w:widowControl/>
        <w:wordWrap w:val="0"/>
        <w:spacing w:before="0" w:beforeAutospacing="0" w:after="0" w:afterAutospacing="0" w:line="540" w:lineRule="exact"/>
        <w:ind w:firstLine="640" w:firstLineChars="200"/>
        <w:jc w:val="both"/>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（2）建立健全各项规章制度和操作规程，并经甲方审定。严格按制度和操作规程工作，以甲方满意为服务宗旨，开展各项工作。</w:t>
      </w:r>
    </w:p>
    <w:p w14:paraId="0D816884">
      <w:pPr>
        <w:widowControl/>
        <w:wordWrap w:val="0"/>
        <w:spacing w:before="0" w:beforeAutospacing="0" w:after="0" w:afterAutospacing="0" w:line="540" w:lineRule="exact"/>
        <w:ind w:firstLine="640" w:firstLineChars="200"/>
        <w:jc w:val="both"/>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3）乙方应培训好服务人员，专业技术人员必须持证上岗，统一着装并有明显的公司标识，自行承担服务人员为甲方提供服务过程中的安全责任及相应的法律责任；乙方进场服务人员有遵守甲方服务制度的义务。</w:t>
      </w:r>
    </w:p>
    <w:p w14:paraId="759D29BB">
      <w:pPr>
        <w:keepNext w:val="0"/>
        <w:keepLines w:val="0"/>
        <w:pageBreakBefore w:val="0"/>
        <w:widowControl/>
        <w:kinsoku/>
        <w:wordWrap w:val="0"/>
        <w:overflowPunct/>
        <w:topLinePunct w:val="0"/>
        <w:autoSpaceDE/>
        <w:autoSpaceDN/>
        <w:bidi w:val="0"/>
        <w:adjustRightInd/>
        <w:snapToGrid/>
        <w:spacing w:before="0" w:beforeAutospacing="0" w:after="0" w:afterAutospacing="0" w:line="540" w:lineRule="exact"/>
        <w:ind w:firstLine="640" w:firstLineChars="200"/>
        <w:jc w:val="both"/>
        <w:textAlignment w:val="auto"/>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（4）乙方应严格执行甲方的相关管理规定，服从甲方的统一管理。主动接受甲方的监督、检查，承担违规行为造成的损失。</w:t>
      </w:r>
    </w:p>
    <w:p w14:paraId="20AB7865">
      <w:pPr>
        <w:keepNext w:val="0"/>
        <w:keepLines w:val="0"/>
        <w:pageBreakBefore w:val="0"/>
        <w:widowControl/>
        <w:kinsoku/>
        <w:wordWrap w:val="0"/>
        <w:overflowPunct/>
        <w:topLinePunct w:val="0"/>
        <w:autoSpaceDE/>
        <w:autoSpaceDN/>
        <w:bidi w:val="0"/>
        <w:adjustRightInd/>
        <w:snapToGrid/>
        <w:spacing w:before="0" w:beforeAutospacing="0" w:after="0" w:afterAutospacing="0" w:line="540" w:lineRule="exact"/>
        <w:ind w:firstLine="640" w:firstLineChars="200"/>
        <w:jc w:val="both"/>
        <w:textAlignment w:val="auto"/>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（5）未经甲方同意，乙方不得擅自对房屋、设备设施做任何改动。</w:t>
      </w:r>
    </w:p>
    <w:p w14:paraId="6DDF761E">
      <w:pPr>
        <w:widowControl/>
        <w:wordWrap w:val="0"/>
        <w:spacing w:before="0" w:beforeAutospacing="0" w:after="0" w:afterAutospacing="0" w:line="540" w:lineRule="exact"/>
        <w:ind w:firstLine="640" w:firstLineChars="200"/>
        <w:jc w:val="both"/>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（6）甲方需求超出合同范围的，乙方按计划报请甲方同意后实施，如属政府采购目录事项的按要求办理政府采购程序。</w:t>
      </w:r>
    </w:p>
    <w:p w14:paraId="11EC2F72">
      <w:pPr>
        <w:widowControl/>
        <w:wordWrap w:val="0"/>
        <w:spacing w:before="0" w:beforeAutospacing="0" w:after="0" w:afterAutospacing="0" w:line="540" w:lineRule="exact"/>
        <w:ind w:firstLine="640" w:firstLineChars="200"/>
        <w:jc w:val="both"/>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（7）本合同终止时，应移交服务权，协助甲方作好服务的交接和善后工作，移交服务用房和物业服务的全部未用完耗材及档案资料。</w:t>
      </w:r>
    </w:p>
    <w:p w14:paraId="7840560F">
      <w:pPr>
        <w:widowControl/>
        <w:wordWrap w:val="0"/>
        <w:spacing w:before="0" w:beforeAutospacing="0" w:after="0" w:afterAutospacing="0" w:line="540" w:lineRule="exact"/>
        <w:ind w:firstLine="640" w:firstLineChars="200"/>
        <w:jc w:val="both"/>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（8）如因乙方原因给甲方造成损失的，由乙方负责赔偿。</w:t>
      </w:r>
    </w:p>
    <w:p w14:paraId="4281ABC0">
      <w:pPr>
        <w:widowControl/>
        <w:wordWrap w:val="0"/>
        <w:spacing w:before="0" w:beforeAutospacing="0" w:after="0" w:afterAutospacing="0" w:line="540" w:lineRule="exact"/>
        <w:ind w:firstLine="640" w:firstLineChars="200"/>
        <w:jc w:val="both"/>
        <w:rPr>
          <w:rFonts w:hint="default" w:ascii="宋体" w:hAnsi="宋体" w:eastAsia="宋体" w:cs="Times New Roman"/>
          <w:bCs/>
          <w:color w:val="auto"/>
          <w:kern w:val="2"/>
          <w:sz w:val="32"/>
          <w:szCs w:val="32"/>
          <w:highlight w:val="none"/>
          <w:lang w:val="en-US" w:eastAsia="zh-CN" w:bidi="ar-SA"/>
        </w:rPr>
      </w:pPr>
      <w:r>
        <w:rPr>
          <w:rFonts w:hint="eastAsia" w:ascii="宋体" w:hAnsi="宋体" w:eastAsia="宋体" w:cs="Times New Roman"/>
          <w:bCs/>
          <w:color w:val="auto"/>
          <w:kern w:val="2"/>
          <w:sz w:val="32"/>
          <w:szCs w:val="32"/>
          <w:highlight w:val="none"/>
          <w:lang w:val="zh-CN" w:eastAsia="zh-CN" w:bidi="ar-SA"/>
        </w:rPr>
        <w:t>（9）乙方负责物业服务人员的招聘、培训、教育、管理并支付工资和福利费用，自行与</w:t>
      </w:r>
      <w:r>
        <w:rPr>
          <w:rFonts w:hint="eastAsia" w:ascii="宋体" w:hAnsi="宋体" w:eastAsia="宋体" w:cs="Times New Roman"/>
          <w:bCs/>
          <w:color w:val="auto"/>
          <w:kern w:val="2"/>
          <w:sz w:val="32"/>
          <w:szCs w:val="32"/>
          <w:highlight w:val="none"/>
          <w:lang w:val="en-US" w:eastAsia="zh-CN" w:bidi="ar-SA"/>
        </w:rPr>
        <w:t>劳动者</w:t>
      </w:r>
      <w:r>
        <w:rPr>
          <w:rFonts w:hint="eastAsia" w:ascii="宋体" w:hAnsi="宋体" w:eastAsia="宋体" w:cs="Times New Roman"/>
          <w:bCs/>
          <w:color w:val="auto"/>
          <w:kern w:val="2"/>
          <w:sz w:val="32"/>
          <w:szCs w:val="32"/>
          <w:highlight w:val="none"/>
          <w:lang w:val="zh-CN" w:eastAsia="zh-CN" w:bidi="ar-SA"/>
        </w:rPr>
        <w:t>签订劳动合同，并督促员工遵守甲方的各项规章制度。</w:t>
      </w:r>
      <w:r>
        <w:rPr>
          <w:rFonts w:hint="eastAsia" w:ascii="宋体" w:hAnsi="宋体" w:eastAsia="宋体" w:cs="Times New Roman"/>
          <w:bCs/>
          <w:color w:val="auto"/>
          <w:kern w:val="2"/>
          <w:sz w:val="32"/>
          <w:szCs w:val="32"/>
          <w:highlight w:val="none"/>
          <w:lang w:val="en-US" w:eastAsia="zh-CN" w:bidi="ar-SA"/>
        </w:rPr>
        <w:t>若乙方人员出现离职、换岗、调动情况，需提前15日向甲方提交纸质情况说明进行报备。</w:t>
      </w:r>
    </w:p>
    <w:p w14:paraId="20D819B1">
      <w:pPr>
        <w:widowControl/>
        <w:wordWrap w:val="0"/>
        <w:spacing w:before="0" w:beforeAutospacing="0" w:after="0" w:afterAutospacing="0" w:line="540" w:lineRule="exact"/>
        <w:ind w:firstLine="640" w:firstLineChars="200"/>
        <w:jc w:val="both"/>
        <w:rPr>
          <w:rFonts w:hint="eastAsia" w:ascii="宋体" w:hAnsi="宋体" w:eastAsia="宋体" w:cs="Times New Roman"/>
          <w:bCs/>
          <w:color w:val="auto"/>
          <w:kern w:val="2"/>
          <w:sz w:val="32"/>
          <w:szCs w:val="32"/>
          <w:highlight w:val="none"/>
          <w:lang w:val="zh-CN" w:eastAsia="zh-CN" w:bidi="ar-SA"/>
        </w:rPr>
      </w:pPr>
      <w:r>
        <w:rPr>
          <w:rFonts w:hint="eastAsia" w:ascii="宋体" w:hAnsi="宋体" w:eastAsia="宋体" w:cs="Times New Roman"/>
          <w:bCs/>
          <w:color w:val="auto"/>
          <w:kern w:val="2"/>
          <w:sz w:val="32"/>
          <w:szCs w:val="32"/>
          <w:highlight w:val="none"/>
          <w:lang w:val="zh-CN" w:eastAsia="zh-CN" w:bidi="ar-SA"/>
        </w:rPr>
        <w:t>（10）在合同履行期间，乙方应合理妥善保管、维护甲方提供的设施设备用具，由使用保管不当造成的设施设备用具遗失损坏的应按原价赔偿。</w:t>
      </w:r>
    </w:p>
    <w:p w14:paraId="673BE271">
      <w:pPr>
        <w:autoSpaceDE w:val="0"/>
        <w:autoSpaceDN w:val="0"/>
        <w:adjustRightInd w:val="0"/>
        <w:spacing w:line="600" w:lineRule="exact"/>
        <w:ind w:firstLine="640" w:firstLineChars="200"/>
        <w:jc w:val="left"/>
        <w:rPr>
          <w:rFonts w:hint="eastAsia" w:ascii="宋体" w:hAnsi="宋体" w:eastAsia="宋体" w:cs="Times New Roman"/>
          <w:bCs/>
          <w:color w:val="auto"/>
          <w:kern w:val="2"/>
          <w:sz w:val="32"/>
          <w:szCs w:val="32"/>
          <w:highlight w:val="none"/>
          <w:lang w:val="en-US" w:eastAsia="zh-CN" w:bidi="ar-SA"/>
        </w:rPr>
      </w:pPr>
      <w:r>
        <w:rPr>
          <w:rFonts w:hint="eastAsia" w:ascii="宋体" w:hAnsi="宋体" w:eastAsia="宋体" w:cs="Times New Roman"/>
          <w:bCs/>
          <w:color w:val="auto"/>
          <w:kern w:val="2"/>
          <w:sz w:val="32"/>
          <w:szCs w:val="32"/>
          <w:highlight w:val="none"/>
          <w:lang w:val="zh-CN" w:eastAsia="zh-CN" w:bidi="ar-SA"/>
        </w:rPr>
        <w:t>（11）国家、地方政府的法规、政策规定由乙方承担的其他义务。</w:t>
      </w:r>
    </w:p>
    <w:p w14:paraId="5EE55AC2">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lang w:val="en-US" w:eastAsia="zh-CN"/>
        </w:rPr>
        <w:t>四</w:t>
      </w:r>
      <w:r>
        <w:rPr>
          <w:rFonts w:hint="eastAsia" w:ascii="宋体" w:hAnsi="宋体" w:eastAsia="宋体" w:cs="Times New Roman"/>
          <w:color w:val="auto"/>
          <w:sz w:val="32"/>
          <w:szCs w:val="32"/>
          <w:highlight w:val="none"/>
        </w:rPr>
        <w:t>、整体项目合作或服务的期限为</w:t>
      </w:r>
      <w:r>
        <w:rPr>
          <w:rFonts w:hint="eastAsia" w:ascii="宋体" w:hAnsi="宋体" w:eastAsia="宋体" w:cs="Times New Roman"/>
          <w:color w:val="auto"/>
          <w:sz w:val="32"/>
          <w:szCs w:val="32"/>
          <w:highlight w:val="none"/>
          <w:u w:val="single"/>
        </w:rPr>
        <w:t>（服务期限）</w:t>
      </w:r>
      <w:r>
        <w:rPr>
          <w:rFonts w:hint="eastAsia" w:ascii="宋体" w:hAnsi="宋体" w:eastAsia="宋体" w:cs="Times New Roman"/>
          <w:color w:val="auto"/>
          <w:sz w:val="32"/>
          <w:szCs w:val="32"/>
          <w:highlight w:val="none"/>
        </w:rPr>
        <w:t>。</w:t>
      </w:r>
    </w:p>
    <w:p w14:paraId="31BFCBBB">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lang w:val="en-US" w:eastAsia="zh-CN"/>
        </w:rPr>
        <w:t>五</w:t>
      </w:r>
      <w:r>
        <w:rPr>
          <w:rFonts w:hint="eastAsia" w:ascii="宋体" w:hAnsi="宋体" w:eastAsia="宋体" w:cs="Times New Roman"/>
          <w:color w:val="auto"/>
          <w:sz w:val="32"/>
          <w:szCs w:val="32"/>
          <w:highlight w:val="none"/>
        </w:rPr>
        <w:t>、验收及验收标准</w:t>
      </w:r>
    </w:p>
    <w:p w14:paraId="79A496FE">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ascii="宋体" w:hAnsi="宋体" w:eastAsia="宋体" w:cs="Times New Roman"/>
          <w:color w:val="auto"/>
          <w:sz w:val="32"/>
          <w:szCs w:val="32"/>
          <w:highlight w:val="none"/>
        </w:rPr>
        <w:t>项目验收：</w:t>
      </w:r>
      <w:r>
        <w:rPr>
          <w:rFonts w:hint="eastAsia" w:ascii="宋体" w:hAnsi="宋体" w:eastAsia="宋体" w:cs="Times New Roman"/>
          <w:color w:val="auto"/>
          <w:sz w:val="32"/>
          <w:szCs w:val="32"/>
          <w:highlight w:val="none"/>
        </w:rPr>
        <w:t>甲方按合同内容享受乙方提供的服务，并组织考核。由甲方代表两人以上组成考核组负责项目考核。考核成员应当在考核材料上签字。</w:t>
      </w:r>
    </w:p>
    <w:p w14:paraId="5A6F8E2C">
      <w:pPr>
        <w:autoSpaceDE w:val="0"/>
        <w:autoSpaceDN w:val="0"/>
        <w:adjustRightInd w:val="0"/>
        <w:spacing w:line="560" w:lineRule="exact"/>
        <w:ind w:firstLine="640" w:firstLineChars="200"/>
        <w:jc w:val="left"/>
        <w:rPr>
          <w:rFonts w:hint="eastAsia" w:ascii="宋体" w:hAnsi="宋体" w:eastAsia="宋体" w:cs="Times New Roman"/>
          <w:color w:val="auto"/>
          <w:sz w:val="32"/>
          <w:szCs w:val="32"/>
          <w:highlight w:val="none"/>
        </w:rPr>
      </w:pPr>
      <w:r>
        <w:rPr>
          <w:rFonts w:ascii="宋体" w:hAnsi="宋体" w:eastAsia="宋体" w:cs="Times New Roman"/>
          <w:color w:val="auto"/>
          <w:sz w:val="32"/>
          <w:szCs w:val="32"/>
          <w:highlight w:val="none"/>
        </w:rPr>
        <w:t>具体的验收程序、标准和要求如下：</w:t>
      </w:r>
      <w:r>
        <w:rPr>
          <w:rFonts w:hint="eastAsia" w:ascii="宋体" w:hAnsi="宋体" w:eastAsia="宋体" w:cs="Times New Roman"/>
          <w:color w:val="auto"/>
          <w:sz w:val="32"/>
          <w:szCs w:val="32"/>
          <w:highlight w:val="none"/>
        </w:rPr>
        <w:t>严格按照招标文件，响应文件，合同服务内容及季度量化考核表进行考核。</w:t>
      </w:r>
    </w:p>
    <w:p w14:paraId="186D148A">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lang w:val="en-US" w:eastAsia="zh-CN"/>
        </w:rPr>
        <w:t>六</w:t>
      </w:r>
      <w:r>
        <w:rPr>
          <w:rFonts w:hint="eastAsia" w:ascii="宋体" w:hAnsi="宋体" w:eastAsia="宋体" w:cs="Times New Roman"/>
          <w:color w:val="auto"/>
          <w:sz w:val="32"/>
          <w:szCs w:val="32"/>
          <w:highlight w:val="none"/>
        </w:rPr>
        <w:t>、合同价款结算</w:t>
      </w:r>
    </w:p>
    <w:p w14:paraId="22063CF1">
      <w:pPr>
        <w:autoSpaceDE w:val="0"/>
        <w:autoSpaceDN w:val="0"/>
        <w:adjustRightInd w:val="0"/>
        <w:spacing w:line="560" w:lineRule="exact"/>
        <w:ind w:firstLine="640" w:firstLineChars="200"/>
        <w:jc w:val="left"/>
        <w:rPr>
          <w:rFonts w:hint="eastAsia" w:ascii="宋体" w:hAnsi="宋体" w:eastAsia="宋体" w:cs="Times New Roman"/>
          <w:b/>
          <w:bCs/>
          <w:color w:val="auto"/>
          <w:kern w:val="0"/>
          <w:sz w:val="32"/>
          <w:szCs w:val="32"/>
          <w:highlight w:val="none"/>
        </w:rPr>
      </w:pPr>
      <w:r>
        <w:rPr>
          <w:rFonts w:ascii="宋体" w:hAnsi="宋体" w:eastAsia="宋体" w:cs="Times New Roman"/>
          <w:b/>
          <w:color w:val="auto"/>
          <w:kern w:val="0"/>
          <w:sz w:val="32"/>
          <w:szCs w:val="32"/>
          <w:highlight w:val="none"/>
        </w:rPr>
        <w:t>（一）</w:t>
      </w:r>
      <w:r>
        <w:rPr>
          <w:rFonts w:ascii="宋体" w:hAnsi="宋体" w:eastAsia="宋体" w:cs="Times New Roman"/>
          <w:b/>
          <w:bCs/>
          <w:color w:val="auto"/>
          <w:kern w:val="0"/>
          <w:sz w:val="32"/>
          <w:szCs w:val="32"/>
          <w:highlight w:val="none"/>
        </w:rPr>
        <w:t>履约保证、费用支付和采购资金保证</w:t>
      </w:r>
    </w:p>
    <w:p w14:paraId="6BB8DF39">
      <w:pPr>
        <w:tabs>
          <w:tab w:val="left" w:pos="6930"/>
        </w:tabs>
        <w:autoSpaceDE w:val="0"/>
        <w:autoSpaceDN w:val="0"/>
        <w:adjustRightInd w:val="0"/>
        <w:spacing w:line="560" w:lineRule="exact"/>
        <w:ind w:right="-154"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乙方应根据采购文件要求按合同格式，甲乙双方签字盖章后合同才正式生效。</w:t>
      </w:r>
    </w:p>
    <w:p w14:paraId="4339616F">
      <w:pPr>
        <w:tabs>
          <w:tab w:val="left" w:pos="6930"/>
        </w:tabs>
        <w:autoSpaceDE w:val="0"/>
        <w:autoSpaceDN w:val="0"/>
        <w:adjustRightInd w:val="0"/>
        <w:spacing w:line="560" w:lineRule="exact"/>
        <w:ind w:right="-154"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合同签订时，甲方应保证采购资金已落实并按照合同约定的时间及时向乙方支付合同款项。否则，由此产生的一切后果和导致的法律责任、行政责任均由甲方自行承担。</w:t>
      </w:r>
    </w:p>
    <w:p w14:paraId="21B29223">
      <w:pPr>
        <w:autoSpaceDE w:val="0"/>
        <w:autoSpaceDN w:val="0"/>
        <w:adjustRightInd w:val="0"/>
        <w:spacing w:line="600" w:lineRule="exact"/>
        <w:ind w:firstLine="640" w:firstLineChars="200"/>
        <w:jc w:val="left"/>
        <w:rPr>
          <w:rFonts w:hint="eastAsia" w:ascii="宋体" w:hAnsi="宋体" w:eastAsia="宋体" w:cs="Times New Roman"/>
          <w:b/>
          <w:color w:val="auto"/>
          <w:kern w:val="0"/>
          <w:sz w:val="32"/>
          <w:szCs w:val="32"/>
          <w:highlight w:val="none"/>
        </w:rPr>
      </w:pPr>
      <w:r>
        <w:rPr>
          <w:rFonts w:ascii="宋体" w:hAnsi="宋体" w:eastAsia="宋体" w:cs="Times New Roman"/>
          <w:b/>
          <w:color w:val="auto"/>
          <w:kern w:val="0"/>
          <w:sz w:val="32"/>
          <w:szCs w:val="32"/>
          <w:highlight w:val="none"/>
        </w:rPr>
        <w:t>（二）</w:t>
      </w:r>
      <w:r>
        <w:rPr>
          <w:rFonts w:hint="eastAsia" w:ascii="宋体" w:hAnsi="宋体" w:eastAsia="宋体" w:cs="Times New Roman"/>
          <w:b/>
          <w:color w:val="auto"/>
          <w:kern w:val="0"/>
          <w:sz w:val="32"/>
          <w:szCs w:val="32"/>
          <w:highlight w:val="none"/>
        </w:rPr>
        <w:t>本合同价款的支付办法</w:t>
      </w:r>
    </w:p>
    <w:p w14:paraId="092B8041">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根据招标文件及中标人的投标文件承诺，本合同按以下方式支付合同款：</w:t>
      </w:r>
    </w:p>
    <w:p w14:paraId="5BB970F5">
      <w:pPr>
        <w:autoSpaceDE w:val="0"/>
        <w:autoSpaceDN w:val="0"/>
        <w:adjustRightInd w:val="0"/>
        <w:spacing w:line="600" w:lineRule="exact"/>
        <w:ind w:firstLine="640" w:firstLineChars="200"/>
        <w:jc w:val="left"/>
        <w:rPr>
          <w:rFonts w:hint="eastAsia" w:ascii="宋体" w:hAnsi="宋体" w:eastAsia="宋体" w:cs="Times New Roman"/>
          <w:b/>
          <w:color w:val="auto"/>
          <w:kern w:val="0"/>
          <w:sz w:val="32"/>
          <w:szCs w:val="32"/>
          <w:highlight w:val="none"/>
        </w:rPr>
      </w:pPr>
    </w:p>
    <w:p w14:paraId="5BFFB0E0">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lang w:val="en-US" w:eastAsia="zh-CN"/>
        </w:rPr>
        <w:t>七</w:t>
      </w:r>
      <w:r>
        <w:rPr>
          <w:rFonts w:hint="eastAsia" w:ascii="宋体" w:hAnsi="宋体" w:eastAsia="宋体" w:cs="Times New Roman"/>
          <w:color w:val="auto"/>
          <w:sz w:val="32"/>
          <w:szCs w:val="32"/>
          <w:highlight w:val="none"/>
        </w:rPr>
        <w:t>、违约责任</w:t>
      </w:r>
    </w:p>
    <w:p w14:paraId="028884BF">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乙方未能履行合同义务，不能达到甲方要求的</w:t>
      </w:r>
      <w:r>
        <w:rPr>
          <w:rFonts w:hint="eastAsia" w:ascii="宋体" w:hAnsi="宋体" w:eastAsia="宋体" w:cs="Times New Roman"/>
          <w:color w:val="auto"/>
          <w:sz w:val="32"/>
          <w:szCs w:val="32"/>
          <w:highlight w:val="none"/>
          <w:lang w:eastAsia="zh-CN"/>
        </w:rPr>
        <w:t>《中共云南省委党校（云南行政学院）后勤服务流程及标准》</w:t>
      </w:r>
      <w:r>
        <w:rPr>
          <w:rFonts w:hint="eastAsia" w:ascii="宋体" w:hAnsi="宋体" w:eastAsia="宋体" w:cs="Times New Roman"/>
          <w:color w:val="auto"/>
          <w:sz w:val="32"/>
          <w:szCs w:val="32"/>
          <w:highlight w:val="none"/>
        </w:rPr>
        <w:t>，甲方有权</w:t>
      </w:r>
      <w:r>
        <w:rPr>
          <w:rFonts w:hint="eastAsia" w:ascii="宋体" w:hAnsi="宋体" w:eastAsia="宋体" w:cs="Times New Roman"/>
          <w:color w:val="auto"/>
          <w:sz w:val="32"/>
          <w:szCs w:val="32"/>
          <w:highlight w:val="none"/>
          <w:lang w:val="en-US" w:eastAsia="zh-CN"/>
        </w:rPr>
        <w:t>单方</w:t>
      </w:r>
      <w:r>
        <w:rPr>
          <w:rFonts w:hint="eastAsia" w:ascii="宋体" w:hAnsi="宋体" w:eastAsia="宋体" w:cs="Times New Roman"/>
          <w:color w:val="auto"/>
          <w:sz w:val="32"/>
          <w:szCs w:val="32"/>
          <w:highlight w:val="none"/>
        </w:rPr>
        <w:t>终止合同</w:t>
      </w:r>
      <w:r>
        <w:rPr>
          <w:rFonts w:hint="eastAsia" w:ascii="宋体" w:hAnsi="宋体" w:eastAsia="宋体" w:cs="Times New Roman"/>
          <w:color w:val="auto"/>
          <w:sz w:val="32"/>
          <w:szCs w:val="32"/>
          <w:highlight w:val="none"/>
          <w:lang w:val="en-US" w:eastAsia="zh-CN"/>
        </w:rPr>
        <w:t>并</w:t>
      </w:r>
      <w:r>
        <w:rPr>
          <w:rFonts w:hint="eastAsia" w:ascii="宋体" w:hAnsi="宋体" w:eastAsia="宋体" w:cs="Times New Roman"/>
          <w:color w:val="auto"/>
          <w:sz w:val="32"/>
          <w:szCs w:val="32"/>
          <w:highlight w:val="none"/>
        </w:rPr>
        <w:t>追究乙方违约与赔偿责任。</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具体内容以中标后双方协商签订的合同条款为准</w:t>
      </w:r>
      <w:r>
        <w:rPr>
          <w:rFonts w:hint="eastAsia" w:ascii="Times New Roman" w:hAnsi="Times New Roman" w:eastAsia="宋体" w:cs="Times New Roman"/>
          <w:color w:val="auto"/>
          <w:highlight w:val="none"/>
          <w:lang w:eastAsia="zh-CN"/>
        </w:rPr>
        <w:t>）</w:t>
      </w:r>
    </w:p>
    <w:p w14:paraId="24AB28BD">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甲方违反本合同约定的义务，致使乙方不能完成本合同约定的服务内容和标准的，乙方有权</w:t>
      </w:r>
      <w:r>
        <w:rPr>
          <w:rFonts w:hint="eastAsia" w:ascii="宋体" w:hAnsi="宋体" w:eastAsia="宋体" w:cs="Times New Roman"/>
          <w:color w:val="auto"/>
          <w:sz w:val="32"/>
          <w:szCs w:val="32"/>
          <w:highlight w:val="none"/>
          <w:lang w:val="en-US" w:eastAsia="zh-CN"/>
        </w:rPr>
        <w:t>单方</w:t>
      </w:r>
      <w:r>
        <w:rPr>
          <w:rFonts w:hint="eastAsia" w:ascii="宋体" w:hAnsi="宋体" w:eastAsia="宋体" w:cs="Times New Roman"/>
          <w:color w:val="auto"/>
          <w:sz w:val="32"/>
          <w:szCs w:val="32"/>
          <w:highlight w:val="none"/>
        </w:rPr>
        <w:t>终止合同</w:t>
      </w:r>
      <w:r>
        <w:rPr>
          <w:rFonts w:hint="eastAsia" w:ascii="宋体" w:hAnsi="宋体" w:eastAsia="宋体" w:cs="Times New Roman"/>
          <w:color w:val="auto"/>
          <w:sz w:val="32"/>
          <w:szCs w:val="32"/>
          <w:highlight w:val="none"/>
          <w:lang w:val="en-US" w:eastAsia="zh-CN"/>
        </w:rPr>
        <w:t>并</w:t>
      </w:r>
      <w:r>
        <w:rPr>
          <w:rFonts w:hint="eastAsia" w:ascii="宋体" w:hAnsi="宋体" w:eastAsia="宋体" w:cs="Times New Roman"/>
          <w:color w:val="auto"/>
          <w:sz w:val="32"/>
          <w:szCs w:val="32"/>
          <w:highlight w:val="none"/>
        </w:rPr>
        <w:t>要求甲方承担违约与赔偿责任。</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具体内容以中标后双方协商签订的合同条款为准</w:t>
      </w:r>
      <w:r>
        <w:rPr>
          <w:rFonts w:hint="eastAsia" w:ascii="Times New Roman" w:hAnsi="Times New Roman" w:eastAsia="宋体" w:cs="Times New Roman"/>
          <w:color w:val="auto"/>
          <w:highlight w:val="none"/>
          <w:lang w:eastAsia="zh-CN"/>
        </w:rPr>
        <w:t>）</w:t>
      </w:r>
    </w:p>
    <w:p w14:paraId="587CB4BF">
      <w:pPr>
        <w:autoSpaceDE w:val="0"/>
        <w:autoSpaceDN w:val="0"/>
        <w:adjustRightInd w:val="0"/>
        <w:spacing w:line="600" w:lineRule="exact"/>
        <w:ind w:firstLine="640" w:firstLineChars="200"/>
        <w:jc w:val="left"/>
        <w:rPr>
          <w:rFonts w:hint="default" w:ascii="宋体" w:hAnsi="宋体" w:eastAsia="宋体" w:cs="Times New Roman"/>
          <w:color w:val="auto"/>
          <w:sz w:val="32"/>
          <w:szCs w:val="32"/>
          <w:highlight w:val="none"/>
          <w:lang w:val="en-US" w:eastAsia="zh-CN"/>
        </w:rPr>
      </w:pPr>
      <w:r>
        <w:rPr>
          <w:rFonts w:hint="eastAsia" w:ascii="宋体" w:hAnsi="宋体" w:eastAsia="宋体" w:cs="Times New Roman"/>
          <w:color w:val="auto"/>
          <w:sz w:val="32"/>
          <w:szCs w:val="32"/>
          <w:highlight w:val="none"/>
        </w:rPr>
        <w:t>违约方需承担守约方为维权支付的包括但不限于</w:t>
      </w:r>
      <w:r>
        <w:rPr>
          <w:rFonts w:hint="eastAsia" w:ascii="宋体" w:hAnsi="宋体" w:eastAsia="宋体" w:cs="Times New Roman"/>
          <w:color w:val="auto"/>
          <w:sz w:val="32"/>
          <w:szCs w:val="32"/>
          <w:highlight w:val="none"/>
          <w:lang w:val="en-US" w:eastAsia="zh-CN"/>
        </w:rPr>
        <w:t>诉讼费、律师费、保全费等合理费用。</w:t>
      </w:r>
    </w:p>
    <w:p w14:paraId="0414DA59">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lang w:val="en-US" w:eastAsia="zh-CN"/>
        </w:rPr>
        <w:t>八</w:t>
      </w:r>
      <w:r>
        <w:rPr>
          <w:rFonts w:hint="eastAsia" w:ascii="宋体" w:hAnsi="宋体" w:eastAsia="宋体" w:cs="Times New Roman"/>
          <w:color w:val="auto"/>
          <w:sz w:val="32"/>
          <w:szCs w:val="32"/>
          <w:highlight w:val="none"/>
        </w:rPr>
        <w:t>、甲方有权拒付合同价以外的任何费用；乙方有权拒绝合同整体范围以外的条件。</w:t>
      </w:r>
    </w:p>
    <w:p w14:paraId="67D22BE7">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lang w:val="en-US" w:eastAsia="zh-CN"/>
        </w:rPr>
        <w:t>九</w:t>
      </w:r>
      <w:r>
        <w:rPr>
          <w:rFonts w:hint="eastAsia" w:ascii="宋体" w:hAnsi="宋体" w:eastAsia="宋体" w:cs="Times New Roman"/>
          <w:color w:val="auto"/>
          <w:sz w:val="32"/>
          <w:szCs w:val="32"/>
          <w:highlight w:val="none"/>
        </w:rPr>
        <w:t>、甲乙双方在履行合同过程中发生纠纷，应及时向财政有关监督管理部门举报（或投诉），以便相关部门进行协调或处理；或按以下方式处理：</w:t>
      </w:r>
      <w:r>
        <w:rPr>
          <w:rFonts w:hint="eastAsia" w:ascii="宋体" w:hAnsi="宋体" w:eastAsia="宋体" w:cs="Times New Roman"/>
          <w:bCs/>
          <w:color w:val="auto"/>
          <w:sz w:val="32"/>
          <w:szCs w:val="32"/>
          <w:highlight w:val="none"/>
        </w:rPr>
        <w:t>（请在</w:t>
      </w:r>
      <w:r>
        <w:rPr>
          <w:rFonts w:hint="eastAsia" w:ascii="宋体" w:hAnsi="宋体" w:eastAsia="宋体" w:cs="Times New Roman"/>
          <w:color w:val="auto"/>
          <w:sz w:val="32"/>
          <w:szCs w:val="32"/>
          <w:highlight w:val="none"/>
        </w:rPr>
        <w:t>□内打√，其余打×）</w:t>
      </w:r>
    </w:p>
    <w:p w14:paraId="6A0D7A92">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sym w:font="Wingdings 2" w:char="00A3"/>
      </w:r>
      <w:r>
        <w:rPr>
          <w:rFonts w:hint="eastAsia" w:ascii="宋体" w:hAnsi="宋体" w:eastAsia="宋体" w:cs="Times New Roman"/>
          <w:color w:val="auto"/>
          <w:sz w:val="32"/>
          <w:szCs w:val="32"/>
          <w:highlight w:val="none"/>
        </w:rPr>
        <w:t>向合同签订地仲裁部门申请仲裁；</w:t>
      </w:r>
    </w:p>
    <w:p w14:paraId="488317FA">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lang w:eastAsia="zh-CN"/>
        </w:rPr>
        <w:sym w:font="Wingdings 2" w:char="0052"/>
      </w:r>
      <w:r>
        <w:rPr>
          <w:rFonts w:hint="eastAsia" w:ascii="宋体" w:hAnsi="宋体" w:eastAsia="宋体" w:cs="Times New Roman"/>
          <w:color w:val="auto"/>
          <w:sz w:val="32"/>
          <w:szCs w:val="32"/>
          <w:highlight w:val="none"/>
        </w:rPr>
        <w:t>向</w:t>
      </w:r>
      <w:r>
        <w:rPr>
          <w:rFonts w:hint="eastAsia" w:ascii="宋体" w:hAnsi="宋体" w:eastAsia="宋体" w:cs="Times New Roman"/>
          <w:color w:val="auto"/>
          <w:sz w:val="32"/>
          <w:szCs w:val="32"/>
          <w:highlight w:val="none"/>
          <w:lang w:val="en-US" w:eastAsia="zh-CN"/>
        </w:rPr>
        <w:t>甲方所在</w:t>
      </w:r>
      <w:r>
        <w:rPr>
          <w:rFonts w:hint="eastAsia" w:ascii="宋体" w:hAnsi="宋体" w:eastAsia="宋体" w:cs="Times New Roman"/>
          <w:color w:val="auto"/>
          <w:sz w:val="32"/>
          <w:szCs w:val="32"/>
          <w:highlight w:val="none"/>
        </w:rPr>
        <w:t>地人民法院管辖提起诉讼。</w:t>
      </w:r>
    </w:p>
    <w:p w14:paraId="17E1AE01">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十、本合同其他未尽事宜，按《中华人民共和国民法典》有关规定处理。</w:t>
      </w:r>
    </w:p>
    <w:p w14:paraId="372D4B87">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十一、本合同壹式捌份，甲方伍份（含监督管理部门备案的一份），乙方叁份（含用于结算支付的一份）。</w:t>
      </w:r>
    </w:p>
    <w:p w14:paraId="4615DDA3">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十二、本合同自甲乙双方共同签订之日起生效。</w:t>
      </w:r>
    </w:p>
    <w:p w14:paraId="1C41E8D8">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十三、本合同不可分割之部分及解释顺序</w:t>
      </w:r>
    </w:p>
    <w:p w14:paraId="64499505">
      <w:pPr>
        <w:autoSpaceDE w:val="0"/>
        <w:autoSpaceDN w:val="0"/>
        <w:adjustRightInd w:val="0"/>
        <w:spacing w:line="52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1. 合同书及附件；</w:t>
      </w:r>
    </w:p>
    <w:p w14:paraId="45B803EA">
      <w:pPr>
        <w:autoSpaceDE w:val="0"/>
        <w:autoSpaceDN w:val="0"/>
        <w:adjustRightInd w:val="0"/>
        <w:spacing w:line="52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2. 中标通知书；</w:t>
      </w:r>
    </w:p>
    <w:p w14:paraId="724D0889">
      <w:pPr>
        <w:autoSpaceDE w:val="0"/>
        <w:autoSpaceDN w:val="0"/>
        <w:adjustRightInd w:val="0"/>
        <w:spacing w:line="52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3. 中标人投标文件及澄清文件；</w:t>
      </w:r>
    </w:p>
    <w:p w14:paraId="5B3956D3">
      <w:pPr>
        <w:autoSpaceDE w:val="0"/>
        <w:autoSpaceDN w:val="0"/>
        <w:adjustRightInd w:val="0"/>
        <w:spacing w:line="52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4. 招标文件。</w:t>
      </w:r>
    </w:p>
    <w:p w14:paraId="42DBEA01">
      <w:pPr>
        <w:autoSpaceDE w:val="0"/>
        <w:autoSpaceDN w:val="0"/>
        <w:adjustRightInd w:val="0"/>
        <w:spacing w:line="60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十五、附件名称（如有请</w:t>
      </w:r>
      <w:r>
        <w:rPr>
          <w:rFonts w:hint="eastAsia" w:ascii="宋体" w:hAnsi="宋体" w:eastAsia="宋体" w:cs="Times New Roman"/>
          <w:bCs/>
          <w:color w:val="auto"/>
          <w:sz w:val="32"/>
          <w:szCs w:val="32"/>
          <w:highlight w:val="none"/>
        </w:rPr>
        <w:t>在</w:t>
      </w:r>
      <w:r>
        <w:rPr>
          <w:rFonts w:hint="eastAsia" w:ascii="宋体" w:hAnsi="宋体" w:eastAsia="宋体" w:cs="Times New Roman"/>
          <w:color w:val="auto"/>
          <w:sz w:val="32"/>
          <w:szCs w:val="32"/>
          <w:highlight w:val="none"/>
        </w:rPr>
        <w:t>□内打√，其余打×）</w:t>
      </w:r>
    </w:p>
    <w:p w14:paraId="507BBFDD">
      <w:pPr>
        <w:autoSpaceDE w:val="0"/>
        <w:autoSpaceDN w:val="0"/>
        <w:adjustRightInd w:val="0"/>
        <w:spacing w:line="52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1. 详细的项目合作或服务方案及计划        □</w:t>
      </w:r>
    </w:p>
    <w:p w14:paraId="4A76765F">
      <w:pPr>
        <w:autoSpaceDE w:val="0"/>
        <w:autoSpaceDN w:val="0"/>
        <w:adjustRightInd w:val="0"/>
        <w:spacing w:line="52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2. 乙方的服务网点信息及售后服务细则      □</w:t>
      </w:r>
    </w:p>
    <w:p w14:paraId="6E4D1977">
      <w:pPr>
        <w:autoSpaceDE w:val="0"/>
        <w:autoSpaceDN w:val="0"/>
        <w:adjustRightInd w:val="0"/>
        <w:spacing w:line="520" w:lineRule="exact"/>
        <w:ind w:firstLine="640" w:firstLineChars="200"/>
        <w:jc w:val="left"/>
        <w:rPr>
          <w:rFonts w:hint="eastAsia" w:ascii="宋体" w:hAnsi="宋体" w:eastAsia="宋体" w:cs="Times New Roman"/>
          <w:color w:val="auto"/>
          <w:sz w:val="32"/>
          <w:szCs w:val="32"/>
          <w:highlight w:val="none"/>
        </w:rPr>
      </w:pPr>
      <w:r>
        <w:rPr>
          <w:rFonts w:hint="eastAsia" w:ascii="宋体" w:hAnsi="宋体" w:eastAsia="宋体" w:cs="Times New Roman"/>
          <w:color w:val="auto"/>
          <w:sz w:val="32"/>
          <w:szCs w:val="32"/>
          <w:highlight w:val="none"/>
        </w:rPr>
        <w:t>3. 其他                                  □</w:t>
      </w:r>
    </w:p>
    <w:p w14:paraId="6A220C6D">
      <w:pPr>
        <w:autoSpaceDE w:val="0"/>
        <w:autoSpaceDN w:val="0"/>
        <w:adjustRightInd w:val="0"/>
        <w:spacing w:line="440" w:lineRule="exact"/>
        <w:rPr>
          <w:rFonts w:hint="eastAsia" w:ascii="宋体" w:hAnsi="宋体" w:eastAsia="宋体" w:cs="Times New Roman"/>
          <w:color w:val="auto"/>
          <w:kern w:val="0"/>
          <w:sz w:val="28"/>
          <w:szCs w:val="28"/>
          <w:highlight w:val="none"/>
          <w:lang w:val="zh-CN"/>
        </w:rPr>
      </w:pPr>
      <w:r>
        <w:rPr>
          <w:rFonts w:ascii="宋体" w:hAnsi="宋体" w:eastAsia="宋体" w:cs="Times New Roman"/>
          <w:color w:val="auto"/>
          <w:kern w:val="0"/>
          <w:sz w:val="28"/>
          <w:szCs w:val="28"/>
          <w:highlight w:val="none"/>
          <w:lang w:val="zh-CN"/>
        </w:rPr>
        <w:br w:type="page"/>
      </w:r>
      <w:r>
        <w:rPr>
          <w:rFonts w:hint="eastAsia" w:ascii="宋体" w:hAnsi="宋体" w:eastAsia="宋体" w:cs="Times New Roman"/>
          <w:color w:val="auto"/>
          <w:kern w:val="0"/>
          <w:sz w:val="28"/>
          <w:szCs w:val="28"/>
          <w:highlight w:val="none"/>
          <w:lang w:val="zh-CN"/>
        </w:rPr>
        <w:t>（此页无正文）</w:t>
      </w:r>
    </w:p>
    <w:p w14:paraId="51719FBE">
      <w:pPr>
        <w:autoSpaceDE w:val="0"/>
        <w:autoSpaceDN w:val="0"/>
        <w:adjustRightInd w:val="0"/>
        <w:spacing w:line="440" w:lineRule="exact"/>
        <w:rPr>
          <w:rFonts w:hint="eastAsia" w:ascii="宋体" w:hAnsi="宋体" w:eastAsia="宋体" w:cs="Times New Roman"/>
          <w:color w:val="auto"/>
          <w:kern w:val="0"/>
          <w:sz w:val="28"/>
          <w:szCs w:val="28"/>
          <w:highlight w:val="none"/>
          <w:lang w:val="zh-CN"/>
        </w:rPr>
      </w:pPr>
    </w:p>
    <w:p w14:paraId="2CF82A47">
      <w:pPr>
        <w:autoSpaceDE w:val="0"/>
        <w:autoSpaceDN w:val="0"/>
        <w:adjustRightInd w:val="0"/>
        <w:spacing w:line="440" w:lineRule="exact"/>
        <w:rPr>
          <w:rFonts w:hint="eastAsia" w:ascii="宋体" w:hAnsi="宋体" w:eastAsia="宋体" w:cs="Times New Roman"/>
          <w:color w:val="auto"/>
          <w:kern w:val="0"/>
          <w:sz w:val="28"/>
          <w:szCs w:val="28"/>
          <w:highlight w:val="none"/>
          <w:lang w:val="zh-CN"/>
        </w:rPr>
      </w:pPr>
    </w:p>
    <w:p w14:paraId="0A60B8C0">
      <w:pPr>
        <w:rPr>
          <w:rFonts w:ascii="Times New Roman" w:hAnsi="Times New Roman" w:eastAsia="宋体" w:cs="Times New Roman"/>
          <w:color w:val="auto"/>
          <w:highlight w:val="none"/>
          <w:lang w:val="zh-CN"/>
        </w:rPr>
      </w:pPr>
    </w:p>
    <w:p w14:paraId="33AE1A7F">
      <w:pPr>
        <w:autoSpaceDE w:val="0"/>
        <w:autoSpaceDN w:val="0"/>
        <w:adjustRightInd w:val="0"/>
        <w:spacing w:line="440" w:lineRule="exact"/>
        <w:rPr>
          <w:rFonts w:hint="eastAsia" w:ascii="宋体" w:hAnsi="宋体" w:eastAsia="宋体" w:cs="Times New Roman"/>
          <w:color w:val="auto"/>
          <w:kern w:val="0"/>
          <w:sz w:val="28"/>
          <w:szCs w:val="28"/>
          <w:highlight w:val="none"/>
          <w:lang w:val="zh-CN"/>
        </w:rPr>
      </w:pPr>
    </w:p>
    <w:p w14:paraId="3F4D2812">
      <w:pPr>
        <w:autoSpaceDE w:val="0"/>
        <w:autoSpaceDN w:val="0"/>
        <w:adjustRightInd w:val="0"/>
        <w:spacing w:line="440" w:lineRule="exact"/>
        <w:rPr>
          <w:rFonts w:hint="eastAsia" w:ascii="宋体" w:hAnsi="宋体" w:eastAsia="宋体" w:cs="Times New Roman"/>
          <w:color w:val="auto"/>
          <w:kern w:val="0"/>
          <w:sz w:val="28"/>
          <w:szCs w:val="28"/>
          <w:highlight w:val="none"/>
          <w:lang w:val="zh-CN"/>
        </w:rPr>
      </w:pPr>
      <w:r>
        <w:rPr>
          <w:rFonts w:hint="eastAsia" w:ascii="宋体" w:hAnsi="宋体" w:eastAsia="宋体" w:cs="Times New Roman"/>
          <w:color w:val="auto"/>
          <w:kern w:val="0"/>
          <w:sz w:val="28"/>
          <w:szCs w:val="28"/>
          <w:highlight w:val="none"/>
          <w:lang w:val="zh-CN"/>
        </w:rPr>
        <w:t>甲方（采购人）名      称：</w:t>
      </w:r>
    </w:p>
    <w:p w14:paraId="15EE0FA9">
      <w:pPr>
        <w:autoSpaceDE w:val="0"/>
        <w:autoSpaceDN w:val="0"/>
        <w:adjustRightInd w:val="0"/>
        <w:spacing w:line="440" w:lineRule="exact"/>
        <w:ind w:firstLine="1960" w:firstLineChars="700"/>
        <w:rPr>
          <w:rFonts w:hint="eastAsia" w:ascii="宋体" w:hAnsi="宋体" w:eastAsia="宋体" w:cs="Times New Roman"/>
          <w:color w:val="auto"/>
          <w:kern w:val="0"/>
          <w:sz w:val="28"/>
          <w:szCs w:val="28"/>
          <w:highlight w:val="none"/>
          <w:lang w:val="zh-CN"/>
        </w:rPr>
      </w:pPr>
      <w:r>
        <w:rPr>
          <w:rFonts w:hint="eastAsia" w:ascii="宋体" w:hAnsi="宋体" w:eastAsia="宋体" w:cs="Times New Roman"/>
          <w:color w:val="auto"/>
          <w:kern w:val="0"/>
          <w:sz w:val="28"/>
          <w:szCs w:val="28"/>
          <w:highlight w:val="none"/>
          <w:lang w:val="zh-CN"/>
        </w:rPr>
        <w:t>地      址：</w:t>
      </w:r>
    </w:p>
    <w:p w14:paraId="551ABA0B">
      <w:pPr>
        <w:autoSpaceDE w:val="0"/>
        <w:autoSpaceDN w:val="0"/>
        <w:adjustRightInd w:val="0"/>
        <w:spacing w:line="440" w:lineRule="exact"/>
        <w:ind w:firstLine="1960" w:firstLineChars="700"/>
        <w:rPr>
          <w:rFonts w:hint="eastAsia" w:ascii="宋体" w:hAnsi="宋体" w:eastAsia="宋体" w:cs="Times New Roman"/>
          <w:color w:val="auto"/>
          <w:kern w:val="0"/>
          <w:sz w:val="28"/>
          <w:szCs w:val="28"/>
          <w:highlight w:val="none"/>
          <w:lang w:val="zh-CN"/>
        </w:rPr>
      </w:pPr>
      <w:r>
        <w:rPr>
          <w:rFonts w:hint="eastAsia" w:ascii="宋体" w:hAnsi="宋体" w:eastAsia="宋体" w:cs="Times New Roman"/>
          <w:color w:val="auto"/>
          <w:kern w:val="0"/>
          <w:sz w:val="28"/>
          <w:szCs w:val="28"/>
          <w:highlight w:val="none"/>
          <w:lang w:val="zh-CN"/>
        </w:rPr>
        <w:t>邮      编：</w:t>
      </w:r>
    </w:p>
    <w:p w14:paraId="68928BD9">
      <w:pPr>
        <w:autoSpaceDE w:val="0"/>
        <w:autoSpaceDN w:val="0"/>
        <w:adjustRightInd w:val="0"/>
        <w:spacing w:line="440" w:lineRule="exact"/>
        <w:ind w:firstLine="1960" w:firstLineChars="700"/>
        <w:rPr>
          <w:rFonts w:hint="eastAsia" w:ascii="宋体" w:hAnsi="宋体" w:eastAsia="宋体" w:cs="Times New Roman"/>
          <w:color w:val="auto"/>
          <w:kern w:val="0"/>
          <w:sz w:val="28"/>
          <w:szCs w:val="28"/>
          <w:highlight w:val="none"/>
          <w:lang w:val="zh-CN"/>
        </w:rPr>
      </w:pPr>
      <w:r>
        <w:rPr>
          <w:rFonts w:hint="eastAsia" w:ascii="宋体" w:hAnsi="宋体" w:eastAsia="宋体" w:cs="Times New Roman"/>
          <w:color w:val="auto"/>
          <w:kern w:val="0"/>
          <w:sz w:val="28"/>
          <w:szCs w:val="28"/>
          <w:highlight w:val="none"/>
          <w:lang w:val="zh-CN"/>
        </w:rPr>
        <w:t>法定代表人：</w:t>
      </w:r>
    </w:p>
    <w:p w14:paraId="177CFD2C">
      <w:pPr>
        <w:autoSpaceDE w:val="0"/>
        <w:autoSpaceDN w:val="0"/>
        <w:adjustRightInd w:val="0"/>
        <w:spacing w:line="440" w:lineRule="exact"/>
        <w:ind w:firstLine="1960" w:firstLineChars="700"/>
        <w:rPr>
          <w:rFonts w:hint="eastAsia" w:ascii="宋体" w:hAnsi="宋体" w:eastAsia="宋体" w:cs="Times New Roman"/>
          <w:color w:val="auto"/>
          <w:kern w:val="0"/>
          <w:sz w:val="28"/>
          <w:szCs w:val="28"/>
          <w:highlight w:val="none"/>
          <w:lang w:val="zh-CN"/>
        </w:rPr>
      </w:pPr>
      <w:r>
        <w:rPr>
          <w:rFonts w:hint="eastAsia" w:ascii="宋体" w:hAnsi="宋体" w:eastAsia="宋体" w:cs="Times New Roman"/>
          <w:color w:val="auto"/>
          <w:kern w:val="0"/>
          <w:sz w:val="28"/>
          <w:szCs w:val="28"/>
          <w:highlight w:val="none"/>
          <w:lang w:val="zh-CN"/>
        </w:rPr>
        <w:t>委托代理人：</w:t>
      </w:r>
    </w:p>
    <w:p w14:paraId="0F3D8C44">
      <w:pPr>
        <w:autoSpaceDE w:val="0"/>
        <w:autoSpaceDN w:val="0"/>
        <w:adjustRightInd w:val="0"/>
        <w:spacing w:line="440" w:lineRule="exact"/>
        <w:ind w:firstLine="840" w:firstLineChars="300"/>
        <w:rPr>
          <w:rFonts w:hint="eastAsia" w:ascii="宋体" w:hAnsi="宋体" w:eastAsia="宋体" w:cs="Times New Roman"/>
          <w:color w:val="auto"/>
          <w:kern w:val="0"/>
          <w:sz w:val="28"/>
          <w:szCs w:val="28"/>
          <w:highlight w:val="none"/>
          <w:lang w:val="zh-CN"/>
        </w:rPr>
      </w:pPr>
      <w:r>
        <w:rPr>
          <w:rFonts w:hint="eastAsia" w:ascii="宋体" w:hAnsi="宋体" w:eastAsia="宋体" w:cs="Times New Roman"/>
          <w:color w:val="auto"/>
          <w:kern w:val="0"/>
          <w:sz w:val="28"/>
          <w:szCs w:val="28"/>
          <w:highlight w:val="none"/>
          <w:lang w:val="zh-CN"/>
        </w:rPr>
        <w:t>项目（技术）负责人：</w:t>
      </w:r>
    </w:p>
    <w:p w14:paraId="5F19357E">
      <w:pPr>
        <w:autoSpaceDE w:val="0"/>
        <w:autoSpaceDN w:val="0"/>
        <w:adjustRightInd w:val="0"/>
        <w:spacing w:line="440" w:lineRule="exact"/>
        <w:ind w:firstLine="1960" w:firstLineChars="700"/>
        <w:rPr>
          <w:rFonts w:hint="eastAsia" w:ascii="宋体" w:hAnsi="宋体" w:eastAsia="宋体" w:cs="Times New Roman"/>
          <w:color w:val="auto"/>
          <w:kern w:val="0"/>
          <w:sz w:val="28"/>
          <w:szCs w:val="28"/>
          <w:highlight w:val="none"/>
          <w:lang w:val="zh-CN"/>
        </w:rPr>
      </w:pPr>
      <w:r>
        <w:rPr>
          <w:rFonts w:hint="eastAsia" w:ascii="宋体" w:hAnsi="宋体" w:eastAsia="宋体" w:cs="Times New Roman"/>
          <w:color w:val="auto"/>
          <w:kern w:val="0"/>
          <w:sz w:val="28"/>
          <w:szCs w:val="28"/>
          <w:highlight w:val="none"/>
          <w:lang w:val="zh-CN"/>
        </w:rPr>
        <w:t>电　　　话：</w:t>
      </w:r>
    </w:p>
    <w:p w14:paraId="745D849B">
      <w:pPr>
        <w:autoSpaceDE w:val="0"/>
        <w:autoSpaceDN w:val="0"/>
        <w:adjustRightInd w:val="0"/>
        <w:spacing w:line="440" w:lineRule="exact"/>
        <w:ind w:firstLine="1960" w:firstLineChars="700"/>
        <w:rPr>
          <w:rFonts w:hint="eastAsia" w:ascii="宋体" w:hAnsi="宋体" w:eastAsia="宋体" w:cs="Times New Roman"/>
          <w:color w:val="auto"/>
          <w:kern w:val="0"/>
          <w:sz w:val="28"/>
          <w:szCs w:val="28"/>
          <w:highlight w:val="none"/>
          <w:lang w:val="zh-CN"/>
        </w:rPr>
      </w:pPr>
      <w:r>
        <w:rPr>
          <w:rFonts w:hint="eastAsia" w:ascii="宋体" w:hAnsi="宋体" w:eastAsia="宋体" w:cs="Times New Roman"/>
          <w:color w:val="auto"/>
          <w:kern w:val="0"/>
          <w:sz w:val="28"/>
          <w:szCs w:val="28"/>
          <w:highlight w:val="none"/>
          <w:lang w:val="zh-CN"/>
        </w:rPr>
        <w:t>开户  银行：</w:t>
      </w:r>
    </w:p>
    <w:p w14:paraId="0B57E239">
      <w:pPr>
        <w:autoSpaceDE w:val="0"/>
        <w:autoSpaceDN w:val="0"/>
        <w:adjustRightInd w:val="0"/>
        <w:spacing w:line="440" w:lineRule="exact"/>
        <w:ind w:firstLine="1960" w:firstLineChars="700"/>
        <w:rPr>
          <w:rFonts w:hint="eastAsia" w:ascii="宋体" w:hAnsi="宋体" w:eastAsia="宋体" w:cs="Times New Roman"/>
          <w:color w:val="auto"/>
          <w:kern w:val="0"/>
          <w:sz w:val="28"/>
          <w:szCs w:val="28"/>
          <w:highlight w:val="none"/>
          <w:lang w:val="zh-CN"/>
        </w:rPr>
      </w:pPr>
      <w:r>
        <w:rPr>
          <w:rFonts w:hint="eastAsia" w:ascii="宋体" w:hAnsi="宋体" w:eastAsia="宋体" w:cs="Times New Roman"/>
          <w:color w:val="auto"/>
          <w:kern w:val="0"/>
          <w:sz w:val="28"/>
          <w:szCs w:val="28"/>
          <w:highlight w:val="none"/>
          <w:lang w:val="zh-CN"/>
        </w:rPr>
        <w:t>账      号：</w:t>
      </w:r>
    </w:p>
    <w:p w14:paraId="6AE2CEF4">
      <w:pPr>
        <w:autoSpaceDE w:val="0"/>
        <w:autoSpaceDN w:val="0"/>
        <w:adjustRightInd w:val="0"/>
        <w:spacing w:line="440" w:lineRule="exact"/>
        <w:ind w:firstLine="1960" w:firstLineChars="700"/>
        <w:rPr>
          <w:rFonts w:hint="eastAsia" w:ascii="宋体" w:hAnsi="宋体" w:eastAsia="宋体" w:cs="Times New Roman"/>
          <w:b/>
          <w:color w:val="auto"/>
          <w:kern w:val="0"/>
          <w:sz w:val="28"/>
          <w:szCs w:val="28"/>
          <w:highlight w:val="none"/>
          <w:lang w:val="zh-CN"/>
        </w:rPr>
      </w:pPr>
      <w:r>
        <w:rPr>
          <w:rFonts w:hint="eastAsia" w:ascii="宋体" w:hAnsi="宋体" w:eastAsia="宋体" w:cs="Times New Roman"/>
          <w:color w:val="auto"/>
          <w:kern w:val="0"/>
          <w:sz w:val="28"/>
          <w:szCs w:val="28"/>
          <w:highlight w:val="none"/>
          <w:lang w:val="zh-CN"/>
        </w:rPr>
        <w:t>签订</w:t>
      </w:r>
      <w:r>
        <w:rPr>
          <w:rFonts w:hint="eastAsia" w:ascii="宋体" w:hAnsi="宋体" w:eastAsia="宋体" w:cs="Times New Roman"/>
          <w:color w:val="auto"/>
          <w:kern w:val="0"/>
          <w:sz w:val="28"/>
          <w:szCs w:val="28"/>
          <w:highlight w:val="none"/>
        </w:rPr>
        <w:t xml:space="preserve">  </w:t>
      </w:r>
      <w:r>
        <w:rPr>
          <w:rFonts w:hint="eastAsia" w:ascii="宋体" w:hAnsi="宋体" w:eastAsia="宋体" w:cs="Times New Roman"/>
          <w:color w:val="auto"/>
          <w:kern w:val="0"/>
          <w:sz w:val="28"/>
          <w:szCs w:val="28"/>
          <w:highlight w:val="none"/>
          <w:lang w:val="zh-CN"/>
        </w:rPr>
        <w:t>日期：</w:t>
      </w:r>
    </w:p>
    <w:p w14:paraId="21E23AD0">
      <w:pPr>
        <w:autoSpaceDE w:val="0"/>
        <w:autoSpaceDN w:val="0"/>
        <w:adjustRightInd w:val="0"/>
        <w:spacing w:line="440" w:lineRule="exact"/>
        <w:rPr>
          <w:rFonts w:hint="eastAsia" w:ascii="宋体" w:hAnsi="宋体" w:eastAsia="宋体" w:cs="Times New Roman"/>
          <w:b/>
          <w:color w:val="auto"/>
          <w:kern w:val="0"/>
          <w:sz w:val="28"/>
          <w:szCs w:val="28"/>
          <w:highlight w:val="none"/>
        </w:rPr>
      </w:pPr>
    </w:p>
    <w:p w14:paraId="6EC0E5D8">
      <w:pPr>
        <w:autoSpaceDE w:val="0"/>
        <w:autoSpaceDN w:val="0"/>
        <w:adjustRightInd w:val="0"/>
        <w:spacing w:line="440" w:lineRule="exact"/>
        <w:rPr>
          <w:rFonts w:hint="eastAsia" w:ascii="宋体" w:hAnsi="宋体" w:eastAsia="宋体" w:cs="Times New Roman"/>
          <w:color w:val="auto"/>
          <w:kern w:val="0"/>
          <w:sz w:val="28"/>
          <w:szCs w:val="28"/>
          <w:highlight w:val="none"/>
          <w:lang w:val="zh-CN"/>
        </w:rPr>
      </w:pPr>
    </w:p>
    <w:p w14:paraId="080E2D19">
      <w:pPr>
        <w:autoSpaceDE w:val="0"/>
        <w:autoSpaceDN w:val="0"/>
        <w:adjustRightInd w:val="0"/>
        <w:spacing w:line="440" w:lineRule="exact"/>
        <w:rPr>
          <w:rFonts w:hint="eastAsia" w:ascii="宋体" w:hAnsi="宋体" w:eastAsia="宋体" w:cs="Times New Roman"/>
          <w:color w:val="auto"/>
          <w:kern w:val="0"/>
          <w:sz w:val="28"/>
          <w:szCs w:val="28"/>
          <w:highlight w:val="none"/>
          <w:lang w:val="zh-CN"/>
        </w:rPr>
      </w:pPr>
    </w:p>
    <w:p w14:paraId="3331C4E7">
      <w:pPr>
        <w:autoSpaceDE w:val="0"/>
        <w:autoSpaceDN w:val="0"/>
        <w:adjustRightInd w:val="0"/>
        <w:spacing w:line="440" w:lineRule="exact"/>
        <w:rPr>
          <w:rFonts w:hint="eastAsia" w:ascii="宋体" w:hAnsi="宋体" w:eastAsia="宋体" w:cs="Times New Roman"/>
          <w:color w:val="auto"/>
          <w:kern w:val="0"/>
          <w:sz w:val="28"/>
          <w:szCs w:val="28"/>
          <w:highlight w:val="none"/>
          <w:lang w:val="zh-CN"/>
        </w:rPr>
      </w:pPr>
      <w:r>
        <w:rPr>
          <w:rFonts w:hint="eastAsia" w:ascii="宋体" w:hAnsi="宋体" w:eastAsia="宋体" w:cs="Times New Roman"/>
          <w:color w:val="auto"/>
          <w:kern w:val="0"/>
          <w:sz w:val="28"/>
          <w:szCs w:val="28"/>
          <w:highlight w:val="none"/>
          <w:lang w:val="zh-CN"/>
        </w:rPr>
        <w:t>乙方（供应商）名      称：</w:t>
      </w:r>
    </w:p>
    <w:p w14:paraId="13EA378E">
      <w:pPr>
        <w:autoSpaceDE w:val="0"/>
        <w:autoSpaceDN w:val="0"/>
        <w:adjustRightInd w:val="0"/>
        <w:spacing w:line="440" w:lineRule="exact"/>
        <w:ind w:firstLine="1960" w:firstLineChars="700"/>
        <w:rPr>
          <w:rFonts w:hint="eastAsia" w:ascii="宋体" w:hAnsi="宋体" w:eastAsia="宋体" w:cs="Times New Roman"/>
          <w:color w:val="auto"/>
          <w:kern w:val="0"/>
          <w:sz w:val="28"/>
          <w:szCs w:val="28"/>
          <w:highlight w:val="none"/>
          <w:lang w:val="zh-CN"/>
        </w:rPr>
      </w:pPr>
      <w:r>
        <w:rPr>
          <w:rFonts w:hint="eastAsia" w:ascii="宋体" w:hAnsi="宋体" w:eastAsia="宋体" w:cs="Times New Roman"/>
          <w:color w:val="auto"/>
          <w:kern w:val="0"/>
          <w:sz w:val="28"/>
          <w:szCs w:val="28"/>
          <w:highlight w:val="none"/>
          <w:lang w:val="zh-CN"/>
        </w:rPr>
        <w:t>地      址：</w:t>
      </w:r>
    </w:p>
    <w:p w14:paraId="22525D8F">
      <w:pPr>
        <w:autoSpaceDE w:val="0"/>
        <w:autoSpaceDN w:val="0"/>
        <w:adjustRightInd w:val="0"/>
        <w:spacing w:line="440" w:lineRule="exact"/>
        <w:ind w:firstLine="1960" w:firstLineChars="700"/>
        <w:rPr>
          <w:rFonts w:hint="eastAsia" w:ascii="宋体" w:hAnsi="宋体" w:eastAsia="宋体" w:cs="Times New Roman"/>
          <w:color w:val="auto"/>
          <w:kern w:val="0"/>
          <w:sz w:val="28"/>
          <w:szCs w:val="28"/>
          <w:highlight w:val="none"/>
          <w:lang w:val="zh-CN"/>
        </w:rPr>
      </w:pPr>
      <w:r>
        <w:rPr>
          <w:rFonts w:hint="eastAsia" w:ascii="宋体" w:hAnsi="宋体" w:eastAsia="宋体" w:cs="Times New Roman"/>
          <w:color w:val="auto"/>
          <w:kern w:val="0"/>
          <w:sz w:val="28"/>
          <w:szCs w:val="28"/>
          <w:highlight w:val="none"/>
          <w:lang w:val="zh-CN"/>
        </w:rPr>
        <w:t>邮      编：</w:t>
      </w:r>
    </w:p>
    <w:p w14:paraId="52AF876F">
      <w:pPr>
        <w:autoSpaceDE w:val="0"/>
        <w:autoSpaceDN w:val="0"/>
        <w:adjustRightInd w:val="0"/>
        <w:spacing w:line="440" w:lineRule="exact"/>
        <w:ind w:firstLine="1960" w:firstLineChars="700"/>
        <w:rPr>
          <w:rFonts w:hint="eastAsia" w:ascii="宋体" w:hAnsi="宋体" w:eastAsia="宋体" w:cs="Times New Roman"/>
          <w:color w:val="auto"/>
          <w:kern w:val="0"/>
          <w:sz w:val="28"/>
          <w:szCs w:val="28"/>
          <w:highlight w:val="none"/>
          <w:lang w:val="zh-CN"/>
        </w:rPr>
      </w:pPr>
      <w:r>
        <w:rPr>
          <w:rFonts w:hint="eastAsia" w:ascii="宋体" w:hAnsi="宋体" w:eastAsia="宋体" w:cs="Times New Roman"/>
          <w:color w:val="auto"/>
          <w:kern w:val="0"/>
          <w:sz w:val="28"/>
          <w:szCs w:val="28"/>
          <w:highlight w:val="none"/>
          <w:lang w:val="zh-CN"/>
        </w:rPr>
        <w:t>法定代表人：</w:t>
      </w:r>
    </w:p>
    <w:p w14:paraId="341B2CAA">
      <w:pPr>
        <w:autoSpaceDE w:val="0"/>
        <w:autoSpaceDN w:val="0"/>
        <w:adjustRightInd w:val="0"/>
        <w:spacing w:line="440" w:lineRule="exact"/>
        <w:ind w:firstLine="1960" w:firstLineChars="700"/>
        <w:rPr>
          <w:rFonts w:hint="eastAsia" w:ascii="宋体" w:hAnsi="宋体" w:eastAsia="宋体" w:cs="Times New Roman"/>
          <w:color w:val="auto"/>
          <w:kern w:val="0"/>
          <w:sz w:val="28"/>
          <w:szCs w:val="28"/>
          <w:highlight w:val="none"/>
          <w:lang w:val="zh-CN"/>
        </w:rPr>
      </w:pPr>
      <w:r>
        <w:rPr>
          <w:rFonts w:hint="eastAsia" w:ascii="宋体" w:hAnsi="宋体" w:eastAsia="宋体" w:cs="Times New Roman"/>
          <w:color w:val="auto"/>
          <w:kern w:val="0"/>
          <w:sz w:val="28"/>
          <w:szCs w:val="28"/>
          <w:highlight w:val="none"/>
          <w:lang w:val="zh-CN"/>
        </w:rPr>
        <w:t>委托代理人：</w:t>
      </w:r>
    </w:p>
    <w:p w14:paraId="355B76EA">
      <w:pPr>
        <w:autoSpaceDE w:val="0"/>
        <w:autoSpaceDN w:val="0"/>
        <w:adjustRightInd w:val="0"/>
        <w:spacing w:line="440" w:lineRule="exact"/>
        <w:ind w:firstLine="1960" w:firstLineChars="700"/>
        <w:rPr>
          <w:rFonts w:hint="eastAsia" w:ascii="宋体" w:hAnsi="宋体" w:eastAsia="宋体" w:cs="Times New Roman"/>
          <w:color w:val="auto"/>
          <w:kern w:val="0"/>
          <w:sz w:val="28"/>
          <w:szCs w:val="28"/>
          <w:highlight w:val="none"/>
          <w:lang w:val="zh-CN"/>
        </w:rPr>
      </w:pPr>
      <w:r>
        <w:rPr>
          <w:rFonts w:hint="eastAsia" w:ascii="宋体" w:hAnsi="宋体" w:eastAsia="宋体" w:cs="Times New Roman"/>
          <w:color w:val="auto"/>
          <w:kern w:val="0"/>
          <w:sz w:val="28"/>
          <w:szCs w:val="28"/>
          <w:highlight w:val="none"/>
          <w:lang w:val="zh-CN"/>
        </w:rPr>
        <w:t>电      话：</w:t>
      </w:r>
    </w:p>
    <w:p w14:paraId="07CE4C34">
      <w:pPr>
        <w:autoSpaceDE w:val="0"/>
        <w:autoSpaceDN w:val="0"/>
        <w:adjustRightInd w:val="0"/>
        <w:spacing w:line="440" w:lineRule="exact"/>
        <w:ind w:firstLine="1960" w:firstLineChars="700"/>
        <w:rPr>
          <w:rFonts w:hint="eastAsia" w:ascii="宋体" w:hAnsi="宋体" w:eastAsia="宋体" w:cs="Times New Roman"/>
          <w:color w:val="auto"/>
          <w:kern w:val="0"/>
          <w:sz w:val="28"/>
          <w:szCs w:val="28"/>
          <w:highlight w:val="none"/>
          <w:lang w:val="zh-CN"/>
        </w:rPr>
      </w:pPr>
      <w:r>
        <w:rPr>
          <w:rFonts w:hint="eastAsia" w:ascii="宋体" w:hAnsi="宋体" w:eastAsia="宋体" w:cs="Times New Roman"/>
          <w:color w:val="auto"/>
          <w:kern w:val="0"/>
          <w:sz w:val="28"/>
          <w:szCs w:val="28"/>
          <w:highlight w:val="none"/>
          <w:lang w:val="zh-CN"/>
        </w:rPr>
        <w:t>开户  银行：</w:t>
      </w:r>
    </w:p>
    <w:p w14:paraId="463894EC">
      <w:pPr>
        <w:autoSpaceDE w:val="0"/>
        <w:autoSpaceDN w:val="0"/>
        <w:adjustRightInd w:val="0"/>
        <w:spacing w:line="440" w:lineRule="exact"/>
        <w:ind w:firstLine="1960" w:firstLineChars="700"/>
        <w:rPr>
          <w:rFonts w:hint="eastAsia" w:ascii="宋体" w:hAnsi="宋体" w:eastAsia="宋体" w:cs="Times New Roman"/>
          <w:color w:val="auto"/>
          <w:kern w:val="0"/>
          <w:sz w:val="28"/>
          <w:szCs w:val="28"/>
          <w:highlight w:val="none"/>
          <w:lang w:val="zh-CN"/>
        </w:rPr>
      </w:pPr>
      <w:r>
        <w:rPr>
          <w:rFonts w:hint="eastAsia" w:ascii="宋体" w:hAnsi="宋体" w:eastAsia="宋体" w:cs="Times New Roman"/>
          <w:color w:val="auto"/>
          <w:kern w:val="0"/>
          <w:sz w:val="28"/>
          <w:szCs w:val="28"/>
          <w:highlight w:val="none"/>
          <w:lang w:val="zh-CN"/>
        </w:rPr>
        <w:t>账      号：</w:t>
      </w:r>
    </w:p>
    <w:p w14:paraId="41EEE26F">
      <w:pPr>
        <w:ind w:firstLine="1960" w:firstLineChars="700"/>
        <w:rPr>
          <w:rFonts w:hint="eastAsia" w:ascii="宋体" w:hAnsi="宋体" w:eastAsia="宋体" w:cs="Times New Roman"/>
          <w:color w:val="auto"/>
          <w:highlight w:val="none"/>
        </w:rPr>
      </w:pPr>
      <w:r>
        <w:rPr>
          <w:rFonts w:hint="eastAsia" w:ascii="宋体" w:hAnsi="宋体" w:eastAsia="宋体" w:cs="Times New Roman"/>
          <w:color w:val="auto"/>
          <w:kern w:val="0"/>
          <w:sz w:val="28"/>
          <w:szCs w:val="28"/>
          <w:highlight w:val="none"/>
          <w:lang w:val="zh-CN"/>
        </w:rPr>
        <w:t>签订</w:t>
      </w:r>
      <w:r>
        <w:rPr>
          <w:rFonts w:hint="eastAsia" w:ascii="宋体" w:hAnsi="宋体" w:eastAsia="宋体" w:cs="Times New Roman"/>
          <w:color w:val="auto"/>
          <w:kern w:val="0"/>
          <w:sz w:val="28"/>
          <w:szCs w:val="28"/>
          <w:highlight w:val="none"/>
        </w:rPr>
        <w:t xml:space="preserve">  </w:t>
      </w:r>
      <w:r>
        <w:rPr>
          <w:rFonts w:hint="eastAsia" w:ascii="宋体" w:hAnsi="宋体" w:eastAsia="宋体" w:cs="Times New Roman"/>
          <w:color w:val="auto"/>
          <w:kern w:val="0"/>
          <w:sz w:val="28"/>
          <w:szCs w:val="28"/>
          <w:highlight w:val="none"/>
          <w:lang w:val="zh-CN"/>
        </w:rPr>
        <w:t>日期：</w:t>
      </w:r>
    </w:p>
    <w:p w14:paraId="6BCB59F9">
      <w:pPr>
        <w:widowControl/>
        <w:ind w:firstLine="640" w:firstLineChars="200"/>
        <w:jc w:val="left"/>
        <w:rPr>
          <w:rFonts w:hint="eastAsia" w:ascii="宋体" w:hAnsi="宋体"/>
          <w:bCs/>
          <w:color w:val="auto"/>
          <w:sz w:val="32"/>
          <w:szCs w:val="32"/>
          <w:highlight w:val="none"/>
        </w:rPr>
      </w:pPr>
    </w:p>
    <w:p w14:paraId="5B1C3F97">
      <w:pPr>
        <w:pStyle w:val="2"/>
        <w:numPr>
          <w:ilvl w:val="0"/>
          <w:numId w:val="0"/>
        </w:numPr>
        <w:spacing w:before="0"/>
        <w:jc w:val="center"/>
        <w:rPr>
          <w:rFonts w:hint="eastAsia" w:ascii="宋体" w:hAnsi="宋体" w:eastAsia="宋体"/>
          <w:color w:val="auto"/>
          <w:sz w:val="36"/>
          <w:highlight w:val="none"/>
        </w:rPr>
      </w:pPr>
      <w:r>
        <w:rPr>
          <w:rFonts w:hint="eastAsia" w:ascii="宋体" w:hAnsi="宋体" w:eastAsia="宋体"/>
          <w:color w:val="auto"/>
          <w:sz w:val="36"/>
          <w:highlight w:val="none"/>
        </w:rPr>
        <w:br w:type="page"/>
      </w:r>
      <w:bookmarkStart w:id="265" w:name="_Toc31401"/>
      <w:bookmarkStart w:id="266" w:name="_Toc10317"/>
      <w:bookmarkStart w:id="267" w:name="_Toc1204"/>
      <w:bookmarkStart w:id="268" w:name="_Toc3522"/>
      <w:r>
        <w:rPr>
          <w:rFonts w:hint="eastAsia" w:ascii="宋体" w:hAnsi="宋体" w:eastAsia="宋体"/>
          <w:color w:val="auto"/>
          <w:sz w:val="36"/>
          <w:highlight w:val="none"/>
        </w:rPr>
        <w:t>第四章  投标文件格式</w:t>
      </w:r>
      <w:bookmarkEnd w:id="265"/>
      <w:bookmarkEnd w:id="266"/>
      <w:bookmarkEnd w:id="267"/>
      <w:bookmarkEnd w:id="268"/>
    </w:p>
    <w:p w14:paraId="1B6F0214">
      <w:pPr>
        <w:pStyle w:val="3"/>
        <w:numPr>
          <w:ilvl w:val="0"/>
          <w:numId w:val="0"/>
        </w:numPr>
        <w:spacing w:before="0"/>
        <w:ind w:firstLine="3612" w:firstLineChars="1290"/>
        <w:rPr>
          <w:color w:val="auto"/>
          <w:highlight w:val="none"/>
        </w:rPr>
      </w:pPr>
      <w:bookmarkStart w:id="269" w:name="_Toc4059"/>
      <w:bookmarkStart w:id="270" w:name="_Toc28420"/>
      <w:bookmarkStart w:id="271" w:name="_Toc30936"/>
      <w:bookmarkStart w:id="272" w:name="_Toc20349"/>
      <w:bookmarkStart w:id="273" w:name="_Toc21789"/>
      <w:bookmarkStart w:id="274" w:name="_Toc6715"/>
      <w:r>
        <w:rPr>
          <w:rFonts w:hint="eastAsia" w:ascii="宋体" w:hAnsi="宋体" w:eastAsia="宋体"/>
          <w:color w:val="auto"/>
          <w:szCs w:val="28"/>
          <w:highlight w:val="none"/>
        </w:rPr>
        <w:t>一、资格响应文件</w:t>
      </w:r>
      <w:bookmarkEnd w:id="269"/>
      <w:bookmarkEnd w:id="270"/>
      <w:bookmarkEnd w:id="271"/>
      <w:bookmarkEnd w:id="272"/>
      <w:bookmarkEnd w:id="273"/>
      <w:bookmarkEnd w:id="274"/>
    </w:p>
    <w:p w14:paraId="4216B899">
      <w:pPr>
        <w:pStyle w:val="4"/>
        <w:keepNext/>
        <w:numPr>
          <w:ilvl w:val="0"/>
          <w:numId w:val="0"/>
        </w:numPr>
        <w:tabs>
          <w:tab w:val="left" w:pos="1021"/>
          <w:tab w:val="clear" w:pos="360"/>
          <w:tab w:val="clear" w:pos="900"/>
          <w:tab w:val="clear" w:pos="1588"/>
        </w:tabs>
        <w:spacing w:before="0"/>
        <w:rPr>
          <w:rFonts w:hint="eastAsia" w:ascii="宋体" w:hAnsi="宋体" w:eastAsia="宋体" w:cs="宋体"/>
          <w:color w:val="auto"/>
          <w:szCs w:val="28"/>
          <w:highlight w:val="none"/>
        </w:rPr>
      </w:pPr>
      <w:bookmarkStart w:id="275" w:name="_Toc4529"/>
      <w:bookmarkStart w:id="276" w:name="_Toc8917"/>
      <w:bookmarkStart w:id="277" w:name="_Toc14233"/>
      <w:bookmarkStart w:id="278" w:name="_Toc21097"/>
      <w:bookmarkStart w:id="279" w:name="_Toc8869"/>
      <w:bookmarkStart w:id="280" w:name="_Toc6620"/>
      <w:r>
        <w:rPr>
          <w:rFonts w:hint="eastAsia" w:ascii="宋体" w:hAnsi="宋体" w:eastAsia="宋体" w:cs="宋体"/>
          <w:color w:val="auto"/>
          <w:szCs w:val="28"/>
          <w:highlight w:val="none"/>
        </w:rPr>
        <w:t>格式1：</w:t>
      </w:r>
      <w:bookmarkEnd w:id="275"/>
      <w:bookmarkEnd w:id="276"/>
      <w:r>
        <w:rPr>
          <w:rFonts w:hint="eastAsia" w:ascii="宋体" w:hAnsi="宋体" w:eastAsia="宋体" w:cs="宋体"/>
          <w:color w:val="auto"/>
          <w:szCs w:val="28"/>
          <w:highlight w:val="none"/>
        </w:rPr>
        <w:t>投标人主体资格证明材料</w:t>
      </w:r>
      <w:bookmarkEnd w:id="277"/>
      <w:bookmarkEnd w:id="278"/>
      <w:bookmarkEnd w:id="279"/>
      <w:bookmarkEnd w:id="280"/>
    </w:p>
    <w:p w14:paraId="5B5BD967">
      <w:pPr>
        <w:ind w:firstLine="420" w:firstLineChars="200"/>
        <w:rPr>
          <w:rFonts w:hint="eastAsia" w:ascii="宋体" w:hAnsi="宋体" w:cs="宋体"/>
          <w:color w:val="auto"/>
          <w:szCs w:val="21"/>
          <w:highlight w:val="none"/>
        </w:rPr>
      </w:pPr>
      <w:r>
        <w:rPr>
          <w:rFonts w:hint="eastAsia"/>
          <w:color w:val="auto"/>
          <w:highlight w:val="none"/>
        </w:rPr>
        <w:t>投标人为企业（包括合伙企业）的，应提供有效的“营业执照”；投标人为事业单位的，应提供有效的“事业单位法人证书”；投标人为非企业专业服务机构的，应提供有效的“执业许可证”、“登记证书”等证明文件；投标人是个体工商户的，应提供有效的“个体工商户营业执照”；投标人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p w14:paraId="7EA7CBB1">
      <w:pPr>
        <w:rPr>
          <w:color w:val="auto"/>
          <w:highlight w:val="none"/>
        </w:rPr>
      </w:pPr>
    </w:p>
    <w:p w14:paraId="0A5F107A">
      <w:pPr>
        <w:rPr>
          <w:color w:val="auto"/>
          <w:highlight w:val="none"/>
        </w:rPr>
      </w:pPr>
    </w:p>
    <w:p w14:paraId="01F11D04">
      <w:pPr>
        <w:pStyle w:val="32"/>
        <w:ind w:firstLine="404"/>
        <w:rPr>
          <w:color w:val="auto"/>
          <w:highlight w:val="none"/>
        </w:rPr>
      </w:pPr>
    </w:p>
    <w:p w14:paraId="1E9EC0FF">
      <w:pPr>
        <w:pStyle w:val="4"/>
        <w:keepNext/>
        <w:numPr>
          <w:ilvl w:val="0"/>
          <w:numId w:val="0"/>
        </w:numPr>
        <w:tabs>
          <w:tab w:val="left" w:pos="1021"/>
          <w:tab w:val="clear" w:pos="360"/>
          <w:tab w:val="clear" w:pos="900"/>
          <w:tab w:val="clear" w:pos="1588"/>
        </w:tabs>
        <w:spacing w:before="0"/>
        <w:rPr>
          <w:rFonts w:hint="eastAsia" w:ascii="宋体" w:hAnsi="宋体" w:eastAsia="宋体" w:cs="宋体"/>
          <w:color w:val="auto"/>
          <w:szCs w:val="28"/>
          <w:highlight w:val="none"/>
        </w:rPr>
      </w:pPr>
      <w:bookmarkStart w:id="281" w:name="_Toc15916"/>
      <w:bookmarkStart w:id="282" w:name="_Toc12191"/>
      <w:bookmarkStart w:id="283" w:name="_Toc3112"/>
      <w:bookmarkStart w:id="284" w:name="_Toc22472"/>
      <w:bookmarkStart w:id="285" w:name="_Toc24550"/>
      <w:bookmarkStart w:id="286" w:name="_Toc10215"/>
      <w:bookmarkStart w:id="287" w:name="_Toc20509"/>
      <w:r>
        <w:rPr>
          <w:rFonts w:hint="eastAsia" w:ascii="宋体" w:hAnsi="宋体" w:eastAsia="宋体" w:cs="宋体"/>
          <w:color w:val="auto"/>
          <w:szCs w:val="28"/>
          <w:highlight w:val="none"/>
        </w:rPr>
        <w:t>格式2：投标人缴纳税收证明材料</w:t>
      </w:r>
      <w:bookmarkEnd w:id="281"/>
      <w:bookmarkEnd w:id="282"/>
      <w:bookmarkEnd w:id="283"/>
      <w:bookmarkEnd w:id="284"/>
      <w:bookmarkEnd w:id="285"/>
      <w:bookmarkEnd w:id="286"/>
      <w:bookmarkEnd w:id="287"/>
    </w:p>
    <w:p w14:paraId="5C940CCD">
      <w:pPr>
        <w:rPr>
          <w:rFonts w:hint="eastAsia" w:ascii="宋体" w:hAnsi="宋体" w:cs="宋体"/>
          <w:color w:val="auto"/>
          <w:highlight w:val="none"/>
        </w:rPr>
      </w:pPr>
      <w:r>
        <w:rPr>
          <w:rFonts w:hint="eastAsia" w:ascii="宋体" w:hAnsi="宋体" w:cs="宋体"/>
          <w:color w:val="auto"/>
          <w:highlight w:val="none"/>
        </w:rPr>
        <w:t>投标人应提供202</w:t>
      </w:r>
      <w:r>
        <w:rPr>
          <w:rFonts w:hint="eastAsia" w:ascii="宋体" w:hAnsi="宋体" w:cs="宋体"/>
          <w:color w:val="auto"/>
          <w:highlight w:val="none"/>
          <w:lang w:val="en-US" w:eastAsia="zh-CN"/>
        </w:rPr>
        <w:t>4</w:t>
      </w:r>
      <w:r>
        <w:rPr>
          <w:rFonts w:hint="eastAsia" w:ascii="宋体" w:hAnsi="宋体" w:cs="宋体"/>
          <w:color w:val="auto"/>
          <w:highlight w:val="none"/>
        </w:rPr>
        <w:t>年1月至今期间（税款所属时期）任意1个月的税务局税收通用缴款书复印件或银行电子缴税凭证复印件或税务局出具的纳税情况相关证明复印件；依法免税的投标人，应提供相应文件证明其依法免税；新成立企业尚未缴纳税款的，应出具情况证明。</w:t>
      </w:r>
    </w:p>
    <w:p w14:paraId="6AE38C56">
      <w:pPr>
        <w:pStyle w:val="32"/>
        <w:ind w:firstLine="404"/>
        <w:rPr>
          <w:color w:val="auto"/>
          <w:highlight w:val="none"/>
        </w:rPr>
      </w:pPr>
    </w:p>
    <w:p w14:paraId="3C283E72">
      <w:pPr>
        <w:rPr>
          <w:color w:val="auto"/>
          <w:highlight w:val="none"/>
        </w:rPr>
      </w:pPr>
    </w:p>
    <w:p w14:paraId="0AFBB286">
      <w:pPr>
        <w:pStyle w:val="4"/>
        <w:keepNext/>
        <w:numPr>
          <w:ilvl w:val="0"/>
          <w:numId w:val="0"/>
        </w:numPr>
        <w:tabs>
          <w:tab w:val="left" w:pos="1021"/>
          <w:tab w:val="clear" w:pos="360"/>
          <w:tab w:val="clear" w:pos="900"/>
          <w:tab w:val="clear" w:pos="1588"/>
        </w:tabs>
        <w:spacing w:before="0"/>
        <w:rPr>
          <w:rFonts w:hint="eastAsia" w:ascii="宋体" w:hAnsi="宋体" w:eastAsia="宋体" w:cs="宋体"/>
          <w:color w:val="auto"/>
          <w:szCs w:val="28"/>
          <w:highlight w:val="none"/>
        </w:rPr>
      </w:pPr>
      <w:bookmarkStart w:id="288" w:name="_Toc16159"/>
      <w:bookmarkStart w:id="289" w:name="_Toc18381"/>
      <w:bookmarkStart w:id="290" w:name="_Toc4690"/>
      <w:bookmarkStart w:id="291" w:name="_Toc26272"/>
      <w:bookmarkStart w:id="292" w:name="_Toc5333"/>
      <w:bookmarkStart w:id="293" w:name="_Toc4989"/>
      <w:bookmarkStart w:id="294" w:name="_Toc24846"/>
      <w:r>
        <w:rPr>
          <w:rFonts w:hint="eastAsia" w:ascii="宋体" w:hAnsi="宋体" w:eastAsia="宋体" w:cs="宋体"/>
          <w:color w:val="auto"/>
          <w:szCs w:val="28"/>
          <w:highlight w:val="none"/>
        </w:rPr>
        <w:t>格式3：投标人缴纳社保证明材料</w:t>
      </w:r>
      <w:bookmarkEnd w:id="288"/>
      <w:bookmarkEnd w:id="289"/>
      <w:bookmarkEnd w:id="290"/>
      <w:bookmarkEnd w:id="291"/>
      <w:bookmarkEnd w:id="292"/>
      <w:bookmarkEnd w:id="293"/>
      <w:bookmarkEnd w:id="294"/>
    </w:p>
    <w:p w14:paraId="7EF806D7">
      <w:pPr>
        <w:rPr>
          <w:rFonts w:hint="eastAsia" w:ascii="宋体" w:hAnsi="宋体" w:cs="宋体"/>
          <w:color w:val="auto"/>
          <w:highlight w:val="none"/>
        </w:rPr>
      </w:pPr>
      <w:r>
        <w:rPr>
          <w:rFonts w:hint="eastAsia" w:ascii="宋体" w:hAnsi="宋体" w:cs="宋体"/>
          <w:color w:val="auto"/>
          <w:highlight w:val="none"/>
        </w:rPr>
        <w:t>投标人应提供202</w:t>
      </w:r>
      <w:r>
        <w:rPr>
          <w:rFonts w:hint="eastAsia" w:ascii="宋体" w:hAnsi="宋体" w:cs="宋体"/>
          <w:color w:val="auto"/>
          <w:highlight w:val="none"/>
          <w:lang w:val="en-US" w:eastAsia="zh-CN"/>
        </w:rPr>
        <w:t>4</w:t>
      </w:r>
      <w:r>
        <w:rPr>
          <w:rFonts w:hint="eastAsia" w:ascii="宋体" w:hAnsi="宋体" w:cs="宋体"/>
          <w:color w:val="auto"/>
          <w:highlight w:val="none"/>
        </w:rPr>
        <w:t>年1月至今期间（费款所属时期）任意1个月的社会保险费缴款书复印件或银行电子缴费凭证复印件或社保管理部门出具的有效缴款证明复印件；依法不需要缴纳社会保障资金的投标人，应提供相应文件证明其不需要缴纳社会保障资金；新成立企业尚未缴纳社保的，应出具情况证明。</w:t>
      </w:r>
    </w:p>
    <w:p w14:paraId="5965CC96">
      <w:pPr>
        <w:rPr>
          <w:rFonts w:hint="eastAsia" w:ascii="宋体" w:hAnsi="宋体" w:cs="宋体"/>
          <w:color w:val="auto"/>
          <w:szCs w:val="28"/>
          <w:highlight w:val="none"/>
        </w:rPr>
      </w:pPr>
    </w:p>
    <w:p w14:paraId="00909513">
      <w:pPr>
        <w:pStyle w:val="32"/>
        <w:ind w:firstLine="404"/>
        <w:rPr>
          <w:color w:val="auto"/>
          <w:highlight w:val="none"/>
        </w:rPr>
      </w:pPr>
    </w:p>
    <w:p w14:paraId="12B2C870">
      <w:pPr>
        <w:pStyle w:val="4"/>
        <w:keepNext/>
        <w:numPr>
          <w:ilvl w:val="0"/>
          <w:numId w:val="0"/>
        </w:numPr>
        <w:tabs>
          <w:tab w:val="left" w:pos="1021"/>
          <w:tab w:val="clear" w:pos="360"/>
          <w:tab w:val="clear" w:pos="900"/>
          <w:tab w:val="clear" w:pos="1588"/>
        </w:tabs>
        <w:spacing w:before="0"/>
        <w:rPr>
          <w:rFonts w:hint="eastAsia" w:ascii="宋体" w:hAnsi="宋体" w:cs="宋体"/>
          <w:color w:val="auto"/>
          <w:highlight w:val="none"/>
        </w:rPr>
      </w:pPr>
      <w:bookmarkStart w:id="295" w:name="_Toc3983"/>
      <w:bookmarkStart w:id="296" w:name="_Toc2066"/>
      <w:bookmarkStart w:id="297" w:name="_Toc2484"/>
      <w:bookmarkStart w:id="298" w:name="_Toc32387"/>
      <w:bookmarkStart w:id="299" w:name="_Toc9634"/>
      <w:bookmarkStart w:id="300" w:name="_Toc26848"/>
      <w:bookmarkStart w:id="301" w:name="_Toc24799"/>
      <w:r>
        <w:rPr>
          <w:rFonts w:hint="eastAsia" w:ascii="宋体" w:hAnsi="宋体" w:eastAsia="宋体" w:cs="宋体"/>
          <w:color w:val="auto"/>
          <w:szCs w:val="28"/>
          <w:highlight w:val="none"/>
        </w:rPr>
        <w:t>格式4：投标人提供近期的财务状况报告</w:t>
      </w:r>
      <w:bookmarkEnd w:id="295"/>
      <w:bookmarkEnd w:id="296"/>
      <w:bookmarkEnd w:id="297"/>
      <w:bookmarkEnd w:id="298"/>
      <w:bookmarkEnd w:id="299"/>
      <w:bookmarkEnd w:id="300"/>
      <w:bookmarkEnd w:id="301"/>
    </w:p>
    <w:p w14:paraId="716341CD">
      <w:pPr>
        <w:ind w:firstLine="420" w:firstLineChars="200"/>
        <w:rPr>
          <w:rFonts w:hint="eastAsia" w:ascii="宋体" w:hAnsi="宋体" w:cs="宋体"/>
          <w:color w:val="auto"/>
          <w:highlight w:val="none"/>
        </w:rPr>
      </w:pPr>
      <w:r>
        <w:rPr>
          <w:rFonts w:hint="eastAsia" w:ascii="宋体" w:hAnsi="宋体" w:cs="宋体"/>
          <w:color w:val="auto"/>
          <w:highlight w:val="none"/>
        </w:rPr>
        <w:t>投标人应提供202</w:t>
      </w:r>
      <w:r>
        <w:rPr>
          <w:rFonts w:hint="eastAsia" w:ascii="宋体" w:hAnsi="宋体" w:cs="宋体"/>
          <w:color w:val="auto"/>
          <w:highlight w:val="none"/>
          <w:lang w:val="en-US" w:eastAsia="zh-CN"/>
        </w:rPr>
        <w:t>4</w:t>
      </w:r>
      <w:r>
        <w:rPr>
          <w:rFonts w:hint="eastAsia" w:ascii="宋体" w:hAnsi="宋体" w:cs="宋体"/>
          <w:color w:val="auto"/>
          <w:highlight w:val="none"/>
        </w:rPr>
        <w:t>年至今任意一年的财务状况报告复印件（包括但不限于资产负债表、现金流量表、利润表）或提供投标文件提交截止时间前三个月内基本开户银行出具的资信证明。</w:t>
      </w:r>
    </w:p>
    <w:p w14:paraId="1666D7F1">
      <w:pPr>
        <w:ind w:firstLine="420" w:firstLineChars="200"/>
        <w:rPr>
          <w:rFonts w:hint="eastAsia" w:ascii="宋体" w:hAnsi="宋体" w:cs="宋体"/>
          <w:color w:val="auto"/>
          <w:highlight w:val="none"/>
        </w:rPr>
      </w:pPr>
      <w:r>
        <w:rPr>
          <w:rFonts w:hint="eastAsia" w:ascii="宋体" w:hAnsi="宋体" w:cs="宋体"/>
          <w:color w:val="auto"/>
          <w:highlight w:val="none"/>
        </w:rPr>
        <w:t>注：资信证明中未明确为基本开户银行的，需同时提供《基本存款账号信息》或《开户许可证》。</w:t>
      </w:r>
    </w:p>
    <w:p w14:paraId="18FE86D6">
      <w:pPr>
        <w:rPr>
          <w:color w:val="auto"/>
          <w:highlight w:val="none"/>
        </w:rPr>
      </w:pPr>
    </w:p>
    <w:p w14:paraId="2636AD09">
      <w:pPr>
        <w:pStyle w:val="32"/>
        <w:ind w:firstLine="404"/>
        <w:rPr>
          <w:color w:val="auto"/>
          <w:highlight w:val="none"/>
        </w:rPr>
      </w:pPr>
    </w:p>
    <w:p w14:paraId="4EF73E12">
      <w:pPr>
        <w:pStyle w:val="32"/>
        <w:ind w:firstLine="404"/>
        <w:rPr>
          <w:color w:val="auto"/>
          <w:highlight w:val="none"/>
        </w:rPr>
      </w:pPr>
    </w:p>
    <w:p w14:paraId="5EC44D2A">
      <w:pPr>
        <w:pStyle w:val="32"/>
        <w:ind w:firstLine="404"/>
        <w:rPr>
          <w:color w:val="auto"/>
          <w:highlight w:val="none"/>
        </w:rPr>
      </w:pPr>
    </w:p>
    <w:p w14:paraId="1E69091F">
      <w:pPr>
        <w:pStyle w:val="32"/>
        <w:ind w:firstLine="404"/>
        <w:rPr>
          <w:color w:val="auto"/>
          <w:highlight w:val="none"/>
        </w:rPr>
      </w:pPr>
    </w:p>
    <w:p w14:paraId="0CE23002">
      <w:pPr>
        <w:pStyle w:val="32"/>
        <w:ind w:firstLine="404"/>
        <w:rPr>
          <w:color w:val="auto"/>
          <w:highlight w:val="none"/>
        </w:rPr>
      </w:pPr>
    </w:p>
    <w:p w14:paraId="62A74583">
      <w:pPr>
        <w:pStyle w:val="4"/>
        <w:keepNext/>
        <w:numPr>
          <w:ilvl w:val="0"/>
          <w:numId w:val="0"/>
        </w:numPr>
        <w:tabs>
          <w:tab w:val="left" w:pos="1021"/>
          <w:tab w:val="clear" w:pos="360"/>
          <w:tab w:val="clear" w:pos="900"/>
          <w:tab w:val="clear" w:pos="1588"/>
        </w:tabs>
        <w:spacing w:before="0"/>
        <w:rPr>
          <w:rFonts w:hint="eastAsia" w:ascii="宋体" w:hAnsi="宋体" w:eastAsia="宋体" w:cs="宋体"/>
          <w:color w:val="auto"/>
          <w:szCs w:val="28"/>
          <w:highlight w:val="none"/>
        </w:rPr>
      </w:pPr>
      <w:bookmarkStart w:id="302" w:name="_Toc26312"/>
      <w:bookmarkStart w:id="303" w:name="_Toc28238"/>
      <w:bookmarkStart w:id="304" w:name="_Toc25529"/>
      <w:bookmarkStart w:id="305" w:name="_Toc5124"/>
      <w:bookmarkStart w:id="306" w:name="_Toc10946"/>
      <w:bookmarkStart w:id="307" w:name="_Toc12974"/>
      <w:bookmarkStart w:id="308" w:name="_Toc15120"/>
      <w:r>
        <w:rPr>
          <w:rFonts w:hint="eastAsia" w:ascii="宋体" w:hAnsi="宋体" w:eastAsia="宋体" w:cs="宋体"/>
          <w:color w:val="auto"/>
          <w:szCs w:val="28"/>
          <w:highlight w:val="none"/>
        </w:rPr>
        <w:t>格式5：书面声明</w:t>
      </w:r>
      <w:bookmarkEnd w:id="302"/>
      <w:bookmarkEnd w:id="303"/>
      <w:bookmarkEnd w:id="304"/>
      <w:bookmarkEnd w:id="305"/>
      <w:bookmarkEnd w:id="306"/>
      <w:bookmarkEnd w:id="307"/>
      <w:bookmarkEnd w:id="308"/>
    </w:p>
    <w:p w14:paraId="1C19EFAB">
      <w:pPr>
        <w:spacing w:line="360" w:lineRule="auto"/>
        <w:rPr>
          <w:rFonts w:hint="eastAsia" w:ascii="宋体" w:hAnsi="宋体" w:cs="宋体"/>
          <w:color w:val="auto"/>
          <w:sz w:val="24"/>
          <w:highlight w:val="none"/>
        </w:rPr>
      </w:pPr>
      <w:r>
        <w:rPr>
          <w:rFonts w:hint="eastAsia" w:ascii="宋体" w:hAnsi="宋体" w:cs="宋体"/>
          <w:color w:val="auto"/>
          <w:highlight w:val="non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（投标人名称）</w:t>
      </w:r>
      <w:r>
        <w:rPr>
          <w:rFonts w:hint="eastAsia" w:ascii="宋体" w:hAnsi="宋体" w:cs="宋体"/>
          <w:color w:val="auto"/>
          <w:sz w:val="24"/>
          <w:highlight w:val="none"/>
        </w:rPr>
        <w:t>在此声明，在参与本次项目采购中，我单位承诺：</w:t>
      </w:r>
    </w:p>
    <w:p w14:paraId="5A8D114F">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（一）我单位具有履行合同所必需的设备和专业技术能力；</w:t>
      </w:r>
    </w:p>
    <w:p w14:paraId="1D008139">
      <w:pPr>
        <w:spacing w:line="360" w:lineRule="auto"/>
        <w:rPr>
          <w:rFonts w:hint="eastAsia" w:ascii="宋体" w:hAnsi="宋体" w:cs="宋体"/>
          <w:color w:val="auto"/>
          <w:sz w:val="24"/>
          <w:highlight w:val="none"/>
        </w:rPr>
      </w:pPr>
      <w:r>
        <w:rPr>
          <w:rFonts w:hint="eastAsia" w:ascii="宋体" w:hAnsi="宋体" w:cs="宋体"/>
          <w:color w:val="auto"/>
          <w:sz w:val="24"/>
          <w:highlight w:val="none"/>
        </w:rPr>
        <w:t>（二）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F94705A">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（三）我单位不存在为采购项目提供整体设计、规范编制或者项目管理、监理、检测等服务后，再参加该采购项目的其他采购活动的情形；</w:t>
      </w:r>
    </w:p>
    <w:p w14:paraId="442514CC">
      <w:pPr>
        <w:spacing w:line="360" w:lineRule="auto"/>
        <w:rPr>
          <w:rFonts w:hint="eastAsia" w:ascii="宋体" w:hAnsi="宋体" w:cs="宋体"/>
          <w:color w:val="auto"/>
          <w:sz w:val="24"/>
          <w:highlight w:val="none"/>
        </w:rPr>
      </w:pPr>
      <w:r>
        <w:rPr>
          <w:rFonts w:hint="eastAsia" w:ascii="宋体" w:hAnsi="宋体" w:cs="宋体"/>
          <w:color w:val="auto"/>
          <w:sz w:val="24"/>
          <w:highlight w:val="none"/>
        </w:rPr>
        <w:t>（四）与我单位存在“单位负责人为同一人或者存在直接控股、管理关系”的其他法人单位，未参加同一合同项下的政府采购活动。</w:t>
      </w:r>
    </w:p>
    <w:p w14:paraId="7F2F4C0C">
      <w:pPr>
        <w:spacing w:line="360" w:lineRule="auto"/>
        <w:rPr>
          <w:rFonts w:hint="eastAsia" w:ascii="宋体" w:hAnsi="宋体" w:cs="宋体"/>
          <w:color w:val="auto"/>
          <w:highlight w:val="none"/>
        </w:rPr>
      </w:pPr>
    </w:p>
    <w:p w14:paraId="3D1BB5EA">
      <w:pPr>
        <w:spacing w:line="360" w:lineRule="auto"/>
        <w:rPr>
          <w:rFonts w:hint="eastAsia" w:ascii="宋体" w:hAnsi="宋体" w:cs="宋体"/>
          <w:color w:val="auto"/>
          <w:sz w:val="24"/>
          <w:highlight w:val="none"/>
        </w:rPr>
      </w:pPr>
    </w:p>
    <w:p w14:paraId="1DD61CFF">
      <w:p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投标人：（盖单位公章）</w:t>
      </w:r>
    </w:p>
    <w:p w14:paraId="54A4AF04">
      <w:pPr>
        <w:spacing w:line="360" w:lineRule="auto"/>
        <w:ind w:firstLine="2" w:firstLineChars="1"/>
        <w:rPr>
          <w:rFonts w:hint="eastAsia" w:ascii="宋体" w:hAnsi="宋体" w:cs="宋体"/>
          <w:color w:val="auto"/>
          <w:sz w:val="24"/>
          <w:highlight w:val="none"/>
        </w:rPr>
      </w:pPr>
      <w:r>
        <w:rPr>
          <w:rFonts w:hint="eastAsia" w:ascii="宋体" w:hAnsi="宋体" w:cs="宋体"/>
          <w:color w:val="auto"/>
          <w:sz w:val="24"/>
          <w:highlight w:val="none"/>
        </w:rPr>
        <w:t>法定代表人或委托代理人：（签名或签章）</w:t>
      </w:r>
    </w:p>
    <w:p w14:paraId="27194D56">
      <w:pPr>
        <w:spacing w:line="360" w:lineRule="auto"/>
        <w:rPr>
          <w:rFonts w:hint="eastAsia" w:ascii="宋体" w:hAnsi="宋体" w:cs="宋体"/>
          <w:color w:val="auto"/>
          <w:sz w:val="24"/>
          <w:highlight w:val="none"/>
        </w:rPr>
      </w:pPr>
      <w:r>
        <w:rPr>
          <w:rFonts w:hint="eastAsia" w:ascii="宋体" w:hAnsi="宋体" w:cs="宋体"/>
          <w:color w:val="auto"/>
          <w:sz w:val="24"/>
          <w:highlight w:val="none"/>
        </w:rPr>
        <w:t>年 月 日</w:t>
      </w:r>
    </w:p>
    <w:p w14:paraId="32595EF3">
      <w:pPr>
        <w:pStyle w:val="12"/>
        <w:rPr>
          <w:rFonts w:hint="eastAsia"/>
          <w:color w:val="auto"/>
          <w:highlight w:val="none"/>
        </w:rPr>
      </w:pPr>
    </w:p>
    <w:p w14:paraId="43F0F609">
      <w:pPr>
        <w:rPr>
          <w:color w:val="auto"/>
          <w:highlight w:val="none"/>
        </w:rPr>
      </w:pPr>
    </w:p>
    <w:p w14:paraId="7F573FB7">
      <w:pPr>
        <w:pStyle w:val="32"/>
        <w:ind w:firstLine="404"/>
        <w:rPr>
          <w:color w:val="auto"/>
          <w:highlight w:val="none"/>
        </w:rPr>
      </w:pPr>
    </w:p>
    <w:p w14:paraId="67DD8E65">
      <w:pPr>
        <w:pStyle w:val="4"/>
        <w:keepNext/>
        <w:numPr>
          <w:ilvl w:val="0"/>
          <w:numId w:val="0"/>
        </w:numPr>
        <w:tabs>
          <w:tab w:val="left" w:pos="1021"/>
          <w:tab w:val="clear" w:pos="360"/>
          <w:tab w:val="clear" w:pos="900"/>
          <w:tab w:val="clear" w:pos="1588"/>
        </w:tabs>
        <w:spacing w:before="0"/>
        <w:rPr>
          <w:rFonts w:hint="eastAsia" w:ascii="宋体" w:hAnsi="宋体" w:eastAsia="宋体" w:cs="宋体"/>
          <w:color w:val="auto"/>
          <w:szCs w:val="28"/>
          <w:highlight w:val="none"/>
        </w:rPr>
      </w:pPr>
      <w:bookmarkStart w:id="309" w:name="_Toc21500"/>
      <w:bookmarkStart w:id="310" w:name="_Toc16039"/>
      <w:bookmarkStart w:id="311" w:name="_Toc16568"/>
      <w:bookmarkStart w:id="312" w:name="_Toc6687"/>
      <w:bookmarkStart w:id="313" w:name="_Toc17651"/>
      <w:bookmarkStart w:id="314" w:name="_Toc8998"/>
      <w:r>
        <w:rPr>
          <w:rFonts w:hint="eastAsia" w:ascii="宋体" w:hAnsi="宋体" w:eastAsia="宋体" w:cs="宋体"/>
          <w:color w:val="auto"/>
          <w:szCs w:val="28"/>
          <w:highlight w:val="none"/>
        </w:rPr>
        <w:t>格式6：本项目所要求的资格、资质证书（扫描件加盖鲜章）（如果有）</w:t>
      </w:r>
      <w:bookmarkEnd w:id="309"/>
      <w:bookmarkEnd w:id="310"/>
      <w:bookmarkEnd w:id="311"/>
      <w:bookmarkEnd w:id="312"/>
      <w:bookmarkEnd w:id="313"/>
      <w:bookmarkEnd w:id="314"/>
    </w:p>
    <w:p w14:paraId="7B8E72E1">
      <w:pPr>
        <w:rPr>
          <w:color w:val="auto"/>
          <w:highlight w:val="none"/>
        </w:rPr>
      </w:pPr>
    </w:p>
    <w:p w14:paraId="08C86E2F">
      <w:pPr>
        <w:pStyle w:val="32"/>
        <w:ind w:firstLine="404"/>
        <w:rPr>
          <w:color w:val="auto"/>
          <w:highlight w:val="none"/>
        </w:rPr>
      </w:pPr>
    </w:p>
    <w:p w14:paraId="6EE43F61">
      <w:pPr>
        <w:pStyle w:val="32"/>
        <w:ind w:firstLine="404"/>
        <w:rPr>
          <w:color w:val="auto"/>
          <w:highlight w:val="none"/>
        </w:rPr>
      </w:pPr>
    </w:p>
    <w:p w14:paraId="5229B314">
      <w:pPr>
        <w:rPr>
          <w:rFonts w:hint="eastAsia" w:ascii="宋体" w:hAnsi="宋体"/>
          <w:color w:val="auto"/>
          <w:szCs w:val="28"/>
          <w:highlight w:val="none"/>
        </w:rPr>
      </w:pPr>
      <w:r>
        <w:rPr>
          <w:rFonts w:hint="eastAsia" w:ascii="宋体" w:hAnsi="宋体" w:cs="宋体"/>
          <w:b/>
          <w:color w:val="auto"/>
          <w:kern w:val="0"/>
          <w:sz w:val="28"/>
          <w:szCs w:val="28"/>
          <w:highlight w:val="none"/>
        </w:rPr>
        <w:br w:type="page"/>
      </w:r>
      <w:bookmarkStart w:id="315" w:name="_Toc16980"/>
      <w:bookmarkStart w:id="316" w:name="_Toc14370"/>
      <w:bookmarkStart w:id="317" w:name="_Toc27960"/>
    </w:p>
    <w:p w14:paraId="4A6FCFCE">
      <w:pPr>
        <w:pStyle w:val="3"/>
        <w:numPr>
          <w:ilvl w:val="0"/>
          <w:numId w:val="0"/>
        </w:numPr>
        <w:spacing w:before="0"/>
        <w:ind w:firstLine="3612" w:firstLineChars="1290"/>
        <w:rPr>
          <w:color w:val="auto"/>
          <w:highlight w:val="none"/>
        </w:rPr>
      </w:pPr>
      <w:bookmarkStart w:id="318" w:name="_Toc12750"/>
      <w:bookmarkStart w:id="319" w:name="_Toc32413"/>
      <w:bookmarkStart w:id="320" w:name="_Toc21296"/>
      <w:bookmarkStart w:id="321" w:name="_Toc28386"/>
      <w:r>
        <w:rPr>
          <w:rFonts w:hint="eastAsia" w:ascii="宋体" w:hAnsi="宋体" w:eastAsia="宋体"/>
          <w:color w:val="auto"/>
          <w:szCs w:val="28"/>
          <w:highlight w:val="none"/>
        </w:rPr>
        <w:t>二、商务响应文件</w:t>
      </w:r>
      <w:bookmarkEnd w:id="315"/>
      <w:bookmarkEnd w:id="316"/>
      <w:bookmarkEnd w:id="317"/>
      <w:bookmarkEnd w:id="318"/>
      <w:bookmarkEnd w:id="319"/>
      <w:bookmarkEnd w:id="320"/>
      <w:bookmarkEnd w:id="321"/>
    </w:p>
    <w:p w14:paraId="4E1D9CFC">
      <w:pPr>
        <w:pStyle w:val="4"/>
        <w:keepNext/>
        <w:numPr>
          <w:ilvl w:val="0"/>
          <w:numId w:val="0"/>
        </w:numPr>
        <w:tabs>
          <w:tab w:val="left" w:pos="1021"/>
          <w:tab w:val="clear" w:pos="360"/>
          <w:tab w:val="clear" w:pos="900"/>
          <w:tab w:val="clear" w:pos="1588"/>
        </w:tabs>
        <w:spacing w:before="0" w:line="400" w:lineRule="exact"/>
        <w:rPr>
          <w:rFonts w:hint="eastAsia" w:ascii="宋体" w:hAnsi="宋体" w:eastAsia="宋体" w:cs="宋体"/>
          <w:color w:val="auto"/>
          <w:szCs w:val="28"/>
          <w:highlight w:val="none"/>
        </w:rPr>
      </w:pPr>
      <w:bookmarkStart w:id="322" w:name="_Toc7542"/>
      <w:bookmarkStart w:id="323" w:name="_Toc29046"/>
      <w:bookmarkStart w:id="324" w:name="_Toc17264"/>
      <w:bookmarkStart w:id="325" w:name="_Toc20425"/>
      <w:bookmarkStart w:id="326" w:name="_Toc7423"/>
      <w:bookmarkStart w:id="327" w:name="_Toc5587"/>
      <w:bookmarkStart w:id="328" w:name="_Toc5604"/>
      <w:bookmarkStart w:id="329" w:name="_Toc27906"/>
      <w:r>
        <w:rPr>
          <w:rFonts w:hint="eastAsia" w:ascii="宋体" w:hAnsi="宋体" w:eastAsia="宋体" w:cs="宋体"/>
          <w:color w:val="auto"/>
          <w:szCs w:val="28"/>
          <w:highlight w:val="none"/>
        </w:rPr>
        <w:t>★格式7：投标函</w:t>
      </w:r>
      <w:bookmarkEnd w:id="322"/>
      <w:bookmarkEnd w:id="323"/>
      <w:bookmarkEnd w:id="324"/>
      <w:bookmarkEnd w:id="325"/>
      <w:bookmarkEnd w:id="326"/>
      <w:bookmarkEnd w:id="327"/>
      <w:bookmarkEnd w:id="328"/>
      <w:bookmarkEnd w:id="329"/>
    </w:p>
    <w:p w14:paraId="32521331">
      <w:pPr>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投 标 函</w:t>
      </w:r>
    </w:p>
    <w:p w14:paraId="639DA18B">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color w:val="auto"/>
          <w:szCs w:val="21"/>
          <w:highlight w:val="none"/>
          <w:u w:val="single"/>
        </w:rPr>
        <w:t>云南省政府采购和出让中心</w:t>
      </w:r>
    </w:p>
    <w:p w14:paraId="4915EC56">
      <w:pPr>
        <w:spacing w:line="360" w:lineRule="auto"/>
        <w:ind w:firstLine="420" w:firstLineChars="200"/>
        <w:jc w:val="left"/>
        <w:rPr>
          <w:rFonts w:hint="eastAsia" w:ascii="宋体" w:hAnsi="宋体" w:cs="宋体"/>
          <w:color w:val="auto"/>
          <w:szCs w:val="21"/>
          <w:highlight w:val="none"/>
        </w:rPr>
      </w:pPr>
      <w:r>
        <w:rPr>
          <w:rFonts w:hint="eastAsia" w:ascii="宋体" w:hAnsi="宋体"/>
          <w:color w:val="auto"/>
          <w:szCs w:val="21"/>
          <w:highlight w:val="none"/>
        </w:rPr>
        <w:t>根据贵方为</w:t>
      </w:r>
      <w:r>
        <w:rPr>
          <w:rFonts w:hint="eastAsia" w:ascii="宋体" w:hAnsi="宋体"/>
          <w:color w:val="auto"/>
          <w:szCs w:val="21"/>
          <w:highlight w:val="none"/>
          <w:u w:val="single"/>
        </w:rPr>
        <w:t xml:space="preserve">      （采购项目名称）     </w:t>
      </w:r>
      <w:r>
        <w:rPr>
          <w:rFonts w:hint="eastAsia" w:ascii="宋体" w:hAnsi="宋体"/>
          <w:color w:val="auto"/>
          <w:szCs w:val="21"/>
          <w:highlight w:val="none"/>
        </w:rPr>
        <w:t>（招标编号：</w:t>
      </w:r>
      <w:r>
        <w:rPr>
          <w:rFonts w:hint="eastAsia" w:ascii="宋体" w:hAnsi="宋体"/>
          <w:color w:val="auto"/>
          <w:szCs w:val="21"/>
          <w:highlight w:val="none"/>
          <w:u w:val="single"/>
        </w:rPr>
        <w:t xml:space="preserve">     </w:t>
      </w:r>
      <w:r>
        <w:rPr>
          <w:rFonts w:hint="eastAsia" w:ascii="宋体" w:hAnsi="宋体"/>
          <w:color w:val="auto"/>
          <w:szCs w:val="21"/>
          <w:highlight w:val="none"/>
        </w:rPr>
        <w:t>）项目招标采购货物及服务的投标邀请，正式授权</w:t>
      </w:r>
      <w:r>
        <w:rPr>
          <w:rFonts w:hint="eastAsia" w:ascii="宋体" w:hAnsi="宋体"/>
          <w:color w:val="auto"/>
          <w:szCs w:val="21"/>
          <w:highlight w:val="none"/>
          <w:u w:val="single"/>
        </w:rPr>
        <w:t xml:space="preserve"> （姓名）     </w:t>
      </w:r>
      <w:r>
        <w:rPr>
          <w:rFonts w:hint="eastAsia" w:ascii="宋体" w:hAnsi="宋体"/>
          <w:color w:val="auto"/>
          <w:szCs w:val="21"/>
          <w:highlight w:val="none"/>
        </w:rPr>
        <w:t>全权代表投标人</w:t>
      </w:r>
      <w:r>
        <w:rPr>
          <w:rFonts w:hint="eastAsia" w:ascii="宋体" w:hAnsi="宋体"/>
          <w:color w:val="auto"/>
          <w:szCs w:val="21"/>
          <w:highlight w:val="none"/>
          <w:u w:val="single"/>
        </w:rPr>
        <w:t xml:space="preserve">  （投标人全称）   </w:t>
      </w:r>
      <w:r>
        <w:rPr>
          <w:rFonts w:hint="eastAsia" w:ascii="宋体" w:hAnsi="宋体"/>
          <w:color w:val="auto"/>
          <w:szCs w:val="21"/>
          <w:highlight w:val="none"/>
        </w:rPr>
        <w:t>参加投标，并提交电子投标文件</w:t>
      </w:r>
      <w:r>
        <w:rPr>
          <w:rFonts w:hint="eastAsia" w:ascii="宋体" w:hAnsi="宋体" w:cs="宋体"/>
          <w:color w:val="auto"/>
          <w:szCs w:val="21"/>
          <w:highlight w:val="none"/>
        </w:rPr>
        <w:t>。</w:t>
      </w:r>
    </w:p>
    <w:p w14:paraId="4E5030F5">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据此函，签字人兹宣布同意如下：</w:t>
      </w:r>
    </w:p>
    <w:p w14:paraId="78EF34F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 按招标文件需求一览表和投标报价表，投标总报价为人民币（大写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D9B4F12">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 我方同意在投标人须知规定的开标日期起遵循本投标文件，并在投标人须知第17条规定的投标有效期满之前均具有约束力。如果我方投标被接受，则至合同履行完毕、服务期满为止，本投标函保持有效。</w:t>
      </w:r>
    </w:p>
    <w:p w14:paraId="71E80DC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 我方承诺已经具备《中华人民共和国政府采购法》中规定的参加政府采购活动的投标人应当具备的条件，具有履行合同所必需的设备和专业技术能力。</w:t>
      </w:r>
    </w:p>
    <w:p w14:paraId="5447462B">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 我方承诺严格遵守招标文件中的各项要求及合同条款，并在服务期限内承担合同规定的责任义务。</w:t>
      </w:r>
    </w:p>
    <w:p w14:paraId="436ABE2C">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 我方已详细审核招标文件，我方对招标文件各项条款和评标办法无异议，知道必须放弃提出含糊不清或误解问题的权利。</w:t>
      </w:r>
    </w:p>
    <w:p w14:paraId="726DCC6E">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 如果在投标文件有效期内撤回投标或者有其他违约行为，我方的投标保证金可被贵方全部或部分没收。</w:t>
      </w:r>
    </w:p>
    <w:p w14:paraId="53D58FD4">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 同意应贵方要求提供与本投标有关的任何数据和资料，并保证数据和资料的完整性和真实性，若有违反，我方愿意承担一切后果。</w:t>
      </w:r>
    </w:p>
    <w:p w14:paraId="67DB5D2B">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 我方完全理解贵方不一定要接受最低报价的投标人为中标人的行为。</w:t>
      </w:r>
    </w:p>
    <w:p w14:paraId="226FE007">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9. 若贵方需要，我方愿意提供我方作出的一切承诺的证明材料。</w:t>
      </w:r>
    </w:p>
    <w:p w14:paraId="3C0ABFFB">
      <w:pPr>
        <w:spacing w:line="360" w:lineRule="auto"/>
        <w:ind w:firstLine="420" w:firstLineChars="200"/>
        <w:jc w:val="left"/>
        <w:rPr>
          <w:rFonts w:hint="eastAsia" w:ascii="宋体" w:hAnsi="宋体" w:cs="宋体"/>
          <w:color w:val="auto"/>
          <w:szCs w:val="21"/>
          <w:highlight w:val="none"/>
        </w:rPr>
      </w:pPr>
    </w:p>
    <w:p w14:paraId="31D2DBC6">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与本投标有关的正式通讯地址为：</w:t>
      </w:r>
    </w:p>
    <w:p w14:paraId="7C9A0848">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地    址：           邮政编码：</w:t>
      </w:r>
    </w:p>
    <w:p w14:paraId="00B3BBF0">
      <w:pPr>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电    话：</w:t>
      </w:r>
      <w:r>
        <w:rPr>
          <w:rFonts w:hint="eastAsia" w:ascii="宋体" w:hAnsi="宋体" w:cs="宋体"/>
          <w:color w:val="auto"/>
          <w:szCs w:val="21"/>
          <w:highlight w:val="none"/>
          <w:u w:val="single"/>
        </w:rPr>
        <w:t xml:space="preserve">                                      　　　　　　　</w:t>
      </w:r>
    </w:p>
    <w:p w14:paraId="78F4B9C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传    真：</w:t>
      </w:r>
      <w:r>
        <w:rPr>
          <w:rFonts w:hint="eastAsia" w:ascii="宋体" w:hAnsi="宋体" w:cs="宋体"/>
          <w:color w:val="auto"/>
          <w:szCs w:val="21"/>
          <w:highlight w:val="none"/>
          <w:u w:val="single"/>
        </w:rPr>
        <w:t>　　　　　　　　　　　　　　　　　　　　　　　　　　</w:t>
      </w:r>
    </w:p>
    <w:p w14:paraId="58C9FA14">
      <w:pPr>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开户名称：</w:t>
      </w:r>
    </w:p>
    <w:p w14:paraId="2B5E3CC0">
      <w:pPr>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开户银行：</w:t>
      </w:r>
    </w:p>
    <w:p w14:paraId="5FBD1EFE">
      <w:pPr>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帐    号：</w:t>
      </w:r>
    </w:p>
    <w:p w14:paraId="3CBF4273">
      <w:pPr>
        <w:spacing w:line="360" w:lineRule="auto"/>
        <w:ind w:firstLine="420" w:firstLineChars="200"/>
        <w:jc w:val="left"/>
        <w:rPr>
          <w:rFonts w:hint="eastAsia" w:ascii="宋体" w:hAnsi="宋体" w:cs="宋体"/>
          <w:color w:val="auto"/>
          <w:szCs w:val="21"/>
          <w:highlight w:val="none"/>
        </w:rPr>
      </w:pPr>
    </w:p>
    <w:p w14:paraId="53725B3D">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投 标 人：（盖单位公章）</w:t>
      </w:r>
    </w:p>
    <w:p w14:paraId="31795230">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法定代表人或委托代理人：（签名或盖章）</w:t>
      </w:r>
    </w:p>
    <w:p w14:paraId="485FFC4C">
      <w:pPr>
        <w:spacing w:line="360" w:lineRule="auto"/>
        <w:ind w:firstLine="420" w:firstLineChars="200"/>
        <w:jc w:val="left"/>
        <w:rPr>
          <w:rFonts w:hint="eastAsia" w:ascii="宋体" w:hAnsi="宋体" w:cs="宋体"/>
          <w:color w:val="auto"/>
          <w:szCs w:val="21"/>
          <w:highlight w:val="none"/>
          <w:u w:val="single"/>
        </w:rPr>
      </w:pPr>
      <w:r>
        <w:rPr>
          <w:rFonts w:hint="eastAsia" w:ascii="宋体" w:hAnsi="宋体" w:cs="宋体"/>
          <w:color w:val="auto"/>
          <w:szCs w:val="21"/>
          <w:highlight w:val="none"/>
        </w:rPr>
        <w:t>日    期：年月日</w:t>
      </w:r>
    </w:p>
    <w:p w14:paraId="1EF7730F">
      <w:pPr>
        <w:rPr>
          <w:color w:val="auto"/>
          <w:highlight w:val="none"/>
        </w:rPr>
      </w:pPr>
    </w:p>
    <w:p w14:paraId="16AB171A">
      <w:pPr>
        <w:pStyle w:val="3"/>
        <w:numPr>
          <w:ilvl w:val="0"/>
          <w:numId w:val="0"/>
        </w:numPr>
        <w:spacing w:before="0"/>
        <w:rPr>
          <w:rFonts w:hint="eastAsia" w:ascii="宋体" w:hAnsi="宋体" w:eastAsia="宋体" w:cs="宋体"/>
          <w:color w:val="auto"/>
          <w:szCs w:val="28"/>
          <w:highlight w:val="none"/>
        </w:rPr>
        <w:sectPr>
          <w:footerReference r:id="rId7" w:type="default"/>
          <w:pgSz w:w="11906" w:h="16838"/>
          <w:pgMar w:top="1418" w:right="1134" w:bottom="1134" w:left="1418" w:header="935" w:footer="720" w:gutter="0"/>
          <w:cols w:space="720" w:num="1"/>
          <w:rtlGutter w:val="1"/>
          <w:docGrid w:type="linesAndChars" w:linePitch="331" w:charSpace="0"/>
        </w:sectPr>
      </w:pPr>
    </w:p>
    <w:p w14:paraId="2AA3E889">
      <w:pPr>
        <w:pStyle w:val="4"/>
        <w:keepNext/>
        <w:numPr>
          <w:ilvl w:val="0"/>
          <w:numId w:val="0"/>
        </w:numPr>
        <w:tabs>
          <w:tab w:val="left" w:pos="1021"/>
          <w:tab w:val="clear" w:pos="360"/>
          <w:tab w:val="clear" w:pos="900"/>
          <w:tab w:val="clear" w:pos="1588"/>
        </w:tabs>
        <w:spacing w:before="0"/>
        <w:rPr>
          <w:rFonts w:hint="eastAsia" w:ascii="宋体" w:hAnsi="宋体" w:eastAsia="宋体" w:cs="宋体"/>
          <w:color w:val="auto"/>
          <w:szCs w:val="28"/>
          <w:highlight w:val="none"/>
        </w:rPr>
      </w:pPr>
      <w:bookmarkStart w:id="330" w:name="_Toc4865"/>
      <w:bookmarkStart w:id="331" w:name="_Toc710"/>
      <w:bookmarkStart w:id="332" w:name="_Toc16709"/>
      <w:bookmarkStart w:id="333" w:name="_Toc14695"/>
      <w:bookmarkStart w:id="334" w:name="_Toc31734"/>
      <w:bookmarkStart w:id="335" w:name="_Toc23902"/>
      <w:bookmarkStart w:id="336" w:name="_Toc30052"/>
      <w:bookmarkStart w:id="337" w:name="_Toc7182"/>
      <w:r>
        <w:rPr>
          <w:rFonts w:hint="eastAsia" w:ascii="宋体" w:hAnsi="宋体" w:eastAsia="宋体" w:cs="宋体"/>
          <w:color w:val="auto"/>
          <w:szCs w:val="28"/>
          <w:highlight w:val="none"/>
        </w:rPr>
        <w:t>格式8：商务条款偏离表</w:t>
      </w:r>
      <w:bookmarkEnd w:id="330"/>
      <w:bookmarkEnd w:id="331"/>
      <w:bookmarkEnd w:id="332"/>
      <w:bookmarkEnd w:id="333"/>
      <w:bookmarkEnd w:id="334"/>
      <w:bookmarkEnd w:id="335"/>
      <w:bookmarkEnd w:id="336"/>
      <w:bookmarkEnd w:id="337"/>
    </w:p>
    <w:p w14:paraId="3F14D0D4">
      <w:pPr>
        <w:rPr>
          <w:color w:val="auto"/>
          <w:highlight w:val="none"/>
        </w:rPr>
      </w:pPr>
    </w:p>
    <w:p w14:paraId="4FC3E3BC">
      <w:pPr>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商务条款偏离表</w:t>
      </w:r>
    </w:p>
    <w:p w14:paraId="0A52AEB7">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投标人应逐条对应招标文件第五章“</w:t>
      </w:r>
      <w:r>
        <w:rPr>
          <w:rFonts w:hint="eastAsia" w:ascii="宋体" w:hAnsi="宋体" w:cs="宋体"/>
          <w:b/>
          <w:color w:val="auto"/>
          <w:highlight w:val="none"/>
        </w:rPr>
        <w:t>服务需求</w:t>
      </w:r>
      <w:r>
        <w:rPr>
          <w:rFonts w:hint="eastAsia" w:ascii="宋体" w:hAnsi="宋体" w:cs="宋体"/>
          <w:color w:val="auto"/>
          <w:highlight w:val="none"/>
        </w:rPr>
        <w:t>”和第三章“</w:t>
      </w:r>
      <w:r>
        <w:rPr>
          <w:rFonts w:hint="eastAsia" w:ascii="宋体" w:hAnsi="宋体" w:cs="宋体"/>
          <w:b/>
          <w:bCs/>
          <w:color w:val="auto"/>
          <w:highlight w:val="none"/>
        </w:rPr>
        <w:t>合同书样式及主要条款</w:t>
      </w:r>
      <w:r>
        <w:rPr>
          <w:rFonts w:hint="eastAsia" w:ascii="宋体" w:hAnsi="宋体" w:cs="宋体"/>
          <w:color w:val="auto"/>
          <w:highlight w:val="none"/>
        </w:rPr>
        <w:t>”中要求的商务条件，包括服务期、付款方式、服务地、履约保证金等内容，并根据实际投标情况如实填写本表格。</w:t>
      </w:r>
    </w:p>
    <w:p w14:paraId="23FB2C94">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w:t>
      </w:r>
      <w:r>
        <w:rPr>
          <w:rFonts w:hint="eastAsia" w:ascii="宋体" w:hAnsi="宋体" w:cs="宋体"/>
          <w:b/>
          <w:color w:val="auto"/>
          <w:highlight w:val="none"/>
        </w:rPr>
        <w:t>未填写本表格的投标人将不能通过符合性审查。</w:t>
      </w:r>
    </w:p>
    <w:tbl>
      <w:tblPr>
        <w:tblStyle w:val="33"/>
        <w:tblW w:w="13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6580"/>
        <w:gridCol w:w="6282"/>
      </w:tblGrid>
      <w:tr w14:paraId="4A9DC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3715" w:type="dxa"/>
            <w:gridSpan w:val="3"/>
            <w:vAlign w:val="center"/>
          </w:tcPr>
          <w:p w14:paraId="0BD1F036">
            <w:pPr>
              <w:spacing w:line="360" w:lineRule="auto"/>
              <w:rPr>
                <w:rFonts w:hint="eastAsia" w:ascii="宋体" w:hAnsi="宋体" w:cs="宋体"/>
                <w:color w:val="auto"/>
                <w:highlight w:val="none"/>
              </w:rPr>
            </w:pPr>
            <w:r>
              <w:rPr>
                <w:rFonts w:hint="eastAsia" w:ascii="宋体" w:hAnsi="宋体" w:cs="宋体"/>
                <w:color w:val="auto"/>
                <w:highlight w:val="none"/>
              </w:rPr>
              <w:t>项目名称：</w:t>
            </w:r>
            <w:r>
              <w:rPr>
                <w:rFonts w:hint="eastAsia" w:ascii="宋体" w:hAnsi="宋体" w:cs="宋体"/>
                <w:color w:val="auto"/>
                <w:highlight w:val="none"/>
                <w:lang w:eastAsia="zh-CN"/>
              </w:rPr>
              <w:t>云南技师学院（云南工贸职业技术学院）2026-2029年物业服务项目采购</w:t>
            </w:r>
            <w:r>
              <w:rPr>
                <w:rFonts w:hint="eastAsia" w:ascii="宋体" w:hAnsi="宋体" w:cs="宋体"/>
                <w:color w:val="auto"/>
                <w:highlight w:val="none"/>
              </w:rPr>
              <w:t xml:space="preserve">                       </w:t>
            </w:r>
          </w:p>
          <w:p w14:paraId="543775BE">
            <w:pPr>
              <w:spacing w:line="360" w:lineRule="auto"/>
              <w:rPr>
                <w:rFonts w:hint="eastAsia" w:ascii="宋体" w:hAnsi="宋体" w:cs="宋体"/>
                <w:color w:val="auto"/>
                <w:highlight w:val="none"/>
              </w:rPr>
            </w:pPr>
            <w:r>
              <w:rPr>
                <w:rFonts w:hint="eastAsia" w:ascii="宋体" w:hAnsi="宋体" w:cs="宋体"/>
                <w:color w:val="auto"/>
                <w:highlight w:val="none"/>
              </w:rPr>
              <w:t>招标编号：</w:t>
            </w:r>
            <w:r>
              <w:rPr>
                <w:color w:val="auto"/>
                <w:highlight w:val="none"/>
              </w:rPr>
              <w:fldChar w:fldCharType="begin"/>
            </w:r>
            <w:r>
              <w:rPr>
                <w:color w:val="auto"/>
                <w:highlight w:val="none"/>
              </w:rPr>
              <w:instrText xml:space="preserve"> HYPERLINK "https://www.zcygov.cn/gaea/api/project/flow/redirect?projectId=7319696609837056049&amp;newUrl=https://www.zcygov.cn/micro-app-back-index/blank?_flow_type_=agency&amp;_flow_projectId_=7319696609837056049&amp;_jump_page_type_=project_procurement_management_flow&amp;_app_=zcy.procurement&amp;oldUrl=https://www.zcygov.cn/project-center/_procurement_/project-result-detail/7319696609837056049" \t "https://www.zcygov.cn/project-center/_procurement_/self-project/_blank" </w:instrText>
            </w:r>
            <w:r>
              <w:rPr>
                <w:color w:val="auto"/>
                <w:highlight w:val="none"/>
              </w:rPr>
              <w:fldChar w:fldCharType="separate"/>
            </w:r>
            <w:r>
              <w:rPr>
                <w:rFonts w:hint="eastAsia" w:ascii="宋体" w:hAnsi="宋体" w:cs="宋体"/>
                <w:color w:val="auto"/>
                <w:highlight w:val="none"/>
                <w:lang w:eastAsia="zh-CN"/>
              </w:rPr>
              <w:t>YNZC2026-G3-02247-YNSZ-0114</w:t>
            </w:r>
            <w:r>
              <w:rPr>
                <w:rFonts w:hint="eastAsia" w:ascii="宋体" w:hAnsi="宋体" w:cs="宋体"/>
                <w:color w:val="auto"/>
                <w:highlight w:val="none"/>
              </w:rPr>
              <w:fldChar w:fldCharType="end"/>
            </w:r>
          </w:p>
          <w:p w14:paraId="0A9D73B2">
            <w:pPr>
              <w:spacing w:line="360" w:lineRule="auto"/>
              <w:rPr>
                <w:rFonts w:hint="eastAsia" w:ascii="宋体" w:hAnsi="宋体" w:cs="宋体"/>
                <w:color w:val="auto"/>
                <w:highlight w:val="none"/>
              </w:rPr>
            </w:pPr>
            <w:r>
              <w:rPr>
                <w:rFonts w:hint="eastAsia" w:ascii="宋体" w:hAnsi="宋体" w:cs="宋体"/>
                <w:color w:val="auto"/>
                <w:highlight w:val="none"/>
              </w:rPr>
              <w:t>A、□我公司已详细阅读招标文件中各项商务要求，所有商务要求均无偏离，中标后我公司将严格遵照执行。</w:t>
            </w:r>
          </w:p>
          <w:p w14:paraId="3F854559">
            <w:pPr>
              <w:spacing w:line="360" w:lineRule="auto"/>
              <w:rPr>
                <w:rFonts w:hint="eastAsia" w:ascii="宋体" w:hAnsi="宋体" w:cs="宋体"/>
                <w:color w:val="auto"/>
                <w:highlight w:val="none"/>
              </w:rPr>
            </w:pPr>
            <w:r>
              <w:rPr>
                <w:rFonts w:hint="eastAsia" w:ascii="宋体" w:hAnsi="宋体" w:cs="宋体"/>
                <w:color w:val="auto"/>
                <w:highlight w:val="none"/>
              </w:rPr>
              <w:t>B、□我公司已详细阅读招标文件中各项商务要求，除下述条款有偏离外，其余条款我公司均予以认可，中标后将严格遵照执行。</w:t>
            </w:r>
          </w:p>
        </w:tc>
      </w:tr>
      <w:tr w14:paraId="262F5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7C439DEA">
            <w:pPr>
              <w:jc w:val="center"/>
              <w:rPr>
                <w:rFonts w:hint="eastAsia" w:ascii="宋体" w:hAnsi="宋体" w:cs="宋体"/>
                <w:color w:val="auto"/>
                <w:highlight w:val="none"/>
              </w:rPr>
            </w:pPr>
            <w:r>
              <w:rPr>
                <w:rFonts w:hint="eastAsia" w:ascii="宋体" w:hAnsi="宋体" w:cs="宋体"/>
                <w:color w:val="auto"/>
                <w:highlight w:val="none"/>
              </w:rPr>
              <w:t>序号</w:t>
            </w:r>
          </w:p>
        </w:tc>
        <w:tc>
          <w:tcPr>
            <w:tcW w:w="6580" w:type="dxa"/>
            <w:vAlign w:val="center"/>
          </w:tcPr>
          <w:p w14:paraId="6B63A044">
            <w:pPr>
              <w:jc w:val="center"/>
              <w:rPr>
                <w:rFonts w:hint="eastAsia" w:ascii="宋体" w:hAnsi="宋体" w:cs="宋体"/>
                <w:color w:val="auto"/>
                <w:highlight w:val="none"/>
              </w:rPr>
            </w:pPr>
            <w:r>
              <w:rPr>
                <w:rFonts w:hint="eastAsia" w:ascii="宋体" w:hAnsi="宋体" w:cs="宋体"/>
                <w:color w:val="auto"/>
                <w:highlight w:val="none"/>
              </w:rPr>
              <w:t>招标文件的商务条款要求</w:t>
            </w:r>
          </w:p>
        </w:tc>
        <w:tc>
          <w:tcPr>
            <w:tcW w:w="6282" w:type="dxa"/>
            <w:vAlign w:val="center"/>
          </w:tcPr>
          <w:p w14:paraId="352B654B">
            <w:pPr>
              <w:jc w:val="center"/>
              <w:rPr>
                <w:rFonts w:hint="eastAsia" w:ascii="宋体" w:hAnsi="宋体" w:cs="宋体"/>
                <w:color w:val="auto"/>
                <w:highlight w:val="none"/>
              </w:rPr>
            </w:pPr>
            <w:r>
              <w:rPr>
                <w:rFonts w:hint="eastAsia" w:ascii="宋体" w:hAnsi="宋体" w:cs="宋体"/>
                <w:color w:val="auto"/>
                <w:highlight w:val="none"/>
              </w:rPr>
              <w:t>投标文件的商务条款</w:t>
            </w:r>
          </w:p>
        </w:tc>
      </w:tr>
      <w:tr w14:paraId="235CE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48D91E89">
            <w:pPr>
              <w:jc w:val="center"/>
              <w:rPr>
                <w:rFonts w:hint="eastAsia" w:ascii="宋体" w:hAnsi="宋体" w:cs="宋体"/>
                <w:color w:val="auto"/>
                <w:highlight w:val="none"/>
              </w:rPr>
            </w:pPr>
          </w:p>
        </w:tc>
        <w:tc>
          <w:tcPr>
            <w:tcW w:w="6580" w:type="dxa"/>
            <w:vAlign w:val="center"/>
          </w:tcPr>
          <w:p w14:paraId="1328B75C">
            <w:pPr>
              <w:jc w:val="center"/>
              <w:rPr>
                <w:rFonts w:hint="eastAsia" w:ascii="宋体" w:hAnsi="宋体" w:cs="宋体"/>
                <w:color w:val="auto"/>
                <w:highlight w:val="none"/>
              </w:rPr>
            </w:pPr>
          </w:p>
        </w:tc>
        <w:tc>
          <w:tcPr>
            <w:tcW w:w="6282" w:type="dxa"/>
            <w:vAlign w:val="center"/>
          </w:tcPr>
          <w:p w14:paraId="3F5A6C1D">
            <w:pPr>
              <w:jc w:val="center"/>
              <w:rPr>
                <w:rFonts w:hint="eastAsia" w:ascii="宋体" w:hAnsi="宋体" w:cs="宋体"/>
                <w:color w:val="auto"/>
                <w:highlight w:val="none"/>
              </w:rPr>
            </w:pPr>
          </w:p>
        </w:tc>
      </w:tr>
      <w:tr w14:paraId="29C07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6A84BFEC">
            <w:pPr>
              <w:jc w:val="center"/>
              <w:rPr>
                <w:rFonts w:hint="eastAsia" w:ascii="宋体" w:hAnsi="宋体" w:cs="宋体"/>
                <w:color w:val="auto"/>
                <w:highlight w:val="none"/>
              </w:rPr>
            </w:pPr>
          </w:p>
        </w:tc>
        <w:tc>
          <w:tcPr>
            <w:tcW w:w="6580" w:type="dxa"/>
            <w:vAlign w:val="center"/>
          </w:tcPr>
          <w:p w14:paraId="6F1421E7">
            <w:pPr>
              <w:jc w:val="center"/>
              <w:rPr>
                <w:rFonts w:hint="eastAsia" w:ascii="宋体" w:hAnsi="宋体" w:cs="宋体"/>
                <w:color w:val="auto"/>
                <w:highlight w:val="none"/>
              </w:rPr>
            </w:pPr>
          </w:p>
        </w:tc>
        <w:tc>
          <w:tcPr>
            <w:tcW w:w="6282" w:type="dxa"/>
            <w:vAlign w:val="center"/>
          </w:tcPr>
          <w:p w14:paraId="7ED460B2">
            <w:pPr>
              <w:jc w:val="center"/>
              <w:rPr>
                <w:rFonts w:hint="eastAsia" w:ascii="宋体" w:hAnsi="宋体" w:cs="宋体"/>
                <w:color w:val="auto"/>
                <w:highlight w:val="none"/>
              </w:rPr>
            </w:pPr>
          </w:p>
        </w:tc>
      </w:tr>
      <w:tr w14:paraId="78859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76D73131">
            <w:pPr>
              <w:jc w:val="center"/>
              <w:rPr>
                <w:rFonts w:hint="eastAsia" w:ascii="宋体" w:hAnsi="宋体" w:cs="宋体"/>
                <w:color w:val="auto"/>
                <w:highlight w:val="none"/>
              </w:rPr>
            </w:pPr>
          </w:p>
        </w:tc>
        <w:tc>
          <w:tcPr>
            <w:tcW w:w="6580" w:type="dxa"/>
            <w:vAlign w:val="center"/>
          </w:tcPr>
          <w:p w14:paraId="027FC20A">
            <w:pPr>
              <w:jc w:val="center"/>
              <w:rPr>
                <w:rFonts w:hint="eastAsia" w:ascii="宋体" w:hAnsi="宋体" w:cs="宋体"/>
                <w:color w:val="auto"/>
                <w:highlight w:val="none"/>
              </w:rPr>
            </w:pPr>
          </w:p>
        </w:tc>
        <w:tc>
          <w:tcPr>
            <w:tcW w:w="6282" w:type="dxa"/>
            <w:vAlign w:val="center"/>
          </w:tcPr>
          <w:p w14:paraId="11CA862A">
            <w:pPr>
              <w:jc w:val="center"/>
              <w:rPr>
                <w:rFonts w:hint="eastAsia" w:ascii="宋体" w:hAnsi="宋体" w:cs="宋体"/>
                <w:color w:val="auto"/>
                <w:highlight w:val="none"/>
              </w:rPr>
            </w:pPr>
          </w:p>
        </w:tc>
      </w:tr>
    </w:tbl>
    <w:p w14:paraId="65BB2667">
      <w:pPr>
        <w:spacing w:line="360" w:lineRule="auto"/>
        <w:ind w:firstLine="2" w:firstLineChars="1"/>
        <w:rPr>
          <w:rFonts w:hint="eastAsia" w:ascii="宋体" w:hAnsi="宋体" w:cs="宋体"/>
          <w:color w:val="auto"/>
          <w:highlight w:val="none"/>
        </w:rPr>
      </w:pPr>
      <w:r>
        <w:rPr>
          <w:rFonts w:hint="eastAsia" w:ascii="宋体" w:hAnsi="宋体" w:cs="宋体"/>
          <w:color w:val="auto"/>
          <w:highlight w:val="none"/>
        </w:rPr>
        <w:t>投标人：（盖单位公章）</w:t>
      </w:r>
    </w:p>
    <w:p w14:paraId="1EEDFB5D">
      <w:pPr>
        <w:spacing w:line="360" w:lineRule="auto"/>
        <w:ind w:firstLine="2" w:firstLineChars="1"/>
        <w:rPr>
          <w:rFonts w:hint="eastAsia" w:ascii="宋体" w:hAnsi="宋体" w:cs="宋体"/>
          <w:color w:val="auto"/>
          <w:highlight w:val="none"/>
        </w:rPr>
      </w:pPr>
      <w:r>
        <w:rPr>
          <w:rFonts w:hint="eastAsia" w:ascii="宋体" w:hAnsi="宋体" w:cs="宋体"/>
          <w:color w:val="auto"/>
          <w:highlight w:val="none"/>
        </w:rPr>
        <w:t>法定代表人或委托代理人：（签名或盖章）</w:t>
      </w:r>
    </w:p>
    <w:p w14:paraId="21DDAC27">
      <w:pPr>
        <w:spacing w:line="360" w:lineRule="auto"/>
        <w:ind w:firstLine="2" w:firstLineChars="1"/>
        <w:rPr>
          <w:rFonts w:hint="eastAsia" w:ascii="宋体" w:hAnsi="宋体" w:cs="宋体"/>
          <w:color w:val="auto"/>
          <w:highlight w:val="none"/>
        </w:rPr>
      </w:pPr>
      <w:r>
        <w:rPr>
          <w:rFonts w:hint="eastAsia" w:ascii="宋体" w:hAnsi="宋体" w:cs="宋体"/>
          <w:color w:val="auto"/>
          <w:highlight w:val="none"/>
        </w:rPr>
        <w:t>年   月   日</w:t>
      </w:r>
    </w:p>
    <w:p w14:paraId="6DC76059">
      <w:pPr>
        <w:pStyle w:val="16"/>
        <w:spacing w:line="360" w:lineRule="auto"/>
        <w:rPr>
          <w:rFonts w:hint="eastAsia" w:hAnsi="宋体" w:cs="宋体"/>
          <w:b/>
          <w:color w:val="auto"/>
          <w:szCs w:val="24"/>
          <w:highlight w:val="none"/>
        </w:rPr>
      </w:pPr>
    </w:p>
    <w:p w14:paraId="3C9EBC3B">
      <w:pPr>
        <w:pStyle w:val="16"/>
        <w:spacing w:line="360" w:lineRule="auto"/>
        <w:rPr>
          <w:rFonts w:hint="eastAsia" w:hAnsi="宋体" w:cs="宋体"/>
          <w:b/>
          <w:color w:val="auto"/>
          <w:szCs w:val="24"/>
          <w:highlight w:val="none"/>
        </w:rPr>
      </w:pPr>
      <w:r>
        <w:rPr>
          <w:rFonts w:hint="eastAsia" w:hAnsi="宋体" w:cs="宋体"/>
          <w:b/>
          <w:color w:val="auto"/>
          <w:szCs w:val="24"/>
          <w:highlight w:val="none"/>
        </w:rPr>
        <w:t>表格填写说明：</w:t>
      </w:r>
    </w:p>
    <w:p w14:paraId="1F09E8CE">
      <w:pPr>
        <w:pStyle w:val="16"/>
        <w:spacing w:line="360" w:lineRule="auto"/>
        <w:rPr>
          <w:rFonts w:hint="eastAsia" w:hAnsi="宋体" w:cs="宋体"/>
          <w:color w:val="auto"/>
          <w:szCs w:val="21"/>
          <w:highlight w:val="none"/>
        </w:rPr>
      </w:pPr>
      <w:r>
        <w:rPr>
          <w:rFonts w:hint="eastAsia" w:hAnsi="宋体" w:cs="宋体"/>
          <w:color w:val="auto"/>
          <w:szCs w:val="24"/>
          <w:highlight w:val="none"/>
        </w:rPr>
        <w:t>1、投标人根据应根据实际投标情况，填写本表格，若无偏离，则勾选A项，签字盖章即可。若有偏离，则勾选B项，按表格要求及实际情况填写后，签字盖章。表格中只需填写有</w:t>
      </w:r>
      <w:r>
        <w:rPr>
          <w:rFonts w:hint="eastAsia" w:hAnsi="宋体" w:cs="宋体"/>
          <w:color w:val="auto"/>
          <w:szCs w:val="21"/>
          <w:highlight w:val="none"/>
        </w:rPr>
        <w:t>“偏离”部分，“无偏离”部分不用填写。</w:t>
      </w:r>
    </w:p>
    <w:p w14:paraId="459BA302">
      <w:pPr>
        <w:pStyle w:val="16"/>
        <w:spacing w:line="360" w:lineRule="auto"/>
        <w:rPr>
          <w:rFonts w:hint="eastAsia" w:hAnsi="宋体" w:cs="宋体"/>
          <w:color w:val="auto"/>
          <w:szCs w:val="21"/>
          <w:highlight w:val="none"/>
        </w:rPr>
      </w:pPr>
      <w:r>
        <w:rPr>
          <w:rFonts w:hint="eastAsia" w:hAnsi="宋体" w:cs="宋体"/>
          <w:b/>
          <w:bCs/>
          <w:color w:val="auto"/>
          <w:szCs w:val="21"/>
          <w:highlight w:val="none"/>
        </w:rPr>
        <w:t>填表示例(有偏离情况的)</w:t>
      </w:r>
      <w:r>
        <w:rPr>
          <w:rFonts w:hint="eastAsia" w:hAnsi="宋体" w:cs="宋体"/>
          <w:color w:val="auto"/>
          <w:szCs w:val="21"/>
          <w:highlight w:val="none"/>
        </w:rPr>
        <w:t>：</w:t>
      </w:r>
    </w:p>
    <w:p w14:paraId="1386E810">
      <w:pPr>
        <w:spacing w:line="360" w:lineRule="auto"/>
        <w:rPr>
          <w:rFonts w:hint="eastAsia" w:ascii="宋体" w:hAnsi="宋体" w:cs="宋体"/>
          <w:color w:val="auto"/>
          <w:highlight w:val="none"/>
        </w:rPr>
      </w:pPr>
      <w:r>
        <w:rPr>
          <w:rFonts w:hint="eastAsia" w:ascii="宋体" w:hAnsi="宋体" w:cs="宋体"/>
          <w:color w:val="auto"/>
          <w:highlight w:val="none"/>
        </w:rPr>
        <w:t>A、</w:t>
      </w:r>
      <w:r>
        <w:rPr>
          <w:rFonts w:hint="eastAsia" w:ascii="宋体" w:hAnsi="宋体" w:cs="宋体"/>
          <w:color w:val="auto"/>
          <w:highlight w:val="none"/>
        </w:rPr>
        <w:fldChar w:fldCharType="begin"/>
      </w:r>
      <w:r>
        <w:rPr>
          <w:rFonts w:hint="eastAsia" w:ascii="宋体" w:hAnsi="宋体" w:cs="宋体"/>
          <w:color w:val="auto"/>
          <w:highlight w:val="none"/>
        </w:rPr>
        <w:instrText xml:space="preserve"> eq \o\ac(□,</w:instrText>
      </w:r>
      <w:r>
        <w:rPr>
          <w:rFonts w:hint="eastAsia" w:ascii="宋体" w:hAnsi="宋体" w:cs="宋体"/>
          <w:color w:val="auto"/>
          <w:position w:val="2"/>
          <w:sz w:val="13"/>
          <w:highlight w:val="none"/>
        </w:rPr>
        <w:instrText xml:space="preserve">×</w:instrText>
      </w:r>
      <w:r>
        <w:rPr>
          <w:rFonts w:hint="eastAsia" w:ascii="宋体" w:hAnsi="宋体" w:cs="宋体"/>
          <w:color w:val="auto"/>
          <w:highlight w:val="none"/>
        </w:rPr>
        <w:instrText xml:space="preserve">)</w:instrText>
      </w:r>
      <w:r>
        <w:rPr>
          <w:rFonts w:hint="eastAsia" w:ascii="宋体" w:hAnsi="宋体" w:cs="宋体"/>
          <w:color w:val="auto"/>
          <w:highlight w:val="none"/>
        </w:rPr>
        <w:fldChar w:fldCharType="end"/>
      </w:r>
      <w:r>
        <w:rPr>
          <w:rFonts w:hint="eastAsia" w:ascii="宋体" w:hAnsi="宋体" w:cs="宋体"/>
          <w:color w:val="auto"/>
          <w:highlight w:val="none"/>
        </w:rPr>
        <w:t>我公司已详细阅读招标文件中各项商务要求，所有商务要求均无偏离，中标后我公司将严格遵照执行。</w:t>
      </w:r>
    </w:p>
    <w:p w14:paraId="2F595889">
      <w:pPr>
        <w:spacing w:line="360" w:lineRule="auto"/>
        <w:rPr>
          <w:rFonts w:hint="eastAsia" w:ascii="宋体" w:hAnsi="宋体" w:cs="宋体"/>
          <w:color w:val="auto"/>
          <w:highlight w:val="none"/>
        </w:rPr>
      </w:pPr>
      <w:r>
        <w:rPr>
          <w:rFonts w:hint="eastAsia" w:ascii="宋体" w:hAnsi="宋体" w:cs="宋体"/>
          <w:color w:val="auto"/>
          <w:highlight w:val="none"/>
        </w:rPr>
        <w:t>B、</w:t>
      </w:r>
      <w:r>
        <w:rPr>
          <w:rFonts w:hint="eastAsia" w:ascii="宋体" w:hAnsi="宋体" w:cs="宋体"/>
          <w:color w:val="auto"/>
          <w:highlight w:val="none"/>
        </w:rPr>
        <w:fldChar w:fldCharType="begin"/>
      </w:r>
      <w:r>
        <w:rPr>
          <w:rFonts w:hint="eastAsia" w:ascii="宋体" w:hAnsi="宋体" w:cs="宋体"/>
          <w:color w:val="auto"/>
          <w:highlight w:val="none"/>
        </w:rPr>
        <w:instrText xml:space="preserve"> eq \o\ac(□,</w:instrText>
      </w:r>
      <w:r>
        <w:rPr>
          <w:rFonts w:hint="eastAsia" w:ascii="宋体" w:hAnsi="宋体" w:cs="宋体"/>
          <w:color w:val="auto"/>
          <w:position w:val="2"/>
          <w:sz w:val="13"/>
          <w:highlight w:val="none"/>
        </w:rPr>
        <w:instrText xml:space="preserve">√</w:instrText>
      </w:r>
      <w:r>
        <w:rPr>
          <w:rFonts w:hint="eastAsia" w:ascii="宋体" w:hAnsi="宋体" w:cs="宋体"/>
          <w:color w:val="auto"/>
          <w:highlight w:val="none"/>
        </w:rPr>
        <w:instrText xml:space="preserve">)</w:instrText>
      </w:r>
      <w:r>
        <w:rPr>
          <w:rFonts w:hint="eastAsia" w:ascii="宋体" w:hAnsi="宋体" w:cs="宋体"/>
          <w:color w:val="auto"/>
          <w:highlight w:val="none"/>
        </w:rPr>
        <w:fldChar w:fldCharType="end"/>
      </w:r>
      <w:r>
        <w:rPr>
          <w:rFonts w:hint="eastAsia" w:ascii="宋体" w:hAnsi="宋体" w:cs="宋体"/>
          <w:color w:val="auto"/>
          <w:highlight w:val="none"/>
        </w:rPr>
        <w:t>我公司已详细阅读招标文件中各项商务要求，除下述条款有偏离外，其余条款我公司均予以认可，中标后将严格遵照执行。</w:t>
      </w:r>
    </w:p>
    <w:tbl>
      <w:tblPr>
        <w:tblStyle w:val="33"/>
        <w:tblW w:w="13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7122"/>
        <w:gridCol w:w="5931"/>
      </w:tblGrid>
      <w:tr w14:paraId="32963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6BA8EE33">
            <w:pPr>
              <w:jc w:val="center"/>
              <w:rPr>
                <w:rFonts w:hint="eastAsia" w:ascii="宋体" w:hAnsi="宋体" w:cs="宋体"/>
                <w:color w:val="auto"/>
                <w:highlight w:val="none"/>
              </w:rPr>
            </w:pPr>
            <w:r>
              <w:rPr>
                <w:rFonts w:hint="eastAsia" w:ascii="宋体" w:hAnsi="宋体" w:cs="宋体"/>
                <w:color w:val="auto"/>
                <w:highlight w:val="none"/>
              </w:rPr>
              <w:t>序号</w:t>
            </w:r>
          </w:p>
        </w:tc>
        <w:tc>
          <w:tcPr>
            <w:tcW w:w="7122" w:type="dxa"/>
            <w:vAlign w:val="center"/>
          </w:tcPr>
          <w:p w14:paraId="5BD26914">
            <w:pPr>
              <w:jc w:val="center"/>
              <w:rPr>
                <w:rFonts w:hint="eastAsia" w:ascii="宋体" w:hAnsi="宋体" w:cs="宋体"/>
                <w:color w:val="auto"/>
                <w:highlight w:val="none"/>
              </w:rPr>
            </w:pPr>
            <w:r>
              <w:rPr>
                <w:rFonts w:hint="eastAsia" w:ascii="宋体" w:hAnsi="宋体" w:cs="宋体"/>
                <w:color w:val="auto"/>
                <w:highlight w:val="none"/>
              </w:rPr>
              <w:t>招标文件的商务条款要求</w:t>
            </w:r>
          </w:p>
        </w:tc>
        <w:tc>
          <w:tcPr>
            <w:tcW w:w="5931" w:type="dxa"/>
            <w:vAlign w:val="center"/>
          </w:tcPr>
          <w:p w14:paraId="1EC8B0CB">
            <w:pPr>
              <w:jc w:val="center"/>
              <w:rPr>
                <w:rFonts w:hint="eastAsia" w:ascii="宋体" w:hAnsi="宋体" w:cs="宋体"/>
                <w:color w:val="auto"/>
                <w:highlight w:val="none"/>
              </w:rPr>
            </w:pPr>
            <w:r>
              <w:rPr>
                <w:rFonts w:hint="eastAsia" w:ascii="宋体" w:hAnsi="宋体" w:cs="宋体"/>
                <w:color w:val="auto"/>
                <w:highlight w:val="none"/>
              </w:rPr>
              <w:t>投标文件的商务条款</w:t>
            </w:r>
          </w:p>
        </w:tc>
      </w:tr>
      <w:tr w14:paraId="78A07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39C089CD">
            <w:pPr>
              <w:jc w:val="center"/>
              <w:rPr>
                <w:rFonts w:hint="eastAsia" w:ascii="宋体" w:hAnsi="宋体" w:cs="宋体"/>
                <w:color w:val="auto"/>
                <w:sz w:val="22"/>
                <w:highlight w:val="none"/>
              </w:rPr>
            </w:pPr>
            <w:r>
              <w:rPr>
                <w:rFonts w:hint="eastAsia" w:ascii="宋体" w:hAnsi="宋体" w:cs="宋体"/>
                <w:color w:val="auto"/>
                <w:sz w:val="22"/>
                <w:highlight w:val="none"/>
              </w:rPr>
              <w:t>1</w:t>
            </w:r>
          </w:p>
        </w:tc>
        <w:tc>
          <w:tcPr>
            <w:tcW w:w="7122" w:type="dxa"/>
            <w:vAlign w:val="center"/>
          </w:tcPr>
          <w:p w14:paraId="4805DDCF">
            <w:pPr>
              <w:rPr>
                <w:rFonts w:hint="eastAsia" w:ascii="宋体" w:hAnsi="宋体" w:cs="宋体"/>
                <w:color w:val="auto"/>
                <w:sz w:val="22"/>
                <w:szCs w:val="21"/>
                <w:highlight w:val="none"/>
              </w:rPr>
            </w:pPr>
            <w:r>
              <w:rPr>
                <w:rFonts w:hint="eastAsia" w:ascii="宋体" w:hAnsi="宋体" w:cs="宋体"/>
                <w:color w:val="auto"/>
                <w:sz w:val="22"/>
                <w:szCs w:val="21"/>
                <w:highlight w:val="none"/>
              </w:rPr>
              <w:t>P25、合同条款前附表。第2条。付款方式：设备到货后，安装、调试、验收合格后一次性支付合同总价的95%，设备使用三个月后无质量问题，运行正常，支付5%余款。</w:t>
            </w:r>
          </w:p>
        </w:tc>
        <w:tc>
          <w:tcPr>
            <w:tcW w:w="5931" w:type="dxa"/>
            <w:vAlign w:val="center"/>
          </w:tcPr>
          <w:p w14:paraId="601EBEA8">
            <w:pPr>
              <w:rPr>
                <w:rFonts w:hint="eastAsia" w:ascii="宋体" w:hAnsi="宋体" w:cs="宋体"/>
                <w:color w:val="auto"/>
                <w:sz w:val="22"/>
                <w:highlight w:val="none"/>
              </w:rPr>
            </w:pPr>
            <w:r>
              <w:rPr>
                <w:rFonts w:hint="eastAsia" w:ascii="宋体" w:hAnsi="宋体" w:cs="宋体"/>
                <w:color w:val="auto"/>
                <w:sz w:val="22"/>
                <w:szCs w:val="21"/>
                <w:highlight w:val="none"/>
              </w:rPr>
              <w:t>付款方式：设备到货后，安装、调试、验收合格后一次性支付合同总价的97%，设备使用三个月后无质量问题，运行正常，支付3%余款。</w:t>
            </w:r>
          </w:p>
        </w:tc>
      </w:tr>
      <w:tr w14:paraId="0FB7A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53" w:type="dxa"/>
            <w:vAlign w:val="center"/>
          </w:tcPr>
          <w:p w14:paraId="3A71BF5C">
            <w:pPr>
              <w:jc w:val="center"/>
              <w:rPr>
                <w:rFonts w:hint="eastAsia" w:ascii="宋体" w:hAnsi="宋体" w:cs="宋体"/>
                <w:color w:val="auto"/>
                <w:sz w:val="22"/>
                <w:highlight w:val="none"/>
              </w:rPr>
            </w:pPr>
            <w:r>
              <w:rPr>
                <w:rFonts w:hint="eastAsia" w:ascii="宋体" w:hAnsi="宋体" w:cs="宋体"/>
                <w:color w:val="auto"/>
                <w:sz w:val="22"/>
                <w:highlight w:val="none"/>
              </w:rPr>
              <w:t>2</w:t>
            </w:r>
          </w:p>
        </w:tc>
        <w:tc>
          <w:tcPr>
            <w:tcW w:w="7122" w:type="dxa"/>
            <w:vAlign w:val="center"/>
          </w:tcPr>
          <w:p w14:paraId="29D0ADA4">
            <w:pPr>
              <w:rPr>
                <w:rFonts w:hint="eastAsia" w:ascii="宋体" w:hAnsi="宋体" w:cs="宋体"/>
                <w:color w:val="auto"/>
                <w:sz w:val="22"/>
                <w:highlight w:val="none"/>
              </w:rPr>
            </w:pPr>
            <w:r>
              <w:rPr>
                <w:rFonts w:hint="eastAsia" w:ascii="宋体" w:hAnsi="宋体" w:cs="宋体"/>
                <w:color w:val="auto"/>
                <w:sz w:val="22"/>
                <w:szCs w:val="21"/>
                <w:highlight w:val="none"/>
              </w:rPr>
              <w:t>P25、合同条款前附表。第1条。服务期：签订合同后30天内到货并完成验收；</w:t>
            </w:r>
          </w:p>
        </w:tc>
        <w:tc>
          <w:tcPr>
            <w:tcW w:w="5931" w:type="dxa"/>
            <w:vAlign w:val="center"/>
          </w:tcPr>
          <w:p w14:paraId="3C5EAB44">
            <w:pPr>
              <w:rPr>
                <w:rFonts w:hint="eastAsia" w:ascii="宋体" w:hAnsi="宋体" w:cs="宋体"/>
                <w:color w:val="auto"/>
                <w:sz w:val="22"/>
                <w:szCs w:val="21"/>
                <w:highlight w:val="none"/>
              </w:rPr>
            </w:pPr>
            <w:r>
              <w:rPr>
                <w:rFonts w:hint="eastAsia" w:ascii="宋体" w:hAnsi="宋体" w:cs="宋体"/>
                <w:color w:val="auto"/>
                <w:sz w:val="22"/>
                <w:szCs w:val="21"/>
                <w:highlight w:val="none"/>
              </w:rPr>
              <w:t>服务期：签订合同后20天内到货并完成验收；</w:t>
            </w:r>
          </w:p>
        </w:tc>
      </w:tr>
    </w:tbl>
    <w:p w14:paraId="413071EA">
      <w:pPr>
        <w:pStyle w:val="16"/>
        <w:spacing w:line="360" w:lineRule="auto"/>
        <w:rPr>
          <w:rFonts w:hint="eastAsia" w:hAnsi="宋体" w:cs="宋体"/>
          <w:color w:val="auto"/>
          <w:szCs w:val="24"/>
          <w:highlight w:val="none"/>
        </w:rPr>
      </w:pPr>
      <w:r>
        <w:rPr>
          <w:rFonts w:hint="eastAsia" w:hAnsi="宋体" w:cs="宋体"/>
          <w:color w:val="auto"/>
          <w:szCs w:val="24"/>
          <w:highlight w:val="none"/>
        </w:rPr>
        <w:t>2、表格中“招标文件的商务条款要求”在填写时应注明该条款在招标文件的页码及条款号。</w:t>
      </w:r>
    </w:p>
    <w:p w14:paraId="5F58FBE2">
      <w:pPr>
        <w:pStyle w:val="16"/>
        <w:spacing w:line="360" w:lineRule="auto"/>
        <w:rPr>
          <w:rFonts w:hint="eastAsia" w:hAnsi="宋体" w:cs="宋体"/>
          <w:color w:val="auto"/>
          <w:szCs w:val="21"/>
          <w:highlight w:val="none"/>
        </w:rPr>
      </w:pPr>
      <w:r>
        <w:rPr>
          <w:rFonts w:hint="eastAsia" w:hAnsi="宋体" w:cs="宋体"/>
          <w:color w:val="auto"/>
          <w:szCs w:val="24"/>
          <w:highlight w:val="none"/>
        </w:rPr>
        <w:t>3、表格中“投标文件的商务条款”请投标人根据实际投标情况如实、完整、准确的填写。</w:t>
      </w:r>
    </w:p>
    <w:p w14:paraId="34444612">
      <w:pPr>
        <w:rPr>
          <w:rFonts w:hint="eastAsia" w:hAnsi="宋体" w:cs="宋体"/>
          <w:b/>
          <w:color w:val="auto"/>
          <w:highlight w:val="none"/>
        </w:rPr>
        <w:sectPr>
          <w:pgSz w:w="16838" w:h="11906" w:orient="landscape"/>
          <w:pgMar w:top="1418" w:right="1418" w:bottom="1134" w:left="1134" w:header="935" w:footer="720" w:gutter="0"/>
          <w:cols w:space="720" w:num="1"/>
          <w:rtlGutter w:val="1"/>
          <w:docGrid w:type="linesAndChars" w:linePitch="331" w:charSpace="0"/>
        </w:sectPr>
      </w:pPr>
      <w:r>
        <w:rPr>
          <w:rFonts w:hint="eastAsia" w:hAnsi="宋体" w:cs="宋体"/>
          <w:color w:val="auto"/>
          <w:highlight w:val="none"/>
        </w:rPr>
        <w:t>5、</w:t>
      </w:r>
      <w:r>
        <w:rPr>
          <w:rFonts w:hint="eastAsia" w:hAnsi="宋体" w:cs="宋体"/>
          <w:b/>
          <w:color w:val="auto"/>
          <w:highlight w:val="none"/>
        </w:rPr>
        <w:t>本表格中内容与投标文件其余部分不一致的，以本表格为准。</w:t>
      </w:r>
    </w:p>
    <w:p w14:paraId="15E9F37C">
      <w:pPr>
        <w:pStyle w:val="4"/>
        <w:keepNext/>
        <w:numPr>
          <w:ilvl w:val="0"/>
          <w:numId w:val="0"/>
        </w:numPr>
        <w:tabs>
          <w:tab w:val="left" w:pos="1021"/>
          <w:tab w:val="clear" w:pos="360"/>
          <w:tab w:val="clear" w:pos="900"/>
          <w:tab w:val="clear" w:pos="1588"/>
        </w:tabs>
        <w:spacing w:before="0"/>
        <w:rPr>
          <w:rFonts w:hint="eastAsia" w:ascii="宋体" w:hAnsi="宋体" w:eastAsia="宋体" w:cs="宋体"/>
          <w:color w:val="auto"/>
          <w:szCs w:val="28"/>
          <w:highlight w:val="none"/>
        </w:rPr>
      </w:pPr>
      <w:bookmarkStart w:id="338" w:name="_Toc29475"/>
      <w:bookmarkStart w:id="339" w:name="_Toc9555"/>
      <w:bookmarkStart w:id="340" w:name="_Toc22928"/>
      <w:bookmarkStart w:id="341" w:name="_Toc25104"/>
      <w:bookmarkStart w:id="342" w:name="_Toc24514"/>
      <w:bookmarkStart w:id="343" w:name="_Toc8297"/>
      <w:bookmarkStart w:id="344" w:name="_Toc10480"/>
      <w:bookmarkStart w:id="345" w:name="_Toc11262"/>
      <w:r>
        <w:rPr>
          <w:rFonts w:hint="eastAsia" w:ascii="宋体" w:hAnsi="宋体" w:eastAsia="宋体" w:cs="宋体"/>
          <w:color w:val="auto"/>
          <w:szCs w:val="28"/>
          <w:highlight w:val="none"/>
        </w:rPr>
        <w:t>格式9：</w:t>
      </w:r>
      <w:bookmarkEnd w:id="338"/>
      <w:bookmarkEnd w:id="339"/>
      <w:bookmarkEnd w:id="340"/>
      <w:bookmarkEnd w:id="341"/>
      <w:r>
        <w:rPr>
          <w:rFonts w:hint="eastAsia" w:ascii="宋体" w:hAnsi="宋体" w:eastAsia="宋体" w:cs="宋体"/>
          <w:color w:val="auto"/>
          <w:szCs w:val="28"/>
          <w:highlight w:val="none"/>
        </w:rPr>
        <w:t>服务需求偏离表</w:t>
      </w:r>
      <w:bookmarkEnd w:id="342"/>
      <w:bookmarkEnd w:id="343"/>
      <w:bookmarkEnd w:id="344"/>
      <w:bookmarkEnd w:id="345"/>
    </w:p>
    <w:p w14:paraId="7C4086E2">
      <w:pPr>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服务需求偏离表</w:t>
      </w:r>
    </w:p>
    <w:p w14:paraId="3800340E">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投标人应按所能提供的各种服务，逐条对应招标文件的第五章“</w:t>
      </w:r>
      <w:r>
        <w:rPr>
          <w:rFonts w:hint="eastAsia" w:ascii="宋体" w:hAnsi="宋体" w:cs="宋体"/>
          <w:b/>
          <w:color w:val="auto"/>
          <w:highlight w:val="none"/>
        </w:rPr>
        <w:t>服务需求</w:t>
      </w:r>
      <w:r>
        <w:rPr>
          <w:rFonts w:hint="eastAsia" w:ascii="宋体" w:hAnsi="宋体" w:cs="宋体"/>
          <w:color w:val="auto"/>
          <w:highlight w:val="none"/>
        </w:rPr>
        <w:t>”中要求的服务规范如实、完整、准确的填写该表。</w:t>
      </w:r>
    </w:p>
    <w:p w14:paraId="23923B49">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w:t>
      </w:r>
      <w:r>
        <w:rPr>
          <w:rFonts w:hint="eastAsia" w:ascii="宋体" w:hAnsi="宋体" w:cs="宋体"/>
          <w:b/>
          <w:color w:val="auto"/>
          <w:highlight w:val="none"/>
        </w:rPr>
        <w:t>本表格将作为评标委员会对投标人技术部分的评审依据，未填写本表格的投标人将不能通过符合性审查。</w:t>
      </w:r>
    </w:p>
    <w:tbl>
      <w:tblPr>
        <w:tblStyle w:val="33"/>
        <w:tblW w:w="14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526"/>
        <w:gridCol w:w="4634"/>
        <w:gridCol w:w="3762"/>
        <w:gridCol w:w="1144"/>
        <w:gridCol w:w="3084"/>
      </w:tblGrid>
      <w:tr w14:paraId="2E46F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4925" w:type="dxa"/>
            <w:gridSpan w:val="6"/>
            <w:vAlign w:val="center"/>
          </w:tcPr>
          <w:p w14:paraId="635D5693">
            <w:pPr>
              <w:spacing w:line="360" w:lineRule="auto"/>
              <w:rPr>
                <w:rFonts w:hint="eastAsia" w:ascii="宋体" w:hAnsi="宋体" w:cs="宋体"/>
                <w:color w:val="auto"/>
                <w:highlight w:val="none"/>
              </w:rPr>
            </w:pPr>
            <w:r>
              <w:rPr>
                <w:rFonts w:hint="eastAsia" w:ascii="宋体" w:hAnsi="宋体" w:cs="宋体"/>
                <w:color w:val="auto"/>
                <w:highlight w:val="none"/>
              </w:rPr>
              <w:t>项目名称：</w:t>
            </w:r>
            <w:r>
              <w:rPr>
                <w:rFonts w:hint="eastAsia" w:ascii="宋体" w:hAnsi="宋体" w:cs="宋体"/>
                <w:color w:val="auto"/>
                <w:highlight w:val="none"/>
                <w:lang w:eastAsia="zh-CN"/>
              </w:rPr>
              <w:t>云南技师学院（云南工贸职业技术学院）2026-2029年物业服务项目采购</w:t>
            </w:r>
            <w:r>
              <w:rPr>
                <w:rFonts w:hint="eastAsia" w:ascii="宋体" w:hAnsi="宋体" w:cs="宋体"/>
                <w:color w:val="auto"/>
                <w:highlight w:val="none"/>
              </w:rPr>
              <w:t xml:space="preserve">                       </w:t>
            </w:r>
          </w:p>
          <w:p w14:paraId="09037297">
            <w:pPr>
              <w:spacing w:line="360" w:lineRule="auto"/>
              <w:rPr>
                <w:rFonts w:hint="eastAsia" w:ascii="宋体" w:hAnsi="宋体" w:cs="宋体"/>
                <w:color w:val="auto"/>
                <w:highlight w:val="none"/>
              </w:rPr>
            </w:pPr>
            <w:r>
              <w:rPr>
                <w:rFonts w:hint="eastAsia" w:ascii="宋体" w:hAnsi="宋体" w:cs="宋体"/>
                <w:color w:val="auto"/>
                <w:highlight w:val="none"/>
              </w:rPr>
              <w:t>招标编号：</w:t>
            </w:r>
            <w:r>
              <w:rPr>
                <w:color w:val="auto"/>
                <w:highlight w:val="none"/>
              </w:rPr>
              <w:fldChar w:fldCharType="begin"/>
            </w:r>
            <w:r>
              <w:rPr>
                <w:color w:val="auto"/>
                <w:highlight w:val="none"/>
              </w:rPr>
              <w:instrText xml:space="preserve"> HYPERLINK "https://www.zcygov.cn/gaea/api/project/flow/redirect?projectId=7319696609837056049&amp;newUrl=https://www.zcygov.cn/micro-app-back-index/blank?_flow_type_=agency&amp;_flow_projectId_=7319696609837056049&amp;_jump_page_type_=project_procurement_management_flow&amp;_app_=zcy.procurement&amp;oldUrl=https://www.zcygov.cn/project-center/_procurement_/project-result-detail/7319696609837056049" \t "https://www.zcygov.cn/project-center/_procurement_/self-project/_blank" </w:instrText>
            </w:r>
            <w:r>
              <w:rPr>
                <w:color w:val="auto"/>
                <w:highlight w:val="none"/>
              </w:rPr>
              <w:fldChar w:fldCharType="separate"/>
            </w:r>
            <w:r>
              <w:rPr>
                <w:rFonts w:hint="eastAsia" w:ascii="宋体" w:hAnsi="宋体" w:cs="宋体"/>
                <w:color w:val="auto"/>
                <w:highlight w:val="none"/>
                <w:lang w:eastAsia="zh-CN"/>
              </w:rPr>
              <w:t>YNZC2026-G3-02247-YNSZ-0114</w:t>
            </w:r>
            <w:r>
              <w:rPr>
                <w:rFonts w:hint="eastAsia" w:ascii="宋体" w:hAnsi="宋体" w:cs="宋体"/>
                <w:color w:val="auto"/>
                <w:highlight w:val="none"/>
              </w:rPr>
              <w:fldChar w:fldCharType="end"/>
            </w:r>
          </w:p>
          <w:p w14:paraId="2E2B7381">
            <w:pPr>
              <w:spacing w:line="360" w:lineRule="auto"/>
              <w:rPr>
                <w:rFonts w:hint="eastAsia" w:ascii="宋体" w:hAnsi="宋体" w:cs="宋体"/>
                <w:color w:val="auto"/>
                <w:highlight w:val="none"/>
              </w:rPr>
            </w:pPr>
            <w:r>
              <w:rPr>
                <w:rFonts w:hint="eastAsia" w:ascii="宋体" w:hAnsi="宋体" w:cs="宋体"/>
                <w:color w:val="auto"/>
                <w:highlight w:val="none"/>
              </w:rPr>
              <w:t>A、□我公司已详细阅读招标文件中各项服务要求，所有服务要求均无偏离，中标后我公司将严格遵照执行。</w:t>
            </w:r>
          </w:p>
          <w:p w14:paraId="08E268F7">
            <w:pPr>
              <w:spacing w:line="360" w:lineRule="auto"/>
              <w:rPr>
                <w:rFonts w:hint="eastAsia" w:ascii="宋体" w:hAnsi="宋体" w:cs="宋体"/>
                <w:color w:val="auto"/>
                <w:highlight w:val="none"/>
              </w:rPr>
            </w:pPr>
            <w:r>
              <w:rPr>
                <w:rFonts w:hint="eastAsia" w:ascii="宋体" w:hAnsi="宋体" w:cs="宋体"/>
                <w:color w:val="auto"/>
                <w:highlight w:val="none"/>
              </w:rPr>
              <w:t>B、□我公司已详细阅读招标文件中各项服务要求，除下述条款有偏离外，其余条款我公司均予以认可，中标后将严格遵照执行。</w:t>
            </w:r>
          </w:p>
        </w:tc>
      </w:tr>
      <w:tr w14:paraId="0B579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6A084DF5">
            <w:pPr>
              <w:jc w:val="center"/>
              <w:rPr>
                <w:rFonts w:hint="eastAsia" w:ascii="宋体" w:hAnsi="宋体" w:cs="宋体"/>
                <w:color w:val="auto"/>
                <w:highlight w:val="none"/>
              </w:rPr>
            </w:pPr>
            <w:r>
              <w:rPr>
                <w:rFonts w:hint="eastAsia" w:ascii="宋体" w:hAnsi="宋体" w:cs="宋体"/>
                <w:color w:val="auto"/>
                <w:highlight w:val="none"/>
              </w:rPr>
              <w:t>序号</w:t>
            </w:r>
          </w:p>
        </w:tc>
        <w:tc>
          <w:tcPr>
            <w:tcW w:w="1526" w:type="dxa"/>
            <w:vAlign w:val="center"/>
          </w:tcPr>
          <w:p w14:paraId="392F3B29">
            <w:pPr>
              <w:jc w:val="center"/>
              <w:rPr>
                <w:rFonts w:hint="eastAsia" w:ascii="宋体" w:hAnsi="宋体" w:cs="宋体"/>
                <w:color w:val="auto"/>
                <w:highlight w:val="none"/>
              </w:rPr>
            </w:pPr>
            <w:r>
              <w:rPr>
                <w:rFonts w:hint="eastAsia" w:ascii="宋体" w:hAnsi="宋体" w:cs="宋体"/>
                <w:color w:val="auto"/>
                <w:highlight w:val="none"/>
              </w:rPr>
              <w:t>项目名称</w:t>
            </w:r>
          </w:p>
        </w:tc>
        <w:tc>
          <w:tcPr>
            <w:tcW w:w="4634" w:type="dxa"/>
            <w:vAlign w:val="center"/>
          </w:tcPr>
          <w:p w14:paraId="7846E92F">
            <w:pPr>
              <w:jc w:val="center"/>
              <w:rPr>
                <w:rFonts w:hint="eastAsia" w:ascii="宋体" w:hAnsi="宋体" w:cs="宋体"/>
                <w:color w:val="auto"/>
                <w:highlight w:val="none"/>
              </w:rPr>
            </w:pPr>
            <w:r>
              <w:rPr>
                <w:rFonts w:hint="eastAsia" w:ascii="宋体" w:hAnsi="宋体" w:cs="宋体"/>
                <w:color w:val="auto"/>
                <w:highlight w:val="none"/>
              </w:rPr>
              <w:t>招标文件服务规范、要求</w:t>
            </w:r>
          </w:p>
        </w:tc>
        <w:tc>
          <w:tcPr>
            <w:tcW w:w="3762" w:type="dxa"/>
            <w:vAlign w:val="center"/>
          </w:tcPr>
          <w:p w14:paraId="134554B1">
            <w:pPr>
              <w:jc w:val="center"/>
              <w:rPr>
                <w:rFonts w:hint="eastAsia" w:ascii="宋体" w:hAnsi="宋体" w:cs="宋体"/>
                <w:color w:val="auto"/>
                <w:highlight w:val="none"/>
              </w:rPr>
            </w:pPr>
            <w:r>
              <w:rPr>
                <w:rFonts w:hint="eastAsia" w:ascii="宋体" w:hAnsi="宋体" w:cs="宋体"/>
                <w:color w:val="auto"/>
                <w:highlight w:val="none"/>
              </w:rPr>
              <w:t>投标文件服务承诺</w:t>
            </w:r>
          </w:p>
        </w:tc>
        <w:tc>
          <w:tcPr>
            <w:tcW w:w="1144" w:type="dxa"/>
            <w:vAlign w:val="center"/>
          </w:tcPr>
          <w:p w14:paraId="0012D29E">
            <w:pPr>
              <w:jc w:val="center"/>
              <w:rPr>
                <w:rFonts w:hint="eastAsia" w:ascii="宋体" w:hAnsi="宋体" w:cs="宋体"/>
                <w:color w:val="auto"/>
                <w:highlight w:val="none"/>
              </w:rPr>
            </w:pPr>
            <w:r>
              <w:rPr>
                <w:rFonts w:hint="eastAsia" w:ascii="宋体" w:hAnsi="宋体" w:cs="宋体"/>
                <w:color w:val="auto"/>
                <w:highlight w:val="none"/>
              </w:rPr>
              <w:t>偏离</w:t>
            </w:r>
          </w:p>
        </w:tc>
        <w:tc>
          <w:tcPr>
            <w:tcW w:w="3084" w:type="dxa"/>
            <w:vAlign w:val="center"/>
          </w:tcPr>
          <w:p w14:paraId="13866725">
            <w:pPr>
              <w:jc w:val="center"/>
              <w:rPr>
                <w:rFonts w:hint="eastAsia" w:ascii="宋体" w:hAnsi="宋体" w:cs="宋体"/>
                <w:color w:val="auto"/>
                <w:highlight w:val="none"/>
              </w:rPr>
            </w:pPr>
            <w:r>
              <w:rPr>
                <w:rFonts w:hint="eastAsia" w:ascii="宋体" w:hAnsi="宋体" w:cs="宋体"/>
                <w:color w:val="auto"/>
                <w:highlight w:val="none"/>
              </w:rPr>
              <w:t>说明</w:t>
            </w:r>
          </w:p>
        </w:tc>
      </w:tr>
      <w:tr w14:paraId="5C3C9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42DE1574">
            <w:pPr>
              <w:jc w:val="center"/>
              <w:rPr>
                <w:rFonts w:hint="eastAsia" w:ascii="宋体" w:hAnsi="宋体" w:cs="宋体"/>
                <w:color w:val="auto"/>
                <w:highlight w:val="none"/>
              </w:rPr>
            </w:pPr>
          </w:p>
        </w:tc>
        <w:tc>
          <w:tcPr>
            <w:tcW w:w="1526" w:type="dxa"/>
            <w:vAlign w:val="center"/>
          </w:tcPr>
          <w:p w14:paraId="4DF8E142">
            <w:pPr>
              <w:jc w:val="center"/>
              <w:rPr>
                <w:rFonts w:hint="eastAsia" w:ascii="宋体" w:hAnsi="宋体" w:cs="宋体"/>
                <w:color w:val="auto"/>
                <w:highlight w:val="none"/>
              </w:rPr>
            </w:pPr>
          </w:p>
        </w:tc>
        <w:tc>
          <w:tcPr>
            <w:tcW w:w="4634" w:type="dxa"/>
            <w:vAlign w:val="center"/>
          </w:tcPr>
          <w:p w14:paraId="45144207">
            <w:pPr>
              <w:jc w:val="center"/>
              <w:rPr>
                <w:rFonts w:hint="eastAsia" w:ascii="宋体" w:hAnsi="宋体" w:cs="宋体"/>
                <w:color w:val="auto"/>
                <w:highlight w:val="none"/>
              </w:rPr>
            </w:pPr>
          </w:p>
        </w:tc>
        <w:tc>
          <w:tcPr>
            <w:tcW w:w="3762" w:type="dxa"/>
            <w:vAlign w:val="center"/>
          </w:tcPr>
          <w:p w14:paraId="464F915E">
            <w:pPr>
              <w:jc w:val="center"/>
              <w:rPr>
                <w:rFonts w:hint="eastAsia" w:ascii="宋体" w:hAnsi="宋体" w:cs="宋体"/>
                <w:color w:val="auto"/>
                <w:highlight w:val="none"/>
              </w:rPr>
            </w:pPr>
          </w:p>
        </w:tc>
        <w:tc>
          <w:tcPr>
            <w:tcW w:w="1144" w:type="dxa"/>
            <w:vAlign w:val="center"/>
          </w:tcPr>
          <w:p w14:paraId="4FF74535">
            <w:pPr>
              <w:jc w:val="center"/>
              <w:rPr>
                <w:rFonts w:hint="eastAsia" w:ascii="宋体" w:hAnsi="宋体" w:cs="宋体"/>
                <w:color w:val="auto"/>
                <w:highlight w:val="none"/>
              </w:rPr>
            </w:pPr>
          </w:p>
        </w:tc>
        <w:tc>
          <w:tcPr>
            <w:tcW w:w="3084" w:type="dxa"/>
            <w:vAlign w:val="center"/>
          </w:tcPr>
          <w:p w14:paraId="7D7B68C4">
            <w:pPr>
              <w:jc w:val="center"/>
              <w:rPr>
                <w:rFonts w:hint="eastAsia" w:ascii="宋体" w:hAnsi="宋体" w:cs="宋体"/>
                <w:color w:val="auto"/>
                <w:highlight w:val="none"/>
              </w:rPr>
            </w:pPr>
          </w:p>
        </w:tc>
      </w:tr>
      <w:tr w14:paraId="3B27F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1D0786CA">
            <w:pPr>
              <w:jc w:val="center"/>
              <w:rPr>
                <w:rFonts w:hint="eastAsia" w:ascii="宋体" w:hAnsi="宋体" w:cs="宋体"/>
                <w:color w:val="auto"/>
                <w:highlight w:val="none"/>
              </w:rPr>
            </w:pPr>
          </w:p>
        </w:tc>
        <w:tc>
          <w:tcPr>
            <w:tcW w:w="1526" w:type="dxa"/>
            <w:vAlign w:val="center"/>
          </w:tcPr>
          <w:p w14:paraId="49B30B90">
            <w:pPr>
              <w:jc w:val="center"/>
              <w:rPr>
                <w:rFonts w:hint="eastAsia" w:ascii="宋体" w:hAnsi="宋体" w:cs="宋体"/>
                <w:color w:val="auto"/>
                <w:highlight w:val="none"/>
              </w:rPr>
            </w:pPr>
          </w:p>
        </w:tc>
        <w:tc>
          <w:tcPr>
            <w:tcW w:w="4634" w:type="dxa"/>
            <w:vAlign w:val="center"/>
          </w:tcPr>
          <w:p w14:paraId="6A0EE3EA">
            <w:pPr>
              <w:jc w:val="center"/>
              <w:rPr>
                <w:rFonts w:hint="eastAsia" w:ascii="宋体" w:hAnsi="宋体" w:cs="宋体"/>
                <w:color w:val="auto"/>
                <w:highlight w:val="none"/>
              </w:rPr>
            </w:pPr>
          </w:p>
        </w:tc>
        <w:tc>
          <w:tcPr>
            <w:tcW w:w="3762" w:type="dxa"/>
            <w:vAlign w:val="center"/>
          </w:tcPr>
          <w:p w14:paraId="67BCF172">
            <w:pPr>
              <w:jc w:val="center"/>
              <w:rPr>
                <w:rFonts w:hint="eastAsia" w:ascii="宋体" w:hAnsi="宋体" w:cs="宋体"/>
                <w:color w:val="auto"/>
                <w:highlight w:val="none"/>
              </w:rPr>
            </w:pPr>
          </w:p>
        </w:tc>
        <w:tc>
          <w:tcPr>
            <w:tcW w:w="1144" w:type="dxa"/>
            <w:vAlign w:val="center"/>
          </w:tcPr>
          <w:p w14:paraId="132DBB50">
            <w:pPr>
              <w:jc w:val="center"/>
              <w:rPr>
                <w:rFonts w:hint="eastAsia" w:ascii="宋体" w:hAnsi="宋体" w:cs="宋体"/>
                <w:color w:val="auto"/>
                <w:highlight w:val="none"/>
              </w:rPr>
            </w:pPr>
          </w:p>
        </w:tc>
        <w:tc>
          <w:tcPr>
            <w:tcW w:w="3084" w:type="dxa"/>
            <w:vAlign w:val="center"/>
          </w:tcPr>
          <w:p w14:paraId="19B83536">
            <w:pPr>
              <w:jc w:val="center"/>
              <w:rPr>
                <w:rFonts w:hint="eastAsia" w:ascii="宋体" w:hAnsi="宋体" w:cs="宋体"/>
                <w:color w:val="auto"/>
                <w:highlight w:val="none"/>
              </w:rPr>
            </w:pPr>
          </w:p>
        </w:tc>
      </w:tr>
      <w:tr w14:paraId="539D9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65E9923F">
            <w:pPr>
              <w:jc w:val="center"/>
              <w:rPr>
                <w:rFonts w:hint="eastAsia" w:ascii="宋体" w:hAnsi="宋体" w:cs="宋体"/>
                <w:color w:val="auto"/>
                <w:highlight w:val="none"/>
              </w:rPr>
            </w:pPr>
          </w:p>
        </w:tc>
        <w:tc>
          <w:tcPr>
            <w:tcW w:w="1526" w:type="dxa"/>
            <w:vAlign w:val="center"/>
          </w:tcPr>
          <w:p w14:paraId="315A7410">
            <w:pPr>
              <w:jc w:val="center"/>
              <w:rPr>
                <w:rFonts w:hint="eastAsia" w:ascii="宋体" w:hAnsi="宋体" w:cs="宋体"/>
                <w:color w:val="auto"/>
                <w:highlight w:val="none"/>
              </w:rPr>
            </w:pPr>
          </w:p>
        </w:tc>
        <w:tc>
          <w:tcPr>
            <w:tcW w:w="4634" w:type="dxa"/>
            <w:vAlign w:val="center"/>
          </w:tcPr>
          <w:p w14:paraId="15FCC934">
            <w:pPr>
              <w:jc w:val="center"/>
              <w:rPr>
                <w:rFonts w:hint="eastAsia" w:ascii="宋体" w:hAnsi="宋体" w:cs="宋体"/>
                <w:color w:val="auto"/>
                <w:highlight w:val="none"/>
              </w:rPr>
            </w:pPr>
          </w:p>
        </w:tc>
        <w:tc>
          <w:tcPr>
            <w:tcW w:w="3762" w:type="dxa"/>
            <w:vAlign w:val="center"/>
          </w:tcPr>
          <w:p w14:paraId="2E8FAE17">
            <w:pPr>
              <w:jc w:val="center"/>
              <w:rPr>
                <w:rFonts w:hint="eastAsia" w:ascii="宋体" w:hAnsi="宋体" w:cs="宋体"/>
                <w:color w:val="auto"/>
                <w:highlight w:val="none"/>
              </w:rPr>
            </w:pPr>
          </w:p>
        </w:tc>
        <w:tc>
          <w:tcPr>
            <w:tcW w:w="1144" w:type="dxa"/>
            <w:vAlign w:val="center"/>
          </w:tcPr>
          <w:p w14:paraId="2FF3241F">
            <w:pPr>
              <w:jc w:val="center"/>
              <w:rPr>
                <w:rFonts w:hint="eastAsia" w:ascii="宋体" w:hAnsi="宋体" w:cs="宋体"/>
                <w:color w:val="auto"/>
                <w:highlight w:val="none"/>
              </w:rPr>
            </w:pPr>
          </w:p>
        </w:tc>
        <w:tc>
          <w:tcPr>
            <w:tcW w:w="3084" w:type="dxa"/>
            <w:vAlign w:val="center"/>
          </w:tcPr>
          <w:p w14:paraId="3FA93AB6">
            <w:pPr>
              <w:jc w:val="center"/>
              <w:rPr>
                <w:rFonts w:hint="eastAsia" w:ascii="宋体" w:hAnsi="宋体" w:cs="宋体"/>
                <w:color w:val="auto"/>
                <w:highlight w:val="none"/>
              </w:rPr>
            </w:pPr>
          </w:p>
        </w:tc>
      </w:tr>
      <w:tr w14:paraId="4BE45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775" w:type="dxa"/>
            <w:vAlign w:val="center"/>
          </w:tcPr>
          <w:p w14:paraId="3D2AADAF">
            <w:pPr>
              <w:jc w:val="center"/>
              <w:rPr>
                <w:rFonts w:hint="eastAsia" w:ascii="宋体" w:hAnsi="宋体" w:cs="宋体"/>
                <w:color w:val="auto"/>
                <w:highlight w:val="none"/>
              </w:rPr>
            </w:pPr>
          </w:p>
        </w:tc>
        <w:tc>
          <w:tcPr>
            <w:tcW w:w="1526" w:type="dxa"/>
            <w:vAlign w:val="center"/>
          </w:tcPr>
          <w:p w14:paraId="1F48F905">
            <w:pPr>
              <w:jc w:val="center"/>
              <w:rPr>
                <w:rFonts w:hint="eastAsia" w:ascii="宋体" w:hAnsi="宋体" w:cs="宋体"/>
                <w:color w:val="auto"/>
                <w:highlight w:val="none"/>
              </w:rPr>
            </w:pPr>
          </w:p>
        </w:tc>
        <w:tc>
          <w:tcPr>
            <w:tcW w:w="4634" w:type="dxa"/>
            <w:vAlign w:val="center"/>
          </w:tcPr>
          <w:p w14:paraId="233DF658">
            <w:pPr>
              <w:jc w:val="center"/>
              <w:rPr>
                <w:rFonts w:hint="eastAsia" w:ascii="宋体" w:hAnsi="宋体" w:cs="宋体"/>
                <w:color w:val="auto"/>
                <w:highlight w:val="none"/>
              </w:rPr>
            </w:pPr>
          </w:p>
        </w:tc>
        <w:tc>
          <w:tcPr>
            <w:tcW w:w="3762" w:type="dxa"/>
            <w:vAlign w:val="center"/>
          </w:tcPr>
          <w:p w14:paraId="5DC652FD">
            <w:pPr>
              <w:jc w:val="center"/>
              <w:rPr>
                <w:rFonts w:hint="eastAsia" w:ascii="宋体" w:hAnsi="宋体" w:cs="宋体"/>
                <w:color w:val="auto"/>
                <w:highlight w:val="none"/>
              </w:rPr>
            </w:pPr>
          </w:p>
        </w:tc>
        <w:tc>
          <w:tcPr>
            <w:tcW w:w="1144" w:type="dxa"/>
            <w:vAlign w:val="center"/>
          </w:tcPr>
          <w:p w14:paraId="09D69C5B">
            <w:pPr>
              <w:jc w:val="center"/>
              <w:rPr>
                <w:rFonts w:hint="eastAsia" w:ascii="宋体" w:hAnsi="宋体" w:cs="宋体"/>
                <w:color w:val="auto"/>
                <w:highlight w:val="none"/>
              </w:rPr>
            </w:pPr>
          </w:p>
        </w:tc>
        <w:tc>
          <w:tcPr>
            <w:tcW w:w="3084" w:type="dxa"/>
            <w:vAlign w:val="center"/>
          </w:tcPr>
          <w:p w14:paraId="15C09CD9">
            <w:pPr>
              <w:jc w:val="center"/>
              <w:rPr>
                <w:rFonts w:hint="eastAsia" w:ascii="宋体" w:hAnsi="宋体" w:cs="宋体"/>
                <w:color w:val="auto"/>
                <w:highlight w:val="none"/>
              </w:rPr>
            </w:pPr>
          </w:p>
        </w:tc>
      </w:tr>
    </w:tbl>
    <w:p w14:paraId="602D1008">
      <w:pPr>
        <w:spacing w:line="360" w:lineRule="auto"/>
        <w:ind w:firstLine="2" w:firstLineChars="1"/>
        <w:rPr>
          <w:rFonts w:hint="eastAsia" w:ascii="宋体" w:hAnsi="宋体" w:cs="宋体"/>
          <w:color w:val="auto"/>
          <w:highlight w:val="none"/>
        </w:rPr>
      </w:pPr>
      <w:r>
        <w:rPr>
          <w:rFonts w:hint="eastAsia" w:ascii="宋体" w:hAnsi="宋体" w:cs="宋体"/>
          <w:color w:val="auto"/>
          <w:highlight w:val="none"/>
        </w:rPr>
        <w:t>投标人：（盖单位公章）</w:t>
      </w:r>
    </w:p>
    <w:p w14:paraId="1791B5A6">
      <w:pPr>
        <w:spacing w:line="360" w:lineRule="auto"/>
        <w:ind w:firstLine="2" w:firstLineChars="1"/>
        <w:rPr>
          <w:rFonts w:hint="eastAsia" w:ascii="宋体" w:hAnsi="宋体" w:cs="宋体"/>
          <w:color w:val="auto"/>
          <w:highlight w:val="none"/>
        </w:rPr>
      </w:pPr>
      <w:r>
        <w:rPr>
          <w:rFonts w:hint="eastAsia" w:ascii="宋体" w:hAnsi="宋体" w:cs="宋体"/>
          <w:color w:val="auto"/>
          <w:highlight w:val="none"/>
        </w:rPr>
        <w:t>法定代表人或委托代理人：（签名或盖章）</w:t>
      </w:r>
    </w:p>
    <w:p w14:paraId="0FA94DEC">
      <w:pPr>
        <w:spacing w:line="360" w:lineRule="auto"/>
        <w:ind w:firstLine="2" w:firstLineChars="1"/>
        <w:rPr>
          <w:rFonts w:hint="eastAsia" w:ascii="宋体" w:hAnsi="宋体" w:cs="宋体"/>
          <w:color w:val="auto"/>
          <w:highlight w:val="none"/>
        </w:rPr>
      </w:pPr>
      <w:r>
        <w:rPr>
          <w:rFonts w:hint="eastAsia" w:ascii="宋体" w:hAnsi="宋体" w:cs="宋体"/>
          <w:color w:val="auto"/>
          <w:highlight w:val="none"/>
        </w:rPr>
        <w:t>年月日</w:t>
      </w:r>
    </w:p>
    <w:p w14:paraId="365EED52">
      <w:pPr>
        <w:pStyle w:val="16"/>
        <w:spacing w:line="360" w:lineRule="auto"/>
        <w:rPr>
          <w:rFonts w:hint="eastAsia" w:hAnsi="宋体" w:cs="宋体"/>
          <w:b/>
          <w:color w:val="auto"/>
          <w:szCs w:val="24"/>
          <w:highlight w:val="none"/>
        </w:rPr>
      </w:pPr>
      <w:r>
        <w:rPr>
          <w:rFonts w:hint="eastAsia" w:hAnsi="宋体" w:cs="宋体"/>
          <w:b/>
          <w:color w:val="auto"/>
          <w:szCs w:val="24"/>
          <w:highlight w:val="none"/>
        </w:rPr>
        <w:t>表格填写说明：</w:t>
      </w:r>
    </w:p>
    <w:p w14:paraId="76614AB0">
      <w:pPr>
        <w:pStyle w:val="16"/>
        <w:spacing w:line="360" w:lineRule="auto"/>
        <w:rPr>
          <w:rFonts w:hint="eastAsia" w:hAnsi="宋体" w:cs="宋体"/>
          <w:color w:val="auto"/>
          <w:szCs w:val="24"/>
          <w:highlight w:val="none"/>
        </w:rPr>
      </w:pPr>
      <w:r>
        <w:rPr>
          <w:rFonts w:hint="eastAsia" w:hAnsi="宋体" w:cs="宋体"/>
          <w:color w:val="auto"/>
          <w:szCs w:val="24"/>
          <w:highlight w:val="none"/>
        </w:rPr>
        <w:t>1、投标人根据应根据实际投标情况，填写本表格，若无偏离，则勾选A项，签字盖章即可。若有偏离，则勾选B项，按表格要求及实际情况填写后，签字盖章。</w:t>
      </w:r>
    </w:p>
    <w:p w14:paraId="6290799E">
      <w:pPr>
        <w:pStyle w:val="16"/>
        <w:spacing w:line="360" w:lineRule="auto"/>
        <w:rPr>
          <w:rFonts w:hint="eastAsia" w:hAnsi="宋体" w:cs="宋体"/>
          <w:color w:val="auto"/>
          <w:szCs w:val="21"/>
          <w:highlight w:val="none"/>
        </w:rPr>
      </w:pPr>
      <w:r>
        <w:rPr>
          <w:rFonts w:hint="eastAsia" w:hAnsi="宋体" w:cs="宋体"/>
          <w:b/>
          <w:bCs/>
          <w:color w:val="auto"/>
          <w:szCs w:val="21"/>
          <w:highlight w:val="none"/>
        </w:rPr>
        <w:t>填表示例(有偏离情况的)</w:t>
      </w:r>
      <w:r>
        <w:rPr>
          <w:rFonts w:hint="eastAsia" w:hAnsi="宋体" w:cs="宋体"/>
          <w:color w:val="auto"/>
          <w:szCs w:val="21"/>
          <w:highlight w:val="none"/>
        </w:rPr>
        <w:t>：</w:t>
      </w:r>
    </w:p>
    <w:p w14:paraId="45CE24ED">
      <w:pPr>
        <w:spacing w:line="360" w:lineRule="auto"/>
        <w:rPr>
          <w:rFonts w:hint="eastAsia" w:ascii="宋体" w:hAnsi="宋体" w:cs="宋体"/>
          <w:color w:val="auto"/>
          <w:highlight w:val="none"/>
        </w:rPr>
      </w:pPr>
      <w:r>
        <w:rPr>
          <w:rFonts w:hint="eastAsia" w:ascii="宋体" w:hAnsi="宋体" w:cs="宋体"/>
          <w:color w:val="auto"/>
          <w:highlight w:val="none"/>
        </w:rPr>
        <w:t>A、</w:t>
      </w:r>
      <w:r>
        <w:rPr>
          <w:rFonts w:hint="eastAsia" w:ascii="宋体" w:hAnsi="宋体" w:cs="宋体"/>
          <w:color w:val="auto"/>
          <w:highlight w:val="none"/>
        </w:rPr>
        <w:fldChar w:fldCharType="begin"/>
      </w:r>
      <w:r>
        <w:rPr>
          <w:rFonts w:hint="eastAsia" w:ascii="宋体" w:hAnsi="宋体" w:cs="宋体"/>
          <w:color w:val="auto"/>
          <w:highlight w:val="none"/>
        </w:rPr>
        <w:instrText xml:space="preserve"> eq \o\ac(□,</w:instrText>
      </w:r>
      <w:r>
        <w:rPr>
          <w:rFonts w:hint="eastAsia" w:ascii="宋体" w:hAnsi="宋体" w:cs="宋体"/>
          <w:color w:val="auto"/>
          <w:position w:val="2"/>
          <w:sz w:val="13"/>
          <w:highlight w:val="none"/>
        </w:rPr>
        <w:instrText xml:space="preserve">×</w:instrText>
      </w:r>
      <w:r>
        <w:rPr>
          <w:rFonts w:hint="eastAsia" w:ascii="宋体" w:hAnsi="宋体" w:cs="宋体"/>
          <w:color w:val="auto"/>
          <w:highlight w:val="none"/>
        </w:rPr>
        <w:instrText xml:space="preserve">)</w:instrText>
      </w:r>
      <w:r>
        <w:rPr>
          <w:rFonts w:hint="eastAsia" w:ascii="宋体" w:hAnsi="宋体" w:cs="宋体"/>
          <w:color w:val="auto"/>
          <w:highlight w:val="none"/>
        </w:rPr>
        <w:fldChar w:fldCharType="end"/>
      </w:r>
      <w:r>
        <w:rPr>
          <w:rFonts w:hint="eastAsia" w:ascii="宋体" w:hAnsi="宋体" w:cs="宋体"/>
          <w:color w:val="auto"/>
          <w:highlight w:val="none"/>
        </w:rPr>
        <w:t>我公司已详细阅读招标文件中各项服务要求，所有服务要求均无偏离，中标后我公司将严格遵照执行。</w:t>
      </w:r>
    </w:p>
    <w:p w14:paraId="1775E0B2">
      <w:pPr>
        <w:pStyle w:val="16"/>
        <w:spacing w:line="360" w:lineRule="auto"/>
        <w:rPr>
          <w:rFonts w:hint="eastAsia" w:hAnsi="宋体" w:cs="宋体"/>
          <w:color w:val="auto"/>
          <w:highlight w:val="none"/>
        </w:rPr>
      </w:pPr>
      <w:r>
        <w:rPr>
          <w:rFonts w:hint="eastAsia" w:hAnsi="宋体" w:cs="宋体"/>
          <w:color w:val="auto"/>
          <w:highlight w:val="none"/>
        </w:rPr>
        <w:t>B、</w:t>
      </w:r>
      <w:r>
        <w:rPr>
          <w:rFonts w:hint="eastAsia" w:hAnsi="宋体" w:cs="宋体"/>
          <w:color w:val="auto"/>
          <w:highlight w:val="none"/>
        </w:rPr>
        <w:fldChar w:fldCharType="begin"/>
      </w:r>
      <w:r>
        <w:rPr>
          <w:rFonts w:hint="eastAsia" w:hAnsi="宋体" w:cs="宋体"/>
          <w:color w:val="auto"/>
          <w:highlight w:val="none"/>
        </w:rPr>
        <w:instrText xml:space="preserve"> eq \o\ac(□,</w:instrText>
      </w:r>
      <w:r>
        <w:rPr>
          <w:rFonts w:hint="eastAsia" w:hAnsi="宋体" w:cs="宋体"/>
          <w:color w:val="auto"/>
          <w:position w:val="2"/>
          <w:sz w:val="13"/>
          <w:highlight w:val="none"/>
        </w:rPr>
        <w:instrText xml:space="preserve">√</w:instrText>
      </w:r>
      <w:r>
        <w:rPr>
          <w:rFonts w:hint="eastAsia" w:hAnsi="宋体" w:cs="宋体"/>
          <w:color w:val="auto"/>
          <w:highlight w:val="none"/>
        </w:rPr>
        <w:instrText xml:space="preserve">)</w:instrText>
      </w:r>
      <w:r>
        <w:rPr>
          <w:rFonts w:hint="eastAsia" w:hAnsi="宋体" w:cs="宋体"/>
          <w:color w:val="auto"/>
          <w:highlight w:val="none"/>
        </w:rPr>
        <w:fldChar w:fldCharType="end"/>
      </w:r>
      <w:r>
        <w:rPr>
          <w:rFonts w:hint="eastAsia" w:hAnsi="宋体" w:cs="宋体"/>
          <w:color w:val="auto"/>
          <w:highlight w:val="none"/>
        </w:rPr>
        <w:t>我公司已详细阅读招标文件中各项服务要求，除下述条款有偏离外，其余条款我公司均予以认可，中标后将严格遵照执行。</w:t>
      </w:r>
    </w:p>
    <w:tbl>
      <w:tblPr>
        <w:tblStyle w:val="33"/>
        <w:tblW w:w="149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1319"/>
        <w:gridCol w:w="4587"/>
        <w:gridCol w:w="4078"/>
        <w:gridCol w:w="1235"/>
        <w:gridCol w:w="2823"/>
      </w:tblGrid>
      <w:tr w14:paraId="2FF4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5" w:type="dxa"/>
            <w:vAlign w:val="center"/>
          </w:tcPr>
          <w:p w14:paraId="410D6A1D">
            <w:pPr>
              <w:jc w:val="center"/>
              <w:rPr>
                <w:rFonts w:hint="eastAsia" w:ascii="宋体" w:hAnsi="宋体" w:cs="宋体"/>
                <w:color w:val="auto"/>
                <w:highlight w:val="none"/>
              </w:rPr>
            </w:pPr>
            <w:r>
              <w:rPr>
                <w:rFonts w:hint="eastAsia" w:ascii="宋体" w:hAnsi="宋体" w:cs="宋体"/>
                <w:color w:val="auto"/>
                <w:highlight w:val="none"/>
              </w:rPr>
              <w:t>序号</w:t>
            </w:r>
          </w:p>
        </w:tc>
        <w:tc>
          <w:tcPr>
            <w:tcW w:w="1319" w:type="dxa"/>
            <w:vAlign w:val="center"/>
          </w:tcPr>
          <w:p w14:paraId="6A3EF686">
            <w:pPr>
              <w:jc w:val="center"/>
              <w:rPr>
                <w:rFonts w:hint="eastAsia" w:ascii="宋体" w:hAnsi="宋体" w:cs="宋体"/>
                <w:color w:val="auto"/>
                <w:highlight w:val="none"/>
              </w:rPr>
            </w:pPr>
            <w:r>
              <w:rPr>
                <w:rFonts w:hint="eastAsia" w:ascii="宋体" w:hAnsi="宋体" w:cs="宋体"/>
                <w:color w:val="auto"/>
                <w:highlight w:val="none"/>
              </w:rPr>
              <w:t>项目名称</w:t>
            </w:r>
          </w:p>
        </w:tc>
        <w:tc>
          <w:tcPr>
            <w:tcW w:w="4587" w:type="dxa"/>
            <w:vAlign w:val="center"/>
          </w:tcPr>
          <w:p w14:paraId="4F46CE2F">
            <w:pPr>
              <w:jc w:val="center"/>
              <w:rPr>
                <w:rFonts w:hint="eastAsia" w:ascii="宋体" w:hAnsi="宋体" w:cs="宋体"/>
                <w:color w:val="auto"/>
                <w:highlight w:val="none"/>
              </w:rPr>
            </w:pPr>
            <w:r>
              <w:rPr>
                <w:rFonts w:hint="eastAsia" w:ascii="宋体" w:hAnsi="宋体" w:cs="宋体"/>
                <w:color w:val="auto"/>
                <w:highlight w:val="none"/>
              </w:rPr>
              <w:t>招标文件服务规范、要求</w:t>
            </w:r>
          </w:p>
        </w:tc>
        <w:tc>
          <w:tcPr>
            <w:tcW w:w="4078" w:type="dxa"/>
            <w:vAlign w:val="center"/>
          </w:tcPr>
          <w:p w14:paraId="120E766A">
            <w:pPr>
              <w:jc w:val="center"/>
              <w:rPr>
                <w:rFonts w:hint="eastAsia" w:ascii="宋体" w:hAnsi="宋体" w:cs="宋体"/>
                <w:color w:val="auto"/>
                <w:highlight w:val="none"/>
              </w:rPr>
            </w:pPr>
            <w:r>
              <w:rPr>
                <w:rFonts w:hint="eastAsia" w:ascii="宋体" w:hAnsi="宋体" w:cs="宋体"/>
                <w:color w:val="auto"/>
                <w:highlight w:val="none"/>
              </w:rPr>
              <w:t>投标文件服务承诺</w:t>
            </w:r>
          </w:p>
        </w:tc>
        <w:tc>
          <w:tcPr>
            <w:tcW w:w="1235" w:type="dxa"/>
            <w:vAlign w:val="center"/>
          </w:tcPr>
          <w:p w14:paraId="11CB2ED4">
            <w:pPr>
              <w:jc w:val="center"/>
              <w:rPr>
                <w:rFonts w:hint="eastAsia" w:ascii="宋体" w:hAnsi="宋体" w:cs="宋体"/>
                <w:color w:val="auto"/>
                <w:highlight w:val="none"/>
              </w:rPr>
            </w:pPr>
            <w:r>
              <w:rPr>
                <w:rFonts w:hint="eastAsia" w:ascii="宋体" w:hAnsi="宋体" w:cs="宋体"/>
                <w:color w:val="auto"/>
                <w:highlight w:val="none"/>
              </w:rPr>
              <w:t>偏离</w:t>
            </w:r>
          </w:p>
        </w:tc>
        <w:tc>
          <w:tcPr>
            <w:tcW w:w="2823" w:type="dxa"/>
            <w:vAlign w:val="center"/>
          </w:tcPr>
          <w:p w14:paraId="6CDB6E7D">
            <w:pPr>
              <w:jc w:val="center"/>
              <w:rPr>
                <w:rFonts w:hint="eastAsia" w:ascii="宋体" w:hAnsi="宋体" w:cs="宋体"/>
                <w:color w:val="auto"/>
                <w:highlight w:val="none"/>
              </w:rPr>
            </w:pPr>
            <w:r>
              <w:rPr>
                <w:rFonts w:hint="eastAsia" w:ascii="宋体" w:hAnsi="宋体" w:cs="宋体"/>
                <w:color w:val="auto"/>
                <w:highlight w:val="none"/>
              </w:rPr>
              <w:t>说明</w:t>
            </w:r>
          </w:p>
        </w:tc>
      </w:tr>
      <w:tr w14:paraId="5771D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45" w:type="dxa"/>
            <w:vAlign w:val="center"/>
          </w:tcPr>
          <w:p w14:paraId="06951ECA">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319" w:type="dxa"/>
            <w:vAlign w:val="center"/>
          </w:tcPr>
          <w:p w14:paraId="5DAA936C">
            <w:pPr>
              <w:jc w:val="center"/>
              <w:rPr>
                <w:rFonts w:hint="eastAsia" w:ascii="宋体" w:hAnsi="宋体" w:cs="宋体"/>
                <w:color w:val="auto"/>
                <w:szCs w:val="21"/>
                <w:highlight w:val="none"/>
              </w:rPr>
            </w:pPr>
            <w:r>
              <w:rPr>
                <w:rFonts w:hint="eastAsia" w:ascii="宋体" w:hAnsi="宋体" w:cs="宋体"/>
                <w:color w:val="auto"/>
                <w:szCs w:val="21"/>
                <w:highlight w:val="none"/>
              </w:rPr>
              <w:t>消防系统操作设备系统值班人员</w:t>
            </w:r>
          </w:p>
        </w:tc>
        <w:tc>
          <w:tcPr>
            <w:tcW w:w="4587" w:type="dxa"/>
            <w:vAlign w:val="center"/>
          </w:tcPr>
          <w:p w14:paraId="700B30CA">
            <w:pPr>
              <w:rPr>
                <w:rFonts w:hint="eastAsia" w:ascii="宋体" w:hAnsi="宋体" w:cs="宋体"/>
                <w:color w:val="auto"/>
                <w:szCs w:val="21"/>
                <w:highlight w:val="none"/>
              </w:rPr>
            </w:pPr>
            <w:r>
              <w:rPr>
                <w:rFonts w:hint="eastAsia" w:ascii="宋体" w:hAnsi="宋体" w:cs="宋体"/>
                <w:color w:val="auto"/>
                <w:szCs w:val="21"/>
                <w:highlight w:val="none"/>
              </w:rPr>
              <w:t>消防系统操作设备系统值守巡查必须24小时值班，每班2人，值班人员必须持有建</w:t>
            </w:r>
            <w:r>
              <w:rPr>
                <w:rFonts w:hint="eastAsia" w:ascii="宋体" w:hAnsi="宋体" w:cs="宋体"/>
                <w:color w:val="auto"/>
                <w:szCs w:val="21"/>
                <w:highlight w:val="none"/>
                <w:lang w:eastAsia="zh-TW"/>
              </w:rPr>
              <w:t>（</w:t>
            </w:r>
            <w:r>
              <w:rPr>
                <w:rFonts w:hint="eastAsia" w:ascii="宋体" w:hAnsi="宋体" w:cs="宋体"/>
                <w:color w:val="auto"/>
                <w:szCs w:val="21"/>
                <w:highlight w:val="none"/>
              </w:rPr>
              <w:t>构</w:t>
            </w:r>
            <w:r>
              <w:rPr>
                <w:rFonts w:hint="eastAsia" w:ascii="宋体" w:hAnsi="宋体" w:cs="宋体"/>
                <w:color w:val="auto"/>
                <w:szCs w:val="21"/>
                <w:highlight w:val="none"/>
                <w:lang w:eastAsia="zh-TW"/>
              </w:rPr>
              <w:t>）</w:t>
            </w:r>
            <w:r>
              <w:rPr>
                <w:rFonts w:hint="eastAsia" w:ascii="宋体" w:hAnsi="宋体" w:cs="宋体"/>
                <w:color w:val="auto"/>
                <w:szCs w:val="21"/>
                <w:highlight w:val="none"/>
              </w:rPr>
              <w:t>筑物消防员职业资格证（初级及以上）或消防安防安全培训合格证，共10人</w:t>
            </w:r>
          </w:p>
        </w:tc>
        <w:tc>
          <w:tcPr>
            <w:tcW w:w="4078" w:type="dxa"/>
            <w:vAlign w:val="center"/>
          </w:tcPr>
          <w:p w14:paraId="0E7442C4">
            <w:pPr>
              <w:jc w:val="center"/>
              <w:rPr>
                <w:rFonts w:hint="eastAsia" w:ascii="宋体" w:hAnsi="宋体" w:cs="宋体"/>
                <w:color w:val="auto"/>
                <w:szCs w:val="21"/>
                <w:highlight w:val="none"/>
              </w:rPr>
            </w:pPr>
            <w:r>
              <w:rPr>
                <w:rFonts w:hint="eastAsia" w:ascii="宋体" w:hAnsi="宋体" w:cs="宋体"/>
                <w:color w:val="auto"/>
                <w:kern w:val="0"/>
                <w:sz w:val="22"/>
                <w:szCs w:val="28"/>
                <w:highlight w:val="none"/>
              </w:rPr>
              <w:t>消防系统操作设备系统值守巡查24小时值班，每班2人，值班人员持有消防安防安全培训合格证共5人</w:t>
            </w:r>
          </w:p>
        </w:tc>
        <w:tc>
          <w:tcPr>
            <w:tcW w:w="1235" w:type="dxa"/>
            <w:vAlign w:val="center"/>
          </w:tcPr>
          <w:p w14:paraId="5A272149">
            <w:pPr>
              <w:jc w:val="center"/>
              <w:rPr>
                <w:rFonts w:hint="eastAsia" w:ascii="宋体" w:hAnsi="宋体" w:cs="宋体"/>
                <w:color w:val="auto"/>
                <w:szCs w:val="21"/>
                <w:highlight w:val="none"/>
              </w:rPr>
            </w:pPr>
            <w:r>
              <w:rPr>
                <w:rFonts w:hint="eastAsia" w:ascii="宋体" w:hAnsi="宋体" w:cs="宋体"/>
                <w:color w:val="auto"/>
                <w:szCs w:val="21"/>
                <w:highlight w:val="none"/>
              </w:rPr>
              <w:t>有偏离</w:t>
            </w:r>
          </w:p>
        </w:tc>
        <w:tc>
          <w:tcPr>
            <w:tcW w:w="2823" w:type="dxa"/>
            <w:vAlign w:val="center"/>
          </w:tcPr>
          <w:p w14:paraId="5E37D642">
            <w:pPr>
              <w:rPr>
                <w:rFonts w:hint="eastAsia" w:ascii="宋体" w:hAnsi="宋体" w:cs="宋体"/>
                <w:color w:val="auto"/>
                <w:szCs w:val="21"/>
                <w:highlight w:val="none"/>
              </w:rPr>
            </w:pPr>
            <w:r>
              <w:rPr>
                <w:rFonts w:hint="eastAsia" w:ascii="宋体" w:hAnsi="宋体" w:cs="宋体"/>
                <w:color w:val="auto"/>
                <w:kern w:val="0"/>
                <w:sz w:val="22"/>
                <w:szCs w:val="28"/>
                <w:highlight w:val="none"/>
              </w:rPr>
              <w:t>消防系统操作设备系统值守巡查值班人员5人具有消防安防安全培训合格证</w:t>
            </w:r>
          </w:p>
        </w:tc>
      </w:tr>
    </w:tbl>
    <w:p w14:paraId="745CF51A">
      <w:pPr>
        <w:pStyle w:val="16"/>
        <w:spacing w:line="360" w:lineRule="auto"/>
        <w:rPr>
          <w:rFonts w:hint="eastAsia" w:hAnsi="宋体" w:cs="宋体"/>
          <w:color w:val="auto"/>
          <w:szCs w:val="24"/>
          <w:highlight w:val="none"/>
        </w:rPr>
      </w:pPr>
      <w:r>
        <w:rPr>
          <w:rFonts w:hint="eastAsia" w:hAnsi="宋体" w:cs="宋体"/>
          <w:color w:val="auto"/>
          <w:szCs w:val="24"/>
          <w:highlight w:val="none"/>
        </w:rPr>
        <w:t>2、表格中“项目名称”及“招标文件服务规范、要求”可按“服务需求”内容复制。</w:t>
      </w:r>
    </w:p>
    <w:p w14:paraId="195B23F2">
      <w:pPr>
        <w:pStyle w:val="16"/>
        <w:spacing w:line="360" w:lineRule="auto"/>
        <w:rPr>
          <w:rFonts w:hint="eastAsia" w:hAnsi="宋体" w:cs="宋体"/>
          <w:b/>
          <w:color w:val="auto"/>
          <w:szCs w:val="21"/>
          <w:highlight w:val="none"/>
        </w:rPr>
      </w:pPr>
      <w:r>
        <w:rPr>
          <w:rFonts w:hint="eastAsia" w:hAnsi="宋体" w:cs="宋体"/>
          <w:color w:val="auto"/>
          <w:szCs w:val="21"/>
          <w:highlight w:val="none"/>
        </w:rPr>
        <w:t>3、表格中“投标文件服务承诺”请投标人根据实际投标情况如实、完整、准确地填写，请勿复制、粘贴招标要求。</w:t>
      </w:r>
      <w:r>
        <w:rPr>
          <w:rFonts w:hint="eastAsia" w:hAnsi="宋体" w:cs="宋体"/>
          <w:b/>
          <w:color w:val="auto"/>
          <w:szCs w:val="21"/>
          <w:highlight w:val="none"/>
        </w:rPr>
        <w:t>若由于投标人的疏忽大意或未能完整、如实填写，导致的一切后果由投标人自行承担。</w:t>
      </w:r>
    </w:p>
    <w:p w14:paraId="2FA469BC">
      <w:pPr>
        <w:pStyle w:val="16"/>
        <w:spacing w:line="360" w:lineRule="auto"/>
        <w:rPr>
          <w:rFonts w:hint="eastAsia" w:hAnsi="宋体" w:cs="宋体"/>
          <w:color w:val="auto"/>
          <w:szCs w:val="21"/>
          <w:highlight w:val="none"/>
        </w:rPr>
      </w:pPr>
      <w:r>
        <w:rPr>
          <w:rFonts w:hint="eastAsia" w:hAnsi="宋体" w:cs="宋体"/>
          <w:color w:val="auto"/>
          <w:szCs w:val="21"/>
          <w:highlight w:val="none"/>
        </w:rPr>
        <w:t>4、表格中“偏离”部分，凡投标内容与招标文件要求有区别的均按“有偏离“填写，并在说明栏中写明。</w:t>
      </w:r>
      <w:r>
        <w:rPr>
          <w:rFonts w:hint="eastAsia" w:hAnsi="宋体" w:cs="宋体"/>
          <w:color w:val="auto"/>
          <w:szCs w:val="24"/>
          <w:highlight w:val="none"/>
        </w:rPr>
        <w:t>表格中只需填写 “有偏离”部分，“无偏离”部分不用填写。</w:t>
      </w:r>
    </w:p>
    <w:p w14:paraId="012D111E">
      <w:pPr>
        <w:pStyle w:val="16"/>
        <w:spacing w:line="360" w:lineRule="auto"/>
        <w:rPr>
          <w:rFonts w:hint="eastAsia" w:hAnsi="宋体" w:cs="宋体"/>
          <w:color w:val="auto"/>
          <w:szCs w:val="21"/>
          <w:highlight w:val="none"/>
        </w:rPr>
      </w:pPr>
      <w:r>
        <w:rPr>
          <w:rFonts w:hint="eastAsia" w:hAnsi="宋体" w:cs="宋体"/>
          <w:color w:val="auto"/>
          <w:szCs w:val="21"/>
          <w:highlight w:val="none"/>
        </w:rPr>
        <w:t>5、表格中“说明”部分，若有偏离，则填写偏离指标。</w:t>
      </w:r>
    </w:p>
    <w:p w14:paraId="1A544FF2">
      <w:pPr>
        <w:pStyle w:val="16"/>
        <w:spacing w:line="360" w:lineRule="auto"/>
        <w:rPr>
          <w:rFonts w:hint="eastAsia" w:hAnsi="宋体" w:cs="宋体"/>
          <w:color w:val="auto"/>
          <w:szCs w:val="21"/>
          <w:highlight w:val="none"/>
        </w:rPr>
      </w:pPr>
      <w:r>
        <w:rPr>
          <w:rFonts w:hint="eastAsia" w:hAnsi="宋体" w:cs="宋体"/>
          <w:color w:val="auto"/>
          <w:szCs w:val="21"/>
          <w:highlight w:val="none"/>
        </w:rPr>
        <w:t>6、</w:t>
      </w:r>
      <w:r>
        <w:rPr>
          <w:rFonts w:hint="eastAsia" w:hAnsi="宋体" w:cs="宋体"/>
          <w:b/>
          <w:color w:val="auto"/>
          <w:szCs w:val="21"/>
          <w:highlight w:val="none"/>
        </w:rPr>
        <w:t>本表格中内容与投标文件其余部分不一致的，以本表格为准。</w:t>
      </w:r>
    </w:p>
    <w:p w14:paraId="698638A0">
      <w:pPr>
        <w:rPr>
          <w:color w:val="auto"/>
          <w:highlight w:val="none"/>
        </w:rPr>
      </w:pPr>
    </w:p>
    <w:p w14:paraId="203E7932">
      <w:pPr>
        <w:rPr>
          <w:color w:val="auto"/>
          <w:highlight w:val="none"/>
        </w:rPr>
        <w:sectPr>
          <w:pgSz w:w="16838" w:h="11906" w:orient="landscape"/>
          <w:pgMar w:top="1418" w:right="1418" w:bottom="1134" w:left="1134" w:header="935" w:footer="720" w:gutter="0"/>
          <w:cols w:space="720" w:num="1"/>
          <w:rtlGutter w:val="1"/>
          <w:docGrid w:type="linesAndChars" w:linePitch="331" w:charSpace="0"/>
        </w:sectPr>
      </w:pPr>
    </w:p>
    <w:p w14:paraId="62218783">
      <w:pPr>
        <w:pStyle w:val="4"/>
        <w:keepNext/>
        <w:numPr>
          <w:ilvl w:val="0"/>
          <w:numId w:val="0"/>
        </w:numPr>
        <w:tabs>
          <w:tab w:val="left" w:pos="1021"/>
          <w:tab w:val="clear" w:pos="360"/>
          <w:tab w:val="clear" w:pos="900"/>
          <w:tab w:val="clear" w:pos="1588"/>
        </w:tabs>
        <w:spacing w:before="0"/>
        <w:rPr>
          <w:rFonts w:hint="eastAsia" w:ascii="宋体" w:hAnsi="宋体" w:eastAsia="宋体" w:cs="宋体"/>
          <w:color w:val="auto"/>
          <w:szCs w:val="28"/>
          <w:highlight w:val="none"/>
        </w:rPr>
      </w:pPr>
      <w:bookmarkStart w:id="346" w:name="_Toc26024"/>
      <w:bookmarkStart w:id="347" w:name="_Toc9299"/>
      <w:bookmarkStart w:id="348" w:name="_Toc1079"/>
      <w:bookmarkStart w:id="349" w:name="_Toc31135"/>
      <w:bookmarkStart w:id="350" w:name="_Toc29235"/>
      <w:bookmarkStart w:id="351" w:name="_Toc19285"/>
      <w:bookmarkStart w:id="352" w:name="_Toc12629"/>
      <w:r>
        <w:rPr>
          <w:rFonts w:hint="eastAsia" w:ascii="宋体" w:hAnsi="宋体" w:eastAsia="宋体" w:cs="宋体"/>
          <w:color w:val="auto"/>
          <w:szCs w:val="28"/>
          <w:highlight w:val="none"/>
        </w:rPr>
        <w:t>★格式10：法定代表人资格证明书</w:t>
      </w:r>
      <w:bookmarkEnd w:id="346"/>
      <w:bookmarkEnd w:id="347"/>
      <w:bookmarkEnd w:id="348"/>
      <w:bookmarkEnd w:id="349"/>
      <w:bookmarkEnd w:id="350"/>
      <w:bookmarkEnd w:id="351"/>
      <w:bookmarkEnd w:id="352"/>
    </w:p>
    <w:p w14:paraId="7D45F447">
      <w:pPr>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法定代表人资格证明书</w:t>
      </w:r>
    </w:p>
    <w:p w14:paraId="6611C397">
      <w:pPr>
        <w:spacing w:line="360" w:lineRule="auto"/>
        <w:jc w:val="center"/>
        <w:rPr>
          <w:rFonts w:hint="eastAsia" w:ascii="宋体" w:hAnsi="宋体" w:cs="宋体"/>
          <w:b/>
          <w:color w:val="auto"/>
          <w:sz w:val="30"/>
          <w:szCs w:val="30"/>
          <w:highlight w:val="none"/>
        </w:rPr>
      </w:pPr>
    </w:p>
    <w:p w14:paraId="68CE91A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投标人名称：</w:t>
      </w:r>
    </w:p>
    <w:p w14:paraId="251A360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单位性质：</w:t>
      </w:r>
    </w:p>
    <w:p w14:paraId="0CB870D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成立时间：年月日</w:t>
      </w:r>
    </w:p>
    <w:p w14:paraId="732209F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经营期限：</w:t>
      </w:r>
    </w:p>
    <w:p w14:paraId="7B3F9B2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姓名：性别：年龄：职务：</w:t>
      </w:r>
    </w:p>
    <w:p w14:paraId="3DAD8E1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系（投标人名称）的法定代表人。</w:t>
      </w:r>
    </w:p>
    <w:p w14:paraId="7AB01773">
      <w:pPr>
        <w:spacing w:line="360" w:lineRule="auto"/>
        <w:ind w:firstLine="420" w:firstLineChars="200"/>
        <w:rPr>
          <w:rFonts w:hint="eastAsia" w:ascii="宋体" w:hAnsi="宋体" w:cs="宋体"/>
          <w:color w:val="auto"/>
          <w:szCs w:val="21"/>
          <w:highlight w:val="none"/>
        </w:rPr>
      </w:pPr>
    </w:p>
    <w:p w14:paraId="412D4A5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特此证明。</w:t>
      </w:r>
    </w:p>
    <w:p w14:paraId="08E34033">
      <w:pPr>
        <w:spacing w:line="360" w:lineRule="auto"/>
        <w:rPr>
          <w:rFonts w:hint="eastAsia" w:ascii="宋体" w:hAnsi="宋体" w:cs="宋体"/>
          <w:color w:val="auto"/>
          <w:szCs w:val="21"/>
          <w:highlight w:val="none"/>
        </w:rPr>
      </w:pPr>
    </w:p>
    <w:p w14:paraId="633D9959">
      <w:pPr>
        <w:spacing w:line="360" w:lineRule="auto"/>
        <w:rPr>
          <w:rFonts w:hint="eastAsia" w:ascii="宋体" w:hAnsi="宋体" w:cs="宋体"/>
          <w:color w:val="auto"/>
          <w:szCs w:val="21"/>
          <w:highlight w:val="none"/>
        </w:rPr>
      </w:pPr>
    </w:p>
    <w:p w14:paraId="5CDE4C4D">
      <w:pPr>
        <w:spacing w:line="360" w:lineRule="auto"/>
        <w:ind w:left="3780" w:leftChars="1800"/>
        <w:rPr>
          <w:rFonts w:hint="eastAsia" w:ascii="宋体" w:hAnsi="宋体" w:cs="宋体"/>
          <w:color w:val="auto"/>
          <w:szCs w:val="21"/>
          <w:highlight w:val="none"/>
        </w:rPr>
      </w:pPr>
      <w:r>
        <w:rPr>
          <w:rFonts w:hint="eastAsia" w:ascii="宋体" w:hAnsi="宋体" w:cs="宋体"/>
          <w:color w:val="auto"/>
          <w:szCs w:val="21"/>
          <w:highlight w:val="none"/>
        </w:rPr>
        <w:t>投标人：（盖单位公章）</w:t>
      </w:r>
    </w:p>
    <w:p w14:paraId="7F57F259">
      <w:pPr>
        <w:spacing w:line="360" w:lineRule="auto"/>
        <w:ind w:left="3780" w:leftChars="1800"/>
        <w:rPr>
          <w:rFonts w:hint="eastAsia" w:ascii="宋体" w:hAnsi="宋体" w:cs="宋体"/>
          <w:color w:val="auto"/>
          <w:szCs w:val="21"/>
          <w:highlight w:val="none"/>
        </w:rPr>
      </w:pPr>
    </w:p>
    <w:p w14:paraId="19C5C623">
      <w:pPr>
        <w:spacing w:line="360" w:lineRule="auto"/>
        <w:ind w:left="3780" w:leftChars="1800"/>
        <w:rPr>
          <w:rFonts w:hint="eastAsia" w:ascii="宋体" w:hAnsi="宋体" w:cs="宋体"/>
          <w:color w:val="auto"/>
          <w:szCs w:val="21"/>
          <w:highlight w:val="none"/>
        </w:rPr>
      </w:pPr>
      <w:r>
        <w:rPr>
          <w:rFonts w:hint="eastAsia" w:ascii="宋体" w:hAnsi="宋体" w:cs="宋体"/>
          <w:color w:val="auto"/>
          <w:szCs w:val="21"/>
          <w:highlight w:val="none"/>
        </w:rPr>
        <w:t>年月日</w:t>
      </w:r>
    </w:p>
    <w:p w14:paraId="4262C94E">
      <w:pPr>
        <w:spacing w:line="360" w:lineRule="auto"/>
        <w:rPr>
          <w:rFonts w:hint="eastAsia" w:ascii="宋体" w:hAnsi="宋体" w:cs="宋体"/>
          <w:color w:val="auto"/>
          <w:szCs w:val="21"/>
          <w:highlight w:val="none"/>
        </w:rPr>
      </w:pPr>
    </w:p>
    <w:p w14:paraId="29526EA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附法定代表人身份证复印件：</w:t>
      </w:r>
    </w:p>
    <w:p w14:paraId="015E2EF3">
      <w:pPr>
        <w:spacing w:line="360" w:lineRule="auto"/>
        <w:rPr>
          <w:rFonts w:hint="eastAsia" w:ascii="宋体" w:hAnsi="宋体" w:cs="宋体"/>
          <w:color w:val="auto"/>
          <w:szCs w:val="21"/>
          <w:highlight w:val="none"/>
        </w:rPr>
      </w:pPr>
    </w:p>
    <w:p w14:paraId="6A380BD5">
      <w:pPr>
        <w:spacing w:line="360" w:lineRule="auto"/>
        <w:rPr>
          <w:rFonts w:hint="eastAsia" w:ascii="宋体" w:hAnsi="宋体" w:cs="宋体"/>
          <w:color w:val="auto"/>
          <w:szCs w:val="21"/>
          <w:highlight w:val="none"/>
        </w:rPr>
      </w:pPr>
    </w:p>
    <w:p w14:paraId="5FA03146">
      <w:pPr>
        <w:spacing w:line="360" w:lineRule="auto"/>
        <w:rPr>
          <w:rFonts w:hint="eastAsia" w:ascii="宋体" w:hAnsi="宋体" w:cs="宋体"/>
          <w:color w:val="auto"/>
          <w:szCs w:val="21"/>
          <w:highlight w:val="none"/>
        </w:rPr>
      </w:pPr>
    </w:p>
    <w:p w14:paraId="03D710BD">
      <w:pPr>
        <w:spacing w:line="360" w:lineRule="auto"/>
        <w:rPr>
          <w:rFonts w:hint="eastAsia" w:ascii="宋体" w:hAnsi="宋体" w:cs="宋体"/>
          <w:color w:val="auto"/>
          <w:szCs w:val="21"/>
          <w:highlight w:val="none"/>
        </w:rPr>
      </w:pPr>
    </w:p>
    <w:p w14:paraId="072B4112">
      <w:pPr>
        <w:pStyle w:val="16"/>
        <w:spacing w:line="360" w:lineRule="auto"/>
        <w:rPr>
          <w:rFonts w:hint="eastAsia" w:hAnsi="宋体" w:cs="宋体"/>
          <w:b/>
          <w:color w:val="auto"/>
          <w:szCs w:val="21"/>
          <w:highlight w:val="none"/>
        </w:rPr>
      </w:pPr>
      <w:r>
        <w:rPr>
          <w:rFonts w:hint="eastAsia" w:hAnsi="宋体" w:cs="宋体"/>
          <w:b/>
          <w:color w:val="auto"/>
          <w:szCs w:val="21"/>
          <w:highlight w:val="none"/>
        </w:rPr>
        <w:br w:type="page"/>
      </w:r>
    </w:p>
    <w:p w14:paraId="3C0AD756">
      <w:pPr>
        <w:pStyle w:val="4"/>
        <w:keepNext/>
        <w:numPr>
          <w:ilvl w:val="0"/>
          <w:numId w:val="0"/>
        </w:numPr>
        <w:tabs>
          <w:tab w:val="left" w:pos="1021"/>
          <w:tab w:val="clear" w:pos="360"/>
          <w:tab w:val="clear" w:pos="900"/>
          <w:tab w:val="clear" w:pos="1588"/>
        </w:tabs>
        <w:spacing w:before="0"/>
        <w:rPr>
          <w:rFonts w:hint="eastAsia" w:ascii="宋体" w:hAnsi="宋体" w:eastAsia="宋体" w:cs="宋体"/>
          <w:color w:val="auto"/>
          <w:szCs w:val="28"/>
          <w:highlight w:val="none"/>
        </w:rPr>
      </w:pPr>
      <w:bookmarkStart w:id="353" w:name="_Toc9077"/>
      <w:bookmarkStart w:id="354" w:name="_Toc24199"/>
      <w:bookmarkStart w:id="355" w:name="_Toc15479"/>
      <w:bookmarkStart w:id="356" w:name="_Toc5097"/>
      <w:bookmarkStart w:id="357" w:name="_Toc9417"/>
      <w:bookmarkStart w:id="358" w:name="_Toc1627"/>
      <w:bookmarkStart w:id="359" w:name="_Toc23134"/>
      <w:r>
        <w:rPr>
          <w:rFonts w:hint="eastAsia" w:ascii="宋体" w:hAnsi="宋体" w:eastAsia="宋体" w:cs="宋体"/>
          <w:color w:val="auto"/>
          <w:szCs w:val="28"/>
          <w:highlight w:val="none"/>
        </w:rPr>
        <w:t>格式11：法定代表人授权委托书</w:t>
      </w:r>
      <w:bookmarkEnd w:id="353"/>
      <w:bookmarkEnd w:id="354"/>
      <w:bookmarkEnd w:id="355"/>
      <w:bookmarkEnd w:id="356"/>
      <w:bookmarkEnd w:id="357"/>
      <w:bookmarkEnd w:id="358"/>
      <w:bookmarkEnd w:id="359"/>
    </w:p>
    <w:p w14:paraId="3995DA39">
      <w:pPr>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法定代表人授权委托书</w:t>
      </w:r>
    </w:p>
    <w:p w14:paraId="29756E95">
      <w:pPr>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致：</w:t>
      </w:r>
      <w:r>
        <w:rPr>
          <w:rFonts w:hint="eastAsia" w:ascii="宋体" w:hAnsi="宋体" w:cs="宋体"/>
          <w:color w:val="auto"/>
          <w:szCs w:val="21"/>
          <w:highlight w:val="none"/>
          <w:u w:val="single"/>
        </w:rPr>
        <w:t>云南省政府采购和出让中心</w:t>
      </w:r>
    </w:p>
    <w:p w14:paraId="2A9C1FF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本授权书声明：</w:t>
      </w:r>
      <w:r>
        <w:rPr>
          <w:rFonts w:hint="eastAsia" w:ascii="宋体" w:hAnsi="宋体" w:cs="宋体"/>
          <w:color w:val="auto"/>
          <w:szCs w:val="21"/>
          <w:highlight w:val="none"/>
          <w:u w:val="single"/>
        </w:rPr>
        <w:t xml:space="preserve">       （投标人全称）     </w:t>
      </w:r>
      <w:r>
        <w:rPr>
          <w:rFonts w:hint="eastAsia" w:ascii="宋体" w:hAnsi="宋体" w:cs="宋体"/>
          <w:color w:val="auto"/>
          <w:szCs w:val="21"/>
          <w:highlight w:val="none"/>
        </w:rPr>
        <w:t>的法定代表人代表本公司授权</w:t>
      </w:r>
      <w:r>
        <w:rPr>
          <w:rFonts w:hint="eastAsia" w:ascii="宋体" w:hAnsi="宋体" w:cs="宋体"/>
          <w:color w:val="auto"/>
          <w:szCs w:val="21"/>
          <w:highlight w:val="none"/>
          <w:u w:val="single"/>
        </w:rPr>
        <w:t xml:space="preserve">   （委托代理人姓名）   </w:t>
      </w:r>
      <w:r>
        <w:rPr>
          <w:rFonts w:hint="eastAsia" w:ascii="宋体" w:hAnsi="宋体" w:cs="宋体"/>
          <w:color w:val="auto"/>
          <w:szCs w:val="21"/>
          <w:highlight w:val="none"/>
        </w:rPr>
        <w:t>为本公司合法代理人，就贵方组织的有关</w:t>
      </w:r>
      <w:r>
        <w:rPr>
          <w:rFonts w:hint="eastAsia" w:ascii="宋体" w:hAnsi="宋体" w:cs="宋体"/>
          <w:color w:val="auto"/>
          <w:szCs w:val="21"/>
          <w:highlight w:val="none"/>
          <w:u w:val="single"/>
        </w:rPr>
        <w:t xml:space="preserve">    （采购项目名称）    </w:t>
      </w:r>
      <w:r>
        <w:rPr>
          <w:rFonts w:hint="eastAsia" w:ascii="宋体" w:hAnsi="宋体" w:cs="宋体"/>
          <w:color w:val="auto"/>
          <w:szCs w:val="21"/>
          <w:highlight w:val="none"/>
        </w:rPr>
        <w:t>项目（招标编号：  ）的招标，以本单位名义投标。代理人在本项目投标过程中所签署的一切文件和处理与之有关的一切事务，我方均予承认。</w:t>
      </w:r>
    </w:p>
    <w:p w14:paraId="4152DF3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代理人无转委托权。</w:t>
      </w:r>
    </w:p>
    <w:p w14:paraId="7645DAB5">
      <w:pPr>
        <w:spacing w:line="360" w:lineRule="auto"/>
        <w:ind w:firstLine="420" w:firstLineChars="200"/>
        <w:rPr>
          <w:rFonts w:hint="eastAsia" w:ascii="宋体" w:hAnsi="宋体" w:cs="宋体"/>
          <w:color w:val="auto"/>
          <w:szCs w:val="21"/>
          <w:highlight w:val="none"/>
        </w:rPr>
      </w:pPr>
    </w:p>
    <w:p w14:paraId="7FEDE16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供  应  商：（盖单位公章）</w:t>
      </w:r>
    </w:p>
    <w:p w14:paraId="5A5B010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法定代表人：（签名或盖章）</w:t>
      </w:r>
    </w:p>
    <w:p w14:paraId="3A82F47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身份证号码：</w:t>
      </w:r>
    </w:p>
    <w:p w14:paraId="3A4F7E0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委托代理人姓名：</w:t>
      </w:r>
    </w:p>
    <w:p w14:paraId="74868C4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职      务：</w:t>
      </w:r>
    </w:p>
    <w:p w14:paraId="66519CB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身份证号码：</w:t>
      </w:r>
    </w:p>
    <w:p w14:paraId="732B6FE8">
      <w:pPr>
        <w:spacing w:line="360" w:lineRule="auto"/>
        <w:ind w:firstLine="420" w:firstLineChars="200"/>
        <w:rPr>
          <w:rFonts w:hint="eastAsia" w:ascii="宋体" w:hAnsi="宋体" w:cs="宋体"/>
          <w:color w:val="auto"/>
          <w:szCs w:val="21"/>
          <w:highlight w:val="none"/>
          <w:u w:val="single"/>
        </w:rPr>
      </w:pPr>
    </w:p>
    <w:p w14:paraId="49BAC1D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年月日</w:t>
      </w:r>
    </w:p>
    <w:p w14:paraId="11346BF0">
      <w:pPr>
        <w:spacing w:line="360" w:lineRule="auto"/>
        <w:ind w:firstLine="420" w:firstLineChars="200"/>
        <w:rPr>
          <w:rFonts w:hint="eastAsia" w:ascii="宋体" w:hAnsi="宋体" w:cs="宋体"/>
          <w:color w:val="auto"/>
          <w:szCs w:val="21"/>
          <w:highlight w:val="none"/>
        </w:rPr>
      </w:pPr>
    </w:p>
    <w:p w14:paraId="6433859C">
      <w:pPr>
        <w:spacing w:line="360" w:lineRule="auto"/>
        <w:ind w:firstLine="420" w:firstLineChars="200"/>
        <w:rPr>
          <w:rFonts w:hint="eastAsia" w:ascii="宋体" w:hAnsi="宋体" w:cs="宋体"/>
          <w:color w:val="auto"/>
          <w:szCs w:val="21"/>
          <w:highlight w:val="none"/>
          <w:u w:val="single"/>
        </w:rPr>
      </w:pPr>
      <w:r>
        <w:rPr>
          <w:rFonts w:hint="eastAsia" w:ascii="宋体" w:hAnsi="宋体" w:cs="宋体"/>
          <w:color w:val="auto"/>
          <w:szCs w:val="21"/>
          <w:highlight w:val="none"/>
        </w:rPr>
        <w:t>附：委托代理人详细地址：</w:t>
      </w:r>
    </w:p>
    <w:p w14:paraId="33EAC5F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    电话：</w:t>
      </w:r>
    </w:p>
    <w:p w14:paraId="10362A0B">
      <w:pPr>
        <w:spacing w:line="360" w:lineRule="auto"/>
        <w:ind w:firstLine="420" w:firstLineChars="200"/>
        <w:rPr>
          <w:rFonts w:hint="eastAsia" w:ascii="宋体" w:hAnsi="宋体" w:cs="宋体"/>
          <w:color w:val="auto"/>
          <w:szCs w:val="21"/>
          <w:highlight w:val="none"/>
        </w:rPr>
      </w:pPr>
    </w:p>
    <w:p w14:paraId="001A302E">
      <w:pPr>
        <w:spacing w:line="360" w:lineRule="auto"/>
        <w:ind w:firstLine="480" w:firstLineChars="200"/>
        <w:rPr>
          <w:rFonts w:hint="eastAsia" w:ascii="宋体" w:hAnsi="宋体" w:cs="宋体"/>
          <w:color w:val="auto"/>
          <w:sz w:val="24"/>
          <w:highlight w:val="none"/>
        </w:rPr>
      </w:pPr>
    </w:p>
    <w:p w14:paraId="5348C4A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附委托代理人身份证复印件：</w:t>
      </w:r>
    </w:p>
    <w:p w14:paraId="7BC7787A">
      <w:pPr>
        <w:rPr>
          <w:color w:val="auto"/>
          <w:highlight w:val="none"/>
        </w:rPr>
      </w:pPr>
    </w:p>
    <w:p w14:paraId="4FF2AD75">
      <w:pPr>
        <w:rPr>
          <w:rFonts w:hint="eastAsia" w:ascii="宋体" w:hAnsi="宋体" w:cs="宋体"/>
          <w:color w:val="auto"/>
          <w:szCs w:val="28"/>
          <w:highlight w:val="none"/>
        </w:rPr>
      </w:pPr>
      <w:r>
        <w:rPr>
          <w:rFonts w:hint="eastAsia" w:ascii="宋体" w:hAnsi="宋体" w:cs="宋体"/>
          <w:color w:val="auto"/>
          <w:szCs w:val="28"/>
          <w:highlight w:val="none"/>
        </w:rPr>
        <w:br w:type="page"/>
      </w:r>
    </w:p>
    <w:p w14:paraId="61249C0F">
      <w:pPr>
        <w:pStyle w:val="4"/>
        <w:keepNext/>
        <w:numPr>
          <w:ilvl w:val="0"/>
          <w:numId w:val="0"/>
        </w:numPr>
        <w:tabs>
          <w:tab w:val="left" w:pos="1021"/>
          <w:tab w:val="clear" w:pos="360"/>
          <w:tab w:val="clear" w:pos="900"/>
          <w:tab w:val="clear" w:pos="1588"/>
        </w:tabs>
        <w:spacing w:before="0"/>
        <w:rPr>
          <w:rFonts w:hint="eastAsia" w:ascii="宋体" w:hAnsi="宋体" w:eastAsia="宋体" w:cs="宋体"/>
          <w:color w:val="auto"/>
          <w:szCs w:val="28"/>
          <w:highlight w:val="none"/>
        </w:rPr>
      </w:pPr>
      <w:bookmarkStart w:id="360" w:name="_Toc2215"/>
      <w:bookmarkStart w:id="361" w:name="_Toc26548"/>
      <w:bookmarkStart w:id="362" w:name="_Toc4698"/>
      <w:bookmarkStart w:id="363" w:name="_Toc4426"/>
      <w:bookmarkStart w:id="364" w:name="_Toc8668"/>
      <w:bookmarkStart w:id="365" w:name="_Toc31493"/>
      <w:bookmarkStart w:id="366" w:name="_Toc7459"/>
      <w:bookmarkStart w:id="367" w:name="_Toc16742"/>
      <w:r>
        <w:rPr>
          <w:rFonts w:hint="eastAsia" w:ascii="宋体" w:hAnsi="宋体" w:eastAsia="宋体" w:cs="宋体"/>
          <w:color w:val="auto"/>
          <w:szCs w:val="28"/>
          <w:highlight w:val="none"/>
        </w:rPr>
        <w:t>格式12：构成投标文件的其它资料</w:t>
      </w:r>
      <w:bookmarkEnd w:id="360"/>
      <w:bookmarkEnd w:id="361"/>
      <w:bookmarkEnd w:id="362"/>
      <w:bookmarkEnd w:id="363"/>
      <w:bookmarkEnd w:id="364"/>
      <w:bookmarkEnd w:id="365"/>
      <w:bookmarkEnd w:id="366"/>
      <w:bookmarkEnd w:id="367"/>
    </w:p>
    <w:p w14:paraId="1D3F3319">
      <w:pPr>
        <w:ind w:firstLine="420" w:firstLineChars="200"/>
        <w:rPr>
          <w:rFonts w:hint="eastAsia" w:ascii="宋体" w:hAnsi="宋体" w:cs="宋体"/>
          <w:b/>
          <w:color w:val="auto"/>
          <w:sz w:val="28"/>
          <w:szCs w:val="28"/>
          <w:highlight w:val="none"/>
        </w:rPr>
      </w:pPr>
      <w:r>
        <w:rPr>
          <w:rFonts w:hint="eastAsia" w:ascii="宋体" w:hAnsi="宋体" w:cs="宋体"/>
          <w:color w:val="auto"/>
          <w:szCs w:val="21"/>
          <w:highlight w:val="none"/>
        </w:rPr>
        <w:t>详见第二章“投标人须知前附表”，有格式的请按给定格式填写，无格式要求的请自拟格式。</w:t>
      </w:r>
      <w:bookmarkStart w:id="368" w:name="_Toc444762287"/>
      <w:bookmarkStart w:id="369" w:name="_Toc446063427"/>
    </w:p>
    <w:bookmarkEnd w:id="368"/>
    <w:bookmarkEnd w:id="369"/>
    <w:p w14:paraId="565D530D">
      <w:pPr>
        <w:widowControl/>
        <w:jc w:val="center"/>
        <w:rPr>
          <w:rFonts w:hint="eastAsia" w:ascii="宋体" w:hAnsi="宋体" w:cs="宋体"/>
          <w:b/>
          <w:color w:val="auto"/>
          <w:spacing w:val="6"/>
          <w:sz w:val="30"/>
          <w:szCs w:val="30"/>
          <w:highlight w:val="none"/>
        </w:rPr>
      </w:pPr>
      <w:bookmarkStart w:id="370" w:name="OLE_LINK14"/>
      <w:bookmarkStart w:id="371" w:name="OLE_LINK13"/>
      <w:r>
        <w:rPr>
          <w:rFonts w:hint="eastAsia" w:ascii="宋体" w:hAnsi="宋体" w:cs="宋体"/>
          <w:b/>
          <w:color w:val="auto"/>
          <w:sz w:val="28"/>
          <w:szCs w:val="28"/>
          <w:highlight w:val="none"/>
        </w:rPr>
        <w:t>格式12-1：中小企业声明函</w:t>
      </w:r>
    </w:p>
    <w:p w14:paraId="08025B40">
      <w:pPr>
        <w:spacing w:line="720" w:lineRule="auto"/>
        <w:jc w:val="center"/>
        <w:rPr>
          <w:rFonts w:hint="eastAsia" w:ascii="宋体" w:hAnsi="宋体" w:cs="宋体"/>
          <w:b/>
          <w:bCs/>
          <w:color w:val="auto"/>
          <w:sz w:val="32"/>
          <w:szCs w:val="40"/>
          <w:highlight w:val="none"/>
        </w:rPr>
      </w:pPr>
      <w:r>
        <w:rPr>
          <w:rFonts w:hint="eastAsia" w:ascii="宋体" w:hAnsi="宋体"/>
          <w:color w:val="auto"/>
          <w:highlight w:val="none"/>
        </w:rPr>
        <w:t>　</w:t>
      </w:r>
      <w:r>
        <w:rPr>
          <w:rFonts w:hint="eastAsia" w:ascii="宋体" w:hAnsi="宋体" w:cs="宋体"/>
          <w:b/>
          <w:bCs/>
          <w:color w:val="auto"/>
          <w:sz w:val="32"/>
          <w:szCs w:val="40"/>
          <w:highlight w:val="none"/>
        </w:rPr>
        <w:t>　中小企业声明函（服务）</w:t>
      </w:r>
    </w:p>
    <w:p w14:paraId="3A9E8EBA">
      <w:pPr>
        <w:spacing w:line="480" w:lineRule="auto"/>
        <w:ind w:firstLine="420"/>
        <w:rPr>
          <w:rFonts w:hint="eastAsia" w:ascii="宋体" w:hAnsi="宋体" w:cs="宋体"/>
          <w:color w:val="auto"/>
          <w:sz w:val="22"/>
          <w:szCs w:val="28"/>
          <w:highlight w:val="none"/>
        </w:rPr>
      </w:pPr>
      <w:r>
        <w:rPr>
          <w:rFonts w:hint="eastAsia" w:ascii="宋体" w:hAnsi="宋体" w:cs="宋体"/>
          <w:color w:val="auto"/>
          <w:sz w:val="22"/>
          <w:szCs w:val="28"/>
          <w:highlight w:val="none"/>
        </w:rPr>
        <w:t>本公司（联合体）郑重声明，根据《政府采购促进中小企业发展管理办法》（财库（2020）46号）的规定，本公司（联合体）参加</w:t>
      </w:r>
      <w:r>
        <w:rPr>
          <w:rFonts w:hint="eastAsia" w:ascii="宋体" w:hAnsi="宋体" w:cs="宋体"/>
          <w:color w:val="auto"/>
          <w:sz w:val="22"/>
          <w:szCs w:val="28"/>
          <w:highlight w:val="none"/>
          <w:u w:val="single"/>
          <w:lang w:eastAsia="zh-CN"/>
        </w:rPr>
        <w:t>云南技师学院</w:t>
      </w:r>
      <w:r>
        <w:rPr>
          <w:rFonts w:hint="eastAsia" w:ascii="宋体" w:hAnsi="宋体" w:cs="宋体"/>
          <w:color w:val="auto"/>
          <w:sz w:val="22"/>
          <w:szCs w:val="28"/>
          <w:highlight w:val="none"/>
        </w:rPr>
        <w:t>的</w:t>
      </w:r>
      <w:r>
        <w:rPr>
          <w:rFonts w:hint="eastAsia" w:ascii="宋体" w:hAnsi="宋体" w:cs="宋体"/>
          <w:color w:val="auto"/>
          <w:sz w:val="22"/>
          <w:szCs w:val="28"/>
          <w:highlight w:val="none"/>
          <w:u w:val="single"/>
          <w:lang w:eastAsia="zh-CN"/>
        </w:rPr>
        <w:t>云南技师学院（云南工贸职业技术学院）2026-2029年物业服务项目采购</w:t>
      </w:r>
      <w:r>
        <w:rPr>
          <w:rFonts w:hint="eastAsia" w:ascii="宋体" w:hAnsi="宋体" w:cs="宋体"/>
          <w:color w:val="auto"/>
          <w:sz w:val="22"/>
          <w:szCs w:val="28"/>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DFC5497">
      <w:pPr>
        <w:numPr>
          <w:ilvl w:val="0"/>
          <w:numId w:val="4"/>
        </w:numPr>
        <w:spacing w:line="480" w:lineRule="auto"/>
        <w:ind w:firstLine="420"/>
        <w:rPr>
          <w:rFonts w:hint="eastAsia" w:ascii="宋体" w:hAnsi="宋体" w:cs="宋体"/>
          <w:color w:val="auto"/>
          <w:sz w:val="22"/>
          <w:szCs w:val="28"/>
          <w:highlight w:val="none"/>
        </w:rPr>
      </w:pPr>
      <w:r>
        <w:rPr>
          <w:rFonts w:hint="eastAsia" w:ascii="宋体" w:hAnsi="宋体" w:cs="宋体"/>
          <w:color w:val="auto"/>
          <w:sz w:val="22"/>
          <w:szCs w:val="28"/>
          <w:highlight w:val="none"/>
          <w:u w:val="single"/>
          <w:lang w:eastAsia="zh-CN"/>
        </w:rPr>
        <w:t>云南技师学院（云南工贸职业技术学院）2026-2029年物业服务项目采购</w:t>
      </w:r>
      <w:r>
        <w:rPr>
          <w:rFonts w:hint="eastAsia" w:ascii="宋体" w:hAnsi="宋体" w:cs="宋体"/>
          <w:color w:val="auto"/>
          <w:sz w:val="22"/>
          <w:szCs w:val="28"/>
          <w:highlight w:val="none"/>
          <w:u w:val="single"/>
        </w:rPr>
        <w:t>，</w:t>
      </w:r>
      <w:r>
        <w:rPr>
          <w:rFonts w:hint="eastAsia" w:ascii="宋体" w:hAnsi="宋体" w:cs="宋体"/>
          <w:color w:val="auto"/>
          <w:sz w:val="22"/>
          <w:szCs w:val="28"/>
          <w:highlight w:val="none"/>
        </w:rPr>
        <w:t>属于</w:t>
      </w:r>
      <w:r>
        <w:rPr>
          <w:rFonts w:hint="eastAsia" w:ascii="宋体" w:hAnsi="宋体" w:cs="宋体"/>
          <w:b/>
          <w:bCs/>
          <w:color w:val="auto"/>
          <w:sz w:val="22"/>
          <w:szCs w:val="28"/>
          <w:highlight w:val="none"/>
          <w:u w:val="single"/>
        </w:rPr>
        <w:t>物业管理</w:t>
      </w:r>
      <w:r>
        <w:rPr>
          <w:rFonts w:hint="eastAsia" w:ascii="宋体" w:hAnsi="宋体" w:cs="宋体"/>
          <w:color w:val="auto"/>
          <w:sz w:val="22"/>
          <w:szCs w:val="28"/>
          <w:highlight w:val="none"/>
        </w:rPr>
        <w:t>；承建（承接）企业</w:t>
      </w:r>
      <w:r>
        <w:rPr>
          <w:rFonts w:hint="eastAsia" w:ascii="宋体" w:hAnsi="宋体" w:cs="宋体"/>
          <w:color w:val="auto"/>
          <w:sz w:val="22"/>
          <w:szCs w:val="28"/>
          <w:highlight w:val="none"/>
          <w:lang w:eastAsia="zh-CN"/>
        </w:rPr>
        <w:t>（</w:t>
      </w:r>
      <w:r>
        <w:rPr>
          <w:rFonts w:hint="eastAsia" w:ascii="宋体" w:hAnsi="宋体" w:cs="宋体"/>
          <w:color w:val="auto"/>
          <w:sz w:val="22"/>
          <w:szCs w:val="28"/>
          <w:highlight w:val="none"/>
          <w:lang w:val="en-US" w:eastAsia="zh-CN"/>
        </w:rPr>
        <w:t>联合体主体</w:t>
      </w:r>
      <w:r>
        <w:rPr>
          <w:rFonts w:hint="eastAsia" w:ascii="宋体" w:hAnsi="宋体" w:cs="宋体"/>
          <w:color w:val="auto"/>
          <w:sz w:val="22"/>
          <w:szCs w:val="28"/>
          <w:highlight w:val="none"/>
          <w:lang w:eastAsia="zh-CN"/>
        </w:rPr>
        <w:t>）</w:t>
      </w:r>
      <w:r>
        <w:rPr>
          <w:rFonts w:hint="eastAsia" w:ascii="宋体" w:hAnsi="宋体" w:cs="宋体"/>
          <w:color w:val="auto"/>
          <w:sz w:val="22"/>
          <w:szCs w:val="28"/>
          <w:highlight w:val="none"/>
        </w:rPr>
        <w:t>为</w:t>
      </w:r>
      <w:r>
        <w:rPr>
          <w:rFonts w:hint="eastAsia" w:ascii="宋体" w:hAnsi="宋体" w:cs="宋体"/>
          <w:color w:val="auto"/>
          <w:sz w:val="22"/>
          <w:szCs w:val="28"/>
          <w:highlight w:val="none"/>
          <w:u w:val="single"/>
        </w:rPr>
        <w:t>（企业名称）</w:t>
      </w:r>
      <w:r>
        <w:rPr>
          <w:rFonts w:hint="eastAsia" w:ascii="宋体" w:hAnsi="宋体" w:cs="宋体"/>
          <w:color w:val="auto"/>
          <w:sz w:val="22"/>
          <w:szCs w:val="28"/>
          <w:highlight w:val="none"/>
        </w:rPr>
        <w:t>，从业人员_____人，营业收入为_____万元，资产总额为_____万元</w:t>
      </w:r>
      <w:r>
        <w:rPr>
          <w:rFonts w:hint="eastAsia" w:ascii="宋体" w:hAnsi="宋体" w:cs="宋体"/>
          <w:color w:val="auto"/>
          <w:sz w:val="22"/>
          <w:szCs w:val="28"/>
          <w:highlight w:val="none"/>
          <w:vertAlign w:val="superscript"/>
        </w:rPr>
        <w:t>1</w:t>
      </w:r>
      <w:r>
        <w:rPr>
          <w:rFonts w:hint="eastAsia" w:ascii="宋体" w:hAnsi="宋体" w:cs="宋体"/>
          <w:color w:val="auto"/>
          <w:sz w:val="22"/>
          <w:szCs w:val="28"/>
          <w:highlight w:val="none"/>
        </w:rPr>
        <w:t>，属于</w:t>
      </w:r>
      <w:r>
        <w:rPr>
          <w:rFonts w:hint="eastAsia" w:ascii="宋体" w:hAnsi="宋体" w:cs="宋体"/>
          <w:color w:val="auto"/>
          <w:sz w:val="22"/>
          <w:szCs w:val="28"/>
          <w:highlight w:val="none"/>
          <w:u w:val="single"/>
        </w:rPr>
        <w:t>（中型企业、小型企业、微型企业）</w:t>
      </w:r>
      <w:r>
        <w:rPr>
          <w:rFonts w:hint="eastAsia" w:ascii="宋体" w:hAnsi="宋体" w:cs="宋体"/>
          <w:color w:val="auto"/>
          <w:sz w:val="22"/>
          <w:szCs w:val="28"/>
          <w:highlight w:val="none"/>
        </w:rPr>
        <w:t>；</w:t>
      </w:r>
    </w:p>
    <w:p w14:paraId="7F9A7512">
      <w:pPr>
        <w:numPr>
          <w:ilvl w:val="0"/>
          <w:numId w:val="4"/>
        </w:numPr>
        <w:spacing w:line="480" w:lineRule="auto"/>
        <w:ind w:firstLine="420"/>
        <w:rPr>
          <w:rFonts w:hint="eastAsia" w:ascii="宋体" w:hAnsi="宋体" w:cs="宋体"/>
          <w:color w:val="auto"/>
          <w:sz w:val="22"/>
          <w:szCs w:val="28"/>
          <w:highlight w:val="none"/>
        </w:rPr>
      </w:pPr>
      <w:r>
        <w:rPr>
          <w:rFonts w:hint="eastAsia" w:ascii="宋体" w:hAnsi="宋体" w:cs="宋体"/>
          <w:color w:val="auto"/>
          <w:sz w:val="22"/>
          <w:szCs w:val="28"/>
          <w:highlight w:val="none"/>
          <w:u w:val="single"/>
          <w:lang w:eastAsia="zh-CN"/>
        </w:rPr>
        <w:t>云南技师学院（云南工贸职业技术学院）2026-2029年物业服务项目采购</w:t>
      </w:r>
      <w:r>
        <w:rPr>
          <w:rFonts w:hint="eastAsia" w:ascii="宋体" w:hAnsi="宋体" w:cs="宋体"/>
          <w:color w:val="auto"/>
          <w:sz w:val="22"/>
          <w:szCs w:val="28"/>
          <w:highlight w:val="none"/>
        </w:rPr>
        <w:t>，属于</w:t>
      </w:r>
      <w:r>
        <w:rPr>
          <w:rFonts w:hint="eastAsia" w:ascii="宋体" w:hAnsi="宋体" w:cs="宋体"/>
          <w:color w:val="auto"/>
          <w:sz w:val="22"/>
          <w:szCs w:val="28"/>
          <w:highlight w:val="none"/>
          <w:u w:val="single"/>
        </w:rPr>
        <w:t>物业管理</w:t>
      </w:r>
      <w:r>
        <w:rPr>
          <w:rFonts w:hint="eastAsia" w:ascii="宋体" w:hAnsi="宋体" w:cs="宋体"/>
          <w:color w:val="auto"/>
          <w:sz w:val="22"/>
          <w:szCs w:val="28"/>
          <w:highlight w:val="none"/>
        </w:rPr>
        <w:t>；承建（承接）企业</w:t>
      </w:r>
      <w:r>
        <w:rPr>
          <w:rFonts w:hint="eastAsia" w:ascii="宋体" w:hAnsi="宋体" w:cs="宋体"/>
          <w:color w:val="auto"/>
          <w:sz w:val="22"/>
          <w:szCs w:val="28"/>
          <w:highlight w:val="none"/>
          <w:lang w:eastAsia="zh-CN"/>
        </w:rPr>
        <w:t>（</w:t>
      </w:r>
      <w:r>
        <w:rPr>
          <w:rFonts w:hint="eastAsia" w:ascii="宋体" w:hAnsi="宋体" w:cs="宋体"/>
          <w:color w:val="auto"/>
          <w:sz w:val="22"/>
          <w:szCs w:val="28"/>
          <w:highlight w:val="none"/>
          <w:lang w:val="en-US" w:eastAsia="zh-CN"/>
        </w:rPr>
        <w:t>联合体</w:t>
      </w:r>
      <w:r>
        <w:rPr>
          <w:rFonts w:hint="eastAsia" w:ascii="宋体" w:hAnsi="宋体" w:cs="宋体"/>
          <w:color w:val="auto"/>
          <w:sz w:val="22"/>
          <w:szCs w:val="28"/>
          <w:highlight w:val="none"/>
          <w:lang w:eastAsia="zh-CN"/>
        </w:rPr>
        <w:t>）</w:t>
      </w:r>
      <w:r>
        <w:rPr>
          <w:rFonts w:hint="eastAsia" w:ascii="宋体" w:hAnsi="宋体" w:cs="宋体"/>
          <w:color w:val="auto"/>
          <w:sz w:val="22"/>
          <w:szCs w:val="28"/>
          <w:highlight w:val="none"/>
        </w:rPr>
        <w:t>为</w:t>
      </w:r>
      <w:r>
        <w:rPr>
          <w:rFonts w:hint="eastAsia" w:ascii="宋体" w:hAnsi="宋体" w:cs="宋体"/>
          <w:color w:val="auto"/>
          <w:sz w:val="22"/>
          <w:szCs w:val="28"/>
          <w:highlight w:val="none"/>
          <w:u w:val="single"/>
        </w:rPr>
        <w:t>（企业名称）</w:t>
      </w:r>
      <w:r>
        <w:rPr>
          <w:rFonts w:hint="eastAsia" w:ascii="宋体" w:hAnsi="宋体" w:cs="宋体"/>
          <w:color w:val="auto"/>
          <w:sz w:val="22"/>
          <w:szCs w:val="28"/>
          <w:highlight w:val="none"/>
        </w:rPr>
        <w:t>，从业人员_____人，营业收入为_____万元，资产总额为_____万元1，属于（中型企业、小型企业、微型企业）；</w:t>
      </w:r>
    </w:p>
    <w:p w14:paraId="681D36F0">
      <w:pPr>
        <w:spacing w:line="480" w:lineRule="auto"/>
        <w:ind w:firstLine="440" w:firstLineChars="200"/>
        <w:rPr>
          <w:rFonts w:hint="eastAsia" w:ascii="宋体" w:hAnsi="宋体" w:cs="宋体"/>
          <w:color w:val="auto"/>
          <w:sz w:val="22"/>
          <w:szCs w:val="28"/>
          <w:highlight w:val="none"/>
        </w:rPr>
      </w:pPr>
      <w:r>
        <w:rPr>
          <w:rFonts w:hint="eastAsia" w:ascii="宋体" w:hAnsi="宋体" w:cs="宋体"/>
          <w:color w:val="auto"/>
          <w:sz w:val="22"/>
          <w:szCs w:val="28"/>
          <w:highlight w:val="none"/>
        </w:rPr>
        <w:t>以上企业</w:t>
      </w:r>
      <w:r>
        <w:rPr>
          <w:rFonts w:hint="eastAsia" w:ascii="宋体" w:hAnsi="宋体" w:cs="宋体"/>
          <w:color w:val="auto"/>
          <w:sz w:val="22"/>
          <w:szCs w:val="28"/>
          <w:highlight w:val="none"/>
          <w:lang w:eastAsia="zh-CN"/>
        </w:rPr>
        <w:t>（</w:t>
      </w:r>
      <w:r>
        <w:rPr>
          <w:rFonts w:hint="eastAsia" w:ascii="宋体" w:hAnsi="宋体" w:cs="宋体"/>
          <w:color w:val="auto"/>
          <w:sz w:val="22"/>
          <w:szCs w:val="28"/>
          <w:highlight w:val="none"/>
          <w:lang w:val="en-US" w:eastAsia="zh-CN"/>
        </w:rPr>
        <w:t>联合体</w:t>
      </w:r>
      <w:r>
        <w:rPr>
          <w:rFonts w:hint="eastAsia" w:ascii="宋体" w:hAnsi="宋体" w:cs="宋体"/>
          <w:color w:val="auto"/>
          <w:sz w:val="22"/>
          <w:szCs w:val="28"/>
          <w:highlight w:val="none"/>
          <w:lang w:eastAsia="zh-CN"/>
        </w:rPr>
        <w:t>）</w:t>
      </w:r>
      <w:r>
        <w:rPr>
          <w:rFonts w:hint="eastAsia" w:ascii="宋体" w:hAnsi="宋体" w:cs="宋体"/>
          <w:color w:val="auto"/>
          <w:sz w:val="22"/>
          <w:szCs w:val="28"/>
          <w:highlight w:val="none"/>
        </w:rPr>
        <w:t>，不属于大企业的分支机构，不存在控股股东为大企业的情形，也不存在与大企业的负责人为同一人的情形。</w:t>
      </w:r>
    </w:p>
    <w:p w14:paraId="008F470C">
      <w:pPr>
        <w:spacing w:line="480" w:lineRule="auto"/>
        <w:ind w:firstLine="420"/>
        <w:rPr>
          <w:rFonts w:hint="eastAsia" w:ascii="宋体" w:hAnsi="宋体" w:cs="宋体"/>
          <w:color w:val="auto"/>
          <w:sz w:val="22"/>
          <w:szCs w:val="28"/>
          <w:highlight w:val="none"/>
        </w:rPr>
      </w:pPr>
      <w:r>
        <w:rPr>
          <w:rFonts w:hint="eastAsia" w:ascii="宋体" w:hAnsi="宋体" w:cs="宋体"/>
          <w:color w:val="auto"/>
          <w:sz w:val="22"/>
          <w:szCs w:val="28"/>
          <w:highlight w:val="none"/>
        </w:rPr>
        <w:t>本企业</w:t>
      </w:r>
      <w:r>
        <w:rPr>
          <w:rFonts w:hint="eastAsia" w:ascii="宋体" w:hAnsi="宋体" w:cs="宋体"/>
          <w:color w:val="auto"/>
          <w:sz w:val="22"/>
          <w:szCs w:val="28"/>
          <w:highlight w:val="none"/>
          <w:lang w:eastAsia="zh-CN"/>
        </w:rPr>
        <w:t>（</w:t>
      </w:r>
      <w:r>
        <w:rPr>
          <w:rFonts w:hint="eastAsia" w:ascii="宋体" w:hAnsi="宋体" w:cs="宋体"/>
          <w:color w:val="auto"/>
          <w:sz w:val="22"/>
          <w:szCs w:val="28"/>
          <w:highlight w:val="none"/>
          <w:lang w:val="en-US" w:eastAsia="zh-CN"/>
        </w:rPr>
        <w:t>联合体</w:t>
      </w:r>
      <w:r>
        <w:rPr>
          <w:rFonts w:hint="eastAsia" w:ascii="宋体" w:hAnsi="宋体" w:cs="宋体"/>
          <w:color w:val="auto"/>
          <w:sz w:val="22"/>
          <w:szCs w:val="28"/>
          <w:highlight w:val="none"/>
          <w:lang w:eastAsia="zh-CN"/>
        </w:rPr>
        <w:t>）</w:t>
      </w:r>
      <w:r>
        <w:rPr>
          <w:rFonts w:hint="eastAsia" w:ascii="宋体" w:hAnsi="宋体" w:cs="宋体"/>
          <w:color w:val="auto"/>
          <w:sz w:val="22"/>
          <w:szCs w:val="28"/>
          <w:highlight w:val="none"/>
        </w:rPr>
        <w:t>对上述声明内容的真实性负责，如有虚假，将依法承担相应责任。</w:t>
      </w:r>
    </w:p>
    <w:p w14:paraId="3EEFF9BD">
      <w:pPr>
        <w:spacing w:line="480" w:lineRule="auto"/>
        <w:ind w:firstLine="4840" w:firstLineChars="2200"/>
        <w:rPr>
          <w:rFonts w:hint="eastAsia" w:ascii="宋体" w:hAnsi="宋体" w:cs="宋体"/>
          <w:color w:val="auto"/>
          <w:sz w:val="22"/>
          <w:szCs w:val="28"/>
          <w:highlight w:val="none"/>
        </w:rPr>
      </w:pPr>
      <w:r>
        <w:rPr>
          <w:rFonts w:hint="eastAsia" w:ascii="宋体" w:hAnsi="宋体" w:cs="宋体"/>
          <w:color w:val="auto"/>
          <w:sz w:val="22"/>
          <w:szCs w:val="28"/>
          <w:highlight w:val="none"/>
        </w:rPr>
        <w:t>投标人（盖章）：</w:t>
      </w:r>
    </w:p>
    <w:p w14:paraId="4AADC876">
      <w:pPr>
        <w:spacing w:line="480" w:lineRule="auto"/>
        <w:ind w:firstLine="4840" w:firstLineChars="2200"/>
        <w:rPr>
          <w:rFonts w:hint="eastAsia" w:ascii="宋体" w:hAnsi="宋体" w:cs="宋体"/>
          <w:color w:val="auto"/>
          <w:sz w:val="22"/>
          <w:szCs w:val="28"/>
          <w:highlight w:val="none"/>
        </w:rPr>
      </w:pPr>
      <w:r>
        <w:rPr>
          <w:rFonts w:hint="eastAsia" w:ascii="宋体" w:hAnsi="宋体" w:cs="宋体"/>
          <w:color w:val="auto"/>
          <w:sz w:val="22"/>
          <w:szCs w:val="28"/>
          <w:highlight w:val="none"/>
        </w:rPr>
        <w:t>日期：</w:t>
      </w:r>
    </w:p>
    <w:p w14:paraId="0C5C2F18">
      <w:pPr>
        <w:adjustRightInd w:val="0"/>
        <w:snapToGrid w:val="0"/>
        <w:spacing w:line="3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t>注：1.从业人员、营业收入、资产总额填报上一年度数据，无上一年度数据的新成立企业可不填报。</w:t>
      </w:r>
    </w:p>
    <w:p w14:paraId="68F066DE">
      <w:pPr>
        <w:adjustRightInd w:val="0"/>
        <w:snapToGrid w:val="0"/>
        <w:spacing w:line="360" w:lineRule="exact"/>
        <w:ind w:firstLine="360" w:firstLineChars="200"/>
        <w:rPr>
          <w:rFonts w:hint="eastAsia" w:ascii="宋体" w:hAnsi="宋体" w:cs="宋体"/>
          <w:color w:val="auto"/>
          <w:sz w:val="18"/>
          <w:szCs w:val="18"/>
          <w:highlight w:val="none"/>
        </w:rPr>
      </w:pPr>
      <w:r>
        <w:rPr>
          <w:rFonts w:hint="eastAsia" w:ascii="宋体" w:hAnsi="宋体" w:cs="宋体"/>
          <w:color w:val="auto"/>
          <w:sz w:val="18"/>
          <w:szCs w:val="18"/>
          <w:highlight w:val="none"/>
        </w:rPr>
        <w:t>2.中小企业应当按照《政府采购促进中小企业发展管理办法》（财库〔2020〕46号）规定和《中小企业划型标准规定》（工信部联企业〔2011〕300号），如实填写并提交《中小企业声明函》。供应商对企业类型判断有困难的，可通过工业化和信息化部网站自测小程序，识别企业规模类型。（</w:t>
      </w:r>
      <w:r>
        <w:rPr>
          <w:rFonts w:ascii="宋体" w:hAnsi="宋体" w:cs="宋体"/>
          <w:color w:val="auto"/>
          <w:sz w:val="18"/>
          <w:szCs w:val="18"/>
          <w:highlight w:val="none"/>
        </w:rPr>
        <w:t>https://baosong.miit.gov.cn/ScaleTest</w:t>
      </w:r>
      <w:r>
        <w:rPr>
          <w:rFonts w:hint="eastAsia" w:ascii="宋体" w:hAnsi="宋体" w:cs="宋体"/>
          <w:color w:val="auto"/>
          <w:sz w:val="18"/>
          <w:szCs w:val="18"/>
          <w:highlight w:val="none"/>
        </w:rPr>
        <w:t>）</w:t>
      </w:r>
    </w:p>
    <w:p w14:paraId="46BEC567">
      <w:pPr>
        <w:pStyle w:val="32"/>
        <w:adjustRightInd w:val="0"/>
        <w:snapToGrid w:val="0"/>
        <w:spacing w:after="0" w:line="360" w:lineRule="exact"/>
        <w:ind w:left="0" w:leftChars="0" w:firstLine="344"/>
        <w:rPr>
          <w:rFonts w:hint="eastAsia" w:hAnsi="宋体"/>
          <w:color w:val="auto"/>
          <w:sz w:val="18"/>
          <w:szCs w:val="18"/>
          <w:highlight w:val="none"/>
        </w:rPr>
      </w:pPr>
      <w:r>
        <w:rPr>
          <w:rFonts w:hint="eastAsia" w:hAnsi="宋体"/>
          <w:color w:val="auto"/>
          <w:sz w:val="18"/>
          <w:szCs w:val="18"/>
          <w:highlight w:val="none"/>
        </w:rPr>
        <w:t>3.投标人填写本表时，对企业类型填写应准确、唯一，不允许跨越式填写（如中小企业、小微企业等），</w:t>
      </w:r>
      <w:r>
        <w:rPr>
          <w:rFonts w:hint="eastAsia" w:hAnsi="宋体"/>
          <w:b/>
          <w:bCs/>
          <w:color w:val="auto"/>
          <w:sz w:val="18"/>
          <w:szCs w:val="18"/>
          <w:highlight w:val="none"/>
        </w:rPr>
        <w:t>所属行业不得更改</w:t>
      </w:r>
      <w:r>
        <w:rPr>
          <w:rFonts w:hint="eastAsia" w:hAnsi="宋体"/>
          <w:color w:val="auto"/>
          <w:sz w:val="18"/>
          <w:szCs w:val="18"/>
          <w:highlight w:val="none"/>
        </w:rPr>
        <w:t>，因供应商原因导致无法准确判断企业规模类型的，</w:t>
      </w:r>
      <w:r>
        <w:rPr>
          <w:rFonts w:hint="eastAsia" w:hAnsi="宋体"/>
          <w:color w:val="auto"/>
          <w:sz w:val="18"/>
          <w:szCs w:val="18"/>
          <w:highlight w:val="none"/>
          <w:lang w:val="en-US" w:eastAsia="zh-CN"/>
        </w:rPr>
        <w:t>资格审查不予通过</w:t>
      </w:r>
      <w:r>
        <w:rPr>
          <w:rFonts w:hint="eastAsia" w:hAnsi="宋体"/>
          <w:color w:val="auto"/>
          <w:sz w:val="18"/>
          <w:szCs w:val="18"/>
          <w:highlight w:val="none"/>
        </w:rPr>
        <w:t>。</w:t>
      </w:r>
    </w:p>
    <w:p w14:paraId="4AC430E3">
      <w:pPr>
        <w:pStyle w:val="32"/>
        <w:adjustRightInd w:val="0"/>
        <w:snapToGrid w:val="0"/>
        <w:spacing w:after="0" w:line="360" w:lineRule="exact"/>
        <w:ind w:left="0" w:leftChars="0" w:firstLine="344"/>
        <w:rPr>
          <w:rFonts w:hint="eastAsia" w:hAnsi="宋体"/>
          <w:color w:val="auto"/>
          <w:sz w:val="18"/>
          <w:szCs w:val="18"/>
          <w:highlight w:val="none"/>
          <w:lang w:val="en-US" w:eastAsia="zh-CN"/>
        </w:rPr>
      </w:pPr>
      <w:r>
        <w:rPr>
          <w:rFonts w:hint="eastAsia" w:hAnsi="宋体"/>
          <w:color w:val="auto"/>
          <w:sz w:val="18"/>
          <w:szCs w:val="18"/>
          <w:highlight w:val="none"/>
          <w:lang w:val="en-US" w:eastAsia="zh-CN"/>
        </w:rPr>
        <w:t>4.如联合体投标，需在企业名称处填写联合体各方名称，声明函由联合体（作为一个投标人）出具，落款盖章由联合体牵头人加盖公章。</w:t>
      </w:r>
    </w:p>
    <w:p w14:paraId="4751C1BC">
      <w:pPr>
        <w:pStyle w:val="32"/>
        <w:adjustRightInd w:val="0"/>
        <w:snapToGrid w:val="0"/>
        <w:spacing w:after="0" w:line="360" w:lineRule="exact"/>
        <w:ind w:left="0" w:leftChars="0" w:firstLine="344"/>
        <w:rPr>
          <w:rFonts w:hint="default" w:hAnsi="宋体"/>
          <w:color w:val="auto"/>
          <w:sz w:val="18"/>
          <w:szCs w:val="18"/>
          <w:highlight w:val="none"/>
          <w:lang w:val="en-US" w:eastAsia="zh-CN"/>
        </w:rPr>
      </w:pPr>
      <w:r>
        <w:rPr>
          <w:rFonts w:hint="eastAsia" w:hAnsi="宋体"/>
          <w:color w:val="auto"/>
          <w:sz w:val="18"/>
          <w:szCs w:val="18"/>
          <w:highlight w:val="none"/>
          <w:lang w:val="en-US" w:eastAsia="zh-CN"/>
        </w:rPr>
        <w:t>5.函内必须名列所有成员企业规模及数据，但无需成员各自单独盖章。</w:t>
      </w:r>
    </w:p>
    <w:p w14:paraId="567DD017">
      <w:pPr>
        <w:spacing w:line="588" w:lineRule="exact"/>
        <w:jc w:val="center"/>
        <w:rPr>
          <w:rFonts w:hint="eastAsia" w:ascii="宋体" w:hAnsi="宋体" w:cs="宋体"/>
          <w:b/>
          <w:color w:val="auto"/>
          <w:sz w:val="28"/>
          <w:szCs w:val="28"/>
          <w:highlight w:val="none"/>
        </w:rPr>
      </w:pPr>
    </w:p>
    <w:p w14:paraId="3826AA58">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75630506">
      <w:pPr>
        <w:spacing w:line="588" w:lineRule="exact"/>
        <w:jc w:val="center"/>
        <w:rPr>
          <w:rFonts w:hint="eastAsia" w:ascii="宋体" w:hAnsi="宋体" w:cs="宋体"/>
          <w:b/>
          <w:color w:val="auto"/>
          <w:spacing w:val="6"/>
          <w:sz w:val="32"/>
          <w:szCs w:val="32"/>
          <w:highlight w:val="none"/>
        </w:rPr>
      </w:pPr>
      <w:r>
        <w:rPr>
          <w:rFonts w:hint="eastAsia" w:ascii="宋体" w:hAnsi="宋体" w:cs="宋体"/>
          <w:b/>
          <w:color w:val="auto"/>
          <w:sz w:val="28"/>
          <w:szCs w:val="28"/>
          <w:highlight w:val="none"/>
        </w:rPr>
        <w:t>格式12-2：残疾人福利性单位声明函</w:t>
      </w:r>
    </w:p>
    <w:bookmarkEnd w:id="370"/>
    <w:bookmarkEnd w:id="371"/>
    <w:p w14:paraId="21220A92">
      <w:pPr>
        <w:spacing w:line="588" w:lineRule="exact"/>
        <w:rPr>
          <w:rFonts w:hint="eastAsia" w:ascii="宋体" w:hAnsi="宋体" w:cs="宋体"/>
          <w:b/>
          <w:color w:val="auto"/>
          <w:spacing w:val="6"/>
          <w:sz w:val="30"/>
          <w:szCs w:val="30"/>
          <w:highlight w:val="none"/>
        </w:rPr>
      </w:pPr>
    </w:p>
    <w:p w14:paraId="3B72BB70">
      <w:pPr>
        <w:spacing w:line="360" w:lineRule="auto"/>
        <w:ind w:firstLine="504" w:firstLineChars="200"/>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rPr>
        <w:t>〔2017〕 141</w:t>
      </w:r>
      <w:r>
        <w:rPr>
          <w:rFonts w:hint="eastAsia" w:ascii="宋体" w:hAnsi="宋体" w:cs="宋体"/>
          <w:color w:val="auto"/>
          <w:spacing w:val="6"/>
          <w:sz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60DA6BB">
      <w:pPr>
        <w:spacing w:line="360" w:lineRule="auto"/>
        <w:ind w:firstLine="504" w:firstLineChars="200"/>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p w14:paraId="12B85424">
      <w:pPr>
        <w:spacing w:line="360" w:lineRule="auto"/>
        <w:ind w:firstLine="504" w:firstLineChars="200"/>
        <w:rPr>
          <w:rFonts w:hint="eastAsia" w:ascii="宋体" w:hAnsi="宋体" w:cs="宋体"/>
          <w:color w:val="auto"/>
          <w:spacing w:val="6"/>
          <w:sz w:val="24"/>
          <w:highlight w:val="none"/>
        </w:rPr>
      </w:pPr>
    </w:p>
    <w:p w14:paraId="2E15FC06">
      <w:pPr>
        <w:spacing w:line="360" w:lineRule="auto"/>
        <w:ind w:firstLine="504" w:firstLineChars="200"/>
        <w:rPr>
          <w:rFonts w:hint="eastAsia" w:ascii="宋体" w:hAnsi="宋体" w:cs="宋体"/>
          <w:color w:val="auto"/>
          <w:spacing w:val="6"/>
          <w:sz w:val="24"/>
          <w:highlight w:val="none"/>
        </w:rPr>
      </w:pPr>
    </w:p>
    <w:p w14:paraId="688875C1">
      <w:pPr>
        <w:tabs>
          <w:tab w:val="left" w:pos="4860"/>
        </w:tabs>
        <w:spacing w:line="360" w:lineRule="auto"/>
        <w:ind w:right="1560" w:firstLine="504" w:firstLineChars="200"/>
        <w:jc w:val="center"/>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单位名称（盖章）：</w:t>
      </w:r>
    </w:p>
    <w:p w14:paraId="73A5E952">
      <w:pPr>
        <w:spacing w:line="360" w:lineRule="auto"/>
        <w:ind w:left="283" w:leftChars="135" w:firstLine="378" w:firstLineChars="150"/>
        <w:jc w:val="center"/>
        <w:rPr>
          <w:rFonts w:hint="eastAsia" w:ascii="宋体" w:hAnsi="宋体" w:cs="宋体"/>
          <w:color w:val="auto"/>
          <w:spacing w:val="6"/>
          <w:sz w:val="24"/>
          <w:highlight w:val="none"/>
        </w:rPr>
      </w:pPr>
      <w:r>
        <w:rPr>
          <w:rFonts w:hint="eastAsia" w:ascii="宋体" w:hAnsi="宋体" w:cs="宋体"/>
          <w:color w:val="auto"/>
          <w:spacing w:val="6"/>
          <w:sz w:val="24"/>
          <w:highlight w:val="none"/>
        </w:rPr>
        <w:t>日  期：</w:t>
      </w:r>
    </w:p>
    <w:p w14:paraId="2BAA56BB">
      <w:pPr>
        <w:spacing w:line="360" w:lineRule="auto"/>
        <w:ind w:left="283" w:leftChars="135" w:firstLine="378" w:firstLineChars="150"/>
        <w:jc w:val="left"/>
        <w:rPr>
          <w:rFonts w:hint="eastAsia" w:ascii="宋体" w:hAnsi="宋体" w:cs="宋体"/>
          <w:color w:val="auto"/>
          <w:spacing w:val="6"/>
          <w:sz w:val="24"/>
          <w:highlight w:val="none"/>
        </w:rPr>
      </w:pPr>
    </w:p>
    <w:p w14:paraId="1CF3899A">
      <w:pPr>
        <w:spacing w:line="360" w:lineRule="auto"/>
        <w:ind w:left="283" w:leftChars="135" w:firstLine="378" w:firstLineChars="150"/>
        <w:jc w:val="left"/>
        <w:rPr>
          <w:rFonts w:hint="eastAsia" w:ascii="宋体" w:hAnsi="宋体" w:cs="宋体"/>
          <w:color w:val="auto"/>
          <w:spacing w:val="6"/>
          <w:sz w:val="24"/>
          <w:highlight w:val="none"/>
        </w:rPr>
      </w:pPr>
    </w:p>
    <w:p w14:paraId="56F50D7D">
      <w:pPr>
        <w:widowControl/>
        <w:jc w:val="center"/>
        <w:rPr>
          <w:rFonts w:hint="eastAsia" w:ascii="宋体" w:hAnsi="宋体" w:cs="宋体"/>
          <w:color w:val="auto"/>
          <w:spacing w:val="6"/>
          <w:sz w:val="24"/>
          <w:highlight w:val="none"/>
        </w:rPr>
      </w:pPr>
      <w:r>
        <w:rPr>
          <w:rFonts w:hint="eastAsia" w:ascii="宋体" w:hAnsi="宋体" w:cs="宋体"/>
          <w:b/>
          <w:color w:val="auto"/>
          <w:sz w:val="28"/>
          <w:szCs w:val="28"/>
          <w:highlight w:val="none"/>
        </w:rPr>
        <w:t>格式12-3：监狱企业证明文件</w:t>
      </w:r>
    </w:p>
    <w:p w14:paraId="13381C73">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DF5AA6C">
      <w:pPr>
        <w:spacing w:line="360" w:lineRule="auto"/>
        <w:ind w:firstLine="315" w:firstLineChars="150"/>
        <w:jc w:val="left"/>
        <w:rPr>
          <w:rFonts w:hint="eastAsia" w:ascii="宋体" w:hAnsi="宋体" w:cs="宋体"/>
          <w:color w:val="auto"/>
          <w:szCs w:val="21"/>
          <w:highlight w:val="none"/>
        </w:rPr>
      </w:pPr>
      <w:r>
        <w:rPr>
          <w:rFonts w:hint="eastAsia" w:ascii="宋体" w:hAnsi="宋体" w:cs="宋体"/>
          <w:color w:val="auto"/>
          <w:szCs w:val="21"/>
          <w:highlight w:val="none"/>
        </w:rPr>
        <w:t>监狱企业参加政府采购活动时，应当提供由省级以上监狱管理局、戒毒管理局（含新疆生产建设兵团）出具的属于监狱企业的证明文件。</w:t>
      </w:r>
    </w:p>
    <w:p w14:paraId="294309B2">
      <w:pPr>
        <w:spacing w:line="360" w:lineRule="auto"/>
        <w:ind w:firstLine="315" w:firstLineChars="150"/>
        <w:jc w:val="left"/>
        <w:rPr>
          <w:rFonts w:hint="eastAsia" w:ascii="宋体" w:hAnsi="宋体" w:cs="宋体"/>
          <w:color w:val="auto"/>
          <w:szCs w:val="21"/>
          <w:highlight w:val="none"/>
        </w:rPr>
      </w:pPr>
    </w:p>
    <w:p w14:paraId="654A608B">
      <w:pPr>
        <w:spacing w:line="360" w:lineRule="auto"/>
        <w:ind w:firstLine="420" w:firstLineChars="150"/>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格式12-4：聘用建档立卡贫困人员企业证明文件</w:t>
      </w:r>
    </w:p>
    <w:p w14:paraId="3C6E6647">
      <w:pPr>
        <w:spacing w:line="360" w:lineRule="auto"/>
        <w:ind w:firstLine="360" w:firstLineChars="150"/>
        <w:jc w:val="center"/>
        <w:rPr>
          <w:rFonts w:hint="eastAsia" w:ascii="宋体" w:hAnsi="宋体" w:cs="宋体"/>
          <w:bCs/>
          <w:color w:val="auto"/>
          <w:szCs w:val="21"/>
          <w:highlight w:val="none"/>
        </w:rPr>
      </w:pPr>
      <w:r>
        <w:rPr>
          <w:rFonts w:ascii="宋体" w:hAnsi="宋体"/>
          <w:color w:val="auto"/>
          <w:sz w:val="24"/>
          <w:highlight w:val="none"/>
        </w:rPr>
        <w:t>如有，</w:t>
      </w:r>
      <w:r>
        <w:rPr>
          <w:rFonts w:hint="eastAsia" w:ascii="宋体" w:hAnsi="宋体" w:cs="宋体"/>
          <w:bCs/>
          <w:color w:val="auto"/>
          <w:szCs w:val="21"/>
          <w:highlight w:val="none"/>
        </w:rPr>
        <w:t>请提供相关证明文件。</w:t>
      </w:r>
    </w:p>
    <w:p w14:paraId="0E3687A0">
      <w:pPr>
        <w:pStyle w:val="12"/>
        <w:rPr>
          <w:rFonts w:hint="eastAsia"/>
          <w:color w:val="auto"/>
          <w:highlight w:val="none"/>
        </w:rPr>
      </w:pPr>
    </w:p>
    <w:p w14:paraId="157E9ADD">
      <w:pPr>
        <w:rPr>
          <w:color w:val="auto"/>
          <w:highlight w:val="none"/>
        </w:rPr>
      </w:pPr>
    </w:p>
    <w:p w14:paraId="7442F41D">
      <w:pPr>
        <w:spacing w:line="360" w:lineRule="auto"/>
        <w:rPr>
          <w:rFonts w:hint="eastAsia" w:ascii="Calibri" w:hAnsi="Calibri" w:eastAsia="宋体" w:cs="Times New Roman"/>
          <w:color w:val="auto"/>
          <w:lang w:val="en-US" w:eastAsia="zh-Hans"/>
        </w:rPr>
      </w:pPr>
      <w:r>
        <w:rPr>
          <w:rFonts w:hint="eastAsia" w:ascii="宋体" w:hAnsi="宋体" w:cs="宋体"/>
          <w:b/>
          <w:color w:val="auto"/>
          <w:sz w:val="28"/>
          <w:szCs w:val="28"/>
          <w:highlight w:val="none"/>
        </w:rPr>
        <w:t>格式12-5：</w:t>
      </w:r>
      <w:r>
        <w:rPr>
          <w:rFonts w:hint="eastAsia" w:ascii="Calibri" w:hAnsi="Calibri" w:eastAsia="宋体" w:cs="Times New Roman"/>
          <w:b/>
          <w:color w:val="auto"/>
          <w:sz w:val="28"/>
          <w:lang w:val="en-US" w:eastAsia="zh-Hans"/>
        </w:rPr>
        <w:t>关于符合本国产品标准的声明函等有关证明文件（</w:t>
      </w:r>
      <w:r>
        <w:rPr>
          <w:rFonts w:hint="eastAsia" w:ascii="Calibri" w:hAnsi="Calibri" w:cs="Times New Roman"/>
          <w:b/>
          <w:color w:val="auto"/>
          <w:sz w:val="28"/>
          <w:lang w:val="en-US" w:eastAsia="zh-CN"/>
        </w:rPr>
        <w:t>本项目不</w:t>
      </w:r>
      <w:r>
        <w:rPr>
          <w:rFonts w:hint="eastAsia" w:ascii="Calibri" w:hAnsi="Calibri" w:eastAsia="宋体" w:cs="Times New Roman"/>
          <w:b/>
          <w:color w:val="auto"/>
          <w:sz w:val="28"/>
          <w:lang w:val="en-US" w:eastAsia="zh-Hans"/>
        </w:rPr>
        <w:t>适用）</w:t>
      </w:r>
    </w:p>
    <w:p w14:paraId="31DA1D0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Calibri" w:hAnsi="Calibri" w:eastAsia="宋体" w:cs="Times New Roman"/>
          <w:color w:val="auto"/>
          <w:lang w:val="en-US" w:eastAsia="zh-Hans"/>
        </w:rPr>
      </w:pPr>
      <w:r>
        <w:rPr>
          <w:rFonts w:hint="eastAsia" w:ascii="Calibri" w:hAnsi="Calibri" w:eastAsia="宋体" w:cs="Times New Roman"/>
          <w:b/>
          <w:color w:val="auto"/>
          <w:lang w:val="en-US" w:eastAsia="zh-Hans"/>
        </w:rPr>
        <w:t>注：</w:t>
      </w:r>
      <w:r>
        <w:rPr>
          <w:rFonts w:hint="eastAsia" w:ascii="Calibri" w:hAnsi="Calibri" w:eastAsia="宋体" w:cs="Times New Roman"/>
          <w:color w:val="auto"/>
          <w:lang w:val="en-US" w:eastAsia="zh-Hans"/>
        </w:rPr>
        <w:t>1. 供应商提供本国产品应符合《国务院办公厅关于在政府采购中实施本国产品标准及相关政策的通知》（国办发〔2025〕34号），在投标文件中出具《关于符合本国产品标准的声明函》或财政部会同有关部门规定的有关证明文件；</w:t>
      </w:r>
    </w:p>
    <w:p w14:paraId="32AA2F7F">
      <w:pPr>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960"/>
        <w:textAlignment w:val="auto"/>
        <w:rPr>
          <w:rFonts w:hint="eastAsia" w:ascii="Calibri" w:hAnsi="Calibri" w:eastAsia="宋体" w:cs="Times New Roman"/>
          <w:color w:val="auto"/>
          <w:lang w:val="en-US" w:eastAsia="zh-Hans"/>
        </w:rPr>
      </w:pPr>
      <w:r>
        <w:rPr>
          <w:rFonts w:hint="eastAsia" w:ascii="Calibri" w:hAnsi="Calibri" w:eastAsia="宋体" w:cs="Times New Roman"/>
          <w:color w:val="auto"/>
          <w:lang w:val="en-US" w:eastAsia="zh-Hans"/>
        </w:rPr>
        <w:t>供应商提供虚假《声明函》、虚假证明文件谋取中标、成交的，依照政府采购法律法规规定追究相应责任。</w:t>
      </w:r>
    </w:p>
    <w:p w14:paraId="1E5BBE2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Calibri" w:hAnsi="Calibri" w:eastAsia="宋体" w:cs="Times New Roman"/>
          <w:color w:val="auto"/>
          <w:lang w:val="en-US" w:eastAsia="zh-Hans"/>
        </w:rPr>
      </w:pPr>
    </w:p>
    <w:p w14:paraId="3E3C31D5">
      <w:pPr>
        <w:rPr>
          <w:rFonts w:hint="eastAsia" w:ascii="Calibri" w:hAnsi="Calibri" w:eastAsia="宋体" w:cs="Times New Roman"/>
          <w:color w:val="auto"/>
          <w:lang w:val="en-US" w:eastAsia="zh-CN"/>
        </w:rPr>
      </w:pPr>
      <w:r>
        <w:rPr>
          <w:rFonts w:hint="eastAsia" w:ascii="Calibri" w:hAnsi="Calibri" w:eastAsia="宋体" w:cs="Times New Roman"/>
          <w:b/>
          <w:color w:val="auto"/>
          <w:sz w:val="28"/>
          <w:lang w:val="en-US" w:eastAsia="zh-Hans"/>
        </w:rPr>
        <w:t>附件</w:t>
      </w:r>
      <w:r>
        <w:rPr>
          <w:rFonts w:hint="eastAsia" w:ascii="Calibri" w:hAnsi="Calibri" w:eastAsia="宋体" w:cs="Times New Roman"/>
          <w:b/>
          <w:color w:val="auto"/>
          <w:sz w:val="28"/>
          <w:lang w:val="en-US" w:eastAsia="zh-CN"/>
        </w:rPr>
        <w:t>1</w:t>
      </w:r>
    </w:p>
    <w:p w14:paraId="28D6C092">
      <w:pPr>
        <w:spacing w:before="120" w:after="240"/>
        <w:jc w:val="center"/>
        <w:outlineLvl w:val="3"/>
        <w:rPr>
          <w:rFonts w:hint="eastAsia" w:ascii="Calibri" w:hAnsi="Calibri" w:eastAsia="宋体" w:cs="Times New Roman"/>
          <w:color w:val="auto"/>
          <w:lang w:val="en-US" w:eastAsia="zh-Hans"/>
        </w:rPr>
      </w:pPr>
      <w:r>
        <w:rPr>
          <w:rFonts w:hint="eastAsia" w:ascii="Calibri" w:hAnsi="Calibri" w:eastAsia="宋体" w:cs="Times New Roman"/>
          <w:b/>
          <w:color w:val="auto"/>
          <w:sz w:val="24"/>
          <w:lang w:val="en-US" w:eastAsia="zh-Hans"/>
        </w:rPr>
        <w:t>关于符合本国产品标准的声明函</w:t>
      </w:r>
    </w:p>
    <w:p w14:paraId="2C537AF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Calibri" w:hAnsi="Calibri" w:eastAsia="宋体" w:cs="Times New Roman"/>
          <w:color w:val="auto"/>
          <w:lang w:val="en-US" w:eastAsia="zh-Hans"/>
        </w:rPr>
      </w:pPr>
      <w:r>
        <w:rPr>
          <w:rFonts w:hint="eastAsia" w:ascii="Calibri" w:hAnsi="Calibri" w:eastAsia="宋体" w:cs="Times New Roman"/>
          <w:color w:val="auto"/>
          <w:lang w:val="en-US" w:eastAsia="zh-Hans"/>
        </w:rPr>
        <w:t>本公司（单位）郑重声明，根据《国务院办公厅关于在政府采购中实施本国产品标准及相关政策的通知》（国办发〔2025〕34号）的规定，本公司（单位）提供的以下产品属于本国产品。具体情况如下：</w:t>
      </w:r>
    </w:p>
    <w:p w14:paraId="2EC623F6">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Calibri" w:hAnsi="Calibri" w:eastAsia="宋体" w:cs="Times New Roman"/>
          <w:color w:val="auto"/>
          <w:lang w:val="en-US" w:eastAsia="zh-Hans"/>
        </w:rPr>
      </w:pPr>
      <w:r>
        <w:rPr>
          <w:rFonts w:hint="eastAsia" w:ascii="Calibri" w:hAnsi="Calibri" w:eastAsia="宋体" w:cs="Times New Roman"/>
          <w:color w:val="auto"/>
          <w:lang w:val="en-US" w:eastAsia="zh-Hans"/>
        </w:rPr>
        <w:t xml:space="preserve"> 1. </w:t>
      </w:r>
      <w:r>
        <w:rPr>
          <w:rFonts w:hint="eastAsia" w:ascii="Calibri" w:hAnsi="Calibri" w:eastAsia="宋体" w:cs="Times New Roman"/>
          <w:color w:val="auto"/>
          <w:u w:val="single"/>
          <w:lang w:val="en-US" w:eastAsia="zh-Hans"/>
        </w:rPr>
        <w:t>（产品名称1）</w:t>
      </w:r>
      <w:r>
        <w:rPr>
          <w:rFonts w:hint="eastAsia" w:ascii="Calibri" w:hAnsi="Calibri" w:eastAsia="宋体" w:cs="Times New Roman"/>
          <w:color w:val="auto"/>
          <w:lang w:val="en-US" w:eastAsia="zh-Hans"/>
        </w:rPr>
        <w:t>，生产厂为</w:t>
      </w:r>
      <w:r>
        <w:rPr>
          <w:rFonts w:hint="eastAsia" w:ascii="Calibri" w:hAnsi="Calibri" w:eastAsia="宋体" w:cs="Times New Roman"/>
          <w:color w:val="auto"/>
          <w:u w:val="single"/>
          <w:lang w:val="en-US" w:eastAsia="zh-Hans"/>
        </w:rPr>
        <w:t>（厂名）</w:t>
      </w:r>
      <w:r>
        <w:rPr>
          <w:rFonts w:hint="eastAsia" w:ascii="Calibri" w:hAnsi="Calibri" w:eastAsia="宋体" w:cs="Times New Roman"/>
          <w:color w:val="auto"/>
          <w:lang w:val="en-US" w:eastAsia="zh-Hans"/>
        </w:rPr>
        <w:t>，厂址为</w:t>
      </w:r>
      <w:r>
        <w:rPr>
          <w:rFonts w:hint="eastAsia" w:ascii="Calibri" w:hAnsi="Calibri" w:eastAsia="宋体" w:cs="Times New Roman"/>
          <w:color w:val="auto"/>
          <w:u w:val="single"/>
          <w:lang w:val="en-US" w:eastAsia="zh-Hans"/>
        </w:rPr>
        <w:t>（生产厂址）</w:t>
      </w:r>
      <w:r>
        <w:rPr>
          <w:rFonts w:hint="eastAsia" w:ascii="Calibri" w:hAnsi="Calibri" w:eastAsia="宋体" w:cs="Times New Roman"/>
          <w:color w:val="auto"/>
          <w:lang w:val="en-US" w:eastAsia="zh-Hans"/>
        </w:rPr>
        <w:t xml:space="preserve">。 </w:t>
      </w:r>
      <w:r>
        <w:rPr>
          <w:rFonts w:hint="eastAsia" w:ascii="Calibri" w:hAnsi="Calibri" w:eastAsia="宋体" w:cs="Times New Roman"/>
          <w:color w:val="auto"/>
          <w:u w:val="single"/>
          <w:lang w:val="en-US" w:eastAsia="zh-Hans"/>
        </w:rPr>
        <w:t>（产品名称1）</w:t>
      </w:r>
      <w:r>
        <w:rPr>
          <w:rFonts w:hint="eastAsia" w:ascii="Calibri" w:hAnsi="Calibri" w:eastAsia="宋体" w:cs="Times New Roman"/>
          <w:color w:val="auto"/>
          <w:lang w:val="en-US" w:eastAsia="zh-Hans"/>
        </w:rPr>
        <w:t>的中国境内生产的组件成本占比≥</w:t>
      </w:r>
      <w:r>
        <w:rPr>
          <w:rFonts w:hint="eastAsia" w:ascii="Calibri" w:hAnsi="Calibri" w:eastAsia="宋体" w:cs="Times New Roman"/>
          <w:color w:val="auto"/>
          <w:u w:val="single"/>
          <w:lang w:val="en-US" w:eastAsia="zh-Hans"/>
        </w:rPr>
        <w:t>（规定比例）</w:t>
      </w:r>
      <w:r>
        <w:rPr>
          <w:rFonts w:hint="eastAsia" w:ascii="Calibri" w:hAnsi="Calibri" w:eastAsia="宋体" w:cs="Times New Roman"/>
          <w:color w:val="auto"/>
          <w:lang w:val="en-US" w:eastAsia="zh-Hans"/>
        </w:rPr>
        <w:t xml:space="preserve">。 </w:t>
      </w:r>
      <w:r>
        <w:rPr>
          <w:rFonts w:hint="eastAsia" w:ascii="Calibri" w:hAnsi="Calibri" w:eastAsia="宋体" w:cs="Times New Roman"/>
          <w:color w:val="auto"/>
          <w:u w:val="single"/>
          <w:lang w:val="en-US" w:eastAsia="zh-Hans"/>
        </w:rPr>
        <w:t>（产品名称1）</w:t>
      </w:r>
      <w:r>
        <w:rPr>
          <w:rFonts w:hint="eastAsia" w:ascii="Calibri" w:hAnsi="Calibri" w:eastAsia="宋体" w:cs="Times New Roman"/>
          <w:color w:val="auto"/>
          <w:lang w:val="en-US" w:eastAsia="zh-Hans"/>
        </w:rPr>
        <w:t>的</w:t>
      </w:r>
      <w:r>
        <w:rPr>
          <w:rFonts w:hint="eastAsia" w:ascii="Calibri" w:hAnsi="Calibri" w:eastAsia="宋体" w:cs="Times New Roman"/>
          <w:color w:val="auto"/>
          <w:u w:val="single"/>
          <w:lang w:val="en-US" w:eastAsia="zh-Hans"/>
        </w:rPr>
        <w:t>（关键组件）</w:t>
      </w:r>
      <w:r>
        <w:rPr>
          <w:rFonts w:hint="eastAsia" w:ascii="Calibri" w:hAnsi="Calibri" w:eastAsia="宋体" w:cs="Times New Roman"/>
          <w:color w:val="auto"/>
          <w:lang w:val="en-US" w:eastAsia="zh-Hans"/>
        </w:rPr>
        <w:t xml:space="preserve">在中国境内生产。 </w:t>
      </w:r>
      <w:r>
        <w:rPr>
          <w:rFonts w:hint="eastAsia" w:ascii="Calibri" w:hAnsi="Calibri" w:eastAsia="宋体" w:cs="Times New Roman"/>
          <w:color w:val="auto"/>
          <w:u w:val="single"/>
          <w:lang w:val="en-US" w:eastAsia="zh-Hans"/>
        </w:rPr>
        <w:t>（产品名称1）</w:t>
      </w:r>
      <w:r>
        <w:rPr>
          <w:rFonts w:hint="eastAsia" w:ascii="Calibri" w:hAnsi="Calibri" w:eastAsia="宋体" w:cs="Times New Roman"/>
          <w:color w:val="auto"/>
          <w:lang w:val="en-US" w:eastAsia="zh-Hans"/>
        </w:rPr>
        <w:t>的</w:t>
      </w:r>
      <w:r>
        <w:rPr>
          <w:rFonts w:hint="eastAsia" w:ascii="Calibri" w:hAnsi="Calibri" w:eastAsia="宋体" w:cs="Times New Roman"/>
          <w:color w:val="auto"/>
          <w:u w:val="single"/>
          <w:lang w:val="en-US" w:eastAsia="zh-Hans"/>
        </w:rPr>
        <w:t>（关键工序）</w:t>
      </w:r>
      <w:r>
        <w:rPr>
          <w:rFonts w:hint="eastAsia" w:ascii="Calibri" w:hAnsi="Calibri" w:eastAsia="宋体" w:cs="Times New Roman"/>
          <w:color w:val="auto"/>
          <w:lang w:val="en-US" w:eastAsia="zh-Hans"/>
        </w:rPr>
        <w:t>在中国境内完成。</w:t>
      </w:r>
    </w:p>
    <w:p w14:paraId="23AD7EEA">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Calibri" w:hAnsi="Calibri" w:eastAsia="宋体" w:cs="Times New Roman"/>
          <w:color w:val="auto"/>
          <w:lang w:val="en-US" w:eastAsia="zh-Hans"/>
        </w:rPr>
      </w:pPr>
      <w:r>
        <w:rPr>
          <w:rFonts w:hint="eastAsia" w:ascii="Calibri" w:hAnsi="Calibri" w:eastAsia="宋体" w:cs="Times New Roman"/>
          <w:color w:val="auto"/>
          <w:lang w:val="en-US" w:eastAsia="zh-Hans"/>
        </w:rPr>
        <w:t xml:space="preserve"> 2. </w:t>
      </w:r>
      <w:r>
        <w:rPr>
          <w:rFonts w:hint="eastAsia" w:ascii="Calibri" w:hAnsi="Calibri" w:eastAsia="宋体" w:cs="Times New Roman"/>
          <w:color w:val="auto"/>
          <w:u w:val="single"/>
          <w:lang w:val="en-US" w:eastAsia="zh-Hans"/>
        </w:rPr>
        <w:t>（产品名称2）</w:t>
      </w:r>
      <w:r>
        <w:rPr>
          <w:rFonts w:hint="eastAsia" w:ascii="Calibri" w:hAnsi="Calibri" w:eastAsia="宋体" w:cs="Times New Roman"/>
          <w:color w:val="auto"/>
          <w:lang w:val="en-US" w:eastAsia="zh-Hans"/>
        </w:rPr>
        <w:t>，生产厂为</w:t>
      </w:r>
      <w:r>
        <w:rPr>
          <w:rFonts w:hint="eastAsia" w:ascii="Calibri" w:hAnsi="Calibri" w:eastAsia="宋体" w:cs="Times New Roman"/>
          <w:color w:val="auto"/>
          <w:u w:val="single"/>
          <w:lang w:val="en-US" w:eastAsia="zh-Hans"/>
        </w:rPr>
        <w:t>（厂名）</w:t>
      </w:r>
      <w:r>
        <w:rPr>
          <w:rFonts w:hint="eastAsia" w:ascii="Calibri" w:hAnsi="Calibri" w:eastAsia="宋体" w:cs="Times New Roman"/>
          <w:color w:val="auto"/>
          <w:lang w:val="en-US" w:eastAsia="zh-Hans"/>
        </w:rPr>
        <w:t>，厂址为</w:t>
      </w:r>
      <w:r>
        <w:rPr>
          <w:rFonts w:hint="eastAsia" w:ascii="Calibri" w:hAnsi="Calibri" w:eastAsia="宋体" w:cs="Times New Roman"/>
          <w:color w:val="auto"/>
          <w:u w:val="single"/>
          <w:lang w:val="en-US" w:eastAsia="zh-Hans"/>
        </w:rPr>
        <w:t>（生产厂址）</w:t>
      </w:r>
      <w:r>
        <w:rPr>
          <w:rFonts w:hint="eastAsia" w:ascii="Calibri" w:hAnsi="Calibri" w:eastAsia="宋体" w:cs="Times New Roman"/>
          <w:color w:val="auto"/>
          <w:lang w:val="en-US" w:eastAsia="zh-Hans"/>
        </w:rPr>
        <w:t xml:space="preserve">。 </w:t>
      </w:r>
      <w:r>
        <w:rPr>
          <w:rFonts w:hint="eastAsia" w:ascii="Calibri" w:hAnsi="Calibri" w:eastAsia="宋体" w:cs="Times New Roman"/>
          <w:color w:val="auto"/>
          <w:u w:val="single"/>
          <w:lang w:val="en-US" w:eastAsia="zh-Hans"/>
        </w:rPr>
        <w:t>（产品名称2）</w:t>
      </w:r>
      <w:r>
        <w:rPr>
          <w:rFonts w:hint="eastAsia" w:ascii="Calibri" w:hAnsi="Calibri" w:eastAsia="宋体" w:cs="Times New Roman"/>
          <w:color w:val="auto"/>
          <w:lang w:val="en-US" w:eastAsia="zh-Hans"/>
        </w:rPr>
        <w:t>的中国境内生产的组件成本占比≥</w:t>
      </w:r>
      <w:r>
        <w:rPr>
          <w:rFonts w:hint="eastAsia" w:ascii="Calibri" w:hAnsi="Calibri" w:eastAsia="宋体" w:cs="Times New Roman"/>
          <w:color w:val="auto"/>
          <w:u w:val="single"/>
          <w:lang w:val="en-US" w:eastAsia="zh-Hans"/>
        </w:rPr>
        <w:t>（规定比例）</w:t>
      </w:r>
      <w:r>
        <w:rPr>
          <w:rFonts w:hint="eastAsia" w:ascii="Calibri" w:hAnsi="Calibri" w:eastAsia="宋体" w:cs="Times New Roman"/>
          <w:color w:val="auto"/>
          <w:lang w:val="en-US" w:eastAsia="zh-Hans"/>
        </w:rPr>
        <w:t xml:space="preserve">。 </w:t>
      </w:r>
      <w:r>
        <w:rPr>
          <w:rFonts w:hint="eastAsia" w:ascii="Calibri" w:hAnsi="Calibri" w:eastAsia="宋体" w:cs="Times New Roman"/>
          <w:color w:val="auto"/>
          <w:u w:val="single"/>
          <w:lang w:val="en-US" w:eastAsia="zh-Hans"/>
        </w:rPr>
        <w:t>（产品名称2）</w:t>
      </w:r>
      <w:r>
        <w:rPr>
          <w:rFonts w:hint="eastAsia" w:ascii="Calibri" w:hAnsi="Calibri" w:eastAsia="宋体" w:cs="Times New Roman"/>
          <w:color w:val="auto"/>
          <w:lang w:val="en-US" w:eastAsia="zh-Hans"/>
        </w:rPr>
        <w:t>的</w:t>
      </w:r>
      <w:r>
        <w:rPr>
          <w:rFonts w:hint="eastAsia" w:ascii="Calibri" w:hAnsi="Calibri" w:eastAsia="宋体" w:cs="Times New Roman"/>
          <w:color w:val="auto"/>
          <w:u w:val="single"/>
          <w:lang w:val="en-US" w:eastAsia="zh-Hans"/>
        </w:rPr>
        <w:t>（关键组件）</w:t>
      </w:r>
      <w:r>
        <w:rPr>
          <w:rFonts w:hint="eastAsia" w:ascii="Calibri" w:hAnsi="Calibri" w:eastAsia="宋体" w:cs="Times New Roman"/>
          <w:color w:val="auto"/>
          <w:lang w:val="en-US" w:eastAsia="zh-Hans"/>
        </w:rPr>
        <w:t xml:space="preserve">在中国境内生产。 </w:t>
      </w:r>
      <w:r>
        <w:rPr>
          <w:rFonts w:hint="eastAsia" w:ascii="Calibri" w:hAnsi="Calibri" w:eastAsia="宋体" w:cs="Times New Roman"/>
          <w:color w:val="auto"/>
          <w:u w:val="single"/>
          <w:lang w:val="en-US" w:eastAsia="zh-Hans"/>
        </w:rPr>
        <w:t>（产品名称2）</w:t>
      </w:r>
      <w:r>
        <w:rPr>
          <w:rFonts w:hint="eastAsia" w:ascii="Calibri" w:hAnsi="Calibri" w:eastAsia="宋体" w:cs="Times New Roman"/>
          <w:color w:val="auto"/>
          <w:lang w:val="en-US" w:eastAsia="zh-Hans"/>
        </w:rPr>
        <w:t>的</w:t>
      </w:r>
      <w:r>
        <w:rPr>
          <w:rFonts w:hint="eastAsia" w:ascii="Calibri" w:hAnsi="Calibri" w:eastAsia="宋体" w:cs="Times New Roman"/>
          <w:color w:val="auto"/>
          <w:u w:val="single"/>
          <w:lang w:val="en-US" w:eastAsia="zh-Hans"/>
        </w:rPr>
        <w:t>（关键工序）</w:t>
      </w:r>
      <w:r>
        <w:rPr>
          <w:rFonts w:hint="eastAsia" w:ascii="Calibri" w:hAnsi="Calibri" w:eastAsia="宋体" w:cs="Times New Roman"/>
          <w:color w:val="auto"/>
          <w:lang w:val="en-US" w:eastAsia="zh-Hans"/>
        </w:rPr>
        <w:t>在中国境内完成。</w:t>
      </w:r>
    </w:p>
    <w:p w14:paraId="5473F947">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Calibri" w:hAnsi="Calibri" w:eastAsia="宋体" w:cs="Times New Roman"/>
          <w:color w:val="auto"/>
          <w:lang w:val="en-US" w:eastAsia="zh-Hans"/>
        </w:rPr>
      </w:pPr>
      <w:r>
        <w:rPr>
          <w:rFonts w:hint="eastAsia" w:ascii="Calibri" w:hAnsi="Calibri" w:eastAsia="宋体" w:cs="Times New Roman"/>
          <w:color w:val="auto"/>
          <w:lang w:val="en-US" w:eastAsia="zh-Hans"/>
        </w:rPr>
        <w:t>3. ……</w:t>
      </w:r>
    </w:p>
    <w:p w14:paraId="52B6A8B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Calibri" w:hAnsi="Calibri" w:eastAsia="宋体" w:cs="Times New Roman"/>
          <w:color w:val="auto"/>
          <w:lang w:val="en-US" w:eastAsia="zh-Hans"/>
        </w:rPr>
      </w:pPr>
      <w:r>
        <w:rPr>
          <w:rFonts w:hint="eastAsia" w:ascii="Calibri" w:hAnsi="Calibri" w:eastAsia="宋体" w:cs="Times New Roman"/>
          <w:color w:val="auto"/>
          <w:lang w:val="en-US" w:eastAsia="zh-Hans"/>
        </w:rPr>
        <w:t>本公司（单位）对上述声明内容的真实性负责。如有虚假，愿承担相应法律责任。</w:t>
      </w:r>
    </w:p>
    <w:p w14:paraId="405048A5">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Calibri" w:hAnsi="Calibri" w:eastAsia="宋体" w:cs="Times New Roman"/>
          <w:color w:val="auto"/>
          <w:lang w:val="en-US" w:eastAsia="zh-Hans"/>
        </w:rPr>
      </w:pPr>
      <w:r>
        <w:rPr>
          <w:rFonts w:hint="eastAsia" w:ascii="Calibri" w:hAnsi="Calibri" w:eastAsia="宋体" w:cs="Times New Roman"/>
          <w:b/>
          <w:color w:val="auto"/>
          <w:lang w:val="en-US" w:eastAsia="zh-Hans"/>
        </w:rPr>
        <w:t>公司（单位）名称（盖章）：</w:t>
      </w:r>
      <w:r>
        <w:rPr>
          <w:rFonts w:hint="eastAsia" w:ascii="Calibri" w:hAnsi="Calibri" w:eastAsia="宋体" w:cs="Times New Roman"/>
          <w:color w:val="auto"/>
          <w:lang w:val="en-US" w:eastAsia="zh-Hans"/>
        </w:rPr>
        <w:t xml:space="preserve"> __________________</w:t>
      </w:r>
    </w:p>
    <w:p w14:paraId="6AF6F10B">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Calibri" w:hAnsi="Calibri" w:eastAsia="宋体" w:cs="Times New Roman"/>
          <w:color w:val="auto"/>
          <w:lang w:val="en-US" w:eastAsia="zh-Hans"/>
        </w:rPr>
      </w:pPr>
      <w:r>
        <w:rPr>
          <w:rFonts w:hint="eastAsia" w:ascii="Calibri" w:hAnsi="Calibri" w:eastAsia="宋体" w:cs="Times New Roman"/>
          <w:b/>
          <w:color w:val="auto"/>
          <w:lang w:val="en-US" w:eastAsia="zh-Hans"/>
        </w:rPr>
        <w:t>日期：</w:t>
      </w:r>
      <w:r>
        <w:rPr>
          <w:rFonts w:hint="eastAsia" w:ascii="Calibri" w:hAnsi="Calibri" w:eastAsia="宋体" w:cs="Times New Roman"/>
          <w:color w:val="auto"/>
          <w:lang w:val="en-US" w:eastAsia="zh-Hans"/>
        </w:rPr>
        <w:t xml:space="preserve"> ______ 年 ______ 月 ______ 日</w:t>
      </w:r>
    </w:p>
    <w:p w14:paraId="1448C89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Calibri" w:hAnsi="Calibri" w:eastAsia="宋体" w:cs="Times New Roman"/>
          <w:b/>
          <w:color w:val="auto"/>
          <w:lang w:val="en-US" w:eastAsia="zh-Hans"/>
        </w:rPr>
      </w:pPr>
    </w:p>
    <w:p w14:paraId="7BBE8BA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Calibri" w:hAnsi="Calibri" w:eastAsia="宋体" w:cs="Times New Roman"/>
          <w:b/>
          <w:color w:val="auto"/>
          <w:lang w:val="en-US" w:eastAsia="zh-Hans"/>
        </w:rPr>
      </w:pPr>
    </w:p>
    <w:p w14:paraId="0156636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Calibri" w:hAnsi="Calibri" w:eastAsia="宋体" w:cs="Times New Roman"/>
          <w:color w:val="auto"/>
          <w:lang w:val="en-US" w:eastAsia="zh-Hans"/>
        </w:rPr>
      </w:pPr>
      <w:r>
        <w:rPr>
          <w:rFonts w:hint="eastAsia" w:ascii="Calibri" w:hAnsi="Calibri" w:eastAsia="宋体" w:cs="Times New Roman"/>
          <w:b/>
          <w:color w:val="auto"/>
          <w:lang w:val="en-US" w:eastAsia="zh-Hans"/>
        </w:rPr>
        <w:t>注：</w:t>
      </w:r>
    </w:p>
    <w:p w14:paraId="3FE4F9DB">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Calibri" w:hAnsi="Calibri" w:eastAsia="宋体" w:cs="Times New Roman"/>
          <w:color w:val="auto"/>
          <w:lang w:val="en-US" w:eastAsia="zh-Hans"/>
        </w:rPr>
      </w:pPr>
      <w:r>
        <w:rPr>
          <w:rFonts w:hint="eastAsia" w:ascii="Calibri" w:hAnsi="Calibri" w:eastAsia="宋体" w:cs="Times New Roman"/>
          <w:color w:val="auto"/>
          <w:lang w:val="en-US" w:eastAsia="zh-Hans"/>
        </w:rPr>
        <w:t>1. 产品如有型号，请在“产品名称”栏一并填写。</w:t>
      </w:r>
    </w:p>
    <w:p w14:paraId="4F2BD4AB">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Calibri" w:hAnsi="Calibri" w:eastAsia="宋体" w:cs="Times New Roman"/>
          <w:color w:val="auto"/>
          <w:lang w:val="en-US" w:eastAsia="zh-Hans"/>
        </w:rPr>
      </w:pPr>
      <w:r>
        <w:rPr>
          <w:rFonts w:hint="eastAsia" w:ascii="Calibri" w:hAnsi="Calibri" w:eastAsia="宋体" w:cs="Times New Roman"/>
          <w:color w:val="auto"/>
          <w:lang w:val="en-US" w:eastAsia="zh-Hans"/>
        </w:rPr>
        <w:t>2. 生产厂名与厂址应与生产厂营业执照载明的相关信息保持一致。</w:t>
      </w:r>
    </w:p>
    <w:p w14:paraId="4F97D086">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Calibri" w:hAnsi="Calibri" w:eastAsia="宋体" w:cs="Times New Roman"/>
          <w:color w:val="auto"/>
          <w:lang w:val="en-US" w:eastAsia="zh-Hans"/>
        </w:rPr>
      </w:pPr>
      <w:r>
        <w:rPr>
          <w:rFonts w:hint="eastAsia" w:ascii="Calibri" w:hAnsi="Calibri" w:eastAsia="宋体" w:cs="Times New Roman"/>
          <w:color w:val="auto"/>
          <w:lang w:val="en-US" w:eastAsia="zh-Hans"/>
        </w:rPr>
        <w:t>3. 该产品的中国境内生产的组件成本占比相关要求实施前，"规定比例"栏可不填，下同。</w:t>
      </w:r>
    </w:p>
    <w:p w14:paraId="23234C35">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Calibri" w:hAnsi="Calibri" w:eastAsia="宋体" w:cs="Times New Roman"/>
          <w:color w:val="auto"/>
          <w:lang w:val="en-US" w:eastAsia="zh-Hans"/>
        </w:rPr>
      </w:pPr>
      <w:r>
        <w:rPr>
          <w:rFonts w:hint="eastAsia" w:ascii="Calibri" w:hAnsi="Calibri" w:eastAsia="宋体" w:cs="Times New Roman"/>
          <w:color w:val="auto"/>
          <w:lang w:val="en-US" w:eastAsia="zh-Hans"/>
        </w:rPr>
        <w:t>4. 该产品的关键组件要求实施前，"关键组件"栏可不填，下同。</w:t>
      </w:r>
    </w:p>
    <w:p w14:paraId="4E9429AC">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Calibri" w:hAnsi="Calibri" w:eastAsia="宋体" w:cs="Times New Roman"/>
          <w:color w:val="auto"/>
          <w:lang w:val="en-US" w:eastAsia="zh-Hans"/>
        </w:rPr>
      </w:pPr>
      <w:r>
        <w:rPr>
          <w:rFonts w:hint="eastAsia" w:ascii="Calibri" w:hAnsi="Calibri" w:eastAsia="宋体" w:cs="Times New Roman"/>
          <w:color w:val="auto"/>
          <w:lang w:val="en-US" w:eastAsia="zh-Hans"/>
        </w:rPr>
        <w:t>5. 该产品的关键工序要求实施前，"关键工序"栏可不填，下同。</w:t>
      </w:r>
    </w:p>
    <w:p w14:paraId="545162A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Calibri" w:hAnsi="Calibri" w:eastAsia="宋体" w:cs="Times New Roman"/>
          <w:color w:val="auto"/>
          <w:lang w:val="en-US" w:eastAsia="zh-Hans"/>
        </w:rPr>
      </w:pPr>
    </w:p>
    <w:p w14:paraId="715F97EE">
      <w:pPr>
        <w:rPr>
          <w:rFonts w:hint="eastAsia" w:ascii="Calibri" w:hAnsi="Calibri" w:eastAsia="宋体" w:cs="Times New Roman"/>
          <w:b/>
          <w:color w:val="auto"/>
          <w:sz w:val="28"/>
          <w:lang w:val="en-US" w:eastAsia="zh-Hans"/>
        </w:rPr>
      </w:pPr>
    </w:p>
    <w:p w14:paraId="07DD281A">
      <w:pPr>
        <w:rPr>
          <w:rFonts w:hint="eastAsia" w:ascii="Calibri" w:hAnsi="Calibri" w:eastAsia="宋体" w:cs="Times New Roman"/>
          <w:b/>
          <w:color w:val="auto"/>
          <w:sz w:val="28"/>
          <w:lang w:val="en-US" w:eastAsia="zh-Hans"/>
        </w:rPr>
      </w:pPr>
    </w:p>
    <w:p w14:paraId="6513787F">
      <w:pPr>
        <w:rPr>
          <w:rFonts w:ascii="Calibri" w:hAnsi="Calibri" w:eastAsia="宋体" w:cs="Times New Roman"/>
          <w:sz w:val="21"/>
          <w:szCs w:val="21"/>
          <w:highlight w:val="yellow"/>
        </w:rPr>
      </w:pPr>
      <w:r>
        <w:rPr>
          <w:rFonts w:hint="eastAsia" w:ascii="Calibri" w:hAnsi="Calibri" w:eastAsia="宋体" w:cs="Times New Roman"/>
          <w:b/>
          <w:color w:val="auto"/>
          <w:sz w:val="28"/>
          <w:lang w:val="en-US" w:eastAsia="zh-Hans"/>
        </w:rPr>
        <w:t>附件</w:t>
      </w:r>
      <w:r>
        <w:rPr>
          <w:rFonts w:hint="eastAsia" w:ascii="Calibri" w:hAnsi="Calibri" w:eastAsia="宋体" w:cs="Times New Roman"/>
          <w:b/>
          <w:color w:val="auto"/>
          <w:sz w:val="28"/>
          <w:lang w:val="en-US" w:eastAsia="zh-CN"/>
        </w:rPr>
        <w:t xml:space="preserve">2 </w:t>
      </w:r>
      <w:r>
        <w:rPr>
          <w:rFonts w:hint="eastAsia" w:ascii="Calibri" w:hAnsi="Calibri" w:eastAsia="宋体" w:cs="Times New Roman"/>
          <w:sz w:val="21"/>
          <w:szCs w:val="21"/>
        </w:rPr>
        <w:t>关于符合本国产品标准的成本占比承诺函（单一产品采购不填写此函，多产品采购项目或采购包如供应商所有产品均为本国产品且填写《关于符合本国产品标准的声明函》可不填写此函。</w:t>
      </w:r>
    </w:p>
    <w:p w14:paraId="5070674F">
      <w:pPr>
        <w:widowControl w:val="0"/>
        <w:spacing w:line="380" w:lineRule="exact"/>
        <w:jc w:val="both"/>
        <w:rPr>
          <w:rFonts w:ascii="Calibri" w:hAnsi="Calibri" w:eastAsia="宋体" w:cs="Times New Roman"/>
          <w:kern w:val="2"/>
          <w:sz w:val="24"/>
          <w:szCs w:val="24"/>
          <w:highlight w:val="yellow"/>
          <w:lang w:val="en-US" w:eastAsia="zh-CN" w:bidi="ar-SA"/>
        </w:rPr>
      </w:pPr>
    </w:p>
    <w:p w14:paraId="7E1AB326">
      <w:pPr>
        <w:widowControl w:val="0"/>
        <w:spacing w:line="380" w:lineRule="exact"/>
        <w:jc w:val="both"/>
        <w:rPr>
          <w:rFonts w:ascii="Calibri" w:hAnsi="Calibri" w:eastAsia="宋体" w:cs="Times New Roman"/>
          <w:kern w:val="2"/>
          <w:sz w:val="24"/>
          <w:szCs w:val="24"/>
          <w:highlight w:val="yellow"/>
          <w:lang w:val="en-US" w:eastAsia="zh-CN" w:bidi="ar-SA"/>
        </w:rPr>
      </w:pPr>
    </w:p>
    <w:p w14:paraId="21A8C3B1">
      <w:pPr>
        <w:spacing w:before="120" w:after="240"/>
        <w:jc w:val="center"/>
        <w:outlineLvl w:val="3"/>
        <w:rPr>
          <w:rFonts w:hint="eastAsia" w:ascii="Calibri" w:hAnsi="Calibri" w:eastAsia="宋体" w:cs="Times New Roman"/>
          <w:b/>
          <w:color w:val="auto"/>
          <w:sz w:val="24"/>
          <w:lang w:val="en-US" w:eastAsia="zh-Hans"/>
        </w:rPr>
      </w:pPr>
      <w:r>
        <w:rPr>
          <w:rFonts w:hint="eastAsia" w:ascii="Calibri" w:hAnsi="Calibri" w:eastAsia="宋体" w:cs="Times New Roman"/>
          <w:b/>
          <w:color w:val="auto"/>
          <w:sz w:val="24"/>
          <w:lang w:val="en-US" w:eastAsia="zh-Hans"/>
        </w:rPr>
        <w:t>关于符合本国产品标准的成本占比承诺函</w:t>
      </w:r>
    </w:p>
    <w:p w14:paraId="3A14B54A">
      <w:pPr>
        <w:widowControl w:val="0"/>
        <w:spacing w:line="380" w:lineRule="exact"/>
        <w:jc w:val="both"/>
        <w:rPr>
          <w:rFonts w:ascii="Calibri" w:hAnsi="Calibri" w:eastAsia="宋体" w:cs="Times New Roman"/>
          <w:color w:val="auto"/>
          <w:kern w:val="2"/>
          <w:sz w:val="21"/>
          <w:szCs w:val="21"/>
          <w:lang w:val="en-US" w:eastAsia="zh-CN" w:bidi="ar-SA"/>
        </w:rPr>
      </w:pPr>
    </w:p>
    <w:p w14:paraId="09D226E0">
      <w:pPr>
        <w:widowControl w:val="0"/>
        <w:spacing w:line="380" w:lineRule="exact"/>
        <w:jc w:val="both"/>
        <w:rPr>
          <w:rFonts w:ascii="Calibri" w:hAnsi="Calibri" w:eastAsia="宋体" w:cs="Times New Roman"/>
          <w:color w:val="auto"/>
          <w:kern w:val="2"/>
          <w:sz w:val="21"/>
          <w:szCs w:val="21"/>
          <w:lang w:val="en-US" w:eastAsia="zh-CN" w:bidi="ar-SA"/>
        </w:rPr>
      </w:pPr>
      <w:r>
        <w:rPr>
          <w:rFonts w:ascii="Calibri" w:hAnsi="Calibri" w:eastAsia="宋体" w:cs="Times New Roman"/>
          <w:color w:val="auto"/>
          <w:kern w:val="2"/>
          <w:sz w:val="21"/>
          <w:szCs w:val="21"/>
          <w:lang w:val="en-US" w:eastAsia="zh-CN" w:bidi="ar-SA"/>
        </w:rPr>
        <w:t>本单位就参与[</w:t>
      </w:r>
      <w:r>
        <w:rPr>
          <w:rFonts w:ascii="Calibri" w:hAnsi="Calibri" w:eastAsia="宋体" w:cs="Times New Roman"/>
          <w:b/>
          <w:bCs/>
          <w:color w:val="auto"/>
          <w:kern w:val="2"/>
          <w:sz w:val="21"/>
          <w:szCs w:val="21"/>
          <w:u w:val="single"/>
          <w:lang w:val="en-US" w:eastAsia="zh-CN" w:bidi="ar-SA"/>
        </w:rPr>
        <w:t>项目名称、项目编号</w:t>
      </w:r>
      <w:r>
        <w:rPr>
          <w:rFonts w:ascii="Calibri" w:hAnsi="Calibri" w:eastAsia="宋体" w:cs="Times New Roman"/>
          <w:color w:val="auto"/>
          <w:kern w:val="2"/>
          <w:sz w:val="21"/>
          <w:szCs w:val="21"/>
          <w:lang w:val="en-US" w:eastAsia="zh-CN" w:bidi="ar-SA"/>
        </w:rPr>
        <w:t>]项目，郑重承诺如下：</w:t>
      </w:r>
    </w:p>
    <w:p w14:paraId="4623990D">
      <w:pPr>
        <w:widowControl w:val="0"/>
        <w:spacing w:line="380" w:lineRule="exact"/>
        <w:jc w:val="both"/>
        <w:rPr>
          <w:rFonts w:ascii="Calibri" w:hAnsi="Calibri" w:eastAsia="宋体" w:cs="Times New Roman"/>
          <w:color w:val="auto"/>
          <w:kern w:val="2"/>
          <w:sz w:val="21"/>
          <w:szCs w:val="21"/>
          <w:lang w:val="en-US" w:eastAsia="zh-CN" w:bidi="ar-SA"/>
        </w:rPr>
      </w:pPr>
    </w:p>
    <w:p w14:paraId="1BFB444F">
      <w:pPr>
        <w:widowControl w:val="0"/>
        <w:spacing w:line="380" w:lineRule="exact"/>
        <w:ind w:firstLine="420" w:firstLineChars="200"/>
        <w:jc w:val="both"/>
        <w:rPr>
          <w:rFonts w:ascii="Calibri" w:hAnsi="Calibri" w:eastAsia="宋体" w:cs="Times New Roman"/>
          <w:color w:val="auto"/>
          <w:kern w:val="2"/>
          <w:sz w:val="21"/>
          <w:szCs w:val="21"/>
          <w:lang w:val="en-US" w:eastAsia="zh-CN" w:bidi="ar-SA"/>
        </w:rPr>
      </w:pPr>
      <w:r>
        <w:rPr>
          <w:rFonts w:ascii="Calibri" w:hAnsi="Calibri" w:eastAsia="宋体" w:cs="Times New Roman"/>
          <w:color w:val="auto"/>
          <w:kern w:val="2"/>
          <w:sz w:val="21"/>
          <w:szCs w:val="21"/>
          <w:lang w:val="en-US" w:eastAsia="zh-CN" w:bidi="ar-SA"/>
        </w:rPr>
        <w:t>本单位为该项目（或采购包）提供的符合本国产品标准的产品成本之和，占所提供全部产品成本之和的比例达到80%以上。本公司（单位）对上述承诺内容的真实性负责。如有虚假，愿承担相应法律责任。</w:t>
      </w:r>
    </w:p>
    <w:p w14:paraId="51E6D9C8">
      <w:pPr>
        <w:widowControl w:val="0"/>
        <w:spacing w:line="380" w:lineRule="exact"/>
        <w:jc w:val="both"/>
        <w:rPr>
          <w:rFonts w:ascii="Calibri" w:hAnsi="Calibri" w:eastAsia="宋体" w:cs="Times New Roman"/>
          <w:color w:val="auto"/>
          <w:kern w:val="2"/>
          <w:sz w:val="21"/>
          <w:szCs w:val="21"/>
          <w:lang w:val="en-US" w:eastAsia="zh-CN" w:bidi="ar-SA"/>
        </w:rPr>
      </w:pPr>
    </w:p>
    <w:p w14:paraId="44638CA3">
      <w:pPr>
        <w:widowControl w:val="0"/>
        <w:spacing w:line="380" w:lineRule="exact"/>
        <w:jc w:val="both"/>
        <w:rPr>
          <w:rFonts w:ascii="Calibri" w:hAnsi="Calibri" w:eastAsia="宋体" w:cs="Times New Roman"/>
          <w:color w:val="auto"/>
          <w:kern w:val="2"/>
          <w:sz w:val="21"/>
          <w:szCs w:val="21"/>
          <w:lang w:val="en-US" w:eastAsia="zh-CN" w:bidi="ar-SA"/>
        </w:rPr>
      </w:pPr>
      <w:r>
        <w:rPr>
          <w:rFonts w:ascii="Calibri" w:hAnsi="Calibri" w:eastAsia="宋体" w:cs="Times New Roman"/>
          <w:color w:val="auto"/>
          <w:kern w:val="2"/>
          <w:sz w:val="21"/>
          <w:szCs w:val="21"/>
          <w:lang w:val="en-US" w:eastAsia="zh-CN" w:bidi="ar-SA"/>
        </w:rPr>
        <w:t xml:space="preserve"> </w:t>
      </w:r>
    </w:p>
    <w:p w14:paraId="69EE875E">
      <w:pPr>
        <w:widowControl w:val="0"/>
        <w:spacing w:line="380" w:lineRule="exact"/>
        <w:jc w:val="both"/>
        <w:rPr>
          <w:rFonts w:ascii="Calibri" w:hAnsi="Calibri" w:eastAsia="宋体" w:cs="Times New Roman"/>
          <w:kern w:val="2"/>
          <w:sz w:val="21"/>
          <w:szCs w:val="21"/>
          <w:lang w:val="en-US" w:eastAsia="zh-CN" w:bidi="ar-SA"/>
        </w:rPr>
      </w:pPr>
    </w:p>
    <w:p w14:paraId="4B587918">
      <w:pPr>
        <w:widowControl w:val="0"/>
        <w:spacing w:line="380" w:lineRule="exact"/>
        <w:jc w:val="both"/>
        <w:rPr>
          <w:rFonts w:ascii="Calibri" w:hAnsi="Calibri" w:eastAsia="宋体" w:cs="Times New Roman"/>
          <w:kern w:val="2"/>
          <w:sz w:val="21"/>
          <w:szCs w:val="21"/>
          <w:lang w:val="en-US" w:eastAsia="zh-CN" w:bidi="ar-SA"/>
        </w:rPr>
      </w:pPr>
      <w:r>
        <w:rPr>
          <w:rFonts w:ascii="Calibri" w:hAnsi="Calibri" w:eastAsia="宋体" w:cs="Times New Roman"/>
          <w:kern w:val="2"/>
          <w:sz w:val="21"/>
          <w:szCs w:val="21"/>
          <w:lang w:val="en-US" w:eastAsia="zh-CN" w:bidi="ar-SA"/>
        </w:rPr>
        <w:t xml:space="preserve"> </w:t>
      </w:r>
    </w:p>
    <w:p w14:paraId="0A7F85F2">
      <w:pPr>
        <w:widowControl w:val="0"/>
        <w:spacing w:line="380" w:lineRule="exact"/>
        <w:jc w:val="both"/>
        <w:rPr>
          <w:rFonts w:ascii="Calibri" w:hAnsi="Calibri" w:eastAsia="宋体" w:cs="Times New Roman"/>
          <w:kern w:val="2"/>
          <w:sz w:val="21"/>
          <w:szCs w:val="21"/>
          <w:lang w:val="en-US" w:eastAsia="zh-CN" w:bidi="ar-SA"/>
        </w:rPr>
      </w:pPr>
    </w:p>
    <w:p w14:paraId="518CF728">
      <w:pPr>
        <w:widowControl w:val="0"/>
        <w:spacing w:line="380" w:lineRule="exact"/>
        <w:jc w:val="right"/>
        <w:rPr>
          <w:rFonts w:ascii="Calibri" w:hAnsi="Calibri" w:eastAsia="宋体" w:cs="Times New Roman"/>
          <w:kern w:val="2"/>
          <w:sz w:val="21"/>
          <w:szCs w:val="21"/>
          <w:lang w:val="en-US" w:eastAsia="zh-CN" w:bidi="ar-SA"/>
        </w:rPr>
      </w:pPr>
      <w:r>
        <w:rPr>
          <w:rFonts w:hint="eastAsia" w:ascii="Calibri" w:hAnsi="Calibri" w:eastAsia="宋体" w:cs="Times New Roman"/>
          <w:kern w:val="2"/>
          <w:sz w:val="21"/>
          <w:szCs w:val="21"/>
          <w:lang w:val="en-US" w:eastAsia="zh-CN" w:bidi="ar-SA"/>
        </w:rPr>
        <w:t xml:space="preserve">    公司（单位）名称</w:t>
      </w:r>
      <w:r>
        <w:rPr>
          <w:rFonts w:ascii="Calibri" w:hAnsi="Calibri" w:eastAsia="宋体" w:cs="Times New Roman"/>
          <w:kern w:val="2"/>
          <w:sz w:val="21"/>
          <w:szCs w:val="21"/>
          <w:lang w:val="en-US" w:eastAsia="zh-CN" w:bidi="ar-SA"/>
        </w:rPr>
        <w:t>（盖章）：　        </w:t>
      </w:r>
    </w:p>
    <w:p w14:paraId="53741A66">
      <w:pPr>
        <w:spacing w:before="120" w:after="120"/>
        <w:ind w:firstLine="960"/>
        <w:jc w:val="center"/>
        <w:rPr>
          <w:rFonts w:hint="eastAsia" w:ascii="Calibri" w:hAnsi="Calibri" w:eastAsia="宋体" w:cs="Times New Roman"/>
          <w:color w:val="auto"/>
          <w:lang w:val="en-US" w:eastAsia="zh-CN"/>
        </w:rPr>
      </w:pPr>
      <w:r>
        <w:rPr>
          <w:rFonts w:hint="eastAsia" w:ascii="Calibri" w:hAnsi="Calibri" w:eastAsia="宋体" w:cs="Times New Roman"/>
          <w:szCs w:val="21"/>
          <w:lang w:val="en-US" w:eastAsia="zh-CN"/>
        </w:rPr>
        <w:t xml:space="preserve">                                  </w:t>
      </w:r>
      <w:r>
        <w:rPr>
          <w:rFonts w:ascii="Calibri" w:hAnsi="Calibri" w:eastAsia="宋体" w:cs="Times New Roman"/>
          <w:szCs w:val="21"/>
        </w:rPr>
        <w:t>日期：　     年　  月　  日</w:t>
      </w:r>
      <w:r>
        <w:rPr>
          <w:rFonts w:hint="eastAsia" w:ascii="Calibri" w:hAnsi="Calibri" w:eastAsia="宋体" w:cs="Times New Roman"/>
          <w:color w:val="auto"/>
          <w:lang w:val="en-US" w:eastAsia="zh-CN"/>
        </w:rPr>
        <w:t xml:space="preserve"> </w:t>
      </w:r>
    </w:p>
    <w:p w14:paraId="542B183F">
      <w:pPr>
        <w:spacing w:line="360" w:lineRule="auto"/>
        <w:rPr>
          <w:rFonts w:hint="eastAsia" w:ascii="宋体" w:hAnsi="宋体" w:eastAsia="宋体" w:cs="宋体"/>
          <w:b/>
          <w:color w:val="auto"/>
          <w:sz w:val="28"/>
          <w:szCs w:val="28"/>
          <w:highlight w:val="none"/>
        </w:rPr>
      </w:pPr>
    </w:p>
    <w:p w14:paraId="46237ABA">
      <w:pP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格式12-</w:t>
      </w:r>
      <w:r>
        <w:rPr>
          <w:rFonts w:hint="eastAsia" w:ascii="宋体" w:hAnsi="宋体" w:eastAsia="宋体" w:cs="宋体"/>
          <w:b/>
          <w:color w:val="auto"/>
          <w:sz w:val="28"/>
          <w:szCs w:val="28"/>
          <w:highlight w:val="none"/>
          <w:lang w:val="en-US" w:eastAsia="zh-CN"/>
        </w:rPr>
        <w:t>6</w:t>
      </w:r>
      <w:r>
        <w:rPr>
          <w:rFonts w:hint="eastAsia" w:ascii="宋体" w:hAnsi="宋体" w:eastAsia="宋体" w:cs="宋体"/>
          <w:b/>
          <w:color w:val="auto"/>
          <w:sz w:val="28"/>
          <w:szCs w:val="28"/>
          <w:highlight w:val="none"/>
        </w:rPr>
        <w:t>：</w:t>
      </w:r>
      <w:r>
        <w:rPr>
          <w:rFonts w:hint="eastAsia" w:ascii="宋体" w:hAnsi="宋体" w:eastAsia="宋体" w:cs="宋体"/>
          <w:b/>
          <w:color w:val="auto"/>
          <w:sz w:val="28"/>
          <w:szCs w:val="28"/>
          <w:highlight w:val="none"/>
          <w:lang w:val="en-US" w:eastAsia="zh-CN"/>
        </w:rPr>
        <w:t>联合体协议（如有，本项目接受联合体）</w:t>
      </w:r>
    </w:p>
    <w:p w14:paraId="5F9B407C">
      <w:pPr>
        <w:spacing w:before="120" w:after="120"/>
        <w:ind w:firstLine="960"/>
        <w:jc w:val="both"/>
        <w:rPr>
          <w:rFonts w:hint="eastAsia" w:ascii="Calibri" w:hAnsi="Calibri" w:cs="Times New Roman"/>
          <w:color w:val="auto"/>
          <w:kern w:val="2"/>
          <w:sz w:val="21"/>
          <w:szCs w:val="21"/>
          <w:lang w:val="en-US" w:eastAsia="zh-CN" w:bidi="ar-SA"/>
        </w:rPr>
      </w:pPr>
      <w:r>
        <w:rPr>
          <w:rFonts w:hint="eastAsia" w:ascii="Calibri" w:hAnsi="Calibri" w:eastAsia="宋体" w:cs="Times New Roman"/>
          <w:color w:val="auto"/>
          <w:kern w:val="2"/>
          <w:sz w:val="21"/>
          <w:szCs w:val="21"/>
          <w:lang w:val="en-US" w:eastAsia="zh-CN" w:bidi="ar-SA"/>
        </w:rPr>
        <w:t>投标人根据情况自拟格式。</w:t>
      </w:r>
    </w:p>
    <w:p w14:paraId="7FE738A8">
      <w:pPr>
        <w:spacing w:before="120" w:after="120"/>
        <w:ind w:firstLine="960"/>
        <w:jc w:val="both"/>
        <w:rPr>
          <w:rFonts w:hint="eastAsia" w:ascii="宋体" w:hAnsi="宋体" w:cs="宋体"/>
          <w:color w:val="auto"/>
          <w:szCs w:val="28"/>
          <w:highlight w:val="none"/>
          <w:lang w:val="en-US" w:eastAsia="zh-CN"/>
        </w:rPr>
      </w:pPr>
      <w:r>
        <w:rPr>
          <w:rFonts w:hint="eastAsia" w:ascii="宋体" w:hAnsi="宋体" w:cs="宋体"/>
          <w:color w:val="auto"/>
          <w:szCs w:val="28"/>
          <w:highlight w:val="none"/>
          <w:lang w:val="en-US" w:eastAsia="zh-CN"/>
        </w:rPr>
        <w:t>所有成员单位公章及法定代表人（或委托代理人签字）</w:t>
      </w:r>
    </w:p>
    <w:p w14:paraId="49255D88">
      <w:pPr>
        <w:spacing w:before="120" w:after="120"/>
        <w:ind w:firstLine="960"/>
        <w:jc w:val="both"/>
        <w:rPr>
          <w:rFonts w:hint="eastAsia" w:ascii="宋体" w:hAnsi="宋体" w:cs="宋体"/>
          <w:color w:val="auto"/>
          <w:szCs w:val="28"/>
          <w:highlight w:val="none"/>
          <w:lang w:val="en-US" w:eastAsia="zh-CN"/>
        </w:rPr>
      </w:pPr>
      <w:r>
        <w:rPr>
          <w:rFonts w:hint="eastAsia" w:ascii="宋体" w:hAnsi="宋体" w:cs="宋体"/>
          <w:color w:val="auto"/>
          <w:szCs w:val="28"/>
          <w:highlight w:val="none"/>
          <w:lang w:val="en-US" w:eastAsia="zh-CN"/>
        </w:rPr>
        <w:t>需包含以下内容：</w:t>
      </w:r>
    </w:p>
    <w:p w14:paraId="08AD917E">
      <w:pPr>
        <w:spacing w:before="120" w:after="120"/>
        <w:ind w:firstLine="960"/>
        <w:jc w:val="both"/>
        <w:rPr>
          <w:rFonts w:hint="eastAsia" w:ascii="宋体" w:hAnsi="宋体" w:cs="宋体"/>
          <w:color w:val="auto"/>
          <w:szCs w:val="28"/>
          <w:highlight w:val="none"/>
          <w:lang w:val="en-US" w:eastAsia="zh-CN"/>
        </w:rPr>
      </w:pPr>
      <w:r>
        <w:rPr>
          <w:rFonts w:hint="eastAsia" w:ascii="宋体" w:hAnsi="宋体" w:cs="宋体"/>
          <w:color w:val="auto"/>
          <w:szCs w:val="28"/>
          <w:highlight w:val="none"/>
          <w:lang w:val="en-US" w:eastAsia="zh-CN"/>
        </w:rPr>
        <w:t>明确牵头人；</w:t>
      </w:r>
    </w:p>
    <w:p w14:paraId="5DBA89BD">
      <w:pPr>
        <w:spacing w:before="120" w:after="120"/>
        <w:ind w:firstLine="960"/>
        <w:jc w:val="both"/>
        <w:rPr>
          <w:rFonts w:hint="eastAsia" w:ascii="宋体" w:hAnsi="宋体" w:cs="宋体"/>
          <w:color w:val="auto"/>
          <w:szCs w:val="28"/>
          <w:highlight w:val="none"/>
          <w:lang w:val="en-US" w:eastAsia="zh-CN"/>
        </w:rPr>
      </w:pPr>
      <w:r>
        <w:rPr>
          <w:rFonts w:hint="eastAsia" w:ascii="宋体" w:hAnsi="宋体" w:cs="宋体"/>
          <w:color w:val="auto"/>
          <w:szCs w:val="28"/>
          <w:highlight w:val="none"/>
          <w:lang w:val="en-US" w:eastAsia="zh-CN"/>
        </w:rPr>
        <w:t>联合体各方工作分工、责任划分；</w:t>
      </w:r>
    </w:p>
    <w:p w14:paraId="60DDF861">
      <w:pPr>
        <w:spacing w:before="120" w:after="120"/>
        <w:ind w:firstLine="960"/>
        <w:jc w:val="both"/>
        <w:rPr>
          <w:rFonts w:hint="eastAsia" w:ascii="宋体" w:hAnsi="宋体" w:cs="宋体"/>
          <w:color w:val="auto"/>
          <w:szCs w:val="28"/>
          <w:highlight w:val="none"/>
          <w:lang w:val="en-US" w:eastAsia="zh-CN"/>
        </w:rPr>
      </w:pPr>
      <w:r>
        <w:rPr>
          <w:rFonts w:hint="eastAsia" w:ascii="宋体" w:hAnsi="宋体" w:cs="宋体"/>
          <w:color w:val="auto"/>
          <w:szCs w:val="28"/>
          <w:highlight w:val="none"/>
          <w:lang w:val="en-US" w:eastAsia="zh-CN"/>
        </w:rPr>
        <w:t>承诺中标后共同签约、承担连带责任；</w:t>
      </w:r>
    </w:p>
    <w:p w14:paraId="2366F5FE">
      <w:pPr>
        <w:spacing w:before="120" w:after="120"/>
        <w:ind w:firstLine="960"/>
        <w:jc w:val="both"/>
        <w:rPr>
          <w:rFonts w:hint="default" w:ascii="宋体" w:hAnsi="宋体" w:cs="宋体"/>
          <w:color w:val="auto"/>
          <w:szCs w:val="28"/>
          <w:highlight w:val="none"/>
          <w:lang w:val="en-US" w:eastAsia="zh-CN"/>
        </w:rPr>
      </w:pPr>
      <w:r>
        <w:rPr>
          <w:rFonts w:hint="eastAsia" w:ascii="宋体" w:hAnsi="宋体" w:cs="宋体"/>
          <w:color w:val="auto"/>
          <w:szCs w:val="28"/>
          <w:highlight w:val="none"/>
          <w:lang w:val="en-US" w:eastAsia="zh-CN"/>
        </w:rPr>
        <w:t>成员不重复投标（不单独投标、不加入其他联合体）。</w:t>
      </w:r>
    </w:p>
    <w:p w14:paraId="20B956EE">
      <w:pPr>
        <w:spacing w:before="120" w:after="120"/>
        <w:ind w:firstLine="960"/>
        <w:jc w:val="both"/>
        <w:rPr>
          <w:rFonts w:hint="eastAsia" w:ascii="宋体" w:hAnsi="宋体" w:cs="宋体"/>
          <w:color w:val="auto"/>
          <w:szCs w:val="28"/>
          <w:highlight w:val="none"/>
        </w:rPr>
      </w:pPr>
      <w:r>
        <w:rPr>
          <w:rFonts w:hint="eastAsia" w:ascii="宋体" w:hAnsi="宋体" w:cs="宋体"/>
          <w:color w:val="auto"/>
          <w:szCs w:val="28"/>
          <w:highlight w:val="none"/>
        </w:rPr>
        <w:br w:type="page"/>
      </w:r>
    </w:p>
    <w:p w14:paraId="26176905">
      <w:pPr>
        <w:pStyle w:val="3"/>
        <w:numPr>
          <w:ilvl w:val="0"/>
          <w:numId w:val="0"/>
        </w:numPr>
        <w:spacing w:before="0"/>
        <w:ind w:firstLine="3612" w:firstLineChars="1290"/>
        <w:rPr>
          <w:rFonts w:hint="eastAsia" w:ascii="宋体" w:hAnsi="宋体" w:eastAsia="宋体"/>
          <w:color w:val="auto"/>
          <w:szCs w:val="28"/>
          <w:highlight w:val="none"/>
        </w:rPr>
      </w:pPr>
      <w:bookmarkStart w:id="372" w:name="_Toc1091"/>
      <w:bookmarkStart w:id="373" w:name="_Toc13673"/>
      <w:bookmarkStart w:id="374" w:name="_Toc32241"/>
      <w:bookmarkStart w:id="375" w:name="_Toc27685"/>
      <w:bookmarkStart w:id="376" w:name="_Toc26423"/>
      <w:bookmarkStart w:id="377" w:name="_Toc7285"/>
      <w:bookmarkStart w:id="378" w:name="_Toc6080"/>
      <w:r>
        <w:rPr>
          <w:rFonts w:hint="eastAsia" w:ascii="宋体" w:hAnsi="宋体" w:eastAsia="宋体"/>
          <w:color w:val="auto"/>
          <w:szCs w:val="28"/>
          <w:highlight w:val="none"/>
        </w:rPr>
        <w:t>三、技术响应文件</w:t>
      </w:r>
      <w:bookmarkEnd w:id="372"/>
      <w:bookmarkEnd w:id="373"/>
      <w:bookmarkEnd w:id="374"/>
      <w:bookmarkEnd w:id="375"/>
      <w:bookmarkEnd w:id="376"/>
      <w:bookmarkEnd w:id="377"/>
      <w:bookmarkEnd w:id="378"/>
    </w:p>
    <w:p w14:paraId="03433B83">
      <w:pPr>
        <w:pStyle w:val="4"/>
        <w:keepNext/>
        <w:numPr>
          <w:ilvl w:val="0"/>
          <w:numId w:val="0"/>
        </w:numPr>
        <w:tabs>
          <w:tab w:val="left" w:pos="1021"/>
          <w:tab w:val="clear" w:pos="360"/>
          <w:tab w:val="clear" w:pos="900"/>
          <w:tab w:val="clear" w:pos="1588"/>
        </w:tabs>
        <w:spacing w:before="0"/>
        <w:rPr>
          <w:rFonts w:hint="eastAsia" w:ascii="宋体" w:hAnsi="宋体" w:eastAsia="宋体" w:cs="宋体"/>
          <w:color w:val="auto"/>
          <w:szCs w:val="28"/>
          <w:highlight w:val="none"/>
        </w:rPr>
      </w:pPr>
      <w:bookmarkStart w:id="379" w:name="_Toc28773"/>
      <w:bookmarkStart w:id="380" w:name="_Toc25577"/>
      <w:bookmarkStart w:id="381" w:name="_Toc28342"/>
      <w:bookmarkStart w:id="382" w:name="_Toc23359"/>
      <w:bookmarkStart w:id="383" w:name="_Toc29852"/>
      <w:bookmarkStart w:id="384" w:name="_Toc2842"/>
      <w:bookmarkStart w:id="385" w:name="_Toc15352"/>
      <w:bookmarkStart w:id="386" w:name="_Toc11082"/>
      <w:r>
        <w:rPr>
          <w:rFonts w:hint="eastAsia" w:ascii="宋体" w:hAnsi="宋体" w:eastAsia="宋体" w:cs="宋体"/>
          <w:color w:val="auto"/>
          <w:szCs w:val="28"/>
          <w:highlight w:val="none"/>
        </w:rPr>
        <w:t>格式13：评分对应表</w:t>
      </w:r>
      <w:bookmarkEnd w:id="379"/>
      <w:bookmarkEnd w:id="380"/>
      <w:bookmarkEnd w:id="381"/>
      <w:bookmarkEnd w:id="382"/>
      <w:bookmarkEnd w:id="383"/>
      <w:bookmarkEnd w:id="384"/>
      <w:bookmarkEnd w:id="385"/>
      <w:bookmarkEnd w:id="386"/>
    </w:p>
    <w:p w14:paraId="536CC576">
      <w:pPr>
        <w:snapToGrid w:val="0"/>
        <w:spacing w:before="50"/>
        <w:jc w:val="center"/>
        <w:rPr>
          <w:rFonts w:hint="eastAsia" w:ascii="宋体" w:hAnsi="宋体" w:cs="宋体"/>
          <w:b/>
          <w:bCs/>
          <w:color w:val="auto"/>
          <w:sz w:val="24"/>
          <w:highlight w:val="none"/>
        </w:rPr>
      </w:pPr>
      <w:r>
        <w:rPr>
          <w:rFonts w:hint="eastAsia" w:ascii="宋体" w:hAnsi="宋体" w:cs="宋体"/>
          <w:b/>
          <w:bCs/>
          <w:color w:val="auto"/>
          <w:sz w:val="24"/>
          <w:highlight w:val="none"/>
        </w:rPr>
        <w:t>（需投标人按招标文件“评分因素及评标标准”中每个评分项逐项列明页码）</w:t>
      </w:r>
    </w:p>
    <w:p w14:paraId="42C5CF6B">
      <w:pPr>
        <w:pStyle w:val="32"/>
        <w:ind w:firstLine="404"/>
        <w:rPr>
          <w:rFonts w:hint="eastAsia" w:hAnsi="宋体"/>
          <w:color w:val="auto"/>
          <w:highlight w:val="none"/>
        </w:rPr>
      </w:pPr>
    </w:p>
    <w:tbl>
      <w:tblPr>
        <w:tblStyle w:val="33"/>
        <w:tblW w:w="946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8"/>
        <w:gridCol w:w="3825"/>
        <w:gridCol w:w="1750"/>
      </w:tblGrid>
      <w:tr w14:paraId="67C908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88" w:type="dxa"/>
            <w:tcBorders>
              <w:top w:val="single" w:color="auto" w:sz="4" w:space="0"/>
              <w:left w:val="single" w:color="auto" w:sz="4" w:space="0"/>
              <w:bottom w:val="single" w:color="auto" w:sz="4" w:space="0"/>
              <w:right w:val="single" w:color="auto" w:sz="4" w:space="0"/>
            </w:tcBorders>
            <w:vAlign w:val="center"/>
          </w:tcPr>
          <w:p w14:paraId="4A1BAACB">
            <w:pPr>
              <w:pStyle w:val="8"/>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评分项目</w:t>
            </w:r>
          </w:p>
        </w:tc>
        <w:tc>
          <w:tcPr>
            <w:tcW w:w="3825" w:type="dxa"/>
            <w:tcBorders>
              <w:top w:val="single" w:color="auto" w:sz="4" w:space="0"/>
              <w:left w:val="single" w:color="auto" w:sz="4" w:space="0"/>
              <w:bottom w:val="single" w:color="auto" w:sz="4" w:space="0"/>
              <w:right w:val="single" w:color="auto" w:sz="4" w:space="0"/>
            </w:tcBorders>
            <w:vAlign w:val="center"/>
          </w:tcPr>
          <w:p w14:paraId="65C33F60">
            <w:pPr>
              <w:snapToGrid w:val="0"/>
              <w:spacing w:before="165" w:beforeLines="50"/>
              <w:jc w:val="center"/>
              <w:rPr>
                <w:rFonts w:hint="eastAsia" w:ascii="宋体" w:hAnsi="宋体" w:cs="宋体"/>
                <w:color w:val="auto"/>
                <w:szCs w:val="21"/>
                <w:highlight w:val="none"/>
              </w:rPr>
            </w:pPr>
            <w:r>
              <w:rPr>
                <w:rFonts w:hint="eastAsia" w:ascii="宋体" w:hAnsi="宋体" w:cs="宋体"/>
                <w:color w:val="auto"/>
                <w:szCs w:val="21"/>
                <w:highlight w:val="none"/>
              </w:rPr>
              <w:t>投标文件对应资料</w:t>
            </w:r>
          </w:p>
        </w:tc>
        <w:tc>
          <w:tcPr>
            <w:tcW w:w="1750" w:type="dxa"/>
            <w:tcBorders>
              <w:top w:val="single" w:color="auto" w:sz="4" w:space="0"/>
              <w:left w:val="single" w:color="auto" w:sz="4" w:space="0"/>
              <w:bottom w:val="single" w:color="auto" w:sz="4" w:space="0"/>
              <w:right w:val="single" w:color="auto" w:sz="4" w:space="0"/>
            </w:tcBorders>
            <w:vAlign w:val="center"/>
          </w:tcPr>
          <w:p w14:paraId="30053377">
            <w:pPr>
              <w:snapToGrid w:val="0"/>
              <w:spacing w:before="165" w:beforeLines="50"/>
              <w:jc w:val="center"/>
              <w:rPr>
                <w:rFonts w:hint="eastAsia" w:ascii="宋体" w:hAnsi="宋体" w:cs="宋体"/>
                <w:color w:val="auto"/>
                <w:kern w:val="0"/>
                <w:szCs w:val="21"/>
                <w:highlight w:val="none"/>
              </w:rPr>
            </w:pPr>
            <w:r>
              <w:rPr>
                <w:rFonts w:hint="eastAsia" w:ascii="宋体" w:hAnsi="宋体" w:cs="宋体"/>
                <w:color w:val="auto"/>
                <w:szCs w:val="21"/>
                <w:highlight w:val="none"/>
              </w:rPr>
              <w:t>投标文件页码</w:t>
            </w:r>
          </w:p>
        </w:tc>
      </w:tr>
      <w:tr w14:paraId="51AAA2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1AF55AE4">
            <w:pPr>
              <w:snapToGrid w:val="0"/>
              <w:rPr>
                <w:rFonts w:hint="eastAsia" w:ascii="宋体" w:hAnsi="宋体" w:cs="宋体"/>
                <w:color w:val="auto"/>
                <w:szCs w:val="21"/>
                <w:highlight w:val="none"/>
              </w:rPr>
            </w:pPr>
            <w:r>
              <w:rPr>
                <w:rFonts w:hint="eastAsia" w:ascii="宋体" w:hAnsi="宋体" w:cs="宋体"/>
                <w:color w:val="auto"/>
                <w:szCs w:val="21"/>
                <w:highlight w:val="none"/>
              </w:rPr>
              <w:t>对应第七章评分办法及评分标准（报价除外）</w:t>
            </w:r>
          </w:p>
        </w:tc>
        <w:tc>
          <w:tcPr>
            <w:tcW w:w="3825" w:type="dxa"/>
            <w:tcBorders>
              <w:top w:val="single" w:color="auto" w:sz="4" w:space="0"/>
              <w:left w:val="single" w:color="auto" w:sz="4" w:space="0"/>
              <w:bottom w:val="single" w:color="auto" w:sz="4" w:space="0"/>
              <w:right w:val="single" w:color="auto" w:sz="4" w:space="0"/>
            </w:tcBorders>
          </w:tcPr>
          <w:p w14:paraId="100AB7C2">
            <w:pPr>
              <w:snapToGrid w:val="0"/>
              <w:spacing w:before="165" w:beforeLines="50"/>
              <w:rPr>
                <w:rFonts w:hint="eastAsia" w:ascii="宋体" w:hAnsi="宋体" w:cs="宋体"/>
                <w:color w:val="auto"/>
                <w:szCs w:val="21"/>
                <w:highlight w:val="none"/>
              </w:rPr>
            </w:pPr>
          </w:p>
        </w:tc>
        <w:tc>
          <w:tcPr>
            <w:tcW w:w="1750" w:type="dxa"/>
            <w:tcBorders>
              <w:top w:val="single" w:color="auto" w:sz="4" w:space="0"/>
              <w:left w:val="single" w:color="auto" w:sz="4" w:space="0"/>
              <w:bottom w:val="single" w:color="auto" w:sz="4" w:space="0"/>
              <w:right w:val="single" w:color="auto" w:sz="4" w:space="0"/>
            </w:tcBorders>
          </w:tcPr>
          <w:p w14:paraId="222C0C97">
            <w:pPr>
              <w:snapToGrid w:val="0"/>
              <w:spacing w:before="165" w:beforeLines="50"/>
              <w:rPr>
                <w:rFonts w:hint="eastAsia" w:ascii="宋体" w:hAnsi="宋体" w:cs="宋体"/>
                <w:color w:val="auto"/>
                <w:szCs w:val="21"/>
                <w:highlight w:val="none"/>
              </w:rPr>
            </w:pPr>
          </w:p>
        </w:tc>
      </w:tr>
      <w:tr w14:paraId="1E60CB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0EEF032E">
            <w:pPr>
              <w:snapToGrid w:val="0"/>
              <w:rPr>
                <w:rFonts w:hint="eastAsia" w:ascii="宋体" w:hAnsi="宋体" w:cs="宋体"/>
                <w:color w:val="auto"/>
                <w:szCs w:val="21"/>
                <w:highlight w:val="none"/>
              </w:rPr>
            </w:pPr>
            <w:r>
              <w:rPr>
                <w:rFonts w:hint="eastAsia" w:ascii="宋体" w:hAnsi="宋体" w:cs="宋体"/>
                <w:color w:val="auto"/>
                <w:szCs w:val="21"/>
                <w:highlight w:val="none"/>
              </w:rPr>
              <w:t>……</w:t>
            </w:r>
          </w:p>
        </w:tc>
        <w:tc>
          <w:tcPr>
            <w:tcW w:w="3825" w:type="dxa"/>
            <w:tcBorders>
              <w:top w:val="single" w:color="auto" w:sz="4" w:space="0"/>
              <w:left w:val="single" w:color="auto" w:sz="4" w:space="0"/>
              <w:bottom w:val="single" w:color="auto" w:sz="4" w:space="0"/>
              <w:right w:val="single" w:color="auto" w:sz="4" w:space="0"/>
            </w:tcBorders>
          </w:tcPr>
          <w:p w14:paraId="4B251BA0">
            <w:pPr>
              <w:snapToGrid w:val="0"/>
              <w:spacing w:before="165" w:beforeLines="50"/>
              <w:rPr>
                <w:rFonts w:hint="eastAsia" w:ascii="宋体" w:hAnsi="宋体" w:cs="宋体"/>
                <w:color w:val="auto"/>
                <w:szCs w:val="21"/>
                <w:highlight w:val="none"/>
              </w:rPr>
            </w:pPr>
          </w:p>
        </w:tc>
        <w:tc>
          <w:tcPr>
            <w:tcW w:w="1750" w:type="dxa"/>
            <w:tcBorders>
              <w:top w:val="single" w:color="auto" w:sz="4" w:space="0"/>
              <w:left w:val="single" w:color="auto" w:sz="4" w:space="0"/>
              <w:bottom w:val="single" w:color="auto" w:sz="4" w:space="0"/>
              <w:right w:val="single" w:color="auto" w:sz="4" w:space="0"/>
            </w:tcBorders>
          </w:tcPr>
          <w:p w14:paraId="6AFB2464">
            <w:pPr>
              <w:snapToGrid w:val="0"/>
              <w:spacing w:before="165" w:beforeLines="50"/>
              <w:ind w:left="43"/>
              <w:rPr>
                <w:rFonts w:hint="eastAsia" w:ascii="宋体" w:hAnsi="宋体" w:cs="宋体"/>
                <w:color w:val="auto"/>
                <w:szCs w:val="21"/>
                <w:highlight w:val="none"/>
              </w:rPr>
            </w:pPr>
          </w:p>
        </w:tc>
      </w:tr>
      <w:tr w14:paraId="499C05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4ACB2949">
            <w:pPr>
              <w:snapToGrid w:val="0"/>
              <w:rPr>
                <w:rFonts w:hint="eastAsia" w:ascii="宋体" w:hAnsi="宋体"/>
                <w:color w:val="auto"/>
                <w:sz w:val="30"/>
                <w:szCs w:val="30"/>
                <w:highlight w:val="none"/>
              </w:rPr>
            </w:pPr>
          </w:p>
        </w:tc>
        <w:tc>
          <w:tcPr>
            <w:tcW w:w="3825" w:type="dxa"/>
            <w:tcBorders>
              <w:top w:val="single" w:color="auto" w:sz="4" w:space="0"/>
              <w:left w:val="single" w:color="auto" w:sz="4" w:space="0"/>
              <w:bottom w:val="single" w:color="auto" w:sz="4" w:space="0"/>
              <w:right w:val="single" w:color="auto" w:sz="4" w:space="0"/>
            </w:tcBorders>
          </w:tcPr>
          <w:p w14:paraId="482B2716">
            <w:pPr>
              <w:snapToGrid w:val="0"/>
              <w:spacing w:before="165" w:beforeLines="50"/>
              <w:rPr>
                <w:rFonts w:hint="eastAsia" w:ascii="宋体" w:hAnsi="宋体"/>
                <w:color w:val="auto"/>
                <w:sz w:val="30"/>
                <w:szCs w:val="30"/>
                <w:highlight w:val="none"/>
              </w:rPr>
            </w:pPr>
          </w:p>
        </w:tc>
        <w:tc>
          <w:tcPr>
            <w:tcW w:w="1750" w:type="dxa"/>
            <w:tcBorders>
              <w:top w:val="single" w:color="auto" w:sz="4" w:space="0"/>
              <w:left w:val="single" w:color="auto" w:sz="4" w:space="0"/>
              <w:bottom w:val="single" w:color="auto" w:sz="4" w:space="0"/>
              <w:right w:val="single" w:color="auto" w:sz="4" w:space="0"/>
            </w:tcBorders>
          </w:tcPr>
          <w:p w14:paraId="4F04999A">
            <w:pPr>
              <w:snapToGrid w:val="0"/>
              <w:spacing w:before="165" w:beforeLines="50"/>
              <w:ind w:left="43"/>
              <w:rPr>
                <w:rFonts w:hint="eastAsia" w:ascii="宋体" w:hAnsi="宋体"/>
                <w:color w:val="auto"/>
                <w:sz w:val="30"/>
                <w:szCs w:val="30"/>
                <w:highlight w:val="none"/>
              </w:rPr>
            </w:pPr>
          </w:p>
        </w:tc>
      </w:tr>
      <w:tr w14:paraId="7367F8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51D1F19C">
            <w:pPr>
              <w:snapToGrid w:val="0"/>
              <w:rPr>
                <w:rFonts w:hint="eastAsia" w:ascii="宋体" w:hAnsi="宋体"/>
                <w:color w:val="auto"/>
                <w:sz w:val="30"/>
                <w:szCs w:val="30"/>
                <w:highlight w:val="none"/>
              </w:rPr>
            </w:pPr>
          </w:p>
        </w:tc>
        <w:tc>
          <w:tcPr>
            <w:tcW w:w="3825" w:type="dxa"/>
            <w:tcBorders>
              <w:top w:val="single" w:color="auto" w:sz="4" w:space="0"/>
              <w:left w:val="single" w:color="auto" w:sz="4" w:space="0"/>
              <w:bottom w:val="single" w:color="auto" w:sz="4" w:space="0"/>
              <w:right w:val="single" w:color="auto" w:sz="4" w:space="0"/>
            </w:tcBorders>
          </w:tcPr>
          <w:p w14:paraId="6F8BFBEA">
            <w:pPr>
              <w:snapToGrid w:val="0"/>
              <w:spacing w:before="165" w:beforeLines="50"/>
              <w:rPr>
                <w:rFonts w:hint="eastAsia" w:ascii="宋体" w:hAnsi="宋体"/>
                <w:color w:val="auto"/>
                <w:sz w:val="30"/>
                <w:szCs w:val="30"/>
                <w:highlight w:val="none"/>
              </w:rPr>
            </w:pPr>
          </w:p>
        </w:tc>
        <w:tc>
          <w:tcPr>
            <w:tcW w:w="1750" w:type="dxa"/>
            <w:tcBorders>
              <w:top w:val="single" w:color="auto" w:sz="4" w:space="0"/>
              <w:left w:val="single" w:color="auto" w:sz="4" w:space="0"/>
              <w:bottom w:val="single" w:color="auto" w:sz="4" w:space="0"/>
              <w:right w:val="single" w:color="auto" w:sz="4" w:space="0"/>
            </w:tcBorders>
          </w:tcPr>
          <w:p w14:paraId="5F219BB0">
            <w:pPr>
              <w:snapToGrid w:val="0"/>
              <w:spacing w:before="165" w:beforeLines="50"/>
              <w:ind w:left="43"/>
              <w:rPr>
                <w:rFonts w:hint="eastAsia" w:ascii="宋体" w:hAnsi="宋体"/>
                <w:color w:val="auto"/>
                <w:sz w:val="30"/>
                <w:szCs w:val="30"/>
                <w:highlight w:val="none"/>
              </w:rPr>
            </w:pPr>
          </w:p>
        </w:tc>
      </w:tr>
      <w:tr w14:paraId="63C8D6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4AAD328E">
            <w:pPr>
              <w:snapToGrid w:val="0"/>
              <w:rPr>
                <w:rFonts w:hint="eastAsia" w:ascii="宋体" w:hAnsi="宋体"/>
                <w:color w:val="auto"/>
                <w:sz w:val="30"/>
                <w:szCs w:val="30"/>
                <w:highlight w:val="none"/>
              </w:rPr>
            </w:pPr>
          </w:p>
        </w:tc>
        <w:tc>
          <w:tcPr>
            <w:tcW w:w="3825" w:type="dxa"/>
            <w:tcBorders>
              <w:top w:val="single" w:color="auto" w:sz="4" w:space="0"/>
              <w:left w:val="single" w:color="auto" w:sz="4" w:space="0"/>
              <w:bottom w:val="single" w:color="auto" w:sz="4" w:space="0"/>
              <w:right w:val="single" w:color="auto" w:sz="4" w:space="0"/>
            </w:tcBorders>
          </w:tcPr>
          <w:p w14:paraId="00D3B2C5">
            <w:pPr>
              <w:snapToGrid w:val="0"/>
              <w:spacing w:before="165" w:beforeLines="50"/>
              <w:rPr>
                <w:rFonts w:hint="eastAsia" w:ascii="宋体" w:hAnsi="宋体"/>
                <w:color w:val="auto"/>
                <w:sz w:val="30"/>
                <w:szCs w:val="30"/>
                <w:highlight w:val="none"/>
              </w:rPr>
            </w:pPr>
          </w:p>
        </w:tc>
        <w:tc>
          <w:tcPr>
            <w:tcW w:w="1750" w:type="dxa"/>
            <w:tcBorders>
              <w:top w:val="single" w:color="auto" w:sz="4" w:space="0"/>
              <w:left w:val="single" w:color="auto" w:sz="4" w:space="0"/>
              <w:bottom w:val="single" w:color="auto" w:sz="4" w:space="0"/>
              <w:right w:val="single" w:color="auto" w:sz="4" w:space="0"/>
            </w:tcBorders>
          </w:tcPr>
          <w:p w14:paraId="46FB1877">
            <w:pPr>
              <w:snapToGrid w:val="0"/>
              <w:spacing w:before="165" w:beforeLines="50"/>
              <w:rPr>
                <w:rFonts w:hint="eastAsia" w:ascii="宋体" w:hAnsi="宋体"/>
                <w:color w:val="auto"/>
                <w:sz w:val="30"/>
                <w:szCs w:val="30"/>
                <w:highlight w:val="none"/>
              </w:rPr>
            </w:pPr>
          </w:p>
        </w:tc>
      </w:tr>
      <w:tr w14:paraId="4A0E99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39D3485A">
            <w:pPr>
              <w:snapToGrid w:val="0"/>
              <w:rPr>
                <w:rFonts w:hint="eastAsia" w:ascii="宋体" w:hAnsi="宋体"/>
                <w:color w:val="auto"/>
                <w:sz w:val="30"/>
                <w:szCs w:val="30"/>
                <w:highlight w:val="none"/>
              </w:rPr>
            </w:pPr>
          </w:p>
        </w:tc>
        <w:tc>
          <w:tcPr>
            <w:tcW w:w="3825" w:type="dxa"/>
            <w:tcBorders>
              <w:top w:val="single" w:color="auto" w:sz="4" w:space="0"/>
              <w:left w:val="single" w:color="auto" w:sz="4" w:space="0"/>
              <w:bottom w:val="single" w:color="auto" w:sz="4" w:space="0"/>
              <w:right w:val="single" w:color="auto" w:sz="4" w:space="0"/>
            </w:tcBorders>
          </w:tcPr>
          <w:p w14:paraId="714F9025">
            <w:pPr>
              <w:snapToGrid w:val="0"/>
              <w:spacing w:before="165" w:beforeLines="50"/>
              <w:rPr>
                <w:rFonts w:hint="eastAsia" w:ascii="宋体" w:hAnsi="宋体"/>
                <w:color w:val="auto"/>
                <w:sz w:val="30"/>
                <w:szCs w:val="30"/>
                <w:highlight w:val="none"/>
              </w:rPr>
            </w:pPr>
          </w:p>
        </w:tc>
        <w:tc>
          <w:tcPr>
            <w:tcW w:w="1750" w:type="dxa"/>
            <w:tcBorders>
              <w:top w:val="single" w:color="auto" w:sz="4" w:space="0"/>
              <w:left w:val="single" w:color="auto" w:sz="4" w:space="0"/>
              <w:bottom w:val="single" w:color="auto" w:sz="4" w:space="0"/>
              <w:right w:val="single" w:color="auto" w:sz="4" w:space="0"/>
            </w:tcBorders>
          </w:tcPr>
          <w:p w14:paraId="78B43F83">
            <w:pPr>
              <w:snapToGrid w:val="0"/>
              <w:spacing w:before="165" w:beforeLines="50"/>
              <w:rPr>
                <w:rFonts w:hint="eastAsia" w:ascii="宋体" w:hAnsi="宋体"/>
                <w:color w:val="auto"/>
                <w:sz w:val="30"/>
                <w:szCs w:val="30"/>
                <w:highlight w:val="none"/>
              </w:rPr>
            </w:pPr>
          </w:p>
        </w:tc>
      </w:tr>
      <w:tr w14:paraId="549FC3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1C38989C">
            <w:pPr>
              <w:snapToGrid w:val="0"/>
              <w:rPr>
                <w:rFonts w:hint="eastAsia" w:ascii="宋体" w:hAnsi="宋体"/>
                <w:color w:val="auto"/>
                <w:sz w:val="30"/>
                <w:szCs w:val="30"/>
                <w:highlight w:val="none"/>
              </w:rPr>
            </w:pPr>
          </w:p>
        </w:tc>
        <w:tc>
          <w:tcPr>
            <w:tcW w:w="3825" w:type="dxa"/>
            <w:tcBorders>
              <w:top w:val="single" w:color="auto" w:sz="4" w:space="0"/>
              <w:left w:val="single" w:color="auto" w:sz="4" w:space="0"/>
              <w:bottom w:val="single" w:color="auto" w:sz="4" w:space="0"/>
              <w:right w:val="single" w:color="auto" w:sz="4" w:space="0"/>
            </w:tcBorders>
          </w:tcPr>
          <w:p w14:paraId="408BE81C">
            <w:pPr>
              <w:snapToGrid w:val="0"/>
              <w:spacing w:before="165" w:beforeLines="50"/>
              <w:rPr>
                <w:rFonts w:hint="eastAsia" w:ascii="宋体" w:hAnsi="宋体"/>
                <w:color w:val="auto"/>
                <w:sz w:val="30"/>
                <w:szCs w:val="30"/>
                <w:highlight w:val="none"/>
              </w:rPr>
            </w:pPr>
          </w:p>
        </w:tc>
        <w:tc>
          <w:tcPr>
            <w:tcW w:w="1750" w:type="dxa"/>
            <w:tcBorders>
              <w:top w:val="single" w:color="auto" w:sz="4" w:space="0"/>
              <w:left w:val="single" w:color="auto" w:sz="4" w:space="0"/>
              <w:bottom w:val="single" w:color="auto" w:sz="4" w:space="0"/>
              <w:right w:val="single" w:color="auto" w:sz="4" w:space="0"/>
            </w:tcBorders>
          </w:tcPr>
          <w:p w14:paraId="44BDEFB9">
            <w:pPr>
              <w:snapToGrid w:val="0"/>
              <w:spacing w:before="165" w:beforeLines="50"/>
              <w:rPr>
                <w:rFonts w:hint="eastAsia" w:ascii="宋体" w:hAnsi="宋体"/>
                <w:color w:val="auto"/>
                <w:sz w:val="30"/>
                <w:szCs w:val="30"/>
                <w:highlight w:val="none"/>
              </w:rPr>
            </w:pPr>
          </w:p>
        </w:tc>
      </w:tr>
      <w:tr w14:paraId="7C00EB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4FF59EE7">
            <w:pPr>
              <w:snapToGrid w:val="0"/>
              <w:rPr>
                <w:rFonts w:hint="eastAsia" w:ascii="宋体" w:hAnsi="宋体"/>
                <w:color w:val="auto"/>
                <w:sz w:val="30"/>
                <w:szCs w:val="30"/>
                <w:highlight w:val="none"/>
              </w:rPr>
            </w:pPr>
          </w:p>
        </w:tc>
        <w:tc>
          <w:tcPr>
            <w:tcW w:w="3825" w:type="dxa"/>
            <w:tcBorders>
              <w:top w:val="single" w:color="auto" w:sz="4" w:space="0"/>
              <w:left w:val="single" w:color="auto" w:sz="4" w:space="0"/>
              <w:bottom w:val="single" w:color="auto" w:sz="4" w:space="0"/>
              <w:right w:val="single" w:color="auto" w:sz="4" w:space="0"/>
            </w:tcBorders>
          </w:tcPr>
          <w:p w14:paraId="7524C5D4">
            <w:pPr>
              <w:snapToGrid w:val="0"/>
              <w:spacing w:before="165" w:beforeLines="50"/>
              <w:rPr>
                <w:rFonts w:hint="eastAsia" w:ascii="宋体" w:hAnsi="宋体"/>
                <w:color w:val="auto"/>
                <w:sz w:val="30"/>
                <w:szCs w:val="30"/>
                <w:highlight w:val="none"/>
              </w:rPr>
            </w:pPr>
          </w:p>
        </w:tc>
        <w:tc>
          <w:tcPr>
            <w:tcW w:w="1750" w:type="dxa"/>
            <w:tcBorders>
              <w:top w:val="single" w:color="auto" w:sz="4" w:space="0"/>
              <w:left w:val="single" w:color="auto" w:sz="4" w:space="0"/>
              <w:bottom w:val="single" w:color="auto" w:sz="4" w:space="0"/>
              <w:right w:val="single" w:color="auto" w:sz="4" w:space="0"/>
            </w:tcBorders>
          </w:tcPr>
          <w:p w14:paraId="2CC4CE86">
            <w:pPr>
              <w:snapToGrid w:val="0"/>
              <w:spacing w:before="165" w:beforeLines="50"/>
              <w:rPr>
                <w:rFonts w:hint="eastAsia" w:ascii="宋体" w:hAnsi="宋体"/>
                <w:color w:val="auto"/>
                <w:sz w:val="30"/>
                <w:szCs w:val="30"/>
                <w:highlight w:val="none"/>
              </w:rPr>
            </w:pPr>
          </w:p>
        </w:tc>
      </w:tr>
      <w:tr w14:paraId="0A2B6A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14:paraId="7EEDC5F1">
            <w:pPr>
              <w:snapToGrid w:val="0"/>
              <w:rPr>
                <w:rFonts w:hint="eastAsia" w:ascii="宋体" w:hAnsi="宋体"/>
                <w:color w:val="auto"/>
                <w:sz w:val="30"/>
                <w:szCs w:val="30"/>
                <w:highlight w:val="none"/>
              </w:rPr>
            </w:pPr>
          </w:p>
        </w:tc>
        <w:tc>
          <w:tcPr>
            <w:tcW w:w="3825" w:type="dxa"/>
            <w:tcBorders>
              <w:top w:val="single" w:color="auto" w:sz="4" w:space="0"/>
              <w:left w:val="single" w:color="auto" w:sz="4" w:space="0"/>
              <w:bottom w:val="single" w:color="auto" w:sz="4" w:space="0"/>
              <w:right w:val="single" w:color="auto" w:sz="4" w:space="0"/>
            </w:tcBorders>
          </w:tcPr>
          <w:p w14:paraId="6A046334">
            <w:pPr>
              <w:snapToGrid w:val="0"/>
              <w:spacing w:before="165" w:beforeLines="50"/>
              <w:rPr>
                <w:rFonts w:hint="eastAsia" w:ascii="宋体" w:hAnsi="宋体"/>
                <w:color w:val="auto"/>
                <w:sz w:val="30"/>
                <w:szCs w:val="30"/>
                <w:highlight w:val="none"/>
              </w:rPr>
            </w:pPr>
          </w:p>
        </w:tc>
        <w:tc>
          <w:tcPr>
            <w:tcW w:w="1750" w:type="dxa"/>
            <w:tcBorders>
              <w:top w:val="single" w:color="auto" w:sz="4" w:space="0"/>
              <w:left w:val="single" w:color="auto" w:sz="4" w:space="0"/>
              <w:bottom w:val="single" w:color="auto" w:sz="4" w:space="0"/>
              <w:right w:val="single" w:color="auto" w:sz="4" w:space="0"/>
            </w:tcBorders>
          </w:tcPr>
          <w:p w14:paraId="5B7E6898">
            <w:pPr>
              <w:snapToGrid w:val="0"/>
              <w:spacing w:before="165" w:beforeLines="50"/>
              <w:rPr>
                <w:rFonts w:hint="eastAsia" w:ascii="宋体" w:hAnsi="宋体"/>
                <w:color w:val="auto"/>
                <w:sz w:val="30"/>
                <w:szCs w:val="30"/>
                <w:highlight w:val="none"/>
              </w:rPr>
            </w:pPr>
          </w:p>
        </w:tc>
      </w:tr>
    </w:tbl>
    <w:p w14:paraId="2BFD3BFF">
      <w:pPr>
        <w:rPr>
          <w:color w:val="auto"/>
          <w:highlight w:val="none"/>
        </w:rPr>
      </w:pPr>
      <w:bookmarkStart w:id="387" w:name="_Toc489625993"/>
      <w:bookmarkStart w:id="388" w:name="_Toc463703064"/>
    </w:p>
    <w:p w14:paraId="55748521">
      <w:pPr>
        <w:rPr>
          <w:color w:val="auto"/>
          <w:highlight w:val="none"/>
        </w:rPr>
      </w:pPr>
    </w:p>
    <w:p w14:paraId="373D3357">
      <w:pPr>
        <w:rPr>
          <w:rFonts w:hint="eastAsia" w:eastAsia="宋体"/>
          <w:color w:val="auto"/>
          <w:highlight w:val="none"/>
          <w:lang w:val="en-US" w:eastAsia="zh-CN"/>
        </w:rPr>
      </w:pPr>
      <w:r>
        <w:rPr>
          <w:rFonts w:hint="eastAsia"/>
          <w:color w:val="auto"/>
          <w:highlight w:val="none"/>
          <w:lang w:val="en-US" w:eastAsia="zh-CN"/>
        </w:rPr>
        <w:t xml:space="preserve"> </w:t>
      </w:r>
    </w:p>
    <w:p w14:paraId="12A2D4E3">
      <w:pPr>
        <w:rPr>
          <w:color w:val="auto"/>
          <w:highlight w:val="none"/>
        </w:rPr>
      </w:pPr>
    </w:p>
    <w:p w14:paraId="37E9C6D3">
      <w:pPr>
        <w:pStyle w:val="4"/>
        <w:keepNext/>
        <w:numPr>
          <w:ilvl w:val="0"/>
          <w:numId w:val="0"/>
        </w:numPr>
        <w:tabs>
          <w:tab w:val="left" w:pos="1021"/>
          <w:tab w:val="clear" w:pos="360"/>
          <w:tab w:val="clear" w:pos="900"/>
          <w:tab w:val="clear" w:pos="1588"/>
        </w:tabs>
        <w:spacing w:before="0"/>
        <w:rPr>
          <w:rFonts w:hint="eastAsia" w:ascii="宋体" w:hAnsi="宋体" w:eastAsia="宋体" w:cs="宋体"/>
          <w:bCs/>
          <w:color w:val="auto"/>
          <w:szCs w:val="28"/>
          <w:highlight w:val="none"/>
        </w:rPr>
      </w:pPr>
      <w:bookmarkStart w:id="389" w:name="_Toc14450"/>
      <w:bookmarkStart w:id="390" w:name="_Toc5170"/>
      <w:bookmarkStart w:id="391" w:name="_Toc11623"/>
      <w:bookmarkStart w:id="392" w:name="_Toc24085"/>
      <w:r>
        <w:rPr>
          <w:rFonts w:hint="eastAsia" w:ascii="宋体" w:hAnsi="宋体" w:eastAsia="宋体" w:cs="宋体"/>
          <w:color w:val="auto"/>
          <w:szCs w:val="28"/>
          <w:highlight w:val="none"/>
        </w:rPr>
        <w:t>格式14：</w:t>
      </w:r>
      <w:bookmarkEnd w:id="389"/>
      <w:bookmarkEnd w:id="390"/>
      <w:r>
        <w:rPr>
          <w:rFonts w:hint="eastAsia" w:ascii="宋体" w:hAnsi="宋体" w:eastAsia="宋体" w:cs="宋体"/>
          <w:color w:val="auto"/>
          <w:szCs w:val="28"/>
          <w:highlight w:val="none"/>
        </w:rPr>
        <w:t>服务方案</w:t>
      </w:r>
      <w:bookmarkEnd w:id="391"/>
      <w:bookmarkEnd w:id="392"/>
    </w:p>
    <w:p w14:paraId="001FF014">
      <w:pPr>
        <w:jc w:val="center"/>
        <w:rPr>
          <w:rFonts w:hint="eastAsia" w:ascii="宋体" w:hAnsi="宋体" w:cs="宋体"/>
          <w:b/>
          <w:bCs/>
          <w:color w:val="auto"/>
          <w:sz w:val="28"/>
          <w:szCs w:val="28"/>
          <w:highlight w:val="none"/>
        </w:rPr>
      </w:pPr>
      <w:bookmarkStart w:id="393" w:name="_Toc463703063"/>
      <w:bookmarkStart w:id="394" w:name="_Toc28093"/>
      <w:bookmarkStart w:id="395" w:name="_Toc489625992"/>
      <w:r>
        <w:rPr>
          <w:rFonts w:hint="eastAsia" w:ascii="宋体" w:hAnsi="宋体" w:cs="宋体"/>
          <w:color w:val="auto"/>
          <w:kern w:val="0"/>
          <w:szCs w:val="21"/>
          <w:highlight w:val="none"/>
        </w:rPr>
        <w:t>（请投标人按要求根据自己的实际情况针对本项目自行编制）</w:t>
      </w:r>
    </w:p>
    <w:p w14:paraId="630AB628">
      <w:pPr>
        <w:rPr>
          <w:color w:val="auto"/>
          <w:highlight w:val="none"/>
        </w:rPr>
      </w:pPr>
    </w:p>
    <w:bookmarkEnd w:id="387"/>
    <w:bookmarkEnd w:id="388"/>
    <w:bookmarkEnd w:id="393"/>
    <w:bookmarkEnd w:id="394"/>
    <w:bookmarkEnd w:id="395"/>
    <w:p w14:paraId="2988B671">
      <w:pPr>
        <w:pStyle w:val="5"/>
        <w:rPr>
          <w:rFonts w:hint="eastAsia" w:ascii="宋体" w:hAnsi="宋体" w:eastAsia="宋体" w:cs="宋体"/>
          <w:color w:val="auto"/>
          <w:sz w:val="24"/>
          <w:highlight w:val="none"/>
        </w:rPr>
      </w:pPr>
      <w:r>
        <w:rPr>
          <w:rFonts w:hint="eastAsia" w:ascii="宋体" w:hAnsi="宋体" w:eastAsia="宋体" w:cs="宋体"/>
          <w:color w:val="auto"/>
          <w:sz w:val="24"/>
          <w:highlight w:val="none"/>
        </w:rPr>
        <w:t>14.1：</w:t>
      </w:r>
      <w:r>
        <w:rPr>
          <w:rFonts w:hint="eastAsia" w:ascii="宋体" w:hAnsi="宋体" w:eastAsia="宋体" w:cs="宋体"/>
          <w:color w:val="auto"/>
          <w:sz w:val="24"/>
          <w:highlight w:val="none"/>
          <w:lang w:val="en-US" w:eastAsia="zh-CN"/>
        </w:rPr>
        <w:t>楼宇管理及公用设施设备维护服务方案</w:t>
      </w:r>
    </w:p>
    <w:p w14:paraId="34D43E1E">
      <w:pPr>
        <w:jc w:val="center"/>
        <w:rPr>
          <w:color w:val="auto"/>
          <w:highlight w:val="none"/>
        </w:rPr>
      </w:pPr>
      <w:r>
        <w:rPr>
          <w:rFonts w:hint="eastAsia"/>
          <w:color w:val="auto"/>
          <w:highlight w:val="none"/>
        </w:rPr>
        <w:t>（请投标人按要求根据自己的实际情况针对本项目自行编制）</w:t>
      </w:r>
    </w:p>
    <w:p w14:paraId="10588B29">
      <w:pPr>
        <w:pStyle w:val="5"/>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14.2：</w:t>
      </w:r>
      <w:r>
        <w:rPr>
          <w:rFonts w:hint="eastAsia" w:ascii="宋体" w:hAnsi="宋体" w:eastAsia="宋体" w:cs="宋体"/>
          <w:color w:val="auto"/>
          <w:sz w:val="24"/>
          <w:highlight w:val="none"/>
          <w:lang w:val="en-US" w:eastAsia="zh-CN"/>
        </w:rPr>
        <w:t>保洁服务方案</w:t>
      </w:r>
    </w:p>
    <w:p w14:paraId="496ADB78">
      <w:pPr>
        <w:rPr>
          <w:color w:val="auto"/>
          <w:highlight w:val="none"/>
        </w:rPr>
      </w:pPr>
    </w:p>
    <w:p w14:paraId="36CE297A">
      <w:pPr>
        <w:jc w:val="center"/>
        <w:rPr>
          <w:color w:val="auto"/>
          <w:highlight w:val="none"/>
        </w:rPr>
      </w:pPr>
      <w:r>
        <w:rPr>
          <w:rFonts w:hint="eastAsia"/>
          <w:color w:val="auto"/>
          <w:highlight w:val="none"/>
        </w:rPr>
        <w:t>（请投标人按要求根据自己的实际情况针对本项目自行编制）</w:t>
      </w:r>
    </w:p>
    <w:p w14:paraId="207DDCE4">
      <w:pPr>
        <w:pStyle w:val="5"/>
        <w:rPr>
          <w:rFonts w:hint="eastAsia" w:ascii="宋体" w:hAnsi="宋体" w:eastAsia="宋体" w:cs="宋体"/>
          <w:color w:val="auto"/>
          <w:sz w:val="24"/>
          <w:highlight w:val="none"/>
        </w:rPr>
      </w:pPr>
      <w:r>
        <w:rPr>
          <w:rFonts w:hint="eastAsia" w:ascii="宋体" w:hAnsi="宋体" w:eastAsia="宋体" w:cs="宋体"/>
          <w:color w:val="auto"/>
          <w:sz w:val="24"/>
          <w:highlight w:val="none"/>
        </w:rPr>
        <w:t>14.3：</w:t>
      </w:r>
      <w:r>
        <w:rPr>
          <w:rFonts w:hint="eastAsia" w:ascii="宋体" w:hAnsi="宋体" w:eastAsia="宋体" w:cs="宋体"/>
          <w:color w:val="auto"/>
          <w:sz w:val="24"/>
          <w:highlight w:val="none"/>
          <w:lang w:val="en-US" w:eastAsia="zh-CN"/>
        </w:rPr>
        <w:t>供电保障服务方案</w:t>
      </w:r>
    </w:p>
    <w:p w14:paraId="4549D08F">
      <w:pPr>
        <w:jc w:val="center"/>
        <w:rPr>
          <w:color w:val="auto"/>
          <w:highlight w:val="none"/>
        </w:rPr>
      </w:pPr>
    </w:p>
    <w:p w14:paraId="5FFD2095">
      <w:pPr>
        <w:jc w:val="center"/>
        <w:rPr>
          <w:color w:val="auto"/>
          <w:highlight w:val="none"/>
        </w:rPr>
      </w:pPr>
      <w:r>
        <w:rPr>
          <w:rFonts w:hint="eastAsia"/>
          <w:color w:val="auto"/>
          <w:highlight w:val="none"/>
        </w:rPr>
        <w:t>（请投标人按要求根据自己的实际情况针对本项目自行编制）</w:t>
      </w:r>
    </w:p>
    <w:p w14:paraId="4D9A6AD7">
      <w:pPr>
        <w:pStyle w:val="5"/>
        <w:rPr>
          <w:rFonts w:hint="eastAsia" w:ascii="宋体" w:hAnsi="宋体" w:eastAsia="宋体" w:cs="宋体"/>
          <w:color w:val="auto"/>
          <w:sz w:val="24"/>
          <w:highlight w:val="none"/>
        </w:rPr>
      </w:pPr>
      <w:r>
        <w:rPr>
          <w:rFonts w:hint="eastAsia" w:ascii="宋体" w:hAnsi="宋体" w:eastAsia="宋体" w:cs="宋体"/>
          <w:color w:val="auto"/>
          <w:sz w:val="24"/>
          <w:highlight w:val="none"/>
        </w:rPr>
        <w:t>14.4：</w:t>
      </w:r>
      <w:r>
        <w:rPr>
          <w:rFonts w:hint="eastAsia" w:ascii="宋体" w:hAnsi="宋体" w:eastAsia="宋体" w:cs="宋体"/>
          <w:color w:val="auto"/>
          <w:sz w:val="24"/>
          <w:highlight w:val="none"/>
          <w:lang w:val="en-US" w:eastAsia="zh-CN"/>
        </w:rPr>
        <w:t>给排水保障服务方案</w:t>
      </w:r>
    </w:p>
    <w:p w14:paraId="2DC8DD8D">
      <w:pPr>
        <w:jc w:val="center"/>
        <w:rPr>
          <w:color w:val="auto"/>
          <w:highlight w:val="none"/>
        </w:rPr>
      </w:pPr>
    </w:p>
    <w:p w14:paraId="5311C7A7">
      <w:pPr>
        <w:jc w:val="center"/>
        <w:rPr>
          <w:color w:val="auto"/>
          <w:highlight w:val="none"/>
        </w:rPr>
      </w:pPr>
      <w:r>
        <w:rPr>
          <w:rFonts w:hint="eastAsia"/>
          <w:color w:val="auto"/>
          <w:highlight w:val="none"/>
        </w:rPr>
        <w:t>（请投标人按要求根据自己的实际情况针对本项目自行编制）</w:t>
      </w:r>
    </w:p>
    <w:p w14:paraId="54FF14F8">
      <w:pPr>
        <w:jc w:val="center"/>
        <w:rPr>
          <w:color w:val="auto"/>
          <w:highlight w:val="none"/>
        </w:rPr>
      </w:pPr>
    </w:p>
    <w:p w14:paraId="4B6EA593">
      <w:pPr>
        <w:pStyle w:val="5"/>
        <w:rPr>
          <w:rFonts w:hint="eastAsia" w:ascii="宋体" w:hAnsi="宋体" w:eastAsia="宋体" w:cs="宋体"/>
          <w:color w:val="auto"/>
          <w:sz w:val="24"/>
          <w:highlight w:val="none"/>
        </w:rPr>
      </w:pPr>
      <w:r>
        <w:rPr>
          <w:rFonts w:hint="eastAsia" w:ascii="宋体" w:hAnsi="宋体" w:eastAsia="宋体" w:cs="宋体"/>
          <w:color w:val="auto"/>
          <w:sz w:val="24"/>
          <w:highlight w:val="none"/>
        </w:rPr>
        <w:t>14.</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中水站管理服务方案</w:t>
      </w:r>
    </w:p>
    <w:p w14:paraId="654C143D">
      <w:pPr>
        <w:pStyle w:val="5"/>
        <w:jc w:val="center"/>
        <w:rPr>
          <w:rFonts w:hint="eastAsia" w:ascii="宋体" w:hAnsi="宋体" w:eastAsia="宋体" w:cs="宋体"/>
          <w:color w:val="auto"/>
          <w:sz w:val="24"/>
          <w:highlight w:val="none"/>
        </w:rPr>
      </w:pPr>
      <w:r>
        <w:rPr>
          <w:rFonts w:hint="eastAsia" w:ascii="Times New Roman" w:hAnsi="Times New Roman" w:eastAsia="宋体" w:cs="Times New Roman"/>
          <w:b w:val="0"/>
          <w:color w:val="auto"/>
          <w:kern w:val="2"/>
          <w:sz w:val="21"/>
          <w:szCs w:val="24"/>
          <w:highlight w:val="none"/>
          <w:lang w:val="en-US" w:eastAsia="zh-CN" w:bidi="ar-SA"/>
        </w:rPr>
        <w:t>（请投标人按要求根据自己的实际情况针对本项目自行编制）</w:t>
      </w:r>
    </w:p>
    <w:p w14:paraId="1ED1F211">
      <w:pPr>
        <w:rPr>
          <w:rFonts w:hint="eastAsia"/>
        </w:rPr>
      </w:pPr>
    </w:p>
    <w:p w14:paraId="3EC28DAB">
      <w:pPr>
        <w:rPr>
          <w:rFonts w:hint="eastAsia"/>
        </w:rPr>
      </w:pPr>
    </w:p>
    <w:p w14:paraId="1DFBF48B">
      <w:pPr>
        <w:pStyle w:val="5"/>
        <w:rPr>
          <w:rFonts w:hint="eastAsia" w:ascii="宋体" w:hAnsi="宋体" w:eastAsia="宋体" w:cs="宋体"/>
          <w:color w:val="auto"/>
          <w:sz w:val="24"/>
          <w:highlight w:val="none"/>
        </w:rPr>
      </w:pPr>
      <w:r>
        <w:rPr>
          <w:rFonts w:hint="eastAsia" w:ascii="宋体" w:hAnsi="宋体" w:eastAsia="宋体" w:cs="宋体"/>
          <w:color w:val="auto"/>
          <w:sz w:val="24"/>
          <w:highlight w:val="none"/>
        </w:rPr>
        <w:t>14.</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客服及会务服务方案</w:t>
      </w:r>
    </w:p>
    <w:p w14:paraId="12B89F8B">
      <w:pPr>
        <w:jc w:val="center"/>
        <w:rPr>
          <w:rFonts w:eastAsia="宋体"/>
          <w:color w:val="auto"/>
          <w:highlight w:val="none"/>
        </w:rPr>
      </w:pPr>
    </w:p>
    <w:p w14:paraId="0A9FB793">
      <w:pPr>
        <w:jc w:val="center"/>
        <w:rPr>
          <w:rFonts w:eastAsia="宋体"/>
          <w:color w:val="auto"/>
          <w:highlight w:val="none"/>
        </w:rPr>
      </w:pPr>
      <w:r>
        <w:rPr>
          <w:rFonts w:hint="eastAsia" w:eastAsia="宋体"/>
          <w:color w:val="auto"/>
          <w:highlight w:val="none"/>
        </w:rPr>
        <w:t>（请投标人按要求根据自己的实际情况针对本项目自行编制）</w:t>
      </w:r>
    </w:p>
    <w:p w14:paraId="5104D324">
      <w:pPr>
        <w:pStyle w:val="5"/>
        <w:rPr>
          <w:rFonts w:hint="eastAsia" w:ascii="宋体" w:hAnsi="宋体" w:eastAsia="宋体" w:cs="宋体"/>
          <w:color w:val="auto"/>
          <w:sz w:val="24"/>
          <w:highlight w:val="none"/>
        </w:rPr>
      </w:pPr>
      <w:r>
        <w:rPr>
          <w:rFonts w:hint="eastAsia" w:ascii="宋体" w:hAnsi="宋体" w:eastAsia="宋体" w:cs="宋体"/>
          <w:color w:val="auto"/>
          <w:sz w:val="24"/>
          <w:highlight w:val="none"/>
        </w:rPr>
        <w:t>14.</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电瓶车运营服务方案</w:t>
      </w:r>
    </w:p>
    <w:p w14:paraId="3E8BB545">
      <w:pPr>
        <w:jc w:val="center"/>
        <w:rPr>
          <w:rFonts w:eastAsia="宋体"/>
          <w:color w:val="auto"/>
          <w:highlight w:val="none"/>
        </w:rPr>
      </w:pPr>
    </w:p>
    <w:p w14:paraId="5C7566BE">
      <w:pPr>
        <w:jc w:val="center"/>
        <w:rPr>
          <w:rFonts w:hint="eastAsia" w:eastAsia="宋体"/>
          <w:color w:val="auto"/>
          <w:highlight w:val="none"/>
        </w:rPr>
      </w:pPr>
      <w:r>
        <w:rPr>
          <w:rFonts w:hint="eastAsia" w:eastAsia="宋体"/>
          <w:color w:val="auto"/>
          <w:highlight w:val="none"/>
        </w:rPr>
        <w:t>（请投标人按要求根据自己的实际情况针对本项目自行编制）</w:t>
      </w:r>
    </w:p>
    <w:p w14:paraId="5FBBF28E">
      <w:pPr>
        <w:jc w:val="center"/>
        <w:rPr>
          <w:rFonts w:hint="eastAsia" w:eastAsia="宋体"/>
          <w:color w:val="auto"/>
          <w:highlight w:val="none"/>
        </w:rPr>
      </w:pPr>
    </w:p>
    <w:p w14:paraId="25215636">
      <w:pPr>
        <w:keepNext/>
        <w:keepLines/>
        <w:widowControl w:val="0"/>
        <w:spacing w:before="280" w:after="290" w:line="372" w:lineRule="auto"/>
        <w:jc w:val="both"/>
        <w:outlineLvl w:val="3"/>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14.8：风险防控及应急处置措施</w:t>
      </w:r>
    </w:p>
    <w:p w14:paraId="07C908D4">
      <w:pPr>
        <w:jc w:val="center"/>
        <w:rPr>
          <w:rFonts w:ascii="Times New Roman" w:hAnsi="Times New Roman" w:eastAsia="宋体" w:cs="Times New Roman"/>
          <w:color w:val="auto"/>
          <w:highlight w:val="none"/>
        </w:rPr>
      </w:pPr>
    </w:p>
    <w:p w14:paraId="760BCFAA">
      <w:pPr>
        <w:bidi w:val="0"/>
      </w:pPr>
      <w:r>
        <w:rPr>
          <w:rFonts w:hint="eastAsia" w:ascii="Times New Roman" w:hAnsi="Times New Roman" w:eastAsia="宋体" w:cs="Times New Roman"/>
          <w:color w:val="auto"/>
          <w:highlight w:val="none"/>
        </w:rPr>
        <w:t>（请投标人按要求根据自己的实际情况针对本项目自行编制）</w:t>
      </w:r>
    </w:p>
    <w:p w14:paraId="19CF170B">
      <w:pPr>
        <w:bidi w:val="0"/>
      </w:pPr>
    </w:p>
    <w:p w14:paraId="5D4FE66F">
      <w:pPr>
        <w:keepNext/>
        <w:keepLines/>
        <w:widowControl w:val="0"/>
        <w:spacing w:before="280" w:after="290" w:line="372" w:lineRule="auto"/>
        <w:jc w:val="both"/>
        <w:outlineLvl w:val="3"/>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14.9：服务质量承诺及保证措施</w:t>
      </w:r>
    </w:p>
    <w:p w14:paraId="7342E2DF">
      <w:pPr>
        <w:jc w:val="center"/>
        <w:rPr>
          <w:rFonts w:ascii="Times New Roman" w:hAnsi="Times New Roman" w:eastAsia="宋体" w:cs="Times New Roman"/>
          <w:color w:val="auto"/>
          <w:highlight w:val="none"/>
        </w:rPr>
      </w:pPr>
    </w:p>
    <w:p w14:paraId="52A0FE50">
      <w:pPr>
        <w:bidi w:val="0"/>
        <w:rPr>
          <w:rFonts w:ascii="Times New Roman" w:hAnsi="Times New Roman" w:eastAsia="宋体" w:cs="Times New Roman"/>
        </w:rPr>
      </w:pPr>
      <w:r>
        <w:rPr>
          <w:rFonts w:hint="eastAsia" w:ascii="Times New Roman" w:hAnsi="Times New Roman" w:eastAsia="宋体" w:cs="Times New Roman"/>
          <w:color w:val="auto"/>
          <w:highlight w:val="none"/>
        </w:rPr>
        <w:t>（请投标人按要求根据自己的实际情况针对本项目自行编制）</w:t>
      </w:r>
    </w:p>
    <w:p w14:paraId="2C6E81E4">
      <w:pPr>
        <w:keepNext/>
        <w:keepLines/>
        <w:widowControl w:val="0"/>
        <w:spacing w:before="280" w:after="290" w:line="372" w:lineRule="auto"/>
        <w:jc w:val="both"/>
        <w:outlineLvl w:val="3"/>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14.10：项目实施现场服务及服务机构技术力量</w:t>
      </w:r>
    </w:p>
    <w:p w14:paraId="45C31582">
      <w:pPr>
        <w:jc w:val="center"/>
        <w:rPr>
          <w:rFonts w:ascii="Times New Roman" w:hAnsi="Times New Roman" w:eastAsia="宋体" w:cs="Times New Roman"/>
          <w:color w:val="auto"/>
          <w:highlight w:val="none"/>
        </w:rPr>
      </w:pPr>
    </w:p>
    <w:p w14:paraId="4508C1B6">
      <w:pPr>
        <w:bidi w:val="0"/>
        <w:rPr>
          <w:rFonts w:ascii="Times New Roman" w:hAnsi="Times New Roman" w:eastAsia="宋体" w:cs="Times New Roman"/>
        </w:rPr>
      </w:pPr>
      <w:r>
        <w:rPr>
          <w:rFonts w:hint="eastAsia" w:ascii="Times New Roman" w:hAnsi="Times New Roman" w:eastAsia="宋体" w:cs="Times New Roman"/>
          <w:color w:val="auto"/>
          <w:highlight w:val="none"/>
        </w:rPr>
        <w:t>（请投标人按要求根据自己的实际情况针对本项目自行编制）</w:t>
      </w:r>
    </w:p>
    <w:p w14:paraId="2372D612">
      <w:pPr>
        <w:bidi w:val="0"/>
      </w:pPr>
    </w:p>
    <w:p w14:paraId="14AB28A8">
      <w:pPr>
        <w:keepNext/>
        <w:keepLines/>
        <w:widowControl w:val="0"/>
        <w:spacing w:before="280" w:after="290" w:line="372" w:lineRule="auto"/>
        <w:jc w:val="both"/>
        <w:outlineLvl w:val="3"/>
        <w:rPr>
          <w:rFonts w:hint="default"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14.11：拟投入的设施设备及低值易耗品</w:t>
      </w:r>
    </w:p>
    <w:p w14:paraId="0F4A6E3E">
      <w:pPr>
        <w:jc w:val="center"/>
        <w:rPr>
          <w:rFonts w:ascii="Times New Roman" w:hAnsi="Times New Roman" w:eastAsia="宋体" w:cs="Times New Roman"/>
          <w:color w:val="auto"/>
          <w:highlight w:val="none"/>
        </w:rPr>
      </w:pPr>
    </w:p>
    <w:p w14:paraId="037B474F">
      <w:pPr>
        <w:bidi w:val="0"/>
        <w:rPr>
          <w:rFonts w:ascii="Times New Roman" w:hAnsi="Times New Roman" w:eastAsia="宋体" w:cs="Times New Roman"/>
        </w:rPr>
      </w:pPr>
      <w:r>
        <w:rPr>
          <w:rFonts w:hint="eastAsia" w:ascii="Times New Roman" w:hAnsi="Times New Roman" w:eastAsia="宋体" w:cs="Times New Roman"/>
          <w:color w:val="auto"/>
          <w:highlight w:val="none"/>
        </w:rPr>
        <w:t>（请投标人按要求根据自己的实际情况针对本项目自行编制）</w:t>
      </w:r>
    </w:p>
    <w:p w14:paraId="538AC36D">
      <w:pPr>
        <w:keepNext/>
        <w:keepLines/>
        <w:widowControl w:val="0"/>
        <w:spacing w:before="280" w:after="290" w:line="372" w:lineRule="auto"/>
        <w:jc w:val="both"/>
        <w:outlineLvl w:val="3"/>
        <w:rPr>
          <w:rFonts w:hint="default"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14.12：公共机构节能减排实施方案及工作措施</w:t>
      </w:r>
    </w:p>
    <w:p w14:paraId="383DDE01">
      <w:pPr>
        <w:jc w:val="center"/>
        <w:rPr>
          <w:rFonts w:ascii="Times New Roman" w:hAnsi="Times New Roman" w:eastAsia="宋体" w:cs="Times New Roman"/>
          <w:color w:val="auto"/>
          <w:highlight w:val="none"/>
        </w:rPr>
      </w:pPr>
    </w:p>
    <w:p w14:paraId="2544A602">
      <w:pPr>
        <w:bidi w:val="0"/>
        <w:rPr>
          <w:rFonts w:ascii="Times New Roman" w:hAnsi="Times New Roman" w:eastAsia="宋体" w:cs="Times New Roman"/>
        </w:rPr>
      </w:pPr>
      <w:r>
        <w:rPr>
          <w:rFonts w:hint="eastAsia" w:ascii="Times New Roman" w:hAnsi="Times New Roman" w:eastAsia="宋体" w:cs="Times New Roman"/>
          <w:color w:val="auto"/>
          <w:highlight w:val="none"/>
        </w:rPr>
        <w:t>（请投标人按要求根据自己的实际情况针对本项目自行编制）</w:t>
      </w:r>
    </w:p>
    <w:p w14:paraId="2DBE7D65">
      <w:pPr>
        <w:bidi w:val="0"/>
      </w:pPr>
    </w:p>
    <w:p w14:paraId="18447A86">
      <w:pPr>
        <w:jc w:val="center"/>
        <w:rPr>
          <w:color w:val="auto"/>
          <w:highlight w:val="none"/>
        </w:rPr>
      </w:pPr>
    </w:p>
    <w:p w14:paraId="307AD6F2">
      <w:pPr>
        <w:pStyle w:val="4"/>
        <w:keepNext/>
        <w:numPr>
          <w:ilvl w:val="0"/>
          <w:numId w:val="0"/>
        </w:numPr>
        <w:tabs>
          <w:tab w:val="left" w:pos="1021"/>
          <w:tab w:val="clear" w:pos="360"/>
          <w:tab w:val="clear" w:pos="900"/>
          <w:tab w:val="clear" w:pos="1588"/>
        </w:tabs>
        <w:spacing w:before="0"/>
        <w:rPr>
          <w:rFonts w:hint="eastAsia" w:ascii="宋体" w:hAnsi="宋体" w:eastAsia="宋体" w:cs="宋体"/>
          <w:bCs/>
          <w:color w:val="auto"/>
          <w:szCs w:val="28"/>
          <w:highlight w:val="none"/>
        </w:rPr>
      </w:pPr>
      <w:bookmarkStart w:id="396" w:name="_Toc32731"/>
      <w:bookmarkStart w:id="397" w:name="_Toc30630"/>
      <w:r>
        <w:rPr>
          <w:rFonts w:hint="eastAsia" w:ascii="宋体" w:hAnsi="宋体" w:eastAsia="宋体" w:cs="宋体"/>
          <w:color w:val="auto"/>
          <w:szCs w:val="28"/>
          <w:highlight w:val="none"/>
        </w:rPr>
        <w:t>格式15：</w:t>
      </w:r>
      <w:bookmarkEnd w:id="396"/>
      <w:bookmarkStart w:id="398" w:name="_Toc10824"/>
      <w:r>
        <w:rPr>
          <w:rFonts w:hint="eastAsia" w:ascii="宋体" w:hAnsi="宋体" w:eastAsia="宋体" w:cs="宋体"/>
          <w:color w:val="auto"/>
          <w:szCs w:val="28"/>
          <w:highlight w:val="none"/>
        </w:rPr>
        <w:t>服务团队</w:t>
      </w:r>
      <w:bookmarkEnd w:id="397"/>
      <w:bookmarkEnd w:id="398"/>
    </w:p>
    <w:p w14:paraId="3555386A">
      <w:pPr>
        <w:jc w:val="center"/>
        <w:rPr>
          <w:color w:val="auto"/>
          <w:highlight w:val="none"/>
        </w:rPr>
      </w:pPr>
      <w:r>
        <w:rPr>
          <w:rFonts w:hint="eastAsia" w:ascii="宋体" w:hAnsi="宋体" w:cs="宋体"/>
          <w:color w:val="auto"/>
          <w:kern w:val="0"/>
          <w:szCs w:val="21"/>
          <w:highlight w:val="none"/>
        </w:rPr>
        <w:t>（请投标人按要求根据自己的实际情况针对本项目自行编制）</w:t>
      </w:r>
    </w:p>
    <w:p w14:paraId="1F64374B">
      <w:pPr>
        <w:rPr>
          <w:color w:val="auto"/>
          <w:highlight w:val="none"/>
        </w:rPr>
      </w:pPr>
    </w:p>
    <w:tbl>
      <w:tblPr>
        <w:tblStyle w:val="33"/>
        <w:tblW w:w="9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1037"/>
        <w:gridCol w:w="1425"/>
        <w:gridCol w:w="1140"/>
        <w:gridCol w:w="899"/>
        <w:gridCol w:w="1171"/>
        <w:gridCol w:w="2993"/>
      </w:tblGrid>
      <w:tr w14:paraId="513D1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dxa"/>
            <w:tcBorders>
              <w:top w:val="single" w:color="auto" w:sz="4" w:space="0"/>
              <w:left w:val="single" w:color="auto" w:sz="4" w:space="0"/>
              <w:bottom w:val="single" w:color="auto" w:sz="4" w:space="0"/>
              <w:right w:val="single" w:color="auto" w:sz="4" w:space="0"/>
            </w:tcBorders>
            <w:vAlign w:val="center"/>
          </w:tcPr>
          <w:p w14:paraId="1DC7044F">
            <w:pPr>
              <w:pStyle w:val="16"/>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序号</w:t>
            </w:r>
          </w:p>
        </w:tc>
        <w:tc>
          <w:tcPr>
            <w:tcW w:w="1037" w:type="dxa"/>
            <w:tcBorders>
              <w:top w:val="single" w:color="auto" w:sz="4" w:space="0"/>
              <w:left w:val="single" w:color="auto" w:sz="4" w:space="0"/>
              <w:bottom w:val="single" w:color="auto" w:sz="4" w:space="0"/>
              <w:right w:val="single" w:color="auto" w:sz="4" w:space="0"/>
            </w:tcBorders>
            <w:vAlign w:val="center"/>
          </w:tcPr>
          <w:p w14:paraId="6B7254CE">
            <w:pPr>
              <w:pStyle w:val="16"/>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姓名</w:t>
            </w:r>
          </w:p>
        </w:tc>
        <w:tc>
          <w:tcPr>
            <w:tcW w:w="1425" w:type="dxa"/>
            <w:tcBorders>
              <w:top w:val="single" w:color="auto" w:sz="4" w:space="0"/>
              <w:left w:val="single" w:color="auto" w:sz="4" w:space="0"/>
              <w:bottom w:val="single" w:color="auto" w:sz="4" w:space="0"/>
              <w:right w:val="single" w:color="auto" w:sz="4" w:space="0"/>
            </w:tcBorders>
            <w:vAlign w:val="center"/>
          </w:tcPr>
          <w:p w14:paraId="39763C80">
            <w:pPr>
              <w:pStyle w:val="16"/>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担任本项目岗位角色</w:t>
            </w:r>
          </w:p>
        </w:tc>
        <w:tc>
          <w:tcPr>
            <w:tcW w:w="1140" w:type="dxa"/>
            <w:tcBorders>
              <w:top w:val="single" w:color="auto" w:sz="4" w:space="0"/>
              <w:left w:val="single" w:color="auto" w:sz="4" w:space="0"/>
              <w:bottom w:val="single" w:color="auto" w:sz="4" w:space="0"/>
              <w:right w:val="single" w:color="auto" w:sz="4" w:space="0"/>
            </w:tcBorders>
            <w:vAlign w:val="center"/>
          </w:tcPr>
          <w:p w14:paraId="6B3FE44C">
            <w:pPr>
              <w:pStyle w:val="16"/>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性别</w:t>
            </w:r>
          </w:p>
        </w:tc>
        <w:tc>
          <w:tcPr>
            <w:tcW w:w="899" w:type="dxa"/>
            <w:tcBorders>
              <w:top w:val="single" w:color="auto" w:sz="4" w:space="0"/>
              <w:left w:val="single" w:color="auto" w:sz="4" w:space="0"/>
              <w:bottom w:val="single" w:color="auto" w:sz="4" w:space="0"/>
              <w:right w:val="single" w:color="auto" w:sz="4" w:space="0"/>
            </w:tcBorders>
            <w:vAlign w:val="center"/>
          </w:tcPr>
          <w:p w14:paraId="2AD435BC">
            <w:pPr>
              <w:pStyle w:val="16"/>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年龄</w:t>
            </w:r>
          </w:p>
        </w:tc>
        <w:tc>
          <w:tcPr>
            <w:tcW w:w="1171" w:type="dxa"/>
            <w:tcBorders>
              <w:top w:val="single" w:color="auto" w:sz="4" w:space="0"/>
              <w:left w:val="single" w:color="auto" w:sz="4" w:space="0"/>
              <w:bottom w:val="single" w:color="auto" w:sz="4" w:space="0"/>
              <w:right w:val="single" w:color="auto" w:sz="4" w:space="0"/>
            </w:tcBorders>
            <w:vAlign w:val="center"/>
          </w:tcPr>
          <w:p w14:paraId="2C15E60F">
            <w:pPr>
              <w:pStyle w:val="16"/>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学历</w:t>
            </w:r>
          </w:p>
        </w:tc>
        <w:tc>
          <w:tcPr>
            <w:tcW w:w="2993" w:type="dxa"/>
            <w:tcBorders>
              <w:top w:val="single" w:color="auto" w:sz="4" w:space="0"/>
              <w:left w:val="single" w:color="auto" w:sz="4" w:space="0"/>
              <w:bottom w:val="single" w:color="auto" w:sz="4" w:space="0"/>
              <w:right w:val="single" w:color="auto" w:sz="4" w:space="0"/>
            </w:tcBorders>
            <w:vAlign w:val="center"/>
          </w:tcPr>
          <w:p w14:paraId="4BAAB6C3">
            <w:pPr>
              <w:pStyle w:val="16"/>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相关证书</w:t>
            </w:r>
          </w:p>
        </w:tc>
      </w:tr>
      <w:tr w14:paraId="55346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dxa"/>
            <w:tcBorders>
              <w:top w:val="single" w:color="auto" w:sz="4" w:space="0"/>
              <w:left w:val="single" w:color="auto" w:sz="4" w:space="0"/>
              <w:bottom w:val="single" w:color="auto" w:sz="4" w:space="0"/>
              <w:right w:val="single" w:color="auto" w:sz="4" w:space="0"/>
            </w:tcBorders>
          </w:tcPr>
          <w:p w14:paraId="344FFCD2">
            <w:pPr>
              <w:pStyle w:val="16"/>
              <w:spacing w:line="360" w:lineRule="auto"/>
              <w:jc w:val="center"/>
              <w:rPr>
                <w:rFonts w:hint="eastAsia" w:hAnsi="宋体" w:cs="宋体"/>
                <w:color w:val="auto"/>
                <w:sz w:val="28"/>
                <w:highlight w:val="none"/>
              </w:rPr>
            </w:pPr>
          </w:p>
        </w:tc>
        <w:tc>
          <w:tcPr>
            <w:tcW w:w="1037" w:type="dxa"/>
            <w:tcBorders>
              <w:top w:val="single" w:color="auto" w:sz="4" w:space="0"/>
              <w:left w:val="single" w:color="auto" w:sz="4" w:space="0"/>
              <w:bottom w:val="single" w:color="auto" w:sz="4" w:space="0"/>
              <w:right w:val="single" w:color="auto" w:sz="4" w:space="0"/>
            </w:tcBorders>
          </w:tcPr>
          <w:p w14:paraId="27DB0135">
            <w:pPr>
              <w:pStyle w:val="16"/>
              <w:spacing w:line="360" w:lineRule="auto"/>
              <w:jc w:val="center"/>
              <w:rPr>
                <w:rFonts w:hint="eastAsia" w:hAnsi="宋体" w:cs="宋体"/>
                <w:color w:val="auto"/>
                <w:sz w:val="28"/>
                <w:highlight w:val="none"/>
              </w:rPr>
            </w:pPr>
          </w:p>
        </w:tc>
        <w:tc>
          <w:tcPr>
            <w:tcW w:w="1425" w:type="dxa"/>
            <w:tcBorders>
              <w:top w:val="single" w:color="auto" w:sz="4" w:space="0"/>
              <w:left w:val="single" w:color="auto" w:sz="4" w:space="0"/>
              <w:bottom w:val="single" w:color="auto" w:sz="4" w:space="0"/>
              <w:right w:val="single" w:color="auto" w:sz="4" w:space="0"/>
            </w:tcBorders>
          </w:tcPr>
          <w:p w14:paraId="735A2797">
            <w:pPr>
              <w:pStyle w:val="16"/>
              <w:spacing w:line="360" w:lineRule="auto"/>
              <w:jc w:val="center"/>
              <w:rPr>
                <w:rFonts w:hint="eastAsia" w:hAnsi="宋体" w:cs="宋体"/>
                <w:color w:val="auto"/>
                <w:sz w:val="28"/>
                <w:highlight w:val="none"/>
              </w:rPr>
            </w:pPr>
          </w:p>
        </w:tc>
        <w:tc>
          <w:tcPr>
            <w:tcW w:w="1140" w:type="dxa"/>
            <w:tcBorders>
              <w:top w:val="single" w:color="auto" w:sz="4" w:space="0"/>
              <w:left w:val="single" w:color="auto" w:sz="4" w:space="0"/>
              <w:bottom w:val="single" w:color="auto" w:sz="4" w:space="0"/>
              <w:right w:val="single" w:color="auto" w:sz="4" w:space="0"/>
            </w:tcBorders>
          </w:tcPr>
          <w:p w14:paraId="5FD77621">
            <w:pPr>
              <w:pStyle w:val="16"/>
              <w:spacing w:line="360" w:lineRule="auto"/>
              <w:jc w:val="center"/>
              <w:rPr>
                <w:rFonts w:hint="eastAsia" w:hAnsi="宋体" w:cs="宋体"/>
                <w:color w:val="auto"/>
                <w:sz w:val="28"/>
                <w:highlight w:val="none"/>
              </w:rPr>
            </w:pPr>
          </w:p>
        </w:tc>
        <w:tc>
          <w:tcPr>
            <w:tcW w:w="899" w:type="dxa"/>
            <w:tcBorders>
              <w:top w:val="single" w:color="auto" w:sz="4" w:space="0"/>
              <w:left w:val="single" w:color="auto" w:sz="4" w:space="0"/>
              <w:bottom w:val="single" w:color="auto" w:sz="4" w:space="0"/>
              <w:right w:val="single" w:color="auto" w:sz="4" w:space="0"/>
            </w:tcBorders>
          </w:tcPr>
          <w:p w14:paraId="2745ED3D">
            <w:pPr>
              <w:pStyle w:val="16"/>
              <w:spacing w:line="360" w:lineRule="auto"/>
              <w:jc w:val="center"/>
              <w:rPr>
                <w:rFonts w:hint="eastAsia" w:hAnsi="宋体" w:cs="宋体"/>
                <w:color w:val="auto"/>
                <w:sz w:val="28"/>
                <w:highlight w:val="none"/>
              </w:rPr>
            </w:pPr>
          </w:p>
        </w:tc>
        <w:tc>
          <w:tcPr>
            <w:tcW w:w="1171" w:type="dxa"/>
            <w:tcBorders>
              <w:top w:val="single" w:color="auto" w:sz="4" w:space="0"/>
              <w:left w:val="single" w:color="auto" w:sz="4" w:space="0"/>
              <w:bottom w:val="single" w:color="auto" w:sz="4" w:space="0"/>
              <w:right w:val="single" w:color="auto" w:sz="4" w:space="0"/>
            </w:tcBorders>
          </w:tcPr>
          <w:p w14:paraId="2E7E4047">
            <w:pPr>
              <w:pStyle w:val="16"/>
              <w:spacing w:line="360" w:lineRule="auto"/>
              <w:jc w:val="center"/>
              <w:rPr>
                <w:rFonts w:hint="eastAsia" w:hAnsi="宋体" w:cs="宋体"/>
                <w:color w:val="auto"/>
                <w:sz w:val="28"/>
                <w:highlight w:val="none"/>
              </w:rPr>
            </w:pPr>
          </w:p>
        </w:tc>
        <w:tc>
          <w:tcPr>
            <w:tcW w:w="2993" w:type="dxa"/>
            <w:tcBorders>
              <w:top w:val="single" w:color="auto" w:sz="4" w:space="0"/>
              <w:left w:val="single" w:color="auto" w:sz="4" w:space="0"/>
              <w:bottom w:val="single" w:color="auto" w:sz="4" w:space="0"/>
              <w:right w:val="single" w:color="auto" w:sz="4" w:space="0"/>
            </w:tcBorders>
          </w:tcPr>
          <w:p w14:paraId="35AE7AEE">
            <w:pPr>
              <w:pStyle w:val="16"/>
              <w:spacing w:line="360" w:lineRule="auto"/>
              <w:jc w:val="center"/>
              <w:rPr>
                <w:rFonts w:hint="eastAsia" w:hAnsi="宋体" w:cs="宋体"/>
                <w:color w:val="auto"/>
                <w:sz w:val="28"/>
                <w:highlight w:val="none"/>
              </w:rPr>
            </w:pPr>
          </w:p>
        </w:tc>
      </w:tr>
      <w:tr w14:paraId="3F756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dxa"/>
            <w:tcBorders>
              <w:top w:val="single" w:color="auto" w:sz="4" w:space="0"/>
              <w:left w:val="single" w:color="auto" w:sz="4" w:space="0"/>
              <w:bottom w:val="single" w:color="auto" w:sz="4" w:space="0"/>
              <w:right w:val="single" w:color="auto" w:sz="4" w:space="0"/>
            </w:tcBorders>
          </w:tcPr>
          <w:p w14:paraId="7A57004D">
            <w:pPr>
              <w:pStyle w:val="16"/>
              <w:spacing w:line="360" w:lineRule="auto"/>
              <w:jc w:val="center"/>
              <w:rPr>
                <w:rFonts w:hint="eastAsia" w:hAnsi="宋体" w:cs="宋体"/>
                <w:color w:val="auto"/>
                <w:sz w:val="28"/>
                <w:highlight w:val="none"/>
              </w:rPr>
            </w:pPr>
          </w:p>
        </w:tc>
        <w:tc>
          <w:tcPr>
            <w:tcW w:w="1037" w:type="dxa"/>
            <w:tcBorders>
              <w:top w:val="single" w:color="auto" w:sz="4" w:space="0"/>
              <w:left w:val="single" w:color="auto" w:sz="4" w:space="0"/>
              <w:bottom w:val="single" w:color="auto" w:sz="4" w:space="0"/>
              <w:right w:val="single" w:color="auto" w:sz="4" w:space="0"/>
            </w:tcBorders>
          </w:tcPr>
          <w:p w14:paraId="5CB398EB">
            <w:pPr>
              <w:pStyle w:val="16"/>
              <w:spacing w:line="360" w:lineRule="auto"/>
              <w:jc w:val="center"/>
              <w:rPr>
                <w:rFonts w:hint="eastAsia" w:hAnsi="宋体" w:cs="宋体"/>
                <w:color w:val="auto"/>
                <w:sz w:val="28"/>
                <w:highlight w:val="none"/>
              </w:rPr>
            </w:pPr>
          </w:p>
        </w:tc>
        <w:tc>
          <w:tcPr>
            <w:tcW w:w="1425" w:type="dxa"/>
            <w:tcBorders>
              <w:top w:val="single" w:color="auto" w:sz="4" w:space="0"/>
              <w:left w:val="single" w:color="auto" w:sz="4" w:space="0"/>
              <w:bottom w:val="single" w:color="auto" w:sz="4" w:space="0"/>
              <w:right w:val="single" w:color="auto" w:sz="4" w:space="0"/>
            </w:tcBorders>
          </w:tcPr>
          <w:p w14:paraId="750EC7CB">
            <w:pPr>
              <w:pStyle w:val="16"/>
              <w:spacing w:line="360" w:lineRule="auto"/>
              <w:jc w:val="center"/>
              <w:rPr>
                <w:rFonts w:hint="eastAsia" w:hAnsi="宋体" w:cs="宋体"/>
                <w:color w:val="auto"/>
                <w:sz w:val="28"/>
                <w:highlight w:val="none"/>
              </w:rPr>
            </w:pPr>
          </w:p>
        </w:tc>
        <w:tc>
          <w:tcPr>
            <w:tcW w:w="1140" w:type="dxa"/>
            <w:tcBorders>
              <w:top w:val="single" w:color="auto" w:sz="4" w:space="0"/>
              <w:left w:val="single" w:color="auto" w:sz="4" w:space="0"/>
              <w:bottom w:val="single" w:color="auto" w:sz="4" w:space="0"/>
              <w:right w:val="single" w:color="auto" w:sz="4" w:space="0"/>
            </w:tcBorders>
          </w:tcPr>
          <w:p w14:paraId="3D834CC9">
            <w:pPr>
              <w:pStyle w:val="16"/>
              <w:spacing w:line="360" w:lineRule="auto"/>
              <w:jc w:val="center"/>
              <w:rPr>
                <w:rFonts w:hint="eastAsia" w:hAnsi="宋体" w:cs="宋体"/>
                <w:color w:val="auto"/>
                <w:sz w:val="28"/>
                <w:highlight w:val="none"/>
              </w:rPr>
            </w:pPr>
          </w:p>
        </w:tc>
        <w:tc>
          <w:tcPr>
            <w:tcW w:w="899" w:type="dxa"/>
            <w:tcBorders>
              <w:top w:val="single" w:color="auto" w:sz="4" w:space="0"/>
              <w:left w:val="single" w:color="auto" w:sz="4" w:space="0"/>
              <w:bottom w:val="single" w:color="auto" w:sz="4" w:space="0"/>
              <w:right w:val="single" w:color="auto" w:sz="4" w:space="0"/>
            </w:tcBorders>
          </w:tcPr>
          <w:p w14:paraId="5A9D3F6E">
            <w:pPr>
              <w:pStyle w:val="16"/>
              <w:spacing w:line="360" w:lineRule="auto"/>
              <w:jc w:val="center"/>
              <w:rPr>
                <w:rFonts w:hint="eastAsia" w:hAnsi="宋体" w:cs="宋体"/>
                <w:color w:val="auto"/>
                <w:sz w:val="28"/>
                <w:highlight w:val="none"/>
              </w:rPr>
            </w:pPr>
          </w:p>
        </w:tc>
        <w:tc>
          <w:tcPr>
            <w:tcW w:w="1171" w:type="dxa"/>
            <w:tcBorders>
              <w:top w:val="single" w:color="auto" w:sz="4" w:space="0"/>
              <w:left w:val="single" w:color="auto" w:sz="4" w:space="0"/>
              <w:bottom w:val="single" w:color="auto" w:sz="4" w:space="0"/>
              <w:right w:val="single" w:color="auto" w:sz="4" w:space="0"/>
            </w:tcBorders>
          </w:tcPr>
          <w:p w14:paraId="5CE00151">
            <w:pPr>
              <w:pStyle w:val="16"/>
              <w:spacing w:line="360" w:lineRule="auto"/>
              <w:jc w:val="center"/>
              <w:rPr>
                <w:rFonts w:hint="eastAsia" w:hAnsi="宋体" w:cs="宋体"/>
                <w:color w:val="auto"/>
                <w:sz w:val="28"/>
                <w:highlight w:val="none"/>
              </w:rPr>
            </w:pPr>
          </w:p>
        </w:tc>
        <w:tc>
          <w:tcPr>
            <w:tcW w:w="2993" w:type="dxa"/>
            <w:tcBorders>
              <w:top w:val="single" w:color="auto" w:sz="4" w:space="0"/>
              <w:left w:val="single" w:color="auto" w:sz="4" w:space="0"/>
              <w:bottom w:val="single" w:color="auto" w:sz="4" w:space="0"/>
              <w:right w:val="single" w:color="auto" w:sz="4" w:space="0"/>
            </w:tcBorders>
          </w:tcPr>
          <w:p w14:paraId="3148E74A">
            <w:pPr>
              <w:pStyle w:val="16"/>
              <w:spacing w:line="360" w:lineRule="auto"/>
              <w:jc w:val="center"/>
              <w:rPr>
                <w:rFonts w:hint="eastAsia" w:hAnsi="宋体" w:cs="宋体"/>
                <w:color w:val="auto"/>
                <w:sz w:val="28"/>
                <w:highlight w:val="none"/>
              </w:rPr>
            </w:pPr>
          </w:p>
        </w:tc>
      </w:tr>
      <w:tr w14:paraId="2BBB3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dxa"/>
            <w:tcBorders>
              <w:top w:val="single" w:color="auto" w:sz="4" w:space="0"/>
              <w:left w:val="single" w:color="auto" w:sz="4" w:space="0"/>
              <w:bottom w:val="single" w:color="auto" w:sz="4" w:space="0"/>
              <w:right w:val="single" w:color="auto" w:sz="4" w:space="0"/>
            </w:tcBorders>
          </w:tcPr>
          <w:p w14:paraId="3B7ADB30">
            <w:pPr>
              <w:pStyle w:val="16"/>
              <w:spacing w:line="360" w:lineRule="auto"/>
              <w:jc w:val="center"/>
              <w:rPr>
                <w:rFonts w:hint="eastAsia" w:hAnsi="宋体" w:cs="宋体"/>
                <w:color w:val="auto"/>
                <w:sz w:val="28"/>
                <w:highlight w:val="none"/>
              </w:rPr>
            </w:pPr>
          </w:p>
        </w:tc>
        <w:tc>
          <w:tcPr>
            <w:tcW w:w="1037" w:type="dxa"/>
            <w:tcBorders>
              <w:top w:val="single" w:color="auto" w:sz="4" w:space="0"/>
              <w:left w:val="single" w:color="auto" w:sz="4" w:space="0"/>
              <w:bottom w:val="single" w:color="auto" w:sz="4" w:space="0"/>
              <w:right w:val="single" w:color="auto" w:sz="4" w:space="0"/>
            </w:tcBorders>
          </w:tcPr>
          <w:p w14:paraId="7DA1B0AB">
            <w:pPr>
              <w:pStyle w:val="16"/>
              <w:spacing w:line="360" w:lineRule="auto"/>
              <w:jc w:val="center"/>
              <w:rPr>
                <w:rFonts w:hint="eastAsia" w:hAnsi="宋体" w:cs="宋体"/>
                <w:color w:val="auto"/>
                <w:sz w:val="28"/>
                <w:highlight w:val="none"/>
              </w:rPr>
            </w:pPr>
          </w:p>
        </w:tc>
        <w:tc>
          <w:tcPr>
            <w:tcW w:w="1425" w:type="dxa"/>
            <w:tcBorders>
              <w:top w:val="single" w:color="auto" w:sz="4" w:space="0"/>
              <w:left w:val="single" w:color="auto" w:sz="4" w:space="0"/>
              <w:bottom w:val="single" w:color="auto" w:sz="4" w:space="0"/>
              <w:right w:val="single" w:color="auto" w:sz="4" w:space="0"/>
            </w:tcBorders>
          </w:tcPr>
          <w:p w14:paraId="732CEF81">
            <w:pPr>
              <w:pStyle w:val="16"/>
              <w:spacing w:line="360" w:lineRule="auto"/>
              <w:jc w:val="center"/>
              <w:rPr>
                <w:rFonts w:hint="eastAsia" w:hAnsi="宋体" w:cs="宋体"/>
                <w:color w:val="auto"/>
                <w:sz w:val="28"/>
                <w:highlight w:val="none"/>
              </w:rPr>
            </w:pPr>
          </w:p>
        </w:tc>
        <w:tc>
          <w:tcPr>
            <w:tcW w:w="1140" w:type="dxa"/>
            <w:tcBorders>
              <w:top w:val="single" w:color="auto" w:sz="4" w:space="0"/>
              <w:left w:val="single" w:color="auto" w:sz="4" w:space="0"/>
              <w:bottom w:val="single" w:color="auto" w:sz="4" w:space="0"/>
              <w:right w:val="single" w:color="auto" w:sz="4" w:space="0"/>
            </w:tcBorders>
          </w:tcPr>
          <w:p w14:paraId="0EBABF95">
            <w:pPr>
              <w:pStyle w:val="16"/>
              <w:spacing w:line="360" w:lineRule="auto"/>
              <w:jc w:val="center"/>
              <w:rPr>
                <w:rFonts w:hint="eastAsia" w:hAnsi="宋体" w:cs="宋体"/>
                <w:color w:val="auto"/>
                <w:sz w:val="28"/>
                <w:highlight w:val="none"/>
              </w:rPr>
            </w:pPr>
          </w:p>
        </w:tc>
        <w:tc>
          <w:tcPr>
            <w:tcW w:w="899" w:type="dxa"/>
            <w:tcBorders>
              <w:top w:val="single" w:color="auto" w:sz="4" w:space="0"/>
              <w:left w:val="single" w:color="auto" w:sz="4" w:space="0"/>
              <w:bottom w:val="single" w:color="auto" w:sz="4" w:space="0"/>
              <w:right w:val="single" w:color="auto" w:sz="4" w:space="0"/>
            </w:tcBorders>
          </w:tcPr>
          <w:p w14:paraId="32609F7E">
            <w:pPr>
              <w:pStyle w:val="16"/>
              <w:spacing w:line="360" w:lineRule="auto"/>
              <w:jc w:val="center"/>
              <w:rPr>
                <w:rFonts w:hint="eastAsia" w:hAnsi="宋体" w:cs="宋体"/>
                <w:color w:val="auto"/>
                <w:sz w:val="28"/>
                <w:highlight w:val="none"/>
              </w:rPr>
            </w:pPr>
          </w:p>
        </w:tc>
        <w:tc>
          <w:tcPr>
            <w:tcW w:w="1171" w:type="dxa"/>
            <w:tcBorders>
              <w:top w:val="single" w:color="auto" w:sz="4" w:space="0"/>
              <w:left w:val="single" w:color="auto" w:sz="4" w:space="0"/>
              <w:bottom w:val="single" w:color="auto" w:sz="4" w:space="0"/>
              <w:right w:val="single" w:color="auto" w:sz="4" w:space="0"/>
            </w:tcBorders>
          </w:tcPr>
          <w:p w14:paraId="459175D5">
            <w:pPr>
              <w:pStyle w:val="16"/>
              <w:spacing w:line="360" w:lineRule="auto"/>
              <w:jc w:val="center"/>
              <w:rPr>
                <w:rFonts w:hint="eastAsia" w:hAnsi="宋体" w:cs="宋体"/>
                <w:color w:val="auto"/>
                <w:sz w:val="28"/>
                <w:highlight w:val="none"/>
              </w:rPr>
            </w:pPr>
          </w:p>
        </w:tc>
        <w:tc>
          <w:tcPr>
            <w:tcW w:w="2993" w:type="dxa"/>
            <w:tcBorders>
              <w:top w:val="single" w:color="auto" w:sz="4" w:space="0"/>
              <w:left w:val="single" w:color="auto" w:sz="4" w:space="0"/>
              <w:bottom w:val="single" w:color="auto" w:sz="4" w:space="0"/>
              <w:right w:val="single" w:color="auto" w:sz="4" w:space="0"/>
            </w:tcBorders>
          </w:tcPr>
          <w:p w14:paraId="047DC613">
            <w:pPr>
              <w:pStyle w:val="16"/>
              <w:spacing w:line="360" w:lineRule="auto"/>
              <w:jc w:val="center"/>
              <w:rPr>
                <w:rFonts w:hint="eastAsia" w:hAnsi="宋体" w:cs="宋体"/>
                <w:color w:val="auto"/>
                <w:sz w:val="28"/>
                <w:highlight w:val="none"/>
              </w:rPr>
            </w:pPr>
          </w:p>
        </w:tc>
      </w:tr>
      <w:tr w14:paraId="3C7D6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dxa"/>
            <w:tcBorders>
              <w:top w:val="single" w:color="auto" w:sz="4" w:space="0"/>
              <w:left w:val="single" w:color="auto" w:sz="4" w:space="0"/>
              <w:bottom w:val="single" w:color="auto" w:sz="4" w:space="0"/>
              <w:right w:val="single" w:color="auto" w:sz="4" w:space="0"/>
            </w:tcBorders>
          </w:tcPr>
          <w:p w14:paraId="5483A34B">
            <w:pPr>
              <w:pStyle w:val="16"/>
              <w:spacing w:line="360" w:lineRule="auto"/>
              <w:jc w:val="center"/>
              <w:rPr>
                <w:rFonts w:hint="eastAsia" w:hAnsi="宋体" w:cs="宋体"/>
                <w:color w:val="auto"/>
                <w:sz w:val="28"/>
                <w:highlight w:val="none"/>
              </w:rPr>
            </w:pPr>
          </w:p>
        </w:tc>
        <w:tc>
          <w:tcPr>
            <w:tcW w:w="1037" w:type="dxa"/>
            <w:tcBorders>
              <w:top w:val="single" w:color="auto" w:sz="4" w:space="0"/>
              <w:left w:val="single" w:color="auto" w:sz="4" w:space="0"/>
              <w:bottom w:val="single" w:color="auto" w:sz="4" w:space="0"/>
              <w:right w:val="single" w:color="auto" w:sz="4" w:space="0"/>
            </w:tcBorders>
          </w:tcPr>
          <w:p w14:paraId="450FBBED">
            <w:pPr>
              <w:pStyle w:val="16"/>
              <w:spacing w:line="360" w:lineRule="auto"/>
              <w:jc w:val="center"/>
              <w:rPr>
                <w:rFonts w:hint="eastAsia" w:hAnsi="宋体" w:cs="宋体"/>
                <w:color w:val="auto"/>
                <w:sz w:val="28"/>
                <w:highlight w:val="none"/>
              </w:rPr>
            </w:pPr>
          </w:p>
        </w:tc>
        <w:tc>
          <w:tcPr>
            <w:tcW w:w="1425" w:type="dxa"/>
            <w:tcBorders>
              <w:top w:val="single" w:color="auto" w:sz="4" w:space="0"/>
              <w:left w:val="single" w:color="auto" w:sz="4" w:space="0"/>
              <w:bottom w:val="single" w:color="auto" w:sz="4" w:space="0"/>
              <w:right w:val="single" w:color="auto" w:sz="4" w:space="0"/>
            </w:tcBorders>
          </w:tcPr>
          <w:p w14:paraId="4E30C18C">
            <w:pPr>
              <w:pStyle w:val="16"/>
              <w:spacing w:line="360" w:lineRule="auto"/>
              <w:jc w:val="center"/>
              <w:rPr>
                <w:rFonts w:hint="eastAsia" w:hAnsi="宋体" w:cs="宋体"/>
                <w:color w:val="auto"/>
                <w:sz w:val="28"/>
                <w:highlight w:val="none"/>
              </w:rPr>
            </w:pPr>
          </w:p>
        </w:tc>
        <w:tc>
          <w:tcPr>
            <w:tcW w:w="1140" w:type="dxa"/>
            <w:tcBorders>
              <w:top w:val="single" w:color="auto" w:sz="4" w:space="0"/>
              <w:left w:val="single" w:color="auto" w:sz="4" w:space="0"/>
              <w:bottom w:val="single" w:color="auto" w:sz="4" w:space="0"/>
              <w:right w:val="single" w:color="auto" w:sz="4" w:space="0"/>
            </w:tcBorders>
          </w:tcPr>
          <w:p w14:paraId="431A1AE4">
            <w:pPr>
              <w:pStyle w:val="16"/>
              <w:spacing w:line="360" w:lineRule="auto"/>
              <w:jc w:val="center"/>
              <w:rPr>
                <w:rFonts w:hint="eastAsia" w:hAnsi="宋体" w:cs="宋体"/>
                <w:color w:val="auto"/>
                <w:sz w:val="28"/>
                <w:highlight w:val="none"/>
              </w:rPr>
            </w:pPr>
          </w:p>
        </w:tc>
        <w:tc>
          <w:tcPr>
            <w:tcW w:w="899" w:type="dxa"/>
            <w:tcBorders>
              <w:top w:val="single" w:color="auto" w:sz="4" w:space="0"/>
              <w:left w:val="single" w:color="auto" w:sz="4" w:space="0"/>
              <w:bottom w:val="single" w:color="auto" w:sz="4" w:space="0"/>
              <w:right w:val="single" w:color="auto" w:sz="4" w:space="0"/>
            </w:tcBorders>
          </w:tcPr>
          <w:p w14:paraId="2AE261B7">
            <w:pPr>
              <w:pStyle w:val="16"/>
              <w:spacing w:line="360" w:lineRule="auto"/>
              <w:jc w:val="center"/>
              <w:rPr>
                <w:rFonts w:hint="eastAsia" w:hAnsi="宋体" w:cs="宋体"/>
                <w:color w:val="auto"/>
                <w:sz w:val="28"/>
                <w:highlight w:val="none"/>
              </w:rPr>
            </w:pPr>
          </w:p>
        </w:tc>
        <w:tc>
          <w:tcPr>
            <w:tcW w:w="1171" w:type="dxa"/>
            <w:tcBorders>
              <w:top w:val="single" w:color="auto" w:sz="4" w:space="0"/>
              <w:left w:val="single" w:color="auto" w:sz="4" w:space="0"/>
              <w:bottom w:val="single" w:color="auto" w:sz="4" w:space="0"/>
              <w:right w:val="single" w:color="auto" w:sz="4" w:space="0"/>
            </w:tcBorders>
          </w:tcPr>
          <w:p w14:paraId="2CFCDB98">
            <w:pPr>
              <w:pStyle w:val="16"/>
              <w:spacing w:line="360" w:lineRule="auto"/>
              <w:jc w:val="center"/>
              <w:rPr>
                <w:rFonts w:hint="eastAsia" w:hAnsi="宋体" w:cs="宋体"/>
                <w:color w:val="auto"/>
                <w:sz w:val="28"/>
                <w:highlight w:val="none"/>
              </w:rPr>
            </w:pPr>
          </w:p>
        </w:tc>
        <w:tc>
          <w:tcPr>
            <w:tcW w:w="2993" w:type="dxa"/>
            <w:tcBorders>
              <w:top w:val="single" w:color="auto" w:sz="4" w:space="0"/>
              <w:left w:val="single" w:color="auto" w:sz="4" w:space="0"/>
              <w:bottom w:val="single" w:color="auto" w:sz="4" w:space="0"/>
              <w:right w:val="single" w:color="auto" w:sz="4" w:space="0"/>
            </w:tcBorders>
          </w:tcPr>
          <w:p w14:paraId="0D426D68">
            <w:pPr>
              <w:pStyle w:val="16"/>
              <w:spacing w:line="360" w:lineRule="auto"/>
              <w:jc w:val="center"/>
              <w:rPr>
                <w:rFonts w:hint="eastAsia" w:hAnsi="宋体" w:cs="宋体"/>
                <w:color w:val="auto"/>
                <w:sz w:val="28"/>
                <w:highlight w:val="none"/>
              </w:rPr>
            </w:pPr>
          </w:p>
        </w:tc>
      </w:tr>
      <w:tr w14:paraId="2311A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dxa"/>
            <w:tcBorders>
              <w:top w:val="single" w:color="auto" w:sz="4" w:space="0"/>
              <w:left w:val="single" w:color="auto" w:sz="4" w:space="0"/>
              <w:bottom w:val="single" w:color="auto" w:sz="4" w:space="0"/>
              <w:right w:val="single" w:color="auto" w:sz="4" w:space="0"/>
            </w:tcBorders>
          </w:tcPr>
          <w:p w14:paraId="7869B8A5">
            <w:pPr>
              <w:pStyle w:val="16"/>
              <w:spacing w:line="360" w:lineRule="auto"/>
              <w:jc w:val="center"/>
              <w:rPr>
                <w:rFonts w:hint="eastAsia" w:hAnsi="宋体" w:cs="宋体"/>
                <w:color w:val="auto"/>
                <w:sz w:val="28"/>
                <w:highlight w:val="none"/>
              </w:rPr>
            </w:pPr>
          </w:p>
        </w:tc>
        <w:tc>
          <w:tcPr>
            <w:tcW w:w="1037" w:type="dxa"/>
            <w:tcBorders>
              <w:top w:val="single" w:color="auto" w:sz="4" w:space="0"/>
              <w:left w:val="single" w:color="auto" w:sz="4" w:space="0"/>
              <w:bottom w:val="single" w:color="auto" w:sz="4" w:space="0"/>
              <w:right w:val="single" w:color="auto" w:sz="4" w:space="0"/>
            </w:tcBorders>
          </w:tcPr>
          <w:p w14:paraId="33B4A4AE">
            <w:pPr>
              <w:pStyle w:val="16"/>
              <w:spacing w:line="360" w:lineRule="auto"/>
              <w:jc w:val="center"/>
              <w:rPr>
                <w:rFonts w:hint="eastAsia" w:hAnsi="宋体" w:cs="宋体"/>
                <w:color w:val="auto"/>
                <w:sz w:val="28"/>
                <w:highlight w:val="none"/>
              </w:rPr>
            </w:pPr>
          </w:p>
        </w:tc>
        <w:tc>
          <w:tcPr>
            <w:tcW w:w="1425" w:type="dxa"/>
            <w:tcBorders>
              <w:top w:val="single" w:color="auto" w:sz="4" w:space="0"/>
              <w:left w:val="single" w:color="auto" w:sz="4" w:space="0"/>
              <w:bottom w:val="single" w:color="auto" w:sz="4" w:space="0"/>
              <w:right w:val="single" w:color="auto" w:sz="4" w:space="0"/>
            </w:tcBorders>
          </w:tcPr>
          <w:p w14:paraId="35091638">
            <w:pPr>
              <w:pStyle w:val="16"/>
              <w:spacing w:line="360" w:lineRule="auto"/>
              <w:jc w:val="center"/>
              <w:rPr>
                <w:rFonts w:hint="eastAsia" w:hAnsi="宋体" w:cs="宋体"/>
                <w:color w:val="auto"/>
                <w:sz w:val="28"/>
                <w:highlight w:val="none"/>
              </w:rPr>
            </w:pPr>
          </w:p>
        </w:tc>
        <w:tc>
          <w:tcPr>
            <w:tcW w:w="1140" w:type="dxa"/>
            <w:tcBorders>
              <w:top w:val="single" w:color="auto" w:sz="4" w:space="0"/>
              <w:left w:val="single" w:color="auto" w:sz="4" w:space="0"/>
              <w:bottom w:val="single" w:color="auto" w:sz="4" w:space="0"/>
              <w:right w:val="single" w:color="auto" w:sz="4" w:space="0"/>
            </w:tcBorders>
          </w:tcPr>
          <w:p w14:paraId="3A9C3687">
            <w:pPr>
              <w:pStyle w:val="16"/>
              <w:spacing w:line="360" w:lineRule="auto"/>
              <w:jc w:val="center"/>
              <w:rPr>
                <w:rFonts w:hint="eastAsia" w:hAnsi="宋体" w:cs="宋体"/>
                <w:color w:val="auto"/>
                <w:sz w:val="28"/>
                <w:highlight w:val="none"/>
              </w:rPr>
            </w:pPr>
          </w:p>
        </w:tc>
        <w:tc>
          <w:tcPr>
            <w:tcW w:w="899" w:type="dxa"/>
            <w:tcBorders>
              <w:top w:val="single" w:color="auto" w:sz="4" w:space="0"/>
              <w:left w:val="single" w:color="auto" w:sz="4" w:space="0"/>
              <w:bottom w:val="single" w:color="auto" w:sz="4" w:space="0"/>
              <w:right w:val="single" w:color="auto" w:sz="4" w:space="0"/>
            </w:tcBorders>
          </w:tcPr>
          <w:p w14:paraId="5DD85269">
            <w:pPr>
              <w:pStyle w:val="16"/>
              <w:spacing w:line="360" w:lineRule="auto"/>
              <w:jc w:val="center"/>
              <w:rPr>
                <w:rFonts w:hint="eastAsia" w:hAnsi="宋体" w:cs="宋体"/>
                <w:color w:val="auto"/>
                <w:sz w:val="28"/>
                <w:highlight w:val="none"/>
              </w:rPr>
            </w:pPr>
          </w:p>
        </w:tc>
        <w:tc>
          <w:tcPr>
            <w:tcW w:w="1171" w:type="dxa"/>
            <w:tcBorders>
              <w:top w:val="single" w:color="auto" w:sz="4" w:space="0"/>
              <w:left w:val="single" w:color="auto" w:sz="4" w:space="0"/>
              <w:bottom w:val="single" w:color="auto" w:sz="4" w:space="0"/>
              <w:right w:val="single" w:color="auto" w:sz="4" w:space="0"/>
            </w:tcBorders>
          </w:tcPr>
          <w:p w14:paraId="1D3F0FAE">
            <w:pPr>
              <w:pStyle w:val="16"/>
              <w:spacing w:line="360" w:lineRule="auto"/>
              <w:jc w:val="center"/>
              <w:rPr>
                <w:rFonts w:hint="eastAsia" w:hAnsi="宋体" w:cs="宋体"/>
                <w:color w:val="auto"/>
                <w:sz w:val="28"/>
                <w:highlight w:val="none"/>
              </w:rPr>
            </w:pPr>
          </w:p>
        </w:tc>
        <w:tc>
          <w:tcPr>
            <w:tcW w:w="2993" w:type="dxa"/>
            <w:tcBorders>
              <w:top w:val="single" w:color="auto" w:sz="4" w:space="0"/>
              <w:left w:val="single" w:color="auto" w:sz="4" w:space="0"/>
              <w:bottom w:val="single" w:color="auto" w:sz="4" w:space="0"/>
              <w:right w:val="single" w:color="auto" w:sz="4" w:space="0"/>
            </w:tcBorders>
          </w:tcPr>
          <w:p w14:paraId="647409DF">
            <w:pPr>
              <w:pStyle w:val="16"/>
              <w:spacing w:line="360" w:lineRule="auto"/>
              <w:jc w:val="center"/>
              <w:rPr>
                <w:rFonts w:hint="eastAsia" w:hAnsi="宋体" w:cs="宋体"/>
                <w:color w:val="auto"/>
                <w:sz w:val="28"/>
                <w:highlight w:val="none"/>
              </w:rPr>
            </w:pPr>
          </w:p>
        </w:tc>
      </w:tr>
      <w:tr w14:paraId="15418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dxa"/>
            <w:tcBorders>
              <w:top w:val="single" w:color="auto" w:sz="4" w:space="0"/>
              <w:left w:val="single" w:color="auto" w:sz="4" w:space="0"/>
              <w:bottom w:val="single" w:color="auto" w:sz="4" w:space="0"/>
              <w:right w:val="single" w:color="auto" w:sz="4" w:space="0"/>
            </w:tcBorders>
          </w:tcPr>
          <w:p w14:paraId="47E31648">
            <w:pPr>
              <w:pStyle w:val="16"/>
              <w:spacing w:line="360" w:lineRule="auto"/>
              <w:jc w:val="center"/>
              <w:rPr>
                <w:rFonts w:hint="eastAsia" w:hAnsi="宋体" w:cs="宋体"/>
                <w:color w:val="auto"/>
                <w:sz w:val="28"/>
                <w:highlight w:val="none"/>
              </w:rPr>
            </w:pPr>
          </w:p>
        </w:tc>
        <w:tc>
          <w:tcPr>
            <w:tcW w:w="1037" w:type="dxa"/>
            <w:tcBorders>
              <w:top w:val="single" w:color="auto" w:sz="4" w:space="0"/>
              <w:left w:val="single" w:color="auto" w:sz="4" w:space="0"/>
              <w:bottom w:val="single" w:color="auto" w:sz="4" w:space="0"/>
              <w:right w:val="single" w:color="auto" w:sz="4" w:space="0"/>
            </w:tcBorders>
          </w:tcPr>
          <w:p w14:paraId="1F0792BF">
            <w:pPr>
              <w:pStyle w:val="16"/>
              <w:spacing w:line="360" w:lineRule="auto"/>
              <w:jc w:val="center"/>
              <w:rPr>
                <w:rFonts w:hint="eastAsia" w:hAnsi="宋体" w:cs="宋体"/>
                <w:color w:val="auto"/>
                <w:sz w:val="28"/>
                <w:highlight w:val="none"/>
              </w:rPr>
            </w:pPr>
          </w:p>
        </w:tc>
        <w:tc>
          <w:tcPr>
            <w:tcW w:w="1425" w:type="dxa"/>
            <w:tcBorders>
              <w:top w:val="single" w:color="auto" w:sz="4" w:space="0"/>
              <w:left w:val="single" w:color="auto" w:sz="4" w:space="0"/>
              <w:bottom w:val="single" w:color="auto" w:sz="4" w:space="0"/>
              <w:right w:val="single" w:color="auto" w:sz="4" w:space="0"/>
            </w:tcBorders>
          </w:tcPr>
          <w:p w14:paraId="4394F3F7">
            <w:pPr>
              <w:pStyle w:val="16"/>
              <w:spacing w:line="360" w:lineRule="auto"/>
              <w:jc w:val="center"/>
              <w:rPr>
                <w:rFonts w:hint="eastAsia" w:hAnsi="宋体" w:cs="宋体"/>
                <w:color w:val="auto"/>
                <w:sz w:val="28"/>
                <w:highlight w:val="none"/>
              </w:rPr>
            </w:pPr>
          </w:p>
        </w:tc>
        <w:tc>
          <w:tcPr>
            <w:tcW w:w="1140" w:type="dxa"/>
            <w:tcBorders>
              <w:top w:val="single" w:color="auto" w:sz="4" w:space="0"/>
              <w:left w:val="single" w:color="auto" w:sz="4" w:space="0"/>
              <w:bottom w:val="single" w:color="auto" w:sz="4" w:space="0"/>
              <w:right w:val="single" w:color="auto" w:sz="4" w:space="0"/>
            </w:tcBorders>
          </w:tcPr>
          <w:p w14:paraId="5400DC8F">
            <w:pPr>
              <w:pStyle w:val="16"/>
              <w:spacing w:line="360" w:lineRule="auto"/>
              <w:jc w:val="center"/>
              <w:rPr>
                <w:rFonts w:hint="eastAsia" w:hAnsi="宋体" w:cs="宋体"/>
                <w:color w:val="auto"/>
                <w:sz w:val="28"/>
                <w:highlight w:val="none"/>
              </w:rPr>
            </w:pPr>
          </w:p>
        </w:tc>
        <w:tc>
          <w:tcPr>
            <w:tcW w:w="899" w:type="dxa"/>
            <w:tcBorders>
              <w:top w:val="single" w:color="auto" w:sz="4" w:space="0"/>
              <w:left w:val="single" w:color="auto" w:sz="4" w:space="0"/>
              <w:bottom w:val="single" w:color="auto" w:sz="4" w:space="0"/>
              <w:right w:val="single" w:color="auto" w:sz="4" w:space="0"/>
            </w:tcBorders>
          </w:tcPr>
          <w:p w14:paraId="412B9EBF">
            <w:pPr>
              <w:pStyle w:val="16"/>
              <w:spacing w:line="360" w:lineRule="auto"/>
              <w:jc w:val="center"/>
              <w:rPr>
                <w:rFonts w:hint="eastAsia" w:hAnsi="宋体" w:cs="宋体"/>
                <w:color w:val="auto"/>
                <w:sz w:val="28"/>
                <w:highlight w:val="none"/>
              </w:rPr>
            </w:pPr>
          </w:p>
        </w:tc>
        <w:tc>
          <w:tcPr>
            <w:tcW w:w="1171" w:type="dxa"/>
            <w:tcBorders>
              <w:top w:val="single" w:color="auto" w:sz="4" w:space="0"/>
              <w:left w:val="single" w:color="auto" w:sz="4" w:space="0"/>
              <w:bottom w:val="single" w:color="auto" w:sz="4" w:space="0"/>
              <w:right w:val="single" w:color="auto" w:sz="4" w:space="0"/>
            </w:tcBorders>
          </w:tcPr>
          <w:p w14:paraId="2A544C7F">
            <w:pPr>
              <w:pStyle w:val="16"/>
              <w:spacing w:line="360" w:lineRule="auto"/>
              <w:jc w:val="center"/>
              <w:rPr>
                <w:rFonts w:hint="eastAsia" w:hAnsi="宋体" w:cs="宋体"/>
                <w:color w:val="auto"/>
                <w:sz w:val="28"/>
                <w:highlight w:val="none"/>
              </w:rPr>
            </w:pPr>
          </w:p>
        </w:tc>
        <w:tc>
          <w:tcPr>
            <w:tcW w:w="2993" w:type="dxa"/>
            <w:tcBorders>
              <w:top w:val="single" w:color="auto" w:sz="4" w:space="0"/>
              <w:left w:val="single" w:color="auto" w:sz="4" w:space="0"/>
              <w:bottom w:val="single" w:color="auto" w:sz="4" w:space="0"/>
              <w:right w:val="single" w:color="auto" w:sz="4" w:space="0"/>
            </w:tcBorders>
          </w:tcPr>
          <w:p w14:paraId="63252144">
            <w:pPr>
              <w:pStyle w:val="16"/>
              <w:spacing w:line="360" w:lineRule="auto"/>
              <w:jc w:val="center"/>
              <w:rPr>
                <w:rFonts w:hint="eastAsia" w:hAnsi="宋体" w:cs="宋体"/>
                <w:color w:val="auto"/>
                <w:sz w:val="28"/>
                <w:highlight w:val="none"/>
              </w:rPr>
            </w:pPr>
          </w:p>
        </w:tc>
      </w:tr>
      <w:tr w14:paraId="641CB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 w:type="dxa"/>
            <w:tcBorders>
              <w:top w:val="single" w:color="auto" w:sz="4" w:space="0"/>
              <w:left w:val="single" w:color="auto" w:sz="4" w:space="0"/>
              <w:bottom w:val="single" w:color="auto" w:sz="4" w:space="0"/>
              <w:right w:val="single" w:color="auto" w:sz="4" w:space="0"/>
            </w:tcBorders>
          </w:tcPr>
          <w:p w14:paraId="1529B988">
            <w:pPr>
              <w:pStyle w:val="16"/>
              <w:spacing w:line="360" w:lineRule="auto"/>
              <w:jc w:val="center"/>
              <w:rPr>
                <w:rFonts w:hint="eastAsia" w:hAnsi="宋体" w:cs="宋体"/>
                <w:color w:val="auto"/>
                <w:sz w:val="28"/>
                <w:highlight w:val="none"/>
              </w:rPr>
            </w:pPr>
          </w:p>
        </w:tc>
        <w:tc>
          <w:tcPr>
            <w:tcW w:w="1037" w:type="dxa"/>
            <w:tcBorders>
              <w:top w:val="single" w:color="auto" w:sz="4" w:space="0"/>
              <w:left w:val="single" w:color="auto" w:sz="4" w:space="0"/>
              <w:bottom w:val="single" w:color="auto" w:sz="4" w:space="0"/>
              <w:right w:val="single" w:color="auto" w:sz="4" w:space="0"/>
            </w:tcBorders>
          </w:tcPr>
          <w:p w14:paraId="2C368354">
            <w:pPr>
              <w:pStyle w:val="16"/>
              <w:spacing w:line="360" w:lineRule="auto"/>
              <w:jc w:val="center"/>
              <w:rPr>
                <w:rFonts w:hint="eastAsia" w:hAnsi="宋体" w:cs="宋体"/>
                <w:color w:val="auto"/>
                <w:sz w:val="28"/>
                <w:highlight w:val="none"/>
              </w:rPr>
            </w:pPr>
          </w:p>
        </w:tc>
        <w:tc>
          <w:tcPr>
            <w:tcW w:w="1425" w:type="dxa"/>
            <w:tcBorders>
              <w:top w:val="single" w:color="auto" w:sz="4" w:space="0"/>
              <w:left w:val="single" w:color="auto" w:sz="4" w:space="0"/>
              <w:bottom w:val="single" w:color="auto" w:sz="4" w:space="0"/>
              <w:right w:val="single" w:color="auto" w:sz="4" w:space="0"/>
            </w:tcBorders>
          </w:tcPr>
          <w:p w14:paraId="1CA1DDF0">
            <w:pPr>
              <w:pStyle w:val="16"/>
              <w:spacing w:line="360" w:lineRule="auto"/>
              <w:jc w:val="center"/>
              <w:rPr>
                <w:rFonts w:hint="eastAsia" w:hAnsi="宋体" w:cs="宋体"/>
                <w:color w:val="auto"/>
                <w:sz w:val="28"/>
                <w:highlight w:val="none"/>
              </w:rPr>
            </w:pPr>
          </w:p>
        </w:tc>
        <w:tc>
          <w:tcPr>
            <w:tcW w:w="1140" w:type="dxa"/>
            <w:tcBorders>
              <w:top w:val="single" w:color="auto" w:sz="4" w:space="0"/>
              <w:left w:val="single" w:color="auto" w:sz="4" w:space="0"/>
              <w:bottom w:val="single" w:color="auto" w:sz="4" w:space="0"/>
              <w:right w:val="single" w:color="auto" w:sz="4" w:space="0"/>
            </w:tcBorders>
          </w:tcPr>
          <w:p w14:paraId="0571AE6B">
            <w:pPr>
              <w:pStyle w:val="16"/>
              <w:spacing w:line="360" w:lineRule="auto"/>
              <w:jc w:val="center"/>
              <w:rPr>
                <w:rFonts w:hint="eastAsia" w:hAnsi="宋体" w:cs="宋体"/>
                <w:color w:val="auto"/>
                <w:sz w:val="28"/>
                <w:highlight w:val="none"/>
              </w:rPr>
            </w:pPr>
          </w:p>
        </w:tc>
        <w:tc>
          <w:tcPr>
            <w:tcW w:w="899" w:type="dxa"/>
            <w:tcBorders>
              <w:top w:val="single" w:color="auto" w:sz="4" w:space="0"/>
              <w:left w:val="single" w:color="auto" w:sz="4" w:space="0"/>
              <w:bottom w:val="single" w:color="auto" w:sz="4" w:space="0"/>
              <w:right w:val="single" w:color="auto" w:sz="4" w:space="0"/>
            </w:tcBorders>
          </w:tcPr>
          <w:p w14:paraId="3912E75D">
            <w:pPr>
              <w:pStyle w:val="16"/>
              <w:spacing w:line="360" w:lineRule="auto"/>
              <w:jc w:val="center"/>
              <w:rPr>
                <w:rFonts w:hint="eastAsia" w:hAnsi="宋体" w:cs="宋体"/>
                <w:color w:val="auto"/>
                <w:sz w:val="28"/>
                <w:highlight w:val="none"/>
              </w:rPr>
            </w:pPr>
          </w:p>
        </w:tc>
        <w:tc>
          <w:tcPr>
            <w:tcW w:w="1171" w:type="dxa"/>
            <w:tcBorders>
              <w:top w:val="single" w:color="auto" w:sz="4" w:space="0"/>
              <w:left w:val="single" w:color="auto" w:sz="4" w:space="0"/>
              <w:bottom w:val="single" w:color="auto" w:sz="4" w:space="0"/>
              <w:right w:val="single" w:color="auto" w:sz="4" w:space="0"/>
            </w:tcBorders>
          </w:tcPr>
          <w:p w14:paraId="1AB0AD49">
            <w:pPr>
              <w:pStyle w:val="16"/>
              <w:spacing w:line="360" w:lineRule="auto"/>
              <w:jc w:val="center"/>
              <w:rPr>
                <w:rFonts w:hint="eastAsia" w:hAnsi="宋体" w:cs="宋体"/>
                <w:color w:val="auto"/>
                <w:sz w:val="28"/>
                <w:highlight w:val="none"/>
              </w:rPr>
            </w:pPr>
          </w:p>
        </w:tc>
        <w:tc>
          <w:tcPr>
            <w:tcW w:w="2993" w:type="dxa"/>
            <w:tcBorders>
              <w:top w:val="single" w:color="auto" w:sz="4" w:space="0"/>
              <w:left w:val="single" w:color="auto" w:sz="4" w:space="0"/>
              <w:bottom w:val="single" w:color="auto" w:sz="4" w:space="0"/>
              <w:right w:val="single" w:color="auto" w:sz="4" w:space="0"/>
            </w:tcBorders>
          </w:tcPr>
          <w:p w14:paraId="2CD30F9B">
            <w:pPr>
              <w:pStyle w:val="16"/>
              <w:spacing w:line="360" w:lineRule="auto"/>
              <w:jc w:val="center"/>
              <w:rPr>
                <w:rFonts w:hint="eastAsia" w:hAnsi="宋体" w:cs="宋体"/>
                <w:color w:val="auto"/>
                <w:sz w:val="28"/>
                <w:highlight w:val="none"/>
              </w:rPr>
            </w:pPr>
          </w:p>
        </w:tc>
      </w:tr>
    </w:tbl>
    <w:p w14:paraId="6EC1C041">
      <w:pPr>
        <w:rPr>
          <w:color w:val="auto"/>
          <w:highlight w:val="none"/>
        </w:rPr>
      </w:pPr>
    </w:p>
    <w:p w14:paraId="5876B333">
      <w:pPr>
        <w:rPr>
          <w:color w:val="auto"/>
          <w:highlight w:val="none"/>
        </w:rPr>
      </w:pPr>
    </w:p>
    <w:p w14:paraId="4151387A">
      <w:pPr>
        <w:rPr>
          <w:color w:val="auto"/>
          <w:highlight w:val="none"/>
        </w:rPr>
      </w:pPr>
      <w:bookmarkStart w:id="399" w:name="_Toc225748548"/>
      <w:bookmarkStart w:id="400" w:name="_Toc174170219"/>
      <w:bookmarkStart w:id="401" w:name="_Toc170716926"/>
      <w:bookmarkStart w:id="402" w:name="_Toc271209706"/>
      <w:bookmarkStart w:id="403" w:name="_Toc489626001"/>
      <w:bookmarkStart w:id="404" w:name="_Toc463703072"/>
    </w:p>
    <w:p w14:paraId="652DF912">
      <w:pPr>
        <w:rPr>
          <w:color w:val="auto"/>
          <w:highlight w:val="none"/>
        </w:rPr>
      </w:pPr>
    </w:p>
    <w:p w14:paraId="491B15C4">
      <w:pPr>
        <w:pStyle w:val="4"/>
        <w:keepNext/>
        <w:numPr>
          <w:ilvl w:val="0"/>
          <w:numId w:val="0"/>
        </w:numPr>
        <w:tabs>
          <w:tab w:val="left" w:pos="1021"/>
          <w:tab w:val="clear" w:pos="360"/>
          <w:tab w:val="clear" w:pos="900"/>
          <w:tab w:val="clear" w:pos="1588"/>
        </w:tabs>
        <w:spacing w:before="0"/>
        <w:rPr>
          <w:rFonts w:hint="eastAsia" w:ascii="宋体" w:hAnsi="宋体" w:eastAsia="宋体" w:cs="宋体"/>
          <w:bCs/>
          <w:color w:val="auto"/>
          <w:szCs w:val="28"/>
          <w:highlight w:val="none"/>
        </w:rPr>
      </w:pPr>
      <w:bookmarkStart w:id="405" w:name="_Toc3315"/>
      <w:bookmarkStart w:id="406" w:name="_Toc18610"/>
      <w:r>
        <w:rPr>
          <w:rFonts w:hint="eastAsia" w:ascii="宋体" w:hAnsi="宋体" w:eastAsia="宋体" w:cs="宋体"/>
          <w:color w:val="auto"/>
          <w:szCs w:val="28"/>
          <w:highlight w:val="none"/>
        </w:rPr>
        <w:t>格式1</w:t>
      </w:r>
      <w:r>
        <w:rPr>
          <w:rFonts w:hint="eastAsia" w:ascii="宋体" w:hAnsi="宋体" w:eastAsia="宋体" w:cs="宋体"/>
          <w:color w:val="auto"/>
          <w:szCs w:val="28"/>
          <w:highlight w:val="none"/>
          <w:lang w:val="en-US" w:eastAsia="zh-CN"/>
        </w:rPr>
        <w:t>8</w:t>
      </w:r>
      <w:r>
        <w:rPr>
          <w:rFonts w:hint="eastAsia" w:ascii="宋体" w:hAnsi="宋体" w:eastAsia="宋体" w:cs="宋体"/>
          <w:color w:val="auto"/>
          <w:szCs w:val="28"/>
          <w:highlight w:val="none"/>
        </w:rPr>
        <w:t>：业绩</w:t>
      </w:r>
      <w:bookmarkEnd w:id="405"/>
      <w:bookmarkEnd w:id="406"/>
    </w:p>
    <w:p w14:paraId="25042B64">
      <w:pPr>
        <w:jc w:val="center"/>
        <w:rPr>
          <w:color w:val="auto"/>
          <w:highlight w:val="none"/>
        </w:rPr>
      </w:pPr>
      <w:r>
        <w:rPr>
          <w:rFonts w:hint="eastAsia" w:ascii="宋体" w:hAnsi="宋体" w:cs="宋体"/>
          <w:color w:val="auto"/>
          <w:kern w:val="0"/>
          <w:szCs w:val="21"/>
          <w:highlight w:val="none"/>
        </w:rPr>
        <w:t>（请投标人按要求根据自己的实际情况针对本项目自行编制）</w:t>
      </w:r>
    </w:p>
    <w:p w14:paraId="5C65A7DC">
      <w:pPr>
        <w:jc w:val="center"/>
        <w:rPr>
          <w:color w:val="auto"/>
          <w:highlight w:val="none"/>
        </w:rPr>
      </w:pPr>
    </w:p>
    <w:tbl>
      <w:tblPr>
        <w:tblStyle w:val="33"/>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1206"/>
        <w:gridCol w:w="1420"/>
        <w:gridCol w:w="1416"/>
        <w:gridCol w:w="1206"/>
        <w:gridCol w:w="1567"/>
        <w:gridCol w:w="1291"/>
      </w:tblGrid>
      <w:tr w14:paraId="1DA81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1206" w:type="dxa"/>
            <w:tcBorders>
              <w:top w:val="single" w:color="auto" w:sz="4" w:space="0"/>
              <w:left w:val="single" w:color="auto" w:sz="4" w:space="0"/>
              <w:bottom w:val="single" w:color="auto" w:sz="4" w:space="0"/>
              <w:right w:val="single" w:color="auto" w:sz="4" w:space="0"/>
            </w:tcBorders>
            <w:vAlign w:val="center"/>
          </w:tcPr>
          <w:p w14:paraId="6D98DA82">
            <w:pPr>
              <w:pStyle w:val="16"/>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序号</w:t>
            </w:r>
          </w:p>
        </w:tc>
        <w:tc>
          <w:tcPr>
            <w:tcW w:w="1206" w:type="dxa"/>
            <w:tcBorders>
              <w:top w:val="single" w:color="auto" w:sz="4" w:space="0"/>
              <w:left w:val="single" w:color="auto" w:sz="4" w:space="0"/>
              <w:bottom w:val="single" w:color="auto" w:sz="4" w:space="0"/>
              <w:right w:val="single" w:color="auto" w:sz="4" w:space="0"/>
            </w:tcBorders>
            <w:vAlign w:val="center"/>
          </w:tcPr>
          <w:p w14:paraId="59007280">
            <w:pPr>
              <w:pStyle w:val="16"/>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业主名称</w:t>
            </w:r>
          </w:p>
        </w:tc>
        <w:tc>
          <w:tcPr>
            <w:tcW w:w="1420" w:type="dxa"/>
            <w:tcBorders>
              <w:top w:val="single" w:color="auto" w:sz="4" w:space="0"/>
              <w:left w:val="single" w:color="auto" w:sz="4" w:space="0"/>
              <w:bottom w:val="single" w:color="auto" w:sz="4" w:space="0"/>
              <w:right w:val="single" w:color="auto" w:sz="4" w:space="0"/>
            </w:tcBorders>
            <w:vAlign w:val="center"/>
          </w:tcPr>
          <w:p w14:paraId="5B828734">
            <w:pPr>
              <w:pStyle w:val="16"/>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项目及规模</w:t>
            </w:r>
          </w:p>
        </w:tc>
        <w:tc>
          <w:tcPr>
            <w:tcW w:w="1416" w:type="dxa"/>
            <w:tcBorders>
              <w:top w:val="single" w:color="auto" w:sz="4" w:space="0"/>
              <w:left w:val="single" w:color="auto" w:sz="4" w:space="0"/>
              <w:bottom w:val="single" w:color="auto" w:sz="4" w:space="0"/>
              <w:right w:val="single" w:color="auto" w:sz="4" w:space="0"/>
            </w:tcBorders>
            <w:vAlign w:val="center"/>
          </w:tcPr>
          <w:p w14:paraId="60509076">
            <w:pPr>
              <w:pStyle w:val="16"/>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服务范围</w:t>
            </w:r>
          </w:p>
        </w:tc>
        <w:tc>
          <w:tcPr>
            <w:tcW w:w="1206" w:type="dxa"/>
            <w:tcBorders>
              <w:top w:val="single" w:color="auto" w:sz="4" w:space="0"/>
              <w:left w:val="single" w:color="auto" w:sz="4" w:space="0"/>
              <w:bottom w:val="single" w:color="auto" w:sz="4" w:space="0"/>
              <w:right w:val="single" w:color="auto" w:sz="4" w:space="0"/>
            </w:tcBorders>
            <w:vAlign w:val="center"/>
          </w:tcPr>
          <w:p w14:paraId="46B9CFF2">
            <w:pPr>
              <w:pStyle w:val="16"/>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项目期间</w:t>
            </w:r>
          </w:p>
        </w:tc>
        <w:tc>
          <w:tcPr>
            <w:tcW w:w="1567" w:type="dxa"/>
            <w:tcBorders>
              <w:top w:val="single" w:color="auto" w:sz="4" w:space="0"/>
              <w:left w:val="single" w:color="auto" w:sz="4" w:space="0"/>
              <w:bottom w:val="single" w:color="auto" w:sz="4" w:space="0"/>
              <w:right w:val="single" w:color="auto" w:sz="4" w:space="0"/>
            </w:tcBorders>
            <w:vAlign w:val="center"/>
          </w:tcPr>
          <w:p w14:paraId="6A75DD36">
            <w:pPr>
              <w:pStyle w:val="16"/>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合同签订时间</w:t>
            </w:r>
          </w:p>
        </w:tc>
        <w:tc>
          <w:tcPr>
            <w:tcW w:w="1291" w:type="dxa"/>
            <w:tcBorders>
              <w:top w:val="single" w:color="auto" w:sz="4" w:space="0"/>
              <w:left w:val="single" w:color="auto" w:sz="4" w:space="0"/>
              <w:bottom w:val="single" w:color="auto" w:sz="4" w:space="0"/>
              <w:right w:val="single" w:color="auto" w:sz="4" w:space="0"/>
            </w:tcBorders>
            <w:vAlign w:val="center"/>
          </w:tcPr>
          <w:p w14:paraId="7629FF18">
            <w:pPr>
              <w:pStyle w:val="16"/>
              <w:spacing w:line="360" w:lineRule="auto"/>
              <w:jc w:val="center"/>
              <w:rPr>
                <w:rFonts w:hint="eastAsia" w:hAnsi="宋体" w:cs="宋体"/>
                <w:color w:val="auto"/>
                <w:sz w:val="24"/>
                <w:szCs w:val="24"/>
                <w:highlight w:val="none"/>
              </w:rPr>
            </w:pPr>
            <w:r>
              <w:rPr>
                <w:rFonts w:hint="eastAsia" w:hAnsi="宋体" w:cs="宋体"/>
                <w:color w:val="auto"/>
                <w:sz w:val="24"/>
                <w:szCs w:val="24"/>
                <w:highlight w:val="none"/>
              </w:rPr>
              <w:t>主要工作成绩</w:t>
            </w:r>
          </w:p>
        </w:tc>
      </w:tr>
      <w:tr w14:paraId="65760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6" w:type="dxa"/>
            <w:tcBorders>
              <w:top w:val="single" w:color="auto" w:sz="4" w:space="0"/>
              <w:left w:val="single" w:color="auto" w:sz="4" w:space="0"/>
              <w:bottom w:val="single" w:color="auto" w:sz="4" w:space="0"/>
              <w:right w:val="single" w:color="auto" w:sz="4" w:space="0"/>
            </w:tcBorders>
            <w:vAlign w:val="center"/>
          </w:tcPr>
          <w:p w14:paraId="7F7EA55A">
            <w:pPr>
              <w:pStyle w:val="16"/>
              <w:spacing w:line="360" w:lineRule="auto"/>
              <w:ind w:left="630"/>
              <w:jc w:val="center"/>
              <w:rPr>
                <w:rFonts w:hint="eastAsia" w:hAnsi="宋体" w:cs="宋体"/>
                <w:color w:val="auto"/>
                <w:sz w:val="28"/>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67D2E273">
            <w:pPr>
              <w:pStyle w:val="16"/>
              <w:spacing w:line="360" w:lineRule="auto"/>
              <w:ind w:left="630"/>
              <w:jc w:val="center"/>
              <w:rPr>
                <w:rFonts w:hint="eastAsia" w:hAnsi="宋体" w:cs="宋体"/>
                <w:color w:val="auto"/>
                <w:sz w:val="28"/>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16E152E0">
            <w:pPr>
              <w:pStyle w:val="16"/>
              <w:spacing w:line="360" w:lineRule="auto"/>
              <w:ind w:left="630"/>
              <w:jc w:val="center"/>
              <w:rPr>
                <w:rFonts w:hint="eastAsia" w:hAnsi="宋体" w:cs="宋体"/>
                <w:color w:val="auto"/>
                <w:sz w:val="28"/>
                <w:highlight w:val="none"/>
              </w:rPr>
            </w:pPr>
          </w:p>
        </w:tc>
        <w:tc>
          <w:tcPr>
            <w:tcW w:w="1416" w:type="dxa"/>
            <w:tcBorders>
              <w:top w:val="single" w:color="auto" w:sz="4" w:space="0"/>
              <w:left w:val="single" w:color="auto" w:sz="4" w:space="0"/>
              <w:bottom w:val="single" w:color="auto" w:sz="4" w:space="0"/>
              <w:right w:val="single" w:color="auto" w:sz="4" w:space="0"/>
            </w:tcBorders>
            <w:vAlign w:val="center"/>
          </w:tcPr>
          <w:p w14:paraId="225A250E">
            <w:pPr>
              <w:pStyle w:val="16"/>
              <w:spacing w:line="360" w:lineRule="auto"/>
              <w:ind w:left="630"/>
              <w:jc w:val="center"/>
              <w:rPr>
                <w:rFonts w:hint="eastAsia" w:hAnsi="宋体" w:cs="宋体"/>
                <w:color w:val="auto"/>
                <w:sz w:val="28"/>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1A03F0BB">
            <w:pPr>
              <w:pStyle w:val="16"/>
              <w:spacing w:line="360" w:lineRule="auto"/>
              <w:ind w:left="630"/>
              <w:jc w:val="center"/>
              <w:rPr>
                <w:rFonts w:hint="eastAsia" w:hAnsi="宋体" w:cs="宋体"/>
                <w:color w:val="auto"/>
                <w:sz w:val="28"/>
                <w:highlight w:val="none"/>
              </w:rPr>
            </w:pPr>
          </w:p>
        </w:tc>
        <w:tc>
          <w:tcPr>
            <w:tcW w:w="1567" w:type="dxa"/>
            <w:tcBorders>
              <w:top w:val="single" w:color="auto" w:sz="4" w:space="0"/>
              <w:left w:val="single" w:color="auto" w:sz="4" w:space="0"/>
              <w:bottom w:val="single" w:color="auto" w:sz="4" w:space="0"/>
              <w:right w:val="single" w:color="auto" w:sz="4" w:space="0"/>
            </w:tcBorders>
            <w:vAlign w:val="center"/>
          </w:tcPr>
          <w:p w14:paraId="7F8B7601">
            <w:pPr>
              <w:pStyle w:val="16"/>
              <w:spacing w:line="360" w:lineRule="auto"/>
              <w:ind w:left="630"/>
              <w:jc w:val="center"/>
              <w:rPr>
                <w:rFonts w:hint="eastAsia" w:hAnsi="宋体" w:cs="宋体"/>
                <w:color w:val="auto"/>
                <w:sz w:val="28"/>
                <w:highlight w:val="none"/>
              </w:rPr>
            </w:pPr>
          </w:p>
        </w:tc>
        <w:tc>
          <w:tcPr>
            <w:tcW w:w="1291" w:type="dxa"/>
            <w:tcBorders>
              <w:top w:val="single" w:color="auto" w:sz="4" w:space="0"/>
              <w:left w:val="single" w:color="auto" w:sz="4" w:space="0"/>
              <w:bottom w:val="single" w:color="auto" w:sz="4" w:space="0"/>
              <w:right w:val="single" w:color="auto" w:sz="4" w:space="0"/>
            </w:tcBorders>
            <w:vAlign w:val="center"/>
          </w:tcPr>
          <w:p w14:paraId="325CA880">
            <w:pPr>
              <w:pStyle w:val="16"/>
              <w:spacing w:line="360" w:lineRule="auto"/>
              <w:ind w:left="630"/>
              <w:jc w:val="center"/>
              <w:rPr>
                <w:rFonts w:hint="eastAsia" w:hAnsi="宋体" w:cs="宋体"/>
                <w:color w:val="auto"/>
                <w:sz w:val="28"/>
                <w:highlight w:val="none"/>
              </w:rPr>
            </w:pPr>
          </w:p>
        </w:tc>
      </w:tr>
      <w:tr w14:paraId="360BF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6" w:type="dxa"/>
            <w:tcBorders>
              <w:top w:val="single" w:color="auto" w:sz="4" w:space="0"/>
              <w:left w:val="single" w:color="auto" w:sz="4" w:space="0"/>
              <w:bottom w:val="single" w:color="auto" w:sz="4" w:space="0"/>
              <w:right w:val="single" w:color="auto" w:sz="4" w:space="0"/>
            </w:tcBorders>
            <w:vAlign w:val="center"/>
          </w:tcPr>
          <w:p w14:paraId="6585E8B1">
            <w:pPr>
              <w:pStyle w:val="16"/>
              <w:spacing w:line="360" w:lineRule="auto"/>
              <w:ind w:left="630"/>
              <w:jc w:val="center"/>
              <w:rPr>
                <w:rFonts w:hint="eastAsia" w:hAnsi="宋体" w:cs="宋体"/>
                <w:color w:val="auto"/>
                <w:sz w:val="28"/>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125220AA">
            <w:pPr>
              <w:pStyle w:val="16"/>
              <w:spacing w:line="360" w:lineRule="auto"/>
              <w:ind w:left="630"/>
              <w:jc w:val="center"/>
              <w:rPr>
                <w:rFonts w:hint="eastAsia" w:hAnsi="宋体" w:cs="宋体"/>
                <w:color w:val="auto"/>
                <w:sz w:val="28"/>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468B272F">
            <w:pPr>
              <w:pStyle w:val="16"/>
              <w:spacing w:line="360" w:lineRule="auto"/>
              <w:ind w:left="630"/>
              <w:jc w:val="center"/>
              <w:rPr>
                <w:rFonts w:hint="eastAsia" w:hAnsi="宋体" w:cs="宋体"/>
                <w:color w:val="auto"/>
                <w:sz w:val="28"/>
                <w:highlight w:val="none"/>
              </w:rPr>
            </w:pPr>
          </w:p>
        </w:tc>
        <w:tc>
          <w:tcPr>
            <w:tcW w:w="1416" w:type="dxa"/>
            <w:tcBorders>
              <w:top w:val="single" w:color="auto" w:sz="4" w:space="0"/>
              <w:left w:val="single" w:color="auto" w:sz="4" w:space="0"/>
              <w:bottom w:val="single" w:color="auto" w:sz="4" w:space="0"/>
              <w:right w:val="single" w:color="auto" w:sz="4" w:space="0"/>
            </w:tcBorders>
            <w:vAlign w:val="center"/>
          </w:tcPr>
          <w:p w14:paraId="54D78CD6">
            <w:pPr>
              <w:pStyle w:val="16"/>
              <w:spacing w:line="360" w:lineRule="auto"/>
              <w:ind w:left="630"/>
              <w:jc w:val="center"/>
              <w:rPr>
                <w:rFonts w:hint="eastAsia" w:hAnsi="宋体" w:cs="宋体"/>
                <w:color w:val="auto"/>
                <w:sz w:val="28"/>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446A0DFF">
            <w:pPr>
              <w:pStyle w:val="16"/>
              <w:spacing w:line="360" w:lineRule="auto"/>
              <w:ind w:left="630"/>
              <w:jc w:val="center"/>
              <w:rPr>
                <w:rFonts w:hint="eastAsia" w:hAnsi="宋体" w:cs="宋体"/>
                <w:color w:val="auto"/>
                <w:sz w:val="28"/>
                <w:highlight w:val="none"/>
              </w:rPr>
            </w:pPr>
          </w:p>
        </w:tc>
        <w:tc>
          <w:tcPr>
            <w:tcW w:w="1567" w:type="dxa"/>
            <w:tcBorders>
              <w:top w:val="single" w:color="auto" w:sz="4" w:space="0"/>
              <w:left w:val="single" w:color="auto" w:sz="4" w:space="0"/>
              <w:bottom w:val="single" w:color="auto" w:sz="4" w:space="0"/>
              <w:right w:val="single" w:color="auto" w:sz="4" w:space="0"/>
            </w:tcBorders>
            <w:vAlign w:val="center"/>
          </w:tcPr>
          <w:p w14:paraId="0AB47C02">
            <w:pPr>
              <w:pStyle w:val="16"/>
              <w:spacing w:line="360" w:lineRule="auto"/>
              <w:ind w:left="630"/>
              <w:jc w:val="center"/>
              <w:rPr>
                <w:rFonts w:hint="eastAsia" w:hAnsi="宋体" w:cs="宋体"/>
                <w:color w:val="auto"/>
                <w:sz w:val="28"/>
                <w:highlight w:val="none"/>
              </w:rPr>
            </w:pPr>
          </w:p>
        </w:tc>
        <w:tc>
          <w:tcPr>
            <w:tcW w:w="1291" w:type="dxa"/>
            <w:tcBorders>
              <w:top w:val="single" w:color="auto" w:sz="4" w:space="0"/>
              <w:left w:val="single" w:color="auto" w:sz="4" w:space="0"/>
              <w:bottom w:val="single" w:color="auto" w:sz="4" w:space="0"/>
              <w:right w:val="single" w:color="auto" w:sz="4" w:space="0"/>
            </w:tcBorders>
            <w:vAlign w:val="center"/>
          </w:tcPr>
          <w:p w14:paraId="5325B90E">
            <w:pPr>
              <w:pStyle w:val="16"/>
              <w:spacing w:line="360" w:lineRule="auto"/>
              <w:ind w:left="630"/>
              <w:jc w:val="center"/>
              <w:rPr>
                <w:rFonts w:hint="eastAsia" w:hAnsi="宋体" w:cs="宋体"/>
                <w:color w:val="auto"/>
                <w:sz w:val="28"/>
                <w:highlight w:val="none"/>
              </w:rPr>
            </w:pPr>
          </w:p>
        </w:tc>
      </w:tr>
      <w:tr w14:paraId="5CC03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6" w:type="dxa"/>
            <w:tcBorders>
              <w:top w:val="single" w:color="auto" w:sz="4" w:space="0"/>
              <w:left w:val="single" w:color="auto" w:sz="4" w:space="0"/>
              <w:bottom w:val="single" w:color="auto" w:sz="4" w:space="0"/>
              <w:right w:val="single" w:color="auto" w:sz="4" w:space="0"/>
            </w:tcBorders>
            <w:vAlign w:val="center"/>
          </w:tcPr>
          <w:p w14:paraId="2C827A3D">
            <w:pPr>
              <w:pStyle w:val="16"/>
              <w:spacing w:line="360" w:lineRule="auto"/>
              <w:ind w:left="630"/>
              <w:jc w:val="center"/>
              <w:rPr>
                <w:rFonts w:hint="eastAsia" w:hAnsi="宋体" w:cs="宋体"/>
                <w:color w:val="auto"/>
                <w:sz w:val="28"/>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03135CA8">
            <w:pPr>
              <w:pStyle w:val="16"/>
              <w:spacing w:line="360" w:lineRule="auto"/>
              <w:ind w:left="630"/>
              <w:jc w:val="center"/>
              <w:rPr>
                <w:rFonts w:hint="eastAsia" w:hAnsi="宋体" w:cs="宋体"/>
                <w:color w:val="auto"/>
                <w:sz w:val="28"/>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6176D48F">
            <w:pPr>
              <w:pStyle w:val="16"/>
              <w:spacing w:line="360" w:lineRule="auto"/>
              <w:ind w:left="630"/>
              <w:jc w:val="center"/>
              <w:rPr>
                <w:rFonts w:hint="eastAsia" w:hAnsi="宋体" w:cs="宋体"/>
                <w:color w:val="auto"/>
                <w:sz w:val="28"/>
                <w:highlight w:val="none"/>
              </w:rPr>
            </w:pPr>
          </w:p>
        </w:tc>
        <w:tc>
          <w:tcPr>
            <w:tcW w:w="1416" w:type="dxa"/>
            <w:tcBorders>
              <w:top w:val="single" w:color="auto" w:sz="4" w:space="0"/>
              <w:left w:val="single" w:color="auto" w:sz="4" w:space="0"/>
              <w:bottom w:val="single" w:color="auto" w:sz="4" w:space="0"/>
              <w:right w:val="single" w:color="auto" w:sz="4" w:space="0"/>
            </w:tcBorders>
            <w:vAlign w:val="center"/>
          </w:tcPr>
          <w:p w14:paraId="57FADD23">
            <w:pPr>
              <w:pStyle w:val="16"/>
              <w:spacing w:line="360" w:lineRule="auto"/>
              <w:ind w:left="630"/>
              <w:jc w:val="center"/>
              <w:rPr>
                <w:rFonts w:hint="eastAsia" w:hAnsi="宋体" w:cs="宋体"/>
                <w:color w:val="auto"/>
                <w:sz w:val="28"/>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198E1A37">
            <w:pPr>
              <w:pStyle w:val="16"/>
              <w:spacing w:line="360" w:lineRule="auto"/>
              <w:ind w:left="630"/>
              <w:jc w:val="center"/>
              <w:rPr>
                <w:rFonts w:hint="eastAsia" w:hAnsi="宋体" w:cs="宋体"/>
                <w:color w:val="auto"/>
                <w:sz w:val="28"/>
                <w:highlight w:val="none"/>
              </w:rPr>
            </w:pPr>
          </w:p>
        </w:tc>
        <w:tc>
          <w:tcPr>
            <w:tcW w:w="1567" w:type="dxa"/>
            <w:tcBorders>
              <w:top w:val="single" w:color="auto" w:sz="4" w:space="0"/>
              <w:left w:val="single" w:color="auto" w:sz="4" w:space="0"/>
              <w:bottom w:val="single" w:color="auto" w:sz="4" w:space="0"/>
              <w:right w:val="single" w:color="auto" w:sz="4" w:space="0"/>
            </w:tcBorders>
            <w:vAlign w:val="center"/>
          </w:tcPr>
          <w:p w14:paraId="711B6CE7">
            <w:pPr>
              <w:pStyle w:val="16"/>
              <w:spacing w:line="360" w:lineRule="auto"/>
              <w:ind w:left="630"/>
              <w:jc w:val="center"/>
              <w:rPr>
                <w:rFonts w:hint="eastAsia" w:hAnsi="宋体" w:cs="宋体"/>
                <w:color w:val="auto"/>
                <w:sz w:val="28"/>
                <w:highlight w:val="none"/>
              </w:rPr>
            </w:pPr>
          </w:p>
        </w:tc>
        <w:tc>
          <w:tcPr>
            <w:tcW w:w="1291" w:type="dxa"/>
            <w:tcBorders>
              <w:top w:val="single" w:color="auto" w:sz="4" w:space="0"/>
              <w:left w:val="single" w:color="auto" w:sz="4" w:space="0"/>
              <w:bottom w:val="single" w:color="auto" w:sz="4" w:space="0"/>
              <w:right w:val="single" w:color="auto" w:sz="4" w:space="0"/>
            </w:tcBorders>
            <w:vAlign w:val="center"/>
          </w:tcPr>
          <w:p w14:paraId="40528BB2">
            <w:pPr>
              <w:pStyle w:val="16"/>
              <w:spacing w:line="360" w:lineRule="auto"/>
              <w:ind w:left="630"/>
              <w:jc w:val="center"/>
              <w:rPr>
                <w:rFonts w:hint="eastAsia" w:hAnsi="宋体" w:cs="宋体"/>
                <w:color w:val="auto"/>
                <w:sz w:val="28"/>
                <w:highlight w:val="none"/>
              </w:rPr>
            </w:pPr>
          </w:p>
        </w:tc>
      </w:tr>
      <w:tr w14:paraId="79E5E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6" w:type="dxa"/>
            <w:tcBorders>
              <w:top w:val="single" w:color="auto" w:sz="4" w:space="0"/>
              <w:left w:val="single" w:color="auto" w:sz="4" w:space="0"/>
              <w:bottom w:val="single" w:color="auto" w:sz="4" w:space="0"/>
              <w:right w:val="single" w:color="auto" w:sz="4" w:space="0"/>
            </w:tcBorders>
            <w:vAlign w:val="center"/>
          </w:tcPr>
          <w:p w14:paraId="4641EC6E">
            <w:pPr>
              <w:pStyle w:val="16"/>
              <w:spacing w:line="360" w:lineRule="auto"/>
              <w:ind w:left="630"/>
              <w:jc w:val="center"/>
              <w:rPr>
                <w:rFonts w:hint="eastAsia" w:hAnsi="宋体" w:cs="宋体"/>
                <w:color w:val="auto"/>
                <w:sz w:val="28"/>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6C7DF42C">
            <w:pPr>
              <w:pStyle w:val="16"/>
              <w:spacing w:line="360" w:lineRule="auto"/>
              <w:ind w:left="630"/>
              <w:jc w:val="center"/>
              <w:rPr>
                <w:rFonts w:hint="eastAsia" w:hAnsi="宋体" w:cs="宋体"/>
                <w:color w:val="auto"/>
                <w:sz w:val="28"/>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53D46F5F">
            <w:pPr>
              <w:pStyle w:val="16"/>
              <w:spacing w:line="360" w:lineRule="auto"/>
              <w:ind w:left="630"/>
              <w:jc w:val="center"/>
              <w:rPr>
                <w:rFonts w:hint="eastAsia" w:hAnsi="宋体" w:cs="宋体"/>
                <w:color w:val="auto"/>
                <w:sz w:val="28"/>
                <w:highlight w:val="none"/>
              </w:rPr>
            </w:pPr>
          </w:p>
        </w:tc>
        <w:tc>
          <w:tcPr>
            <w:tcW w:w="1416" w:type="dxa"/>
            <w:tcBorders>
              <w:top w:val="single" w:color="auto" w:sz="4" w:space="0"/>
              <w:left w:val="single" w:color="auto" w:sz="4" w:space="0"/>
              <w:bottom w:val="single" w:color="auto" w:sz="4" w:space="0"/>
              <w:right w:val="single" w:color="auto" w:sz="4" w:space="0"/>
            </w:tcBorders>
            <w:vAlign w:val="center"/>
          </w:tcPr>
          <w:p w14:paraId="14D60A7D">
            <w:pPr>
              <w:pStyle w:val="16"/>
              <w:spacing w:line="360" w:lineRule="auto"/>
              <w:ind w:left="630"/>
              <w:jc w:val="center"/>
              <w:rPr>
                <w:rFonts w:hint="eastAsia" w:hAnsi="宋体" w:cs="宋体"/>
                <w:color w:val="auto"/>
                <w:sz w:val="28"/>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66141051">
            <w:pPr>
              <w:pStyle w:val="16"/>
              <w:spacing w:line="360" w:lineRule="auto"/>
              <w:ind w:left="630"/>
              <w:jc w:val="center"/>
              <w:rPr>
                <w:rFonts w:hint="eastAsia" w:hAnsi="宋体" w:cs="宋体"/>
                <w:color w:val="auto"/>
                <w:sz w:val="28"/>
                <w:highlight w:val="none"/>
              </w:rPr>
            </w:pPr>
          </w:p>
        </w:tc>
        <w:tc>
          <w:tcPr>
            <w:tcW w:w="1567" w:type="dxa"/>
            <w:tcBorders>
              <w:top w:val="single" w:color="auto" w:sz="4" w:space="0"/>
              <w:left w:val="single" w:color="auto" w:sz="4" w:space="0"/>
              <w:bottom w:val="single" w:color="auto" w:sz="4" w:space="0"/>
              <w:right w:val="single" w:color="auto" w:sz="4" w:space="0"/>
            </w:tcBorders>
            <w:vAlign w:val="center"/>
          </w:tcPr>
          <w:p w14:paraId="16BC7B76">
            <w:pPr>
              <w:pStyle w:val="16"/>
              <w:spacing w:line="360" w:lineRule="auto"/>
              <w:ind w:left="630"/>
              <w:jc w:val="center"/>
              <w:rPr>
                <w:rFonts w:hint="eastAsia" w:hAnsi="宋体" w:cs="宋体"/>
                <w:color w:val="auto"/>
                <w:sz w:val="28"/>
                <w:highlight w:val="none"/>
              </w:rPr>
            </w:pPr>
          </w:p>
        </w:tc>
        <w:tc>
          <w:tcPr>
            <w:tcW w:w="1291" w:type="dxa"/>
            <w:tcBorders>
              <w:top w:val="single" w:color="auto" w:sz="4" w:space="0"/>
              <w:left w:val="single" w:color="auto" w:sz="4" w:space="0"/>
              <w:bottom w:val="single" w:color="auto" w:sz="4" w:space="0"/>
              <w:right w:val="single" w:color="auto" w:sz="4" w:space="0"/>
            </w:tcBorders>
            <w:vAlign w:val="center"/>
          </w:tcPr>
          <w:p w14:paraId="779A8227">
            <w:pPr>
              <w:pStyle w:val="16"/>
              <w:spacing w:line="360" w:lineRule="auto"/>
              <w:ind w:left="630"/>
              <w:jc w:val="center"/>
              <w:rPr>
                <w:rFonts w:hint="eastAsia" w:hAnsi="宋体" w:cs="宋体"/>
                <w:color w:val="auto"/>
                <w:sz w:val="28"/>
                <w:highlight w:val="none"/>
              </w:rPr>
            </w:pPr>
          </w:p>
        </w:tc>
      </w:tr>
      <w:tr w14:paraId="574E1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6" w:type="dxa"/>
            <w:tcBorders>
              <w:top w:val="single" w:color="auto" w:sz="4" w:space="0"/>
              <w:left w:val="single" w:color="auto" w:sz="4" w:space="0"/>
              <w:bottom w:val="single" w:color="auto" w:sz="4" w:space="0"/>
              <w:right w:val="single" w:color="auto" w:sz="4" w:space="0"/>
            </w:tcBorders>
            <w:vAlign w:val="center"/>
          </w:tcPr>
          <w:p w14:paraId="218BB046">
            <w:pPr>
              <w:pStyle w:val="16"/>
              <w:spacing w:line="360" w:lineRule="auto"/>
              <w:ind w:left="630"/>
              <w:jc w:val="center"/>
              <w:rPr>
                <w:rFonts w:hint="eastAsia" w:hAnsi="宋体" w:cs="宋体"/>
                <w:color w:val="auto"/>
                <w:sz w:val="28"/>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75F3F82A">
            <w:pPr>
              <w:pStyle w:val="16"/>
              <w:spacing w:line="360" w:lineRule="auto"/>
              <w:ind w:left="630"/>
              <w:jc w:val="center"/>
              <w:rPr>
                <w:rFonts w:hint="eastAsia" w:hAnsi="宋体" w:cs="宋体"/>
                <w:color w:val="auto"/>
                <w:sz w:val="28"/>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040CD3DF">
            <w:pPr>
              <w:pStyle w:val="16"/>
              <w:spacing w:line="360" w:lineRule="auto"/>
              <w:ind w:left="630"/>
              <w:jc w:val="center"/>
              <w:rPr>
                <w:rFonts w:hint="eastAsia" w:hAnsi="宋体" w:cs="宋体"/>
                <w:color w:val="auto"/>
                <w:sz w:val="28"/>
                <w:highlight w:val="none"/>
              </w:rPr>
            </w:pPr>
          </w:p>
        </w:tc>
        <w:tc>
          <w:tcPr>
            <w:tcW w:w="1416" w:type="dxa"/>
            <w:tcBorders>
              <w:top w:val="single" w:color="auto" w:sz="4" w:space="0"/>
              <w:left w:val="single" w:color="auto" w:sz="4" w:space="0"/>
              <w:bottom w:val="single" w:color="auto" w:sz="4" w:space="0"/>
              <w:right w:val="single" w:color="auto" w:sz="4" w:space="0"/>
            </w:tcBorders>
            <w:vAlign w:val="center"/>
          </w:tcPr>
          <w:p w14:paraId="67A1E2F6">
            <w:pPr>
              <w:pStyle w:val="16"/>
              <w:spacing w:line="360" w:lineRule="auto"/>
              <w:ind w:left="630"/>
              <w:jc w:val="center"/>
              <w:rPr>
                <w:rFonts w:hint="eastAsia" w:hAnsi="宋体" w:cs="宋体"/>
                <w:color w:val="auto"/>
                <w:sz w:val="28"/>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00FC0FCA">
            <w:pPr>
              <w:pStyle w:val="16"/>
              <w:spacing w:line="360" w:lineRule="auto"/>
              <w:ind w:left="630"/>
              <w:jc w:val="center"/>
              <w:rPr>
                <w:rFonts w:hint="eastAsia" w:hAnsi="宋体" w:cs="宋体"/>
                <w:color w:val="auto"/>
                <w:sz w:val="28"/>
                <w:highlight w:val="none"/>
              </w:rPr>
            </w:pPr>
          </w:p>
        </w:tc>
        <w:tc>
          <w:tcPr>
            <w:tcW w:w="1567" w:type="dxa"/>
            <w:tcBorders>
              <w:top w:val="single" w:color="auto" w:sz="4" w:space="0"/>
              <w:left w:val="single" w:color="auto" w:sz="4" w:space="0"/>
              <w:bottom w:val="single" w:color="auto" w:sz="4" w:space="0"/>
              <w:right w:val="single" w:color="auto" w:sz="4" w:space="0"/>
            </w:tcBorders>
            <w:vAlign w:val="center"/>
          </w:tcPr>
          <w:p w14:paraId="0E0BCD41">
            <w:pPr>
              <w:pStyle w:val="16"/>
              <w:spacing w:line="360" w:lineRule="auto"/>
              <w:ind w:left="630"/>
              <w:jc w:val="center"/>
              <w:rPr>
                <w:rFonts w:hint="eastAsia" w:hAnsi="宋体" w:cs="宋体"/>
                <w:color w:val="auto"/>
                <w:sz w:val="28"/>
                <w:highlight w:val="none"/>
              </w:rPr>
            </w:pPr>
          </w:p>
        </w:tc>
        <w:tc>
          <w:tcPr>
            <w:tcW w:w="1291" w:type="dxa"/>
            <w:tcBorders>
              <w:top w:val="single" w:color="auto" w:sz="4" w:space="0"/>
              <w:left w:val="single" w:color="auto" w:sz="4" w:space="0"/>
              <w:bottom w:val="single" w:color="auto" w:sz="4" w:space="0"/>
              <w:right w:val="single" w:color="auto" w:sz="4" w:space="0"/>
            </w:tcBorders>
            <w:vAlign w:val="center"/>
          </w:tcPr>
          <w:p w14:paraId="7E5AD870">
            <w:pPr>
              <w:pStyle w:val="16"/>
              <w:spacing w:line="360" w:lineRule="auto"/>
              <w:ind w:left="630"/>
              <w:jc w:val="center"/>
              <w:rPr>
                <w:rFonts w:hint="eastAsia" w:hAnsi="宋体" w:cs="宋体"/>
                <w:color w:val="auto"/>
                <w:sz w:val="28"/>
                <w:highlight w:val="none"/>
              </w:rPr>
            </w:pPr>
          </w:p>
        </w:tc>
      </w:tr>
      <w:tr w14:paraId="69CF2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6" w:type="dxa"/>
            <w:tcBorders>
              <w:top w:val="single" w:color="auto" w:sz="4" w:space="0"/>
              <w:left w:val="single" w:color="auto" w:sz="4" w:space="0"/>
              <w:bottom w:val="single" w:color="auto" w:sz="4" w:space="0"/>
              <w:right w:val="single" w:color="auto" w:sz="4" w:space="0"/>
            </w:tcBorders>
            <w:vAlign w:val="center"/>
          </w:tcPr>
          <w:p w14:paraId="6EF56F78">
            <w:pPr>
              <w:pStyle w:val="16"/>
              <w:spacing w:line="360" w:lineRule="auto"/>
              <w:ind w:left="630"/>
              <w:jc w:val="center"/>
              <w:rPr>
                <w:rFonts w:hint="eastAsia" w:hAnsi="宋体" w:cs="宋体"/>
                <w:color w:val="auto"/>
                <w:sz w:val="28"/>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6B8AF232">
            <w:pPr>
              <w:pStyle w:val="16"/>
              <w:spacing w:line="360" w:lineRule="auto"/>
              <w:ind w:left="630"/>
              <w:jc w:val="center"/>
              <w:rPr>
                <w:rFonts w:hint="eastAsia" w:hAnsi="宋体" w:cs="宋体"/>
                <w:color w:val="auto"/>
                <w:sz w:val="28"/>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0BCA55FC">
            <w:pPr>
              <w:pStyle w:val="16"/>
              <w:spacing w:line="360" w:lineRule="auto"/>
              <w:ind w:left="630"/>
              <w:jc w:val="center"/>
              <w:rPr>
                <w:rFonts w:hint="eastAsia" w:hAnsi="宋体" w:cs="宋体"/>
                <w:color w:val="auto"/>
                <w:sz w:val="28"/>
                <w:highlight w:val="none"/>
              </w:rPr>
            </w:pPr>
          </w:p>
        </w:tc>
        <w:tc>
          <w:tcPr>
            <w:tcW w:w="1416" w:type="dxa"/>
            <w:tcBorders>
              <w:top w:val="single" w:color="auto" w:sz="4" w:space="0"/>
              <w:left w:val="single" w:color="auto" w:sz="4" w:space="0"/>
              <w:bottom w:val="single" w:color="auto" w:sz="4" w:space="0"/>
              <w:right w:val="single" w:color="auto" w:sz="4" w:space="0"/>
            </w:tcBorders>
            <w:vAlign w:val="center"/>
          </w:tcPr>
          <w:p w14:paraId="55FDF123">
            <w:pPr>
              <w:pStyle w:val="16"/>
              <w:spacing w:line="360" w:lineRule="auto"/>
              <w:ind w:left="630"/>
              <w:jc w:val="center"/>
              <w:rPr>
                <w:rFonts w:hint="eastAsia" w:hAnsi="宋体" w:cs="宋体"/>
                <w:color w:val="auto"/>
                <w:sz w:val="28"/>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5D0E0CF1">
            <w:pPr>
              <w:pStyle w:val="16"/>
              <w:spacing w:line="360" w:lineRule="auto"/>
              <w:ind w:left="630"/>
              <w:jc w:val="center"/>
              <w:rPr>
                <w:rFonts w:hint="eastAsia" w:hAnsi="宋体" w:cs="宋体"/>
                <w:color w:val="auto"/>
                <w:sz w:val="28"/>
                <w:highlight w:val="none"/>
              </w:rPr>
            </w:pPr>
          </w:p>
        </w:tc>
        <w:tc>
          <w:tcPr>
            <w:tcW w:w="1567" w:type="dxa"/>
            <w:tcBorders>
              <w:top w:val="single" w:color="auto" w:sz="4" w:space="0"/>
              <w:left w:val="single" w:color="auto" w:sz="4" w:space="0"/>
              <w:bottom w:val="single" w:color="auto" w:sz="4" w:space="0"/>
              <w:right w:val="single" w:color="auto" w:sz="4" w:space="0"/>
            </w:tcBorders>
            <w:vAlign w:val="center"/>
          </w:tcPr>
          <w:p w14:paraId="39DC1AB8">
            <w:pPr>
              <w:pStyle w:val="16"/>
              <w:spacing w:line="360" w:lineRule="auto"/>
              <w:ind w:left="630"/>
              <w:jc w:val="center"/>
              <w:rPr>
                <w:rFonts w:hint="eastAsia" w:hAnsi="宋体" w:cs="宋体"/>
                <w:color w:val="auto"/>
                <w:sz w:val="28"/>
                <w:highlight w:val="none"/>
              </w:rPr>
            </w:pPr>
          </w:p>
        </w:tc>
        <w:tc>
          <w:tcPr>
            <w:tcW w:w="1291" w:type="dxa"/>
            <w:tcBorders>
              <w:top w:val="single" w:color="auto" w:sz="4" w:space="0"/>
              <w:left w:val="single" w:color="auto" w:sz="4" w:space="0"/>
              <w:bottom w:val="single" w:color="auto" w:sz="4" w:space="0"/>
              <w:right w:val="single" w:color="auto" w:sz="4" w:space="0"/>
            </w:tcBorders>
            <w:vAlign w:val="center"/>
          </w:tcPr>
          <w:p w14:paraId="4D3E1390">
            <w:pPr>
              <w:pStyle w:val="16"/>
              <w:spacing w:line="360" w:lineRule="auto"/>
              <w:ind w:left="630"/>
              <w:jc w:val="center"/>
              <w:rPr>
                <w:rFonts w:hint="eastAsia" w:hAnsi="宋体" w:cs="宋体"/>
                <w:color w:val="auto"/>
                <w:sz w:val="28"/>
                <w:highlight w:val="none"/>
              </w:rPr>
            </w:pPr>
          </w:p>
        </w:tc>
      </w:tr>
      <w:tr w14:paraId="1AE43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6" w:type="dxa"/>
            <w:tcBorders>
              <w:top w:val="single" w:color="auto" w:sz="4" w:space="0"/>
              <w:left w:val="single" w:color="auto" w:sz="4" w:space="0"/>
              <w:bottom w:val="single" w:color="auto" w:sz="4" w:space="0"/>
              <w:right w:val="single" w:color="auto" w:sz="4" w:space="0"/>
            </w:tcBorders>
            <w:vAlign w:val="center"/>
          </w:tcPr>
          <w:p w14:paraId="682671C7">
            <w:pPr>
              <w:pStyle w:val="16"/>
              <w:spacing w:line="360" w:lineRule="auto"/>
              <w:ind w:left="630"/>
              <w:jc w:val="center"/>
              <w:rPr>
                <w:rFonts w:hint="eastAsia" w:hAnsi="宋体" w:cs="宋体"/>
                <w:color w:val="auto"/>
                <w:sz w:val="28"/>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5549F88B">
            <w:pPr>
              <w:pStyle w:val="16"/>
              <w:spacing w:line="360" w:lineRule="auto"/>
              <w:ind w:left="630"/>
              <w:jc w:val="center"/>
              <w:rPr>
                <w:rFonts w:hint="eastAsia" w:hAnsi="宋体" w:cs="宋体"/>
                <w:color w:val="auto"/>
                <w:sz w:val="28"/>
                <w:highlight w:val="none"/>
              </w:rPr>
            </w:pPr>
          </w:p>
        </w:tc>
        <w:tc>
          <w:tcPr>
            <w:tcW w:w="1420" w:type="dxa"/>
            <w:tcBorders>
              <w:top w:val="single" w:color="auto" w:sz="4" w:space="0"/>
              <w:left w:val="single" w:color="auto" w:sz="4" w:space="0"/>
              <w:bottom w:val="single" w:color="auto" w:sz="4" w:space="0"/>
              <w:right w:val="single" w:color="auto" w:sz="4" w:space="0"/>
            </w:tcBorders>
            <w:vAlign w:val="center"/>
          </w:tcPr>
          <w:p w14:paraId="0FCCD2A0">
            <w:pPr>
              <w:pStyle w:val="16"/>
              <w:spacing w:line="360" w:lineRule="auto"/>
              <w:ind w:left="630"/>
              <w:jc w:val="center"/>
              <w:rPr>
                <w:rFonts w:hint="eastAsia" w:hAnsi="宋体" w:cs="宋体"/>
                <w:color w:val="auto"/>
                <w:sz w:val="28"/>
                <w:highlight w:val="none"/>
              </w:rPr>
            </w:pPr>
          </w:p>
        </w:tc>
        <w:tc>
          <w:tcPr>
            <w:tcW w:w="1416" w:type="dxa"/>
            <w:tcBorders>
              <w:top w:val="single" w:color="auto" w:sz="4" w:space="0"/>
              <w:left w:val="single" w:color="auto" w:sz="4" w:space="0"/>
              <w:bottom w:val="single" w:color="auto" w:sz="4" w:space="0"/>
              <w:right w:val="single" w:color="auto" w:sz="4" w:space="0"/>
            </w:tcBorders>
            <w:vAlign w:val="center"/>
          </w:tcPr>
          <w:p w14:paraId="759D8F7C">
            <w:pPr>
              <w:pStyle w:val="16"/>
              <w:spacing w:line="360" w:lineRule="auto"/>
              <w:ind w:left="630"/>
              <w:jc w:val="center"/>
              <w:rPr>
                <w:rFonts w:hint="eastAsia" w:hAnsi="宋体" w:cs="宋体"/>
                <w:color w:val="auto"/>
                <w:sz w:val="28"/>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5346B327">
            <w:pPr>
              <w:pStyle w:val="16"/>
              <w:spacing w:line="360" w:lineRule="auto"/>
              <w:ind w:left="630"/>
              <w:jc w:val="center"/>
              <w:rPr>
                <w:rFonts w:hint="eastAsia" w:hAnsi="宋体" w:cs="宋体"/>
                <w:color w:val="auto"/>
                <w:sz w:val="28"/>
                <w:highlight w:val="none"/>
              </w:rPr>
            </w:pPr>
          </w:p>
        </w:tc>
        <w:tc>
          <w:tcPr>
            <w:tcW w:w="1567" w:type="dxa"/>
            <w:tcBorders>
              <w:top w:val="single" w:color="auto" w:sz="4" w:space="0"/>
              <w:left w:val="single" w:color="auto" w:sz="4" w:space="0"/>
              <w:bottom w:val="single" w:color="auto" w:sz="4" w:space="0"/>
              <w:right w:val="single" w:color="auto" w:sz="4" w:space="0"/>
            </w:tcBorders>
            <w:vAlign w:val="center"/>
          </w:tcPr>
          <w:p w14:paraId="1C44A68D">
            <w:pPr>
              <w:pStyle w:val="16"/>
              <w:spacing w:line="360" w:lineRule="auto"/>
              <w:ind w:left="630"/>
              <w:jc w:val="center"/>
              <w:rPr>
                <w:rFonts w:hint="eastAsia" w:hAnsi="宋体" w:cs="宋体"/>
                <w:color w:val="auto"/>
                <w:sz w:val="28"/>
                <w:highlight w:val="none"/>
              </w:rPr>
            </w:pPr>
          </w:p>
        </w:tc>
        <w:tc>
          <w:tcPr>
            <w:tcW w:w="1291" w:type="dxa"/>
            <w:tcBorders>
              <w:top w:val="single" w:color="auto" w:sz="4" w:space="0"/>
              <w:left w:val="single" w:color="auto" w:sz="4" w:space="0"/>
              <w:bottom w:val="single" w:color="auto" w:sz="4" w:space="0"/>
              <w:right w:val="single" w:color="auto" w:sz="4" w:space="0"/>
            </w:tcBorders>
            <w:vAlign w:val="center"/>
          </w:tcPr>
          <w:p w14:paraId="32DDB129">
            <w:pPr>
              <w:pStyle w:val="16"/>
              <w:spacing w:line="360" w:lineRule="auto"/>
              <w:ind w:left="630"/>
              <w:jc w:val="center"/>
              <w:rPr>
                <w:rFonts w:hint="eastAsia" w:hAnsi="宋体" w:cs="宋体"/>
                <w:color w:val="auto"/>
                <w:sz w:val="28"/>
                <w:highlight w:val="none"/>
              </w:rPr>
            </w:pPr>
          </w:p>
        </w:tc>
      </w:tr>
      <w:bookmarkEnd w:id="399"/>
      <w:bookmarkEnd w:id="400"/>
      <w:bookmarkEnd w:id="401"/>
      <w:bookmarkEnd w:id="402"/>
      <w:bookmarkEnd w:id="403"/>
      <w:bookmarkEnd w:id="404"/>
    </w:tbl>
    <w:p w14:paraId="05BD7407">
      <w:pPr>
        <w:rPr>
          <w:color w:val="auto"/>
          <w:highlight w:val="none"/>
        </w:rPr>
      </w:pPr>
      <w:bookmarkStart w:id="407" w:name="_Toc670"/>
    </w:p>
    <w:p w14:paraId="0DAECD85">
      <w:pPr>
        <w:rPr>
          <w:color w:val="auto"/>
          <w:highlight w:val="none"/>
        </w:rPr>
      </w:pPr>
    </w:p>
    <w:p w14:paraId="421440E7">
      <w:pPr>
        <w:pStyle w:val="4"/>
        <w:keepNext/>
        <w:numPr>
          <w:ilvl w:val="0"/>
          <w:numId w:val="0"/>
        </w:numPr>
        <w:tabs>
          <w:tab w:val="left" w:pos="1021"/>
          <w:tab w:val="clear" w:pos="360"/>
          <w:tab w:val="clear" w:pos="900"/>
          <w:tab w:val="clear" w:pos="1588"/>
        </w:tabs>
        <w:spacing w:before="0"/>
        <w:rPr>
          <w:rFonts w:hint="eastAsia" w:ascii="宋体" w:hAnsi="宋体"/>
          <w:color w:val="auto"/>
          <w:szCs w:val="28"/>
          <w:highlight w:val="none"/>
        </w:rPr>
      </w:pPr>
      <w:bookmarkStart w:id="408" w:name="_Toc12492"/>
      <w:bookmarkStart w:id="409" w:name="_Toc16598"/>
      <w:r>
        <w:rPr>
          <w:rFonts w:hint="eastAsia" w:ascii="宋体" w:hAnsi="宋体" w:eastAsia="宋体" w:cs="宋体"/>
          <w:bCs/>
          <w:color w:val="auto"/>
          <w:szCs w:val="28"/>
          <w:highlight w:val="none"/>
        </w:rPr>
        <w:t>格式</w:t>
      </w:r>
      <w:r>
        <w:rPr>
          <w:rFonts w:hint="eastAsia" w:ascii="宋体" w:hAnsi="宋体" w:eastAsia="宋体" w:cs="宋体"/>
          <w:bCs/>
          <w:color w:val="auto"/>
          <w:szCs w:val="28"/>
          <w:highlight w:val="none"/>
          <w:lang w:val="en-US" w:eastAsia="zh-CN"/>
        </w:rPr>
        <w:t>19</w:t>
      </w:r>
      <w:r>
        <w:rPr>
          <w:rFonts w:hint="eastAsia" w:ascii="宋体" w:hAnsi="宋体" w:eastAsia="宋体" w:cs="宋体"/>
          <w:bCs/>
          <w:color w:val="auto"/>
          <w:szCs w:val="28"/>
          <w:highlight w:val="none"/>
        </w:rPr>
        <w:t>：其他（如有）</w:t>
      </w:r>
      <w:r>
        <w:rPr>
          <w:rFonts w:hint="eastAsia" w:ascii="宋体" w:hAnsi="宋体"/>
          <w:color w:val="auto"/>
          <w:szCs w:val="28"/>
          <w:highlight w:val="none"/>
        </w:rPr>
        <w:br w:type="page"/>
      </w:r>
      <w:bookmarkEnd w:id="408"/>
      <w:bookmarkEnd w:id="409"/>
    </w:p>
    <w:p w14:paraId="2197141D">
      <w:pPr>
        <w:pStyle w:val="3"/>
        <w:numPr>
          <w:ilvl w:val="0"/>
          <w:numId w:val="0"/>
        </w:numPr>
        <w:spacing w:before="0"/>
        <w:ind w:firstLine="3612" w:firstLineChars="1290"/>
        <w:rPr>
          <w:color w:val="auto"/>
          <w:highlight w:val="none"/>
        </w:rPr>
      </w:pPr>
      <w:bookmarkStart w:id="410" w:name="_Toc17485"/>
      <w:bookmarkStart w:id="411" w:name="_Toc23527"/>
      <w:bookmarkStart w:id="412" w:name="_Toc15186"/>
      <w:bookmarkStart w:id="413" w:name="_Toc7829"/>
      <w:r>
        <w:rPr>
          <w:rFonts w:hint="eastAsia" w:ascii="宋体" w:hAnsi="宋体" w:eastAsia="宋体"/>
          <w:color w:val="auto"/>
          <w:szCs w:val="28"/>
          <w:highlight w:val="none"/>
        </w:rPr>
        <w:t>四、报价响应文件</w:t>
      </w:r>
      <w:bookmarkEnd w:id="407"/>
      <w:bookmarkEnd w:id="410"/>
      <w:bookmarkEnd w:id="411"/>
      <w:bookmarkEnd w:id="412"/>
      <w:bookmarkEnd w:id="413"/>
    </w:p>
    <w:p w14:paraId="2F4A7186">
      <w:pPr>
        <w:pStyle w:val="4"/>
        <w:keepNext/>
        <w:numPr>
          <w:ilvl w:val="0"/>
          <w:numId w:val="0"/>
        </w:numPr>
        <w:tabs>
          <w:tab w:val="left" w:pos="1021"/>
          <w:tab w:val="clear" w:pos="360"/>
          <w:tab w:val="clear" w:pos="900"/>
          <w:tab w:val="clear" w:pos="1588"/>
        </w:tabs>
        <w:spacing w:before="0"/>
        <w:rPr>
          <w:rFonts w:hint="eastAsia" w:ascii="宋体" w:hAnsi="宋体" w:eastAsia="宋体" w:cs="宋体"/>
          <w:color w:val="auto"/>
          <w:szCs w:val="28"/>
          <w:highlight w:val="none"/>
        </w:rPr>
      </w:pPr>
      <w:bookmarkStart w:id="414" w:name="_Toc15048"/>
      <w:bookmarkStart w:id="415" w:name="_Toc10433"/>
      <w:bookmarkStart w:id="416" w:name="_Toc19978"/>
      <w:bookmarkStart w:id="417" w:name="_Toc22250"/>
      <w:bookmarkStart w:id="418" w:name="_Toc3856"/>
      <w:bookmarkStart w:id="419" w:name="_Toc26645"/>
      <w:bookmarkStart w:id="420" w:name="_Toc15835"/>
      <w:r>
        <w:rPr>
          <w:rFonts w:hint="eastAsia" w:ascii="宋体" w:hAnsi="宋体" w:eastAsia="宋体" w:cs="宋体"/>
          <w:color w:val="auto"/>
          <w:szCs w:val="28"/>
          <w:highlight w:val="none"/>
        </w:rPr>
        <w:t>格式21：开标一览表</w:t>
      </w:r>
      <w:bookmarkEnd w:id="414"/>
      <w:bookmarkEnd w:id="415"/>
      <w:bookmarkEnd w:id="416"/>
      <w:bookmarkEnd w:id="417"/>
      <w:bookmarkEnd w:id="418"/>
      <w:bookmarkEnd w:id="419"/>
      <w:bookmarkEnd w:id="420"/>
    </w:p>
    <w:p w14:paraId="3FB32F65">
      <w:pPr>
        <w:rPr>
          <w:color w:val="auto"/>
          <w:highlight w:val="none"/>
        </w:rPr>
      </w:pPr>
    </w:p>
    <w:p w14:paraId="79ADE45F">
      <w:pPr>
        <w:spacing w:line="360" w:lineRule="auto"/>
        <w:jc w:val="center"/>
        <w:rPr>
          <w:rFonts w:hint="eastAsia" w:ascii="宋体" w:hAnsi="宋体"/>
          <w:b/>
          <w:bCs/>
          <w:color w:val="auto"/>
          <w:sz w:val="32"/>
          <w:szCs w:val="32"/>
          <w:highlight w:val="none"/>
        </w:rPr>
      </w:pPr>
      <w:r>
        <w:rPr>
          <w:rFonts w:hint="eastAsia" w:ascii="宋体" w:hAnsi="宋体" w:cs="宋体"/>
          <w:b/>
          <w:bCs/>
          <w:color w:val="auto"/>
          <w:sz w:val="32"/>
          <w:szCs w:val="32"/>
          <w:highlight w:val="none"/>
        </w:rPr>
        <w:t>开 标 一 览 表</w:t>
      </w:r>
    </w:p>
    <w:p w14:paraId="42F4BF8C">
      <w:pPr>
        <w:spacing w:line="360" w:lineRule="auto"/>
        <w:rPr>
          <w:rFonts w:hint="eastAsia" w:ascii="宋体" w:hAnsi="宋体"/>
          <w:color w:val="auto"/>
          <w:sz w:val="24"/>
          <w:highlight w:val="none"/>
        </w:rPr>
      </w:pPr>
    </w:p>
    <w:p w14:paraId="13FA8723">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项目名称：                    招标编号：</w:t>
      </w:r>
    </w:p>
    <w:tbl>
      <w:tblPr>
        <w:tblStyle w:val="33"/>
        <w:tblW w:w="91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1"/>
        <w:gridCol w:w="2160"/>
        <w:gridCol w:w="1620"/>
        <w:gridCol w:w="1430"/>
      </w:tblGrid>
      <w:tr w14:paraId="055C1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0" w:hRule="atLeast"/>
          <w:jc w:val="center"/>
        </w:trPr>
        <w:tc>
          <w:tcPr>
            <w:tcW w:w="3891" w:type="dxa"/>
            <w:vAlign w:val="center"/>
          </w:tcPr>
          <w:p w14:paraId="41DD98DD">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投标总价（元/年）</w:t>
            </w:r>
          </w:p>
        </w:tc>
        <w:tc>
          <w:tcPr>
            <w:tcW w:w="2160" w:type="dxa"/>
            <w:vAlign w:val="center"/>
          </w:tcPr>
          <w:p w14:paraId="00910697">
            <w:pPr>
              <w:spacing w:line="360" w:lineRule="auto"/>
              <w:ind w:firstLine="2" w:firstLineChars="1"/>
              <w:jc w:val="center"/>
              <w:rPr>
                <w:rFonts w:hint="eastAsia" w:ascii="宋体" w:hAnsi="宋体" w:cs="宋体"/>
                <w:color w:val="auto"/>
                <w:szCs w:val="21"/>
                <w:highlight w:val="none"/>
              </w:rPr>
            </w:pPr>
            <w:r>
              <w:rPr>
                <w:rFonts w:hint="eastAsia" w:ascii="宋体" w:hAnsi="宋体" w:cs="宋体"/>
                <w:color w:val="auto"/>
                <w:szCs w:val="21"/>
                <w:highlight w:val="none"/>
              </w:rPr>
              <w:t>服务期</w:t>
            </w:r>
            <w:r>
              <w:rPr>
                <w:rFonts w:hint="eastAsia" w:ascii="宋体" w:hAnsi="宋体"/>
                <w:color w:val="auto"/>
                <w:szCs w:val="21"/>
                <w:highlight w:val="none"/>
              </w:rPr>
              <w:t>限</w:t>
            </w:r>
          </w:p>
        </w:tc>
        <w:tc>
          <w:tcPr>
            <w:tcW w:w="1620" w:type="dxa"/>
            <w:vAlign w:val="center"/>
          </w:tcPr>
          <w:p w14:paraId="1A4A347F">
            <w:pPr>
              <w:spacing w:line="360" w:lineRule="auto"/>
              <w:ind w:firstLine="2"/>
              <w:jc w:val="center"/>
              <w:rPr>
                <w:rFonts w:hint="eastAsia" w:ascii="宋体" w:hAnsi="宋体" w:cs="宋体"/>
                <w:color w:val="auto"/>
                <w:szCs w:val="21"/>
                <w:highlight w:val="none"/>
              </w:rPr>
            </w:pPr>
            <w:r>
              <w:rPr>
                <w:rFonts w:hint="eastAsia" w:ascii="宋体" w:hAnsi="宋体" w:cs="宋体"/>
                <w:color w:val="auto"/>
                <w:szCs w:val="21"/>
                <w:highlight w:val="none"/>
              </w:rPr>
              <w:t>服务地点</w:t>
            </w:r>
          </w:p>
        </w:tc>
        <w:tc>
          <w:tcPr>
            <w:tcW w:w="1430" w:type="dxa"/>
            <w:vAlign w:val="center"/>
          </w:tcPr>
          <w:p w14:paraId="14083990">
            <w:pPr>
              <w:spacing w:line="360" w:lineRule="auto"/>
              <w:ind w:firstLine="2" w:firstLineChars="1"/>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16894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2" w:hRule="atLeast"/>
          <w:jc w:val="center"/>
        </w:trPr>
        <w:tc>
          <w:tcPr>
            <w:tcW w:w="3891" w:type="dxa"/>
            <w:vAlign w:val="center"/>
          </w:tcPr>
          <w:p w14:paraId="01B8841C">
            <w:pPr>
              <w:rPr>
                <w:rFonts w:hint="eastAsia" w:ascii="宋体" w:hAnsi="宋体" w:cs="宋体"/>
                <w:color w:val="auto"/>
                <w:szCs w:val="21"/>
                <w:highlight w:val="none"/>
              </w:rPr>
            </w:pPr>
            <w:r>
              <w:rPr>
                <w:rFonts w:hint="eastAsia" w:ascii="宋体" w:hAnsi="宋体" w:cs="宋体"/>
                <w:color w:val="auto"/>
                <w:szCs w:val="21"/>
                <w:highlight w:val="none"/>
              </w:rPr>
              <w:t>小写：</w:t>
            </w:r>
          </w:p>
          <w:p w14:paraId="5BEABB8C">
            <w:pPr>
              <w:rPr>
                <w:rFonts w:hint="eastAsia" w:ascii="宋体" w:hAnsi="宋体" w:cs="宋体"/>
                <w:color w:val="auto"/>
                <w:szCs w:val="21"/>
                <w:highlight w:val="none"/>
              </w:rPr>
            </w:pPr>
            <w:r>
              <w:rPr>
                <w:rFonts w:hint="eastAsia" w:ascii="宋体" w:hAnsi="宋体" w:cs="宋体"/>
                <w:color w:val="auto"/>
                <w:szCs w:val="21"/>
                <w:highlight w:val="none"/>
              </w:rPr>
              <w:t>大写：</w:t>
            </w:r>
          </w:p>
        </w:tc>
        <w:tc>
          <w:tcPr>
            <w:tcW w:w="2160" w:type="dxa"/>
            <w:vAlign w:val="center"/>
          </w:tcPr>
          <w:p w14:paraId="7535473B">
            <w:pPr>
              <w:rPr>
                <w:rFonts w:hint="eastAsia" w:ascii="宋体" w:hAnsi="宋体" w:cs="宋体"/>
                <w:color w:val="auto"/>
                <w:szCs w:val="21"/>
                <w:highlight w:val="none"/>
              </w:rPr>
            </w:pPr>
          </w:p>
        </w:tc>
        <w:tc>
          <w:tcPr>
            <w:tcW w:w="1620" w:type="dxa"/>
            <w:vAlign w:val="center"/>
          </w:tcPr>
          <w:p w14:paraId="2961D829">
            <w:pPr>
              <w:pStyle w:val="16"/>
              <w:spacing w:line="360" w:lineRule="auto"/>
              <w:jc w:val="center"/>
              <w:rPr>
                <w:rFonts w:hint="eastAsia" w:hAnsi="宋体" w:cs="宋体"/>
                <w:color w:val="auto"/>
                <w:szCs w:val="21"/>
                <w:highlight w:val="none"/>
              </w:rPr>
            </w:pPr>
          </w:p>
        </w:tc>
        <w:tc>
          <w:tcPr>
            <w:tcW w:w="1430" w:type="dxa"/>
            <w:vAlign w:val="center"/>
          </w:tcPr>
          <w:p w14:paraId="40E20788">
            <w:pPr>
              <w:pStyle w:val="16"/>
              <w:spacing w:line="360" w:lineRule="auto"/>
              <w:jc w:val="center"/>
              <w:rPr>
                <w:rFonts w:hint="eastAsia" w:hAnsi="宋体" w:cs="宋体"/>
                <w:color w:val="auto"/>
                <w:szCs w:val="21"/>
                <w:highlight w:val="none"/>
              </w:rPr>
            </w:pPr>
          </w:p>
        </w:tc>
      </w:tr>
      <w:tr w14:paraId="12F97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2" w:hRule="atLeast"/>
          <w:jc w:val="center"/>
        </w:trPr>
        <w:tc>
          <w:tcPr>
            <w:tcW w:w="9101" w:type="dxa"/>
            <w:gridSpan w:val="4"/>
            <w:vAlign w:val="center"/>
          </w:tcPr>
          <w:p w14:paraId="2EB60FCE">
            <w:pPr>
              <w:spacing w:line="360" w:lineRule="auto"/>
              <w:ind w:firstLine="2" w:firstLineChars="1"/>
              <w:rPr>
                <w:rFonts w:hint="eastAsia" w:ascii="宋体" w:hAnsi="宋体" w:cs="宋体"/>
                <w:color w:val="auto"/>
                <w:szCs w:val="21"/>
                <w:highlight w:val="none"/>
              </w:rPr>
            </w:pPr>
            <w:r>
              <w:rPr>
                <w:rFonts w:hint="eastAsia" w:ascii="宋体" w:hAnsi="宋体" w:cs="宋体"/>
                <w:color w:val="auto"/>
                <w:szCs w:val="21"/>
                <w:highlight w:val="none"/>
              </w:rPr>
              <w:t>投标人：（盖单位公章）</w:t>
            </w:r>
          </w:p>
          <w:p w14:paraId="25860EB6">
            <w:pPr>
              <w:spacing w:line="360" w:lineRule="auto"/>
              <w:ind w:firstLine="2" w:firstLineChars="1"/>
              <w:rPr>
                <w:rFonts w:hint="eastAsia" w:ascii="宋体" w:hAnsi="宋体" w:cs="宋体"/>
                <w:color w:val="auto"/>
                <w:szCs w:val="21"/>
                <w:highlight w:val="none"/>
              </w:rPr>
            </w:pPr>
            <w:r>
              <w:rPr>
                <w:rFonts w:hint="eastAsia" w:ascii="宋体" w:hAnsi="宋体" w:cs="宋体"/>
                <w:color w:val="auto"/>
                <w:szCs w:val="21"/>
                <w:highlight w:val="none"/>
              </w:rPr>
              <w:t>法定代表人或委托代理人：（签名或盖章）</w:t>
            </w:r>
          </w:p>
          <w:p w14:paraId="7E10E177">
            <w:pPr>
              <w:spacing w:line="360" w:lineRule="auto"/>
              <w:ind w:firstLine="2" w:firstLineChars="1"/>
              <w:rPr>
                <w:rFonts w:hint="eastAsia" w:ascii="宋体" w:hAnsi="宋体" w:cs="宋体"/>
                <w:color w:val="auto"/>
                <w:szCs w:val="21"/>
                <w:highlight w:val="none"/>
                <w:u w:val="single"/>
              </w:rPr>
            </w:pPr>
            <w:r>
              <w:rPr>
                <w:rFonts w:hint="eastAsia" w:ascii="宋体" w:hAnsi="宋体" w:cs="宋体"/>
                <w:color w:val="auto"/>
                <w:szCs w:val="21"/>
                <w:highlight w:val="none"/>
              </w:rPr>
              <w:t>年月日</w:t>
            </w:r>
          </w:p>
        </w:tc>
      </w:tr>
    </w:tbl>
    <w:p w14:paraId="06B5AC28">
      <w:pPr>
        <w:pStyle w:val="16"/>
        <w:spacing w:line="360" w:lineRule="auto"/>
        <w:rPr>
          <w:rFonts w:hint="eastAsia" w:hAnsi="宋体" w:cs="宋体"/>
          <w:color w:val="auto"/>
          <w:szCs w:val="21"/>
          <w:highlight w:val="none"/>
        </w:rPr>
      </w:pPr>
    </w:p>
    <w:p w14:paraId="5D29368D">
      <w:pPr>
        <w:pStyle w:val="16"/>
        <w:spacing w:line="360" w:lineRule="auto"/>
        <w:rPr>
          <w:rFonts w:hint="eastAsia" w:hAnsi="宋体" w:cs="宋体"/>
          <w:color w:val="auto"/>
          <w:szCs w:val="21"/>
          <w:highlight w:val="none"/>
        </w:rPr>
      </w:pPr>
    </w:p>
    <w:p w14:paraId="0C19F8A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注：1. 表中“投标总价”应与格式“投标函”中“投标总报价”和格式“报价表”中“总价合计”一致。</w:t>
      </w:r>
    </w:p>
    <w:p w14:paraId="7B3A820B">
      <w:pPr>
        <w:spacing w:line="360" w:lineRule="auto"/>
        <w:ind w:firstLine="105" w:firstLineChars="50"/>
        <w:rPr>
          <w:rFonts w:hint="eastAsia" w:ascii="宋体" w:hAnsi="宋体" w:cs="宋体"/>
          <w:b/>
          <w:bCs/>
          <w:color w:val="auto"/>
          <w:szCs w:val="21"/>
          <w:highlight w:val="none"/>
        </w:rPr>
      </w:pPr>
      <w:r>
        <w:rPr>
          <w:rFonts w:hint="eastAsia" w:ascii="宋体" w:hAnsi="宋体" w:cs="宋体"/>
          <w:b/>
          <w:bCs/>
          <w:color w:val="auto"/>
          <w:szCs w:val="21"/>
          <w:highlight w:val="none"/>
        </w:rPr>
        <w:t>★ 2. 本表应盖单位电子鲜章，法定代表人或委托代理人应签名或盖章。</w:t>
      </w:r>
    </w:p>
    <w:p w14:paraId="1B2F53FF">
      <w:pPr>
        <w:spacing w:line="360" w:lineRule="auto"/>
        <w:ind w:firstLine="105" w:firstLineChars="50"/>
        <w:rPr>
          <w:rFonts w:hint="eastAsia" w:ascii="宋体" w:hAnsi="宋体" w:cs="宋体"/>
          <w:b/>
          <w:bCs/>
          <w:color w:val="auto"/>
          <w:szCs w:val="21"/>
          <w:highlight w:val="none"/>
        </w:rPr>
      </w:pPr>
      <w:r>
        <w:rPr>
          <w:rFonts w:hint="eastAsia" w:ascii="宋体" w:hAnsi="宋体" w:cs="宋体"/>
          <w:b/>
          <w:bCs/>
          <w:color w:val="auto"/>
          <w:szCs w:val="21"/>
          <w:highlight w:val="none"/>
        </w:rPr>
        <w:t>3.此表填写内容须与开标系统中开标一览表填写一致，若不一致，以开标系统中开标一览表为准。</w:t>
      </w:r>
    </w:p>
    <w:p w14:paraId="1EACD7E2">
      <w:pPr>
        <w:spacing w:line="360" w:lineRule="auto"/>
        <w:ind w:firstLine="105" w:firstLineChars="50"/>
        <w:rPr>
          <w:rFonts w:hint="eastAsia" w:ascii="宋体" w:hAnsi="宋体" w:cs="宋体"/>
          <w:color w:val="auto"/>
          <w:sz w:val="24"/>
          <w:highlight w:val="none"/>
        </w:rPr>
      </w:pPr>
      <w:r>
        <w:rPr>
          <w:rFonts w:hint="eastAsia" w:ascii="宋体" w:hAnsi="宋体" w:cs="宋体"/>
          <w:color w:val="auto"/>
          <w:szCs w:val="21"/>
          <w:highlight w:val="none"/>
        </w:rPr>
        <w:br w:type="page"/>
      </w:r>
    </w:p>
    <w:p w14:paraId="55E2808A">
      <w:pPr>
        <w:pStyle w:val="4"/>
        <w:keepNext/>
        <w:numPr>
          <w:ilvl w:val="0"/>
          <w:numId w:val="0"/>
        </w:numPr>
        <w:tabs>
          <w:tab w:val="left" w:pos="1021"/>
          <w:tab w:val="clear" w:pos="360"/>
          <w:tab w:val="clear" w:pos="900"/>
          <w:tab w:val="clear" w:pos="1588"/>
        </w:tabs>
        <w:spacing w:before="0"/>
        <w:rPr>
          <w:rFonts w:hint="eastAsia" w:ascii="宋体" w:hAnsi="宋体" w:cs="宋体"/>
          <w:bCs/>
          <w:color w:val="auto"/>
          <w:szCs w:val="28"/>
          <w:highlight w:val="none"/>
        </w:rPr>
      </w:pPr>
      <w:bookmarkStart w:id="421" w:name="_Toc24981"/>
      <w:bookmarkStart w:id="422" w:name="_Toc18033"/>
      <w:bookmarkStart w:id="423" w:name="_Toc26302"/>
      <w:bookmarkStart w:id="424" w:name="_Toc8060"/>
      <w:r>
        <w:rPr>
          <w:rFonts w:hint="eastAsia" w:ascii="宋体" w:hAnsi="宋体" w:eastAsia="宋体" w:cs="宋体"/>
          <w:color w:val="auto"/>
          <w:szCs w:val="28"/>
          <w:highlight w:val="none"/>
        </w:rPr>
        <w:t>格式22：报价表</w:t>
      </w:r>
      <w:bookmarkEnd w:id="421"/>
      <w:bookmarkEnd w:id="422"/>
      <w:bookmarkEnd w:id="423"/>
      <w:bookmarkEnd w:id="424"/>
    </w:p>
    <w:p w14:paraId="40E75CEE">
      <w:pPr>
        <w:spacing w:line="360" w:lineRule="auto"/>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投 标 分 项 报 价 表</w:t>
      </w:r>
    </w:p>
    <w:p w14:paraId="6DE7AB84">
      <w:pPr>
        <w:spacing w:line="360" w:lineRule="auto"/>
        <w:rPr>
          <w:rFonts w:hint="eastAsia" w:ascii="宋体" w:hAnsi="宋体" w:cs="宋体"/>
          <w:color w:val="auto"/>
          <w:sz w:val="24"/>
          <w:highlight w:val="none"/>
        </w:rPr>
      </w:pPr>
      <w:r>
        <w:rPr>
          <w:rFonts w:hint="eastAsia" w:ascii="宋体" w:hAnsi="宋体" w:cs="宋体"/>
          <w:color w:val="auto"/>
          <w:sz w:val="24"/>
          <w:highlight w:val="none"/>
        </w:rPr>
        <w:t>项目名称：                    招标编号：</w:t>
      </w:r>
    </w:p>
    <w:tbl>
      <w:tblPr>
        <w:tblStyle w:val="33"/>
        <w:tblW w:w="102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2116"/>
        <w:gridCol w:w="1255"/>
        <w:gridCol w:w="1216"/>
        <w:gridCol w:w="1105"/>
        <w:gridCol w:w="1309"/>
        <w:gridCol w:w="1295"/>
        <w:gridCol w:w="1146"/>
      </w:tblGrid>
      <w:tr w14:paraId="6D094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3B370034">
            <w:pPr>
              <w:pStyle w:val="16"/>
              <w:jc w:val="center"/>
              <w:rPr>
                <w:rFonts w:hint="eastAsia" w:hAnsi="宋体" w:cs="宋体"/>
                <w:color w:val="auto"/>
                <w:sz w:val="24"/>
                <w:highlight w:val="none"/>
              </w:rPr>
            </w:pPr>
            <w:r>
              <w:rPr>
                <w:rFonts w:hint="eastAsia" w:hAnsi="宋体" w:cs="宋体"/>
                <w:color w:val="auto"/>
                <w:sz w:val="24"/>
                <w:highlight w:val="none"/>
              </w:rPr>
              <w:t>序号</w:t>
            </w:r>
          </w:p>
        </w:tc>
        <w:tc>
          <w:tcPr>
            <w:tcW w:w="2116" w:type="dxa"/>
            <w:tcBorders>
              <w:top w:val="single" w:color="auto" w:sz="4" w:space="0"/>
              <w:left w:val="single" w:color="auto" w:sz="4" w:space="0"/>
              <w:bottom w:val="single" w:color="auto" w:sz="4" w:space="0"/>
              <w:right w:val="single" w:color="auto" w:sz="4" w:space="0"/>
            </w:tcBorders>
            <w:vAlign w:val="center"/>
          </w:tcPr>
          <w:p w14:paraId="0953BD01">
            <w:pPr>
              <w:pStyle w:val="16"/>
              <w:jc w:val="center"/>
              <w:rPr>
                <w:rFonts w:hint="eastAsia" w:hAnsi="宋体" w:cs="宋体"/>
                <w:color w:val="auto"/>
                <w:sz w:val="24"/>
                <w:highlight w:val="none"/>
              </w:rPr>
            </w:pPr>
            <w:r>
              <w:rPr>
                <w:rFonts w:hint="eastAsia" w:hAnsi="宋体" w:cs="宋体"/>
                <w:color w:val="auto"/>
                <w:sz w:val="24"/>
                <w:highlight w:val="none"/>
              </w:rPr>
              <w:t>服务名称</w:t>
            </w:r>
          </w:p>
        </w:tc>
        <w:tc>
          <w:tcPr>
            <w:tcW w:w="1255" w:type="dxa"/>
            <w:tcBorders>
              <w:top w:val="single" w:color="auto" w:sz="4" w:space="0"/>
              <w:left w:val="single" w:color="auto" w:sz="4" w:space="0"/>
              <w:bottom w:val="single" w:color="auto" w:sz="4" w:space="0"/>
              <w:right w:val="single" w:color="auto" w:sz="4" w:space="0"/>
            </w:tcBorders>
            <w:vAlign w:val="center"/>
          </w:tcPr>
          <w:p w14:paraId="302BA00C">
            <w:pPr>
              <w:pStyle w:val="16"/>
              <w:jc w:val="center"/>
              <w:rPr>
                <w:rFonts w:hint="eastAsia" w:hAnsi="宋体" w:cs="宋体"/>
                <w:color w:val="auto"/>
                <w:sz w:val="24"/>
                <w:highlight w:val="none"/>
              </w:rPr>
            </w:pPr>
            <w:r>
              <w:rPr>
                <w:rFonts w:hint="eastAsia" w:hAnsi="宋体" w:cs="宋体"/>
                <w:color w:val="auto"/>
                <w:sz w:val="24"/>
                <w:highlight w:val="none"/>
              </w:rPr>
              <w:t>服务期限</w:t>
            </w:r>
          </w:p>
        </w:tc>
        <w:tc>
          <w:tcPr>
            <w:tcW w:w="1216" w:type="dxa"/>
            <w:tcBorders>
              <w:top w:val="single" w:color="auto" w:sz="4" w:space="0"/>
              <w:left w:val="single" w:color="auto" w:sz="4" w:space="0"/>
              <w:bottom w:val="single" w:color="auto" w:sz="4" w:space="0"/>
              <w:right w:val="single" w:color="auto" w:sz="4" w:space="0"/>
            </w:tcBorders>
            <w:vAlign w:val="center"/>
          </w:tcPr>
          <w:p w14:paraId="7BADFB48">
            <w:pPr>
              <w:pStyle w:val="16"/>
              <w:jc w:val="center"/>
              <w:rPr>
                <w:rFonts w:hint="eastAsia" w:hAnsi="宋体" w:cs="宋体"/>
                <w:color w:val="auto"/>
                <w:sz w:val="24"/>
                <w:highlight w:val="none"/>
              </w:rPr>
            </w:pPr>
            <w:r>
              <w:rPr>
                <w:rFonts w:hint="eastAsia" w:hAnsi="宋体" w:cs="宋体"/>
                <w:color w:val="auto"/>
                <w:sz w:val="24"/>
                <w:highlight w:val="none"/>
              </w:rPr>
              <w:t>数量</w:t>
            </w:r>
          </w:p>
        </w:tc>
        <w:tc>
          <w:tcPr>
            <w:tcW w:w="1105" w:type="dxa"/>
            <w:tcBorders>
              <w:top w:val="single" w:color="auto" w:sz="4" w:space="0"/>
              <w:left w:val="single" w:color="auto" w:sz="4" w:space="0"/>
              <w:bottom w:val="single" w:color="auto" w:sz="4" w:space="0"/>
              <w:right w:val="single" w:color="auto" w:sz="4" w:space="0"/>
            </w:tcBorders>
            <w:vAlign w:val="center"/>
          </w:tcPr>
          <w:p w14:paraId="5F3FE200">
            <w:pPr>
              <w:pStyle w:val="16"/>
              <w:jc w:val="center"/>
              <w:rPr>
                <w:rFonts w:hint="eastAsia" w:hAnsi="宋体" w:cs="宋体"/>
                <w:color w:val="auto"/>
                <w:sz w:val="24"/>
                <w:highlight w:val="none"/>
              </w:rPr>
            </w:pPr>
            <w:r>
              <w:rPr>
                <w:rFonts w:hint="eastAsia" w:hAnsi="宋体" w:cs="宋体"/>
                <w:color w:val="auto"/>
                <w:sz w:val="24"/>
                <w:highlight w:val="none"/>
              </w:rPr>
              <w:t>单位</w:t>
            </w:r>
          </w:p>
        </w:tc>
        <w:tc>
          <w:tcPr>
            <w:tcW w:w="1309" w:type="dxa"/>
            <w:tcBorders>
              <w:top w:val="single" w:color="auto" w:sz="4" w:space="0"/>
              <w:left w:val="single" w:color="auto" w:sz="4" w:space="0"/>
              <w:bottom w:val="single" w:color="auto" w:sz="4" w:space="0"/>
              <w:right w:val="single" w:color="auto" w:sz="4" w:space="0"/>
            </w:tcBorders>
          </w:tcPr>
          <w:p w14:paraId="6509752E">
            <w:pPr>
              <w:pStyle w:val="16"/>
              <w:jc w:val="center"/>
              <w:rPr>
                <w:rFonts w:hint="eastAsia" w:hAnsi="宋体" w:cs="宋体"/>
                <w:color w:val="auto"/>
                <w:sz w:val="24"/>
                <w:highlight w:val="none"/>
              </w:rPr>
            </w:pPr>
            <w:r>
              <w:rPr>
                <w:rFonts w:hint="eastAsia" w:hAnsi="宋体" w:cs="宋体"/>
                <w:color w:val="auto"/>
                <w:sz w:val="24"/>
                <w:highlight w:val="none"/>
              </w:rPr>
              <w:t>单价</w:t>
            </w:r>
          </w:p>
          <w:p w14:paraId="1B8588EB">
            <w:pPr>
              <w:pStyle w:val="16"/>
              <w:jc w:val="center"/>
              <w:rPr>
                <w:rFonts w:hint="eastAsia" w:hAnsi="宋体" w:cs="宋体"/>
                <w:color w:val="auto"/>
                <w:sz w:val="24"/>
                <w:highlight w:val="none"/>
              </w:rPr>
            </w:pPr>
            <w:r>
              <w:rPr>
                <w:rFonts w:hint="eastAsia" w:hAnsi="宋体" w:cs="宋体"/>
                <w:color w:val="auto"/>
                <w:sz w:val="24"/>
                <w:highlight w:val="none"/>
              </w:rPr>
              <w:t>（元）</w:t>
            </w:r>
          </w:p>
        </w:tc>
        <w:tc>
          <w:tcPr>
            <w:tcW w:w="1295" w:type="dxa"/>
            <w:tcBorders>
              <w:top w:val="single" w:color="auto" w:sz="4" w:space="0"/>
              <w:left w:val="single" w:color="auto" w:sz="4" w:space="0"/>
              <w:bottom w:val="single" w:color="auto" w:sz="4" w:space="0"/>
              <w:right w:val="single" w:color="auto" w:sz="4" w:space="0"/>
            </w:tcBorders>
            <w:vAlign w:val="center"/>
          </w:tcPr>
          <w:p w14:paraId="5A76CAA1">
            <w:pPr>
              <w:pStyle w:val="16"/>
              <w:jc w:val="center"/>
              <w:rPr>
                <w:rFonts w:hint="eastAsia" w:hAnsi="宋体" w:cs="宋体"/>
                <w:color w:val="auto"/>
                <w:sz w:val="24"/>
                <w:highlight w:val="none"/>
              </w:rPr>
            </w:pPr>
            <w:r>
              <w:rPr>
                <w:rFonts w:hint="eastAsia" w:hAnsi="宋体" w:cs="宋体"/>
                <w:color w:val="auto"/>
                <w:sz w:val="24"/>
                <w:highlight w:val="none"/>
              </w:rPr>
              <w:t>总价</w:t>
            </w:r>
          </w:p>
          <w:p w14:paraId="74C36C47">
            <w:pPr>
              <w:pStyle w:val="16"/>
              <w:jc w:val="center"/>
              <w:rPr>
                <w:rFonts w:hint="eastAsia" w:hAnsi="宋体" w:cs="宋体"/>
                <w:color w:val="auto"/>
                <w:sz w:val="24"/>
                <w:highlight w:val="none"/>
              </w:rPr>
            </w:pPr>
            <w:r>
              <w:rPr>
                <w:rFonts w:hint="eastAsia" w:hAnsi="宋体" w:cs="宋体"/>
                <w:color w:val="auto"/>
                <w:sz w:val="24"/>
                <w:highlight w:val="none"/>
              </w:rPr>
              <w:t>（元）</w:t>
            </w:r>
          </w:p>
        </w:tc>
        <w:tc>
          <w:tcPr>
            <w:tcW w:w="1146" w:type="dxa"/>
            <w:tcBorders>
              <w:top w:val="single" w:color="auto" w:sz="4" w:space="0"/>
              <w:left w:val="single" w:color="auto" w:sz="4" w:space="0"/>
              <w:bottom w:val="single" w:color="auto" w:sz="4" w:space="0"/>
              <w:right w:val="single" w:color="auto" w:sz="4" w:space="0"/>
            </w:tcBorders>
            <w:vAlign w:val="center"/>
          </w:tcPr>
          <w:p w14:paraId="3C5855A6">
            <w:pPr>
              <w:pStyle w:val="16"/>
              <w:ind w:left="72"/>
              <w:jc w:val="center"/>
              <w:rPr>
                <w:rFonts w:hint="eastAsia" w:hAnsi="宋体" w:cs="宋体"/>
                <w:color w:val="auto"/>
                <w:sz w:val="24"/>
                <w:highlight w:val="none"/>
              </w:rPr>
            </w:pPr>
            <w:r>
              <w:rPr>
                <w:rFonts w:hint="eastAsia" w:hAnsi="宋体" w:cs="宋体"/>
                <w:color w:val="auto"/>
                <w:sz w:val="24"/>
                <w:highlight w:val="none"/>
              </w:rPr>
              <w:t>备注</w:t>
            </w:r>
          </w:p>
        </w:tc>
      </w:tr>
      <w:tr w14:paraId="27E24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4C855D93">
            <w:pPr>
              <w:jc w:val="center"/>
              <w:rPr>
                <w:rFonts w:hint="eastAsia" w:ascii="宋体" w:hAnsi="宋体" w:cs="宋体"/>
                <w:color w:val="auto"/>
                <w:highlight w:val="none"/>
              </w:rPr>
            </w:pPr>
            <w:r>
              <w:rPr>
                <w:rFonts w:hint="eastAsia" w:ascii="宋体" w:hAnsi="宋体" w:cs="宋体"/>
                <w:color w:val="auto"/>
                <w:highlight w:val="none"/>
              </w:rPr>
              <w:t>1</w:t>
            </w:r>
          </w:p>
        </w:tc>
        <w:tc>
          <w:tcPr>
            <w:tcW w:w="2116" w:type="dxa"/>
            <w:tcBorders>
              <w:top w:val="single" w:color="auto" w:sz="4" w:space="0"/>
              <w:left w:val="single" w:color="auto" w:sz="4" w:space="0"/>
              <w:bottom w:val="single" w:color="auto" w:sz="4" w:space="0"/>
              <w:right w:val="single" w:color="auto" w:sz="4" w:space="0"/>
            </w:tcBorders>
            <w:vAlign w:val="center"/>
          </w:tcPr>
          <w:p w14:paraId="7BCBBD7F">
            <w:pPr>
              <w:snapToGrid w:val="0"/>
              <w:spacing w:line="360" w:lineRule="exact"/>
              <w:jc w:val="center"/>
              <w:rPr>
                <w:rFonts w:hint="eastAsia" w:ascii="宋体" w:hAnsi="宋体" w:cs="宋体"/>
                <w:color w:val="auto"/>
                <w:sz w:val="24"/>
                <w:highlight w:val="none"/>
              </w:rPr>
            </w:pPr>
          </w:p>
        </w:tc>
        <w:tc>
          <w:tcPr>
            <w:tcW w:w="1255" w:type="dxa"/>
            <w:vMerge w:val="restart"/>
            <w:tcBorders>
              <w:top w:val="single" w:color="auto" w:sz="4" w:space="0"/>
              <w:left w:val="single" w:color="auto" w:sz="4" w:space="0"/>
              <w:right w:val="single" w:color="auto" w:sz="4" w:space="0"/>
            </w:tcBorders>
            <w:vAlign w:val="center"/>
          </w:tcPr>
          <w:p w14:paraId="7C48945E">
            <w:pPr>
              <w:pStyle w:val="16"/>
              <w:jc w:val="center"/>
              <w:rPr>
                <w:rFonts w:hint="eastAsia" w:hAnsi="宋体" w:cs="宋体"/>
                <w:color w:val="auto"/>
                <w:szCs w:val="21"/>
                <w:highlight w:val="none"/>
              </w:rPr>
            </w:pPr>
          </w:p>
        </w:tc>
        <w:tc>
          <w:tcPr>
            <w:tcW w:w="1216" w:type="dxa"/>
            <w:tcBorders>
              <w:top w:val="single" w:color="auto" w:sz="4" w:space="0"/>
              <w:left w:val="single" w:color="auto" w:sz="4" w:space="0"/>
              <w:bottom w:val="single" w:color="auto" w:sz="4" w:space="0"/>
              <w:right w:val="single" w:color="auto" w:sz="4" w:space="0"/>
            </w:tcBorders>
            <w:vAlign w:val="center"/>
          </w:tcPr>
          <w:p w14:paraId="6C7ECA29">
            <w:pPr>
              <w:snapToGrid w:val="0"/>
              <w:spacing w:line="360" w:lineRule="exact"/>
              <w:jc w:val="center"/>
              <w:rPr>
                <w:rFonts w:hint="eastAsia" w:ascii="宋体" w:hAnsi="宋体" w:cs="宋体"/>
                <w:color w:val="auto"/>
                <w:sz w:val="24"/>
                <w:highlight w:val="none"/>
              </w:rPr>
            </w:pPr>
          </w:p>
        </w:tc>
        <w:tc>
          <w:tcPr>
            <w:tcW w:w="1105" w:type="dxa"/>
            <w:tcBorders>
              <w:top w:val="single" w:color="auto" w:sz="4" w:space="0"/>
              <w:left w:val="single" w:color="auto" w:sz="4" w:space="0"/>
              <w:bottom w:val="single" w:color="auto" w:sz="4" w:space="0"/>
              <w:right w:val="single" w:color="auto" w:sz="4" w:space="0"/>
            </w:tcBorders>
            <w:vAlign w:val="center"/>
          </w:tcPr>
          <w:p w14:paraId="3A7901DF">
            <w:pPr>
              <w:snapToGrid w:val="0"/>
              <w:spacing w:line="360" w:lineRule="exact"/>
              <w:jc w:val="center"/>
              <w:rPr>
                <w:rFonts w:hint="eastAsia" w:ascii="宋体" w:hAnsi="宋体" w:cs="宋体"/>
                <w:color w:val="auto"/>
                <w:sz w:val="24"/>
                <w:highlight w:val="none"/>
              </w:rPr>
            </w:pPr>
          </w:p>
        </w:tc>
        <w:tc>
          <w:tcPr>
            <w:tcW w:w="1309" w:type="dxa"/>
            <w:tcBorders>
              <w:top w:val="single" w:color="auto" w:sz="4" w:space="0"/>
              <w:left w:val="single" w:color="auto" w:sz="4" w:space="0"/>
              <w:bottom w:val="single" w:color="auto" w:sz="4" w:space="0"/>
              <w:right w:val="single" w:color="auto" w:sz="4" w:space="0"/>
            </w:tcBorders>
            <w:vAlign w:val="center"/>
          </w:tcPr>
          <w:p w14:paraId="228FB08B">
            <w:pPr>
              <w:jc w:val="center"/>
              <w:rPr>
                <w:rFonts w:hint="eastAsia" w:ascii="宋体" w:hAnsi="宋体" w:cs="宋体"/>
                <w:color w:val="auto"/>
                <w:highlight w:val="none"/>
              </w:rPr>
            </w:pPr>
          </w:p>
        </w:tc>
        <w:tc>
          <w:tcPr>
            <w:tcW w:w="1295" w:type="dxa"/>
            <w:tcBorders>
              <w:top w:val="single" w:color="auto" w:sz="4" w:space="0"/>
              <w:left w:val="single" w:color="auto" w:sz="4" w:space="0"/>
              <w:bottom w:val="single" w:color="auto" w:sz="4" w:space="0"/>
              <w:right w:val="single" w:color="auto" w:sz="4" w:space="0"/>
            </w:tcBorders>
            <w:vAlign w:val="center"/>
          </w:tcPr>
          <w:p w14:paraId="5B421684">
            <w:pPr>
              <w:jc w:val="center"/>
              <w:rPr>
                <w:rFonts w:hint="eastAsia" w:ascii="宋体" w:hAnsi="宋体" w:cs="宋体"/>
                <w:color w:val="auto"/>
                <w:highlight w:val="none"/>
              </w:rPr>
            </w:pPr>
          </w:p>
        </w:tc>
        <w:tc>
          <w:tcPr>
            <w:tcW w:w="1146" w:type="dxa"/>
            <w:vMerge w:val="restart"/>
            <w:tcBorders>
              <w:top w:val="single" w:color="auto" w:sz="4" w:space="0"/>
              <w:left w:val="single" w:color="auto" w:sz="4" w:space="0"/>
              <w:right w:val="single" w:color="auto" w:sz="4" w:space="0"/>
            </w:tcBorders>
            <w:vAlign w:val="center"/>
          </w:tcPr>
          <w:p w14:paraId="6ADA72DE">
            <w:pPr>
              <w:pStyle w:val="16"/>
              <w:jc w:val="center"/>
              <w:rPr>
                <w:rFonts w:hint="eastAsia" w:hAnsi="宋体" w:cs="宋体"/>
                <w:color w:val="auto"/>
                <w:szCs w:val="21"/>
                <w:highlight w:val="none"/>
              </w:rPr>
            </w:pPr>
          </w:p>
        </w:tc>
      </w:tr>
      <w:tr w14:paraId="1E751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051E8E4B">
            <w:pPr>
              <w:jc w:val="center"/>
              <w:rPr>
                <w:rFonts w:hint="eastAsia" w:ascii="宋体" w:hAnsi="宋体" w:cs="宋体"/>
                <w:color w:val="auto"/>
                <w:highlight w:val="none"/>
              </w:rPr>
            </w:pPr>
            <w:r>
              <w:rPr>
                <w:rFonts w:hint="eastAsia" w:ascii="宋体" w:hAnsi="宋体" w:cs="宋体"/>
                <w:color w:val="auto"/>
                <w:highlight w:val="none"/>
              </w:rPr>
              <w:t>2</w:t>
            </w:r>
          </w:p>
        </w:tc>
        <w:tc>
          <w:tcPr>
            <w:tcW w:w="2116" w:type="dxa"/>
            <w:tcBorders>
              <w:top w:val="single" w:color="auto" w:sz="4" w:space="0"/>
              <w:left w:val="single" w:color="auto" w:sz="4" w:space="0"/>
              <w:bottom w:val="single" w:color="auto" w:sz="4" w:space="0"/>
              <w:right w:val="single" w:color="auto" w:sz="4" w:space="0"/>
            </w:tcBorders>
            <w:vAlign w:val="center"/>
          </w:tcPr>
          <w:p w14:paraId="74015EBD">
            <w:pPr>
              <w:snapToGrid w:val="0"/>
              <w:spacing w:line="360" w:lineRule="exact"/>
              <w:jc w:val="center"/>
              <w:rPr>
                <w:rFonts w:hint="eastAsia" w:ascii="宋体" w:hAnsi="宋体" w:cs="宋体"/>
                <w:color w:val="auto"/>
                <w:sz w:val="24"/>
                <w:highlight w:val="none"/>
              </w:rPr>
            </w:pPr>
          </w:p>
        </w:tc>
        <w:tc>
          <w:tcPr>
            <w:tcW w:w="1255" w:type="dxa"/>
            <w:vMerge w:val="continue"/>
            <w:tcBorders>
              <w:left w:val="single" w:color="auto" w:sz="4" w:space="0"/>
              <w:right w:val="single" w:color="auto" w:sz="4" w:space="0"/>
            </w:tcBorders>
            <w:vAlign w:val="center"/>
          </w:tcPr>
          <w:p w14:paraId="149D18B2">
            <w:pPr>
              <w:pStyle w:val="16"/>
              <w:jc w:val="center"/>
              <w:rPr>
                <w:rFonts w:hint="eastAsia" w:hAnsi="宋体" w:cs="宋体"/>
                <w:color w:val="auto"/>
                <w:szCs w:val="21"/>
                <w:highlight w:val="none"/>
              </w:rPr>
            </w:pPr>
          </w:p>
        </w:tc>
        <w:tc>
          <w:tcPr>
            <w:tcW w:w="1216" w:type="dxa"/>
            <w:tcBorders>
              <w:top w:val="single" w:color="auto" w:sz="4" w:space="0"/>
              <w:left w:val="single" w:color="auto" w:sz="4" w:space="0"/>
              <w:bottom w:val="single" w:color="auto" w:sz="4" w:space="0"/>
              <w:right w:val="single" w:color="auto" w:sz="4" w:space="0"/>
            </w:tcBorders>
            <w:vAlign w:val="center"/>
          </w:tcPr>
          <w:p w14:paraId="49628A90">
            <w:pPr>
              <w:snapToGrid w:val="0"/>
              <w:spacing w:line="360" w:lineRule="exact"/>
              <w:jc w:val="center"/>
              <w:rPr>
                <w:rFonts w:hint="eastAsia" w:ascii="宋体" w:hAnsi="宋体" w:cs="宋体"/>
                <w:color w:val="auto"/>
                <w:sz w:val="24"/>
                <w:highlight w:val="none"/>
              </w:rPr>
            </w:pPr>
          </w:p>
        </w:tc>
        <w:tc>
          <w:tcPr>
            <w:tcW w:w="1105" w:type="dxa"/>
            <w:tcBorders>
              <w:top w:val="single" w:color="auto" w:sz="4" w:space="0"/>
              <w:left w:val="single" w:color="auto" w:sz="4" w:space="0"/>
              <w:bottom w:val="single" w:color="auto" w:sz="4" w:space="0"/>
              <w:right w:val="single" w:color="auto" w:sz="4" w:space="0"/>
            </w:tcBorders>
            <w:vAlign w:val="center"/>
          </w:tcPr>
          <w:p w14:paraId="0B64FD6B">
            <w:pPr>
              <w:snapToGrid w:val="0"/>
              <w:spacing w:line="360" w:lineRule="exact"/>
              <w:jc w:val="center"/>
              <w:rPr>
                <w:rFonts w:hint="eastAsia" w:ascii="宋体" w:hAnsi="宋体" w:cs="宋体"/>
                <w:color w:val="auto"/>
                <w:sz w:val="24"/>
                <w:highlight w:val="none"/>
              </w:rPr>
            </w:pPr>
          </w:p>
        </w:tc>
        <w:tc>
          <w:tcPr>
            <w:tcW w:w="1309" w:type="dxa"/>
            <w:tcBorders>
              <w:top w:val="single" w:color="auto" w:sz="4" w:space="0"/>
              <w:left w:val="single" w:color="auto" w:sz="4" w:space="0"/>
              <w:bottom w:val="single" w:color="auto" w:sz="4" w:space="0"/>
              <w:right w:val="single" w:color="auto" w:sz="4" w:space="0"/>
            </w:tcBorders>
            <w:vAlign w:val="center"/>
          </w:tcPr>
          <w:p w14:paraId="4DD56070">
            <w:pPr>
              <w:jc w:val="center"/>
              <w:rPr>
                <w:rFonts w:hint="eastAsia" w:ascii="宋体" w:hAnsi="宋体" w:cs="宋体"/>
                <w:color w:val="auto"/>
                <w:highlight w:val="none"/>
              </w:rPr>
            </w:pPr>
          </w:p>
        </w:tc>
        <w:tc>
          <w:tcPr>
            <w:tcW w:w="1295" w:type="dxa"/>
            <w:tcBorders>
              <w:top w:val="single" w:color="auto" w:sz="4" w:space="0"/>
              <w:left w:val="single" w:color="auto" w:sz="4" w:space="0"/>
              <w:bottom w:val="single" w:color="auto" w:sz="4" w:space="0"/>
              <w:right w:val="single" w:color="auto" w:sz="4" w:space="0"/>
            </w:tcBorders>
            <w:vAlign w:val="center"/>
          </w:tcPr>
          <w:p w14:paraId="7F7DC007">
            <w:pPr>
              <w:jc w:val="center"/>
              <w:rPr>
                <w:rFonts w:hint="eastAsia" w:ascii="宋体" w:hAnsi="宋体" w:cs="宋体"/>
                <w:color w:val="auto"/>
                <w:highlight w:val="none"/>
              </w:rPr>
            </w:pPr>
          </w:p>
        </w:tc>
        <w:tc>
          <w:tcPr>
            <w:tcW w:w="1146" w:type="dxa"/>
            <w:vMerge w:val="continue"/>
            <w:tcBorders>
              <w:left w:val="single" w:color="auto" w:sz="4" w:space="0"/>
              <w:right w:val="single" w:color="auto" w:sz="4" w:space="0"/>
            </w:tcBorders>
            <w:vAlign w:val="center"/>
          </w:tcPr>
          <w:p w14:paraId="349A736D">
            <w:pPr>
              <w:pStyle w:val="16"/>
              <w:jc w:val="center"/>
              <w:rPr>
                <w:rFonts w:hint="eastAsia" w:hAnsi="宋体" w:cs="宋体"/>
                <w:color w:val="auto"/>
                <w:szCs w:val="21"/>
                <w:highlight w:val="none"/>
              </w:rPr>
            </w:pPr>
          </w:p>
        </w:tc>
      </w:tr>
      <w:tr w14:paraId="5299D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3CC829FB">
            <w:pPr>
              <w:jc w:val="center"/>
              <w:rPr>
                <w:rFonts w:hint="eastAsia" w:ascii="宋体" w:hAnsi="宋体" w:cs="宋体"/>
                <w:color w:val="auto"/>
                <w:highlight w:val="none"/>
              </w:rPr>
            </w:pPr>
            <w:r>
              <w:rPr>
                <w:rFonts w:hint="eastAsia" w:ascii="宋体" w:hAnsi="宋体" w:cs="宋体"/>
                <w:color w:val="auto"/>
                <w:highlight w:val="none"/>
              </w:rPr>
              <w:t>3</w:t>
            </w:r>
          </w:p>
        </w:tc>
        <w:tc>
          <w:tcPr>
            <w:tcW w:w="2116" w:type="dxa"/>
            <w:tcBorders>
              <w:top w:val="single" w:color="auto" w:sz="4" w:space="0"/>
              <w:left w:val="single" w:color="auto" w:sz="4" w:space="0"/>
              <w:bottom w:val="single" w:color="auto" w:sz="4" w:space="0"/>
              <w:right w:val="single" w:color="auto" w:sz="4" w:space="0"/>
            </w:tcBorders>
            <w:vAlign w:val="center"/>
          </w:tcPr>
          <w:p w14:paraId="61A607D1">
            <w:pPr>
              <w:snapToGrid w:val="0"/>
              <w:spacing w:line="360" w:lineRule="exact"/>
              <w:jc w:val="center"/>
              <w:rPr>
                <w:rFonts w:hint="eastAsia" w:ascii="宋体" w:hAnsi="宋体" w:cs="宋体"/>
                <w:color w:val="auto"/>
                <w:sz w:val="24"/>
                <w:highlight w:val="none"/>
              </w:rPr>
            </w:pPr>
          </w:p>
        </w:tc>
        <w:tc>
          <w:tcPr>
            <w:tcW w:w="1255" w:type="dxa"/>
            <w:vMerge w:val="continue"/>
            <w:tcBorders>
              <w:left w:val="single" w:color="auto" w:sz="4" w:space="0"/>
              <w:right w:val="single" w:color="auto" w:sz="4" w:space="0"/>
            </w:tcBorders>
            <w:vAlign w:val="center"/>
          </w:tcPr>
          <w:p w14:paraId="60AB4FF1">
            <w:pPr>
              <w:pStyle w:val="16"/>
              <w:jc w:val="center"/>
              <w:rPr>
                <w:rFonts w:hint="eastAsia" w:hAnsi="宋体" w:cs="宋体"/>
                <w:color w:val="auto"/>
                <w:szCs w:val="21"/>
                <w:highlight w:val="none"/>
              </w:rPr>
            </w:pPr>
          </w:p>
        </w:tc>
        <w:tc>
          <w:tcPr>
            <w:tcW w:w="1216" w:type="dxa"/>
            <w:tcBorders>
              <w:top w:val="single" w:color="auto" w:sz="4" w:space="0"/>
              <w:left w:val="single" w:color="auto" w:sz="4" w:space="0"/>
              <w:bottom w:val="single" w:color="auto" w:sz="4" w:space="0"/>
              <w:right w:val="single" w:color="auto" w:sz="4" w:space="0"/>
            </w:tcBorders>
            <w:vAlign w:val="center"/>
          </w:tcPr>
          <w:p w14:paraId="55321C80">
            <w:pPr>
              <w:snapToGrid w:val="0"/>
              <w:spacing w:line="360" w:lineRule="exact"/>
              <w:jc w:val="center"/>
              <w:rPr>
                <w:rFonts w:hint="eastAsia" w:ascii="宋体" w:hAnsi="宋体" w:cs="宋体"/>
                <w:color w:val="auto"/>
                <w:sz w:val="24"/>
                <w:highlight w:val="none"/>
              </w:rPr>
            </w:pPr>
          </w:p>
        </w:tc>
        <w:tc>
          <w:tcPr>
            <w:tcW w:w="1105" w:type="dxa"/>
            <w:tcBorders>
              <w:top w:val="single" w:color="auto" w:sz="4" w:space="0"/>
              <w:left w:val="single" w:color="auto" w:sz="4" w:space="0"/>
              <w:bottom w:val="single" w:color="auto" w:sz="4" w:space="0"/>
              <w:right w:val="single" w:color="auto" w:sz="4" w:space="0"/>
            </w:tcBorders>
            <w:vAlign w:val="center"/>
          </w:tcPr>
          <w:p w14:paraId="18DBACA0">
            <w:pPr>
              <w:snapToGrid w:val="0"/>
              <w:spacing w:line="360" w:lineRule="exact"/>
              <w:jc w:val="center"/>
              <w:rPr>
                <w:rFonts w:hint="eastAsia" w:ascii="宋体" w:hAnsi="宋体" w:cs="宋体"/>
                <w:color w:val="auto"/>
                <w:sz w:val="24"/>
                <w:highlight w:val="none"/>
              </w:rPr>
            </w:pPr>
          </w:p>
        </w:tc>
        <w:tc>
          <w:tcPr>
            <w:tcW w:w="1309" w:type="dxa"/>
            <w:tcBorders>
              <w:top w:val="single" w:color="auto" w:sz="4" w:space="0"/>
              <w:left w:val="single" w:color="auto" w:sz="4" w:space="0"/>
              <w:bottom w:val="single" w:color="auto" w:sz="4" w:space="0"/>
              <w:right w:val="single" w:color="auto" w:sz="4" w:space="0"/>
            </w:tcBorders>
            <w:vAlign w:val="center"/>
          </w:tcPr>
          <w:p w14:paraId="1CEB851F">
            <w:pPr>
              <w:jc w:val="center"/>
              <w:rPr>
                <w:rFonts w:hint="eastAsia" w:ascii="宋体" w:hAnsi="宋体" w:cs="宋体"/>
                <w:color w:val="auto"/>
                <w:highlight w:val="none"/>
              </w:rPr>
            </w:pPr>
          </w:p>
        </w:tc>
        <w:tc>
          <w:tcPr>
            <w:tcW w:w="1295" w:type="dxa"/>
            <w:tcBorders>
              <w:top w:val="single" w:color="auto" w:sz="4" w:space="0"/>
              <w:left w:val="single" w:color="auto" w:sz="4" w:space="0"/>
              <w:bottom w:val="single" w:color="auto" w:sz="4" w:space="0"/>
              <w:right w:val="single" w:color="auto" w:sz="4" w:space="0"/>
            </w:tcBorders>
            <w:vAlign w:val="center"/>
          </w:tcPr>
          <w:p w14:paraId="39CA825B">
            <w:pPr>
              <w:jc w:val="center"/>
              <w:rPr>
                <w:rFonts w:hint="eastAsia" w:ascii="宋体" w:hAnsi="宋体" w:cs="宋体"/>
                <w:color w:val="auto"/>
                <w:highlight w:val="none"/>
              </w:rPr>
            </w:pPr>
          </w:p>
        </w:tc>
        <w:tc>
          <w:tcPr>
            <w:tcW w:w="1146" w:type="dxa"/>
            <w:vMerge w:val="continue"/>
            <w:tcBorders>
              <w:left w:val="single" w:color="auto" w:sz="4" w:space="0"/>
              <w:right w:val="single" w:color="auto" w:sz="4" w:space="0"/>
            </w:tcBorders>
            <w:vAlign w:val="center"/>
          </w:tcPr>
          <w:p w14:paraId="60C9548B">
            <w:pPr>
              <w:pStyle w:val="16"/>
              <w:jc w:val="center"/>
              <w:rPr>
                <w:rFonts w:hint="eastAsia" w:hAnsi="宋体" w:cs="宋体"/>
                <w:color w:val="auto"/>
                <w:szCs w:val="21"/>
                <w:highlight w:val="none"/>
              </w:rPr>
            </w:pPr>
          </w:p>
        </w:tc>
      </w:tr>
      <w:tr w14:paraId="1B8ED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3495CFE5">
            <w:pPr>
              <w:jc w:val="center"/>
              <w:rPr>
                <w:rFonts w:hint="eastAsia" w:ascii="宋体" w:hAnsi="宋体" w:cs="宋体"/>
                <w:color w:val="auto"/>
                <w:highlight w:val="none"/>
              </w:rPr>
            </w:pPr>
            <w:r>
              <w:rPr>
                <w:rFonts w:hint="eastAsia" w:ascii="宋体" w:hAnsi="宋体" w:cs="宋体"/>
                <w:color w:val="auto"/>
                <w:highlight w:val="none"/>
              </w:rPr>
              <w:t>4</w:t>
            </w:r>
          </w:p>
        </w:tc>
        <w:tc>
          <w:tcPr>
            <w:tcW w:w="2116" w:type="dxa"/>
            <w:tcBorders>
              <w:top w:val="single" w:color="auto" w:sz="4" w:space="0"/>
              <w:left w:val="single" w:color="auto" w:sz="4" w:space="0"/>
              <w:bottom w:val="single" w:color="auto" w:sz="4" w:space="0"/>
              <w:right w:val="single" w:color="auto" w:sz="4" w:space="0"/>
            </w:tcBorders>
            <w:vAlign w:val="center"/>
          </w:tcPr>
          <w:p w14:paraId="22A7E875">
            <w:pPr>
              <w:snapToGrid w:val="0"/>
              <w:spacing w:line="360" w:lineRule="exact"/>
              <w:jc w:val="center"/>
              <w:rPr>
                <w:rFonts w:hint="eastAsia" w:ascii="宋体" w:hAnsi="宋体" w:cs="宋体"/>
                <w:color w:val="auto"/>
                <w:sz w:val="24"/>
                <w:highlight w:val="none"/>
              </w:rPr>
            </w:pPr>
          </w:p>
        </w:tc>
        <w:tc>
          <w:tcPr>
            <w:tcW w:w="1255" w:type="dxa"/>
            <w:vMerge w:val="continue"/>
            <w:tcBorders>
              <w:left w:val="single" w:color="auto" w:sz="4" w:space="0"/>
              <w:right w:val="single" w:color="auto" w:sz="4" w:space="0"/>
            </w:tcBorders>
            <w:vAlign w:val="center"/>
          </w:tcPr>
          <w:p w14:paraId="014BA859">
            <w:pPr>
              <w:pStyle w:val="16"/>
              <w:jc w:val="center"/>
              <w:rPr>
                <w:rFonts w:hint="eastAsia" w:hAnsi="宋体" w:cs="宋体"/>
                <w:color w:val="auto"/>
                <w:szCs w:val="21"/>
                <w:highlight w:val="none"/>
              </w:rPr>
            </w:pPr>
          </w:p>
        </w:tc>
        <w:tc>
          <w:tcPr>
            <w:tcW w:w="1216" w:type="dxa"/>
            <w:tcBorders>
              <w:top w:val="single" w:color="auto" w:sz="4" w:space="0"/>
              <w:left w:val="single" w:color="auto" w:sz="4" w:space="0"/>
              <w:bottom w:val="single" w:color="auto" w:sz="4" w:space="0"/>
              <w:right w:val="single" w:color="auto" w:sz="4" w:space="0"/>
            </w:tcBorders>
            <w:vAlign w:val="center"/>
          </w:tcPr>
          <w:p w14:paraId="4E982CE9">
            <w:pPr>
              <w:snapToGrid w:val="0"/>
              <w:spacing w:line="360" w:lineRule="exact"/>
              <w:jc w:val="center"/>
              <w:rPr>
                <w:rFonts w:hint="eastAsia" w:ascii="宋体" w:hAnsi="宋体" w:cs="宋体"/>
                <w:color w:val="auto"/>
                <w:sz w:val="24"/>
                <w:highlight w:val="none"/>
              </w:rPr>
            </w:pPr>
          </w:p>
        </w:tc>
        <w:tc>
          <w:tcPr>
            <w:tcW w:w="1105" w:type="dxa"/>
            <w:tcBorders>
              <w:top w:val="single" w:color="auto" w:sz="4" w:space="0"/>
              <w:left w:val="single" w:color="auto" w:sz="4" w:space="0"/>
              <w:bottom w:val="single" w:color="auto" w:sz="4" w:space="0"/>
              <w:right w:val="single" w:color="auto" w:sz="4" w:space="0"/>
            </w:tcBorders>
            <w:vAlign w:val="center"/>
          </w:tcPr>
          <w:p w14:paraId="4323A7A8">
            <w:pPr>
              <w:snapToGrid w:val="0"/>
              <w:spacing w:line="360" w:lineRule="exact"/>
              <w:jc w:val="center"/>
              <w:rPr>
                <w:rFonts w:hint="eastAsia" w:ascii="宋体" w:hAnsi="宋体" w:cs="宋体"/>
                <w:color w:val="auto"/>
                <w:sz w:val="24"/>
                <w:highlight w:val="none"/>
              </w:rPr>
            </w:pPr>
          </w:p>
        </w:tc>
        <w:tc>
          <w:tcPr>
            <w:tcW w:w="1309" w:type="dxa"/>
            <w:tcBorders>
              <w:top w:val="single" w:color="auto" w:sz="4" w:space="0"/>
              <w:left w:val="single" w:color="auto" w:sz="4" w:space="0"/>
              <w:bottom w:val="single" w:color="auto" w:sz="4" w:space="0"/>
              <w:right w:val="single" w:color="auto" w:sz="4" w:space="0"/>
            </w:tcBorders>
            <w:vAlign w:val="center"/>
          </w:tcPr>
          <w:p w14:paraId="5B8F1E00">
            <w:pPr>
              <w:jc w:val="center"/>
              <w:rPr>
                <w:rFonts w:hint="eastAsia" w:ascii="宋体" w:hAnsi="宋体" w:cs="宋体"/>
                <w:color w:val="auto"/>
                <w:highlight w:val="none"/>
              </w:rPr>
            </w:pPr>
          </w:p>
        </w:tc>
        <w:tc>
          <w:tcPr>
            <w:tcW w:w="1295" w:type="dxa"/>
            <w:tcBorders>
              <w:top w:val="single" w:color="auto" w:sz="4" w:space="0"/>
              <w:left w:val="single" w:color="auto" w:sz="4" w:space="0"/>
              <w:bottom w:val="single" w:color="auto" w:sz="4" w:space="0"/>
              <w:right w:val="single" w:color="auto" w:sz="4" w:space="0"/>
            </w:tcBorders>
            <w:vAlign w:val="center"/>
          </w:tcPr>
          <w:p w14:paraId="01696298">
            <w:pPr>
              <w:jc w:val="center"/>
              <w:rPr>
                <w:rFonts w:hint="eastAsia" w:ascii="宋体" w:hAnsi="宋体" w:cs="宋体"/>
                <w:color w:val="auto"/>
                <w:highlight w:val="none"/>
              </w:rPr>
            </w:pPr>
          </w:p>
        </w:tc>
        <w:tc>
          <w:tcPr>
            <w:tcW w:w="1146" w:type="dxa"/>
            <w:vMerge w:val="continue"/>
            <w:tcBorders>
              <w:left w:val="single" w:color="auto" w:sz="4" w:space="0"/>
              <w:right w:val="single" w:color="auto" w:sz="4" w:space="0"/>
            </w:tcBorders>
            <w:vAlign w:val="center"/>
          </w:tcPr>
          <w:p w14:paraId="4CE97347">
            <w:pPr>
              <w:pStyle w:val="16"/>
              <w:jc w:val="center"/>
              <w:rPr>
                <w:rFonts w:hint="eastAsia" w:hAnsi="宋体" w:cs="宋体"/>
                <w:color w:val="auto"/>
                <w:szCs w:val="21"/>
                <w:highlight w:val="none"/>
              </w:rPr>
            </w:pPr>
          </w:p>
        </w:tc>
      </w:tr>
      <w:tr w14:paraId="13D97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 w:hRule="atLeast"/>
          <w:jc w:val="center"/>
        </w:trPr>
        <w:tc>
          <w:tcPr>
            <w:tcW w:w="802" w:type="dxa"/>
            <w:tcBorders>
              <w:top w:val="single" w:color="auto" w:sz="4" w:space="0"/>
              <w:left w:val="single" w:color="auto" w:sz="4" w:space="0"/>
              <w:bottom w:val="single" w:color="auto" w:sz="4" w:space="0"/>
              <w:right w:val="single" w:color="auto" w:sz="4" w:space="0"/>
            </w:tcBorders>
            <w:vAlign w:val="center"/>
          </w:tcPr>
          <w:p w14:paraId="40EE34AA">
            <w:pPr>
              <w:jc w:val="center"/>
              <w:rPr>
                <w:rFonts w:hint="eastAsia" w:ascii="宋体" w:hAnsi="宋体" w:cs="宋体"/>
                <w:color w:val="auto"/>
                <w:highlight w:val="none"/>
              </w:rPr>
            </w:pPr>
            <w:r>
              <w:rPr>
                <w:rFonts w:hint="eastAsia" w:ascii="宋体" w:hAnsi="宋体" w:cs="宋体"/>
                <w:color w:val="auto"/>
                <w:highlight w:val="none"/>
              </w:rPr>
              <w:t>5</w:t>
            </w:r>
          </w:p>
        </w:tc>
        <w:tc>
          <w:tcPr>
            <w:tcW w:w="2116" w:type="dxa"/>
            <w:tcBorders>
              <w:top w:val="single" w:color="auto" w:sz="4" w:space="0"/>
              <w:left w:val="single" w:color="auto" w:sz="4" w:space="0"/>
              <w:bottom w:val="single" w:color="auto" w:sz="4" w:space="0"/>
              <w:right w:val="single" w:color="auto" w:sz="4" w:space="0"/>
            </w:tcBorders>
            <w:vAlign w:val="center"/>
          </w:tcPr>
          <w:p w14:paraId="03FFE4EC">
            <w:pPr>
              <w:snapToGrid w:val="0"/>
              <w:spacing w:line="360" w:lineRule="exact"/>
              <w:jc w:val="center"/>
              <w:rPr>
                <w:rFonts w:hint="eastAsia" w:ascii="宋体" w:hAnsi="宋体" w:cs="宋体"/>
                <w:color w:val="auto"/>
                <w:sz w:val="24"/>
                <w:highlight w:val="none"/>
              </w:rPr>
            </w:pPr>
          </w:p>
        </w:tc>
        <w:tc>
          <w:tcPr>
            <w:tcW w:w="1255" w:type="dxa"/>
            <w:vMerge w:val="continue"/>
            <w:tcBorders>
              <w:left w:val="single" w:color="auto" w:sz="4" w:space="0"/>
              <w:right w:val="single" w:color="auto" w:sz="4" w:space="0"/>
            </w:tcBorders>
            <w:vAlign w:val="center"/>
          </w:tcPr>
          <w:p w14:paraId="6CFAF840">
            <w:pPr>
              <w:pStyle w:val="16"/>
              <w:jc w:val="center"/>
              <w:rPr>
                <w:rFonts w:hint="eastAsia" w:hAnsi="宋体" w:cs="宋体"/>
                <w:color w:val="auto"/>
                <w:szCs w:val="21"/>
                <w:highlight w:val="none"/>
              </w:rPr>
            </w:pPr>
          </w:p>
        </w:tc>
        <w:tc>
          <w:tcPr>
            <w:tcW w:w="1216" w:type="dxa"/>
            <w:tcBorders>
              <w:top w:val="single" w:color="auto" w:sz="4" w:space="0"/>
              <w:left w:val="single" w:color="auto" w:sz="4" w:space="0"/>
              <w:bottom w:val="single" w:color="auto" w:sz="4" w:space="0"/>
              <w:right w:val="single" w:color="auto" w:sz="4" w:space="0"/>
            </w:tcBorders>
            <w:vAlign w:val="center"/>
          </w:tcPr>
          <w:p w14:paraId="72235C37">
            <w:pPr>
              <w:snapToGrid w:val="0"/>
              <w:spacing w:line="360" w:lineRule="exact"/>
              <w:jc w:val="center"/>
              <w:rPr>
                <w:rFonts w:hint="eastAsia" w:ascii="宋体" w:hAnsi="宋体" w:cs="宋体"/>
                <w:color w:val="auto"/>
                <w:sz w:val="24"/>
                <w:highlight w:val="none"/>
              </w:rPr>
            </w:pPr>
          </w:p>
        </w:tc>
        <w:tc>
          <w:tcPr>
            <w:tcW w:w="1105" w:type="dxa"/>
            <w:tcBorders>
              <w:top w:val="single" w:color="auto" w:sz="4" w:space="0"/>
              <w:left w:val="single" w:color="auto" w:sz="4" w:space="0"/>
              <w:bottom w:val="single" w:color="auto" w:sz="4" w:space="0"/>
              <w:right w:val="single" w:color="auto" w:sz="4" w:space="0"/>
            </w:tcBorders>
            <w:vAlign w:val="center"/>
          </w:tcPr>
          <w:p w14:paraId="03884384">
            <w:pPr>
              <w:snapToGrid w:val="0"/>
              <w:spacing w:line="360" w:lineRule="exact"/>
              <w:jc w:val="center"/>
              <w:rPr>
                <w:rFonts w:hint="eastAsia" w:ascii="宋体" w:hAnsi="宋体" w:cs="宋体"/>
                <w:color w:val="auto"/>
                <w:sz w:val="24"/>
                <w:highlight w:val="none"/>
              </w:rPr>
            </w:pPr>
          </w:p>
        </w:tc>
        <w:tc>
          <w:tcPr>
            <w:tcW w:w="1309" w:type="dxa"/>
            <w:tcBorders>
              <w:top w:val="single" w:color="auto" w:sz="4" w:space="0"/>
              <w:left w:val="single" w:color="auto" w:sz="4" w:space="0"/>
              <w:bottom w:val="single" w:color="auto" w:sz="4" w:space="0"/>
              <w:right w:val="single" w:color="auto" w:sz="4" w:space="0"/>
            </w:tcBorders>
            <w:vAlign w:val="center"/>
          </w:tcPr>
          <w:p w14:paraId="692EB8CC">
            <w:pPr>
              <w:jc w:val="center"/>
              <w:rPr>
                <w:rFonts w:hint="eastAsia" w:ascii="宋体" w:hAnsi="宋体" w:cs="宋体"/>
                <w:color w:val="auto"/>
                <w:highlight w:val="none"/>
              </w:rPr>
            </w:pPr>
          </w:p>
        </w:tc>
        <w:tc>
          <w:tcPr>
            <w:tcW w:w="1295" w:type="dxa"/>
            <w:tcBorders>
              <w:top w:val="single" w:color="auto" w:sz="4" w:space="0"/>
              <w:left w:val="single" w:color="auto" w:sz="4" w:space="0"/>
              <w:bottom w:val="single" w:color="auto" w:sz="4" w:space="0"/>
              <w:right w:val="single" w:color="auto" w:sz="4" w:space="0"/>
            </w:tcBorders>
            <w:vAlign w:val="center"/>
          </w:tcPr>
          <w:p w14:paraId="295DB969">
            <w:pPr>
              <w:jc w:val="center"/>
              <w:rPr>
                <w:rFonts w:hint="eastAsia" w:ascii="宋体" w:hAnsi="宋体" w:cs="宋体"/>
                <w:color w:val="auto"/>
                <w:highlight w:val="none"/>
              </w:rPr>
            </w:pPr>
          </w:p>
        </w:tc>
        <w:tc>
          <w:tcPr>
            <w:tcW w:w="1146" w:type="dxa"/>
            <w:vMerge w:val="continue"/>
            <w:tcBorders>
              <w:left w:val="single" w:color="auto" w:sz="4" w:space="0"/>
              <w:bottom w:val="single" w:color="auto" w:sz="4" w:space="0"/>
              <w:right w:val="single" w:color="auto" w:sz="4" w:space="0"/>
            </w:tcBorders>
            <w:vAlign w:val="center"/>
          </w:tcPr>
          <w:p w14:paraId="4EA90C9A">
            <w:pPr>
              <w:pStyle w:val="16"/>
              <w:jc w:val="center"/>
              <w:rPr>
                <w:rFonts w:hint="eastAsia" w:hAnsi="宋体" w:cs="宋体"/>
                <w:color w:val="auto"/>
                <w:szCs w:val="21"/>
                <w:highlight w:val="none"/>
              </w:rPr>
            </w:pPr>
          </w:p>
        </w:tc>
      </w:tr>
      <w:tr w14:paraId="0D8BF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7803" w:type="dxa"/>
            <w:gridSpan w:val="6"/>
            <w:tcBorders>
              <w:top w:val="single" w:color="auto" w:sz="4" w:space="0"/>
              <w:left w:val="single" w:color="auto" w:sz="4" w:space="0"/>
              <w:bottom w:val="single" w:color="auto" w:sz="4" w:space="0"/>
              <w:right w:val="single" w:color="auto" w:sz="4" w:space="0"/>
            </w:tcBorders>
            <w:vAlign w:val="center"/>
          </w:tcPr>
          <w:p w14:paraId="70B84BF8">
            <w:pPr>
              <w:pStyle w:val="16"/>
              <w:jc w:val="center"/>
              <w:rPr>
                <w:rFonts w:hint="eastAsia" w:hAnsi="宋体" w:cs="宋体"/>
                <w:color w:val="auto"/>
                <w:sz w:val="24"/>
                <w:highlight w:val="none"/>
              </w:rPr>
            </w:pPr>
            <w:r>
              <w:rPr>
                <w:rFonts w:hint="eastAsia" w:hAnsi="宋体" w:cs="宋体"/>
                <w:color w:val="auto"/>
                <w:sz w:val="24"/>
                <w:highlight w:val="none"/>
              </w:rPr>
              <w:t>合计（元/年）</w:t>
            </w:r>
          </w:p>
        </w:tc>
        <w:tc>
          <w:tcPr>
            <w:tcW w:w="2441" w:type="dxa"/>
            <w:gridSpan w:val="2"/>
            <w:tcBorders>
              <w:top w:val="single" w:color="auto" w:sz="4" w:space="0"/>
              <w:left w:val="single" w:color="auto" w:sz="4" w:space="0"/>
              <w:bottom w:val="single" w:color="auto" w:sz="4" w:space="0"/>
              <w:right w:val="single" w:color="auto" w:sz="4" w:space="0"/>
            </w:tcBorders>
            <w:vAlign w:val="center"/>
          </w:tcPr>
          <w:p w14:paraId="3F26FD5F">
            <w:pPr>
              <w:pStyle w:val="16"/>
              <w:rPr>
                <w:rFonts w:hint="eastAsia" w:hAnsi="宋体" w:cs="宋体"/>
                <w:color w:val="auto"/>
                <w:sz w:val="24"/>
                <w:highlight w:val="none"/>
              </w:rPr>
            </w:pPr>
          </w:p>
        </w:tc>
      </w:tr>
      <w:tr w14:paraId="506E9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jc w:val="center"/>
        </w:trPr>
        <w:tc>
          <w:tcPr>
            <w:tcW w:w="7803" w:type="dxa"/>
            <w:gridSpan w:val="6"/>
            <w:tcBorders>
              <w:top w:val="single" w:color="auto" w:sz="4" w:space="0"/>
              <w:left w:val="single" w:color="auto" w:sz="4" w:space="0"/>
              <w:bottom w:val="single" w:color="auto" w:sz="4" w:space="0"/>
              <w:right w:val="single" w:color="auto" w:sz="4" w:space="0"/>
            </w:tcBorders>
            <w:vAlign w:val="center"/>
          </w:tcPr>
          <w:p w14:paraId="033637BA">
            <w:pPr>
              <w:pStyle w:val="16"/>
              <w:jc w:val="center"/>
              <w:rPr>
                <w:rFonts w:hint="eastAsia" w:hAnsi="宋体" w:cs="宋体"/>
                <w:color w:val="auto"/>
                <w:sz w:val="24"/>
                <w:highlight w:val="none"/>
              </w:rPr>
            </w:pPr>
            <w:r>
              <w:rPr>
                <w:rFonts w:hint="eastAsia" w:hAnsi="宋体" w:cs="宋体"/>
                <w:color w:val="auto"/>
                <w:sz w:val="24"/>
                <w:highlight w:val="none"/>
              </w:rPr>
              <w:t>服务地点</w:t>
            </w:r>
          </w:p>
        </w:tc>
        <w:tc>
          <w:tcPr>
            <w:tcW w:w="2441" w:type="dxa"/>
            <w:gridSpan w:val="2"/>
            <w:tcBorders>
              <w:top w:val="single" w:color="auto" w:sz="4" w:space="0"/>
              <w:left w:val="single" w:color="auto" w:sz="4" w:space="0"/>
              <w:bottom w:val="single" w:color="auto" w:sz="4" w:space="0"/>
              <w:right w:val="single" w:color="auto" w:sz="4" w:space="0"/>
            </w:tcBorders>
            <w:vAlign w:val="center"/>
          </w:tcPr>
          <w:p w14:paraId="1517D78F">
            <w:pPr>
              <w:pStyle w:val="16"/>
              <w:rPr>
                <w:rFonts w:hint="eastAsia" w:hAnsi="宋体" w:cs="宋体"/>
                <w:color w:val="auto"/>
                <w:sz w:val="24"/>
                <w:highlight w:val="none"/>
              </w:rPr>
            </w:pPr>
          </w:p>
        </w:tc>
      </w:tr>
    </w:tbl>
    <w:p w14:paraId="79D66F4E">
      <w:pPr>
        <w:adjustRightInd w:val="0"/>
        <w:ind w:firstLine="2" w:firstLineChars="1"/>
        <w:rPr>
          <w:rFonts w:hint="eastAsia" w:ascii="宋体" w:hAnsi="宋体" w:cs="宋体"/>
          <w:color w:val="auto"/>
          <w:szCs w:val="21"/>
          <w:highlight w:val="none"/>
        </w:rPr>
      </w:pPr>
    </w:p>
    <w:p w14:paraId="40E21E17">
      <w:pPr>
        <w:spacing w:line="360" w:lineRule="auto"/>
        <w:ind w:firstLine="2" w:firstLineChars="1"/>
        <w:rPr>
          <w:rFonts w:hint="eastAsia" w:ascii="宋体" w:hAnsi="宋体" w:cs="宋体"/>
          <w:color w:val="auto"/>
          <w:szCs w:val="21"/>
          <w:highlight w:val="none"/>
        </w:rPr>
      </w:pPr>
      <w:r>
        <w:rPr>
          <w:rFonts w:hint="eastAsia" w:ascii="宋体" w:hAnsi="宋体" w:cs="宋体"/>
          <w:color w:val="auto"/>
          <w:szCs w:val="21"/>
          <w:highlight w:val="none"/>
        </w:rPr>
        <w:t>投 标 人：  （盖单位公章）</w:t>
      </w:r>
    </w:p>
    <w:p w14:paraId="27F7F2E5">
      <w:pPr>
        <w:spacing w:line="360" w:lineRule="auto"/>
        <w:ind w:firstLine="2" w:firstLineChars="1"/>
        <w:rPr>
          <w:rFonts w:hint="eastAsia" w:ascii="宋体" w:hAnsi="宋体" w:cs="宋体"/>
          <w:color w:val="auto"/>
          <w:szCs w:val="21"/>
          <w:highlight w:val="none"/>
        </w:rPr>
      </w:pPr>
      <w:r>
        <w:rPr>
          <w:rFonts w:hint="eastAsia" w:ascii="宋体" w:hAnsi="宋体" w:cs="宋体"/>
          <w:color w:val="auto"/>
          <w:szCs w:val="21"/>
          <w:highlight w:val="none"/>
        </w:rPr>
        <w:t>法定代表人或委托代理人：（</w:t>
      </w:r>
      <w:r>
        <w:rPr>
          <w:rFonts w:hint="eastAsia" w:ascii="宋体" w:hAnsi="宋体" w:cs="宋体"/>
          <w:color w:val="auto"/>
          <w:highlight w:val="none"/>
        </w:rPr>
        <w:t>签名或盖章</w:t>
      </w:r>
      <w:r>
        <w:rPr>
          <w:rFonts w:hint="eastAsia" w:ascii="宋体" w:hAnsi="宋体" w:cs="宋体"/>
          <w:color w:val="auto"/>
          <w:szCs w:val="21"/>
          <w:highlight w:val="none"/>
        </w:rPr>
        <w:t>）</w:t>
      </w:r>
    </w:p>
    <w:p w14:paraId="59351724">
      <w:pPr>
        <w:spacing w:line="360" w:lineRule="auto"/>
        <w:ind w:firstLine="630" w:firstLineChars="300"/>
        <w:rPr>
          <w:rFonts w:hint="eastAsia" w:ascii="宋体" w:hAnsi="宋体" w:cs="宋体"/>
          <w:color w:val="auto"/>
          <w:szCs w:val="21"/>
          <w:highlight w:val="none"/>
        </w:rPr>
      </w:pPr>
      <w:r>
        <w:rPr>
          <w:rFonts w:hint="eastAsia" w:ascii="宋体" w:hAnsi="宋体" w:cs="宋体"/>
          <w:color w:val="auto"/>
          <w:szCs w:val="21"/>
          <w:highlight w:val="none"/>
        </w:rPr>
        <w:t>年   月   日</w:t>
      </w:r>
    </w:p>
    <w:p w14:paraId="7030A29C">
      <w:pPr>
        <w:spacing w:line="360" w:lineRule="auto"/>
        <w:ind w:firstLine="2" w:firstLineChars="1"/>
        <w:rPr>
          <w:rFonts w:hint="eastAsia" w:ascii="宋体" w:hAnsi="宋体" w:cs="宋体"/>
          <w:color w:val="auto"/>
          <w:szCs w:val="21"/>
          <w:highlight w:val="none"/>
        </w:rPr>
      </w:pPr>
      <w:r>
        <w:rPr>
          <w:rFonts w:hint="eastAsia" w:ascii="宋体" w:hAnsi="宋体" w:cs="宋体"/>
          <w:color w:val="auto"/>
          <w:szCs w:val="21"/>
          <w:highlight w:val="none"/>
        </w:rPr>
        <w:t>注：</w:t>
      </w:r>
    </w:p>
    <w:p w14:paraId="6B0722AD">
      <w:pPr>
        <w:spacing w:line="360" w:lineRule="auto"/>
        <w:ind w:firstLine="2" w:firstLineChars="1"/>
        <w:rPr>
          <w:rFonts w:hint="eastAsia" w:ascii="宋体" w:hAnsi="宋体" w:cs="宋体"/>
          <w:color w:val="auto"/>
          <w:szCs w:val="21"/>
          <w:highlight w:val="none"/>
        </w:rPr>
      </w:pPr>
      <w:r>
        <w:rPr>
          <w:rFonts w:hint="eastAsia" w:ascii="宋体" w:hAnsi="宋体" w:cs="宋体"/>
          <w:b/>
          <w:color w:val="auto"/>
          <w:szCs w:val="21"/>
          <w:highlight w:val="none"/>
        </w:rPr>
        <w:t>★1.未填写本表格的投标人将不能通过符合性审查。</w:t>
      </w:r>
    </w:p>
    <w:p w14:paraId="7FD377B4">
      <w:pPr>
        <w:spacing w:line="360" w:lineRule="auto"/>
        <w:ind w:firstLine="2" w:firstLineChars="1"/>
        <w:rPr>
          <w:rFonts w:hint="eastAsia" w:ascii="宋体" w:hAnsi="宋体" w:cs="宋体"/>
          <w:b/>
          <w:color w:val="auto"/>
          <w:szCs w:val="21"/>
          <w:highlight w:val="none"/>
        </w:rPr>
      </w:pPr>
      <w:r>
        <w:rPr>
          <w:rFonts w:hint="eastAsia" w:ascii="宋体" w:hAnsi="宋体"/>
          <w:b/>
          <w:color w:val="auto"/>
          <w:szCs w:val="21"/>
          <w:highlight w:val="none"/>
        </w:rPr>
        <w:t>2.投标人须按文件格式要求提供中小企业声明函（残疾人福利性单位声明函、监狱企业证明文件），否则，</w:t>
      </w:r>
      <w:r>
        <w:rPr>
          <w:rFonts w:hint="eastAsia" w:ascii="宋体" w:hAnsi="宋体"/>
          <w:b/>
          <w:color w:val="auto"/>
          <w:szCs w:val="21"/>
          <w:highlight w:val="none"/>
          <w:lang w:val="en-US" w:eastAsia="zh-CN"/>
        </w:rPr>
        <w:t>资格审核不予通过</w:t>
      </w:r>
      <w:r>
        <w:rPr>
          <w:rFonts w:hint="eastAsia" w:ascii="宋体" w:hAnsi="宋体"/>
          <w:b/>
          <w:color w:val="auto"/>
          <w:szCs w:val="21"/>
          <w:highlight w:val="none"/>
        </w:rPr>
        <w:t>。</w:t>
      </w:r>
    </w:p>
    <w:p w14:paraId="660F0D49">
      <w:pPr>
        <w:spacing w:line="360" w:lineRule="auto"/>
        <w:ind w:firstLine="2" w:firstLineChars="1"/>
        <w:rPr>
          <w:rFonts w:hint="eastAsia" w:ascii="宋体" w:hAnsi="宋体" w:cs="宋体"/>
          <w:b/>
          <w:color w:val="auto"/>
          <w:szCs w:val="21"/>
          <w:highlight w:val="none"/>
        </w:rPr>
      </w:pPr>
      <w:r>
        <w:rPr>
          <w:rFonts w:hint="eastAsia" w:ascii="宋体" w:hAnsi="宋体" w:cs="宋体"/>
          <w:bCs/>
          <w:color w:val="auto"/>
          <w:szCs w:val="21"/>
          <w:highlight w:val="none"/>
        </w:rPr>
        <w:t>3.</w:t>
      </w:r>
      <w:r>
        <w:rPr>
          <w:rFonts w:hint="eastAsia" w:ascii="宋体" w:hAnsi="宋体" w:cs="宋体"/>
          <w:color w:val="auto"/>
          <w:szCs w:val="21"/>
          <w:highlight w:val="none"/>
        </w:rPr>
        <w:t>报价指完成各项服务所需的各种费用及必要的保险费用和各项税金等所有费用的总和。包括但不限于：人员的工资、培训学习、个人保险、生活补贴、劳保用品费用、着装等相关费用</w:t>
      </w:r>
      <w:r>
        <w:rPr>
          <w:rFonts w:hint="eastAsia" w:ascii="宋体" w:hAnsi="宋体" w:cs="宋体"/>
          <w:b/>
          <w:color w:val="auto"/>
          <w:szCs w:val="21"/>
          <w:highlight w:val="none"/>
        </w:rPr>
        <w:t>。</w:t>
      </w:r>
    </w:p>
    <w:p w14:paraId="4342411C">
      <w:pPr>
        <w:spacing w:line="360" w:lineRule="auto"/>
        <w:ind w:firstLine="2" w:firstLineChars="1"/>
        <w:rPr>
          <w:rFonts w:hint="eastAsia" w:ascii="宋体" w:hAnsi="宋体" w:cs="宋体"/>
          <w:color w:val="auto"/>
          <w:szCs w:val="21"/>
          <w:highlight w:val="none"/>
        </w:rPr>
      </w:pPr>
      <w:r>
        <w:rPr>
          <w:rFonts w:hint="eastAsia" w:ascii="宋体" w:hAnsi="宋体" w:cs="宋体"/>
          <w:color w:val="auto"/>
          <w:szCs w:val="21"/>
          <w:highlight w:val="none"/>
        </w:rPr>
        <w:t>4.表格长度可根据需要自行调整，表中所列内容为必须填写项目，投标人可根据自身情况增加内容。</w:t>
      </w:r>
    </w:p>
    <w:p w14:paraId="43BAED09">
      <w:pPr>
        <w:spacing w:line="360" w:lineRule="auto"/>
        <w:ind w:firstLine="2" w:firstLineChars="1"/>
        <w:rPr>
          <w:rFonts w:hint="eastAsia" w:ascii="宋体" w:hAnsi="宋体" w:cs="宋体"/>
          <w:b/>
          <w:bCs/>
          <w:color w:val="auto"/>
          <w:szCs w:val="21"/>
          <w:highlight w:val="none"/>
        </w:rPr>
        <w:sectPr>
          <w:pgSz w:w="11906" w:h="16838"/>
          <w:pgMar w:top="1418" w:right="1134" w:bottom="1134" w:left="1418" w:header="935" w:footer="720" w:gutter="0"/>
          <w:cols w:space="720" w:num="1"/>
          <w:rtlGutter w:val="1"/>
          <w:docGrid w:type="linesAndChars" w:linePitch="331" w:charSpace="0"/>
        </w:sectPr>
      </w:pPr>
    </w:p>
    <w:p w14:paraId="0AFEE6CA">
      <w:pPr>
        <w:pStyle w:val="2"/>
        <w:numPr>
          <w:ilvl w:val="0"/>
          <w:numId w:val="0"/>
        </w:numPr>
        <w:jc w:val="center"/>
        <w:rPr>
          <w:rStyle w:val="42"/>
          <w:rFonts w:hint="eastAsia" w:ascii="宋体" w:hAnsi="宋体" w:eastAsia="宋体" w:cs="宋体"/>
          <w:b/>
          <w:color w:val="auto"/>
          <w:sz w:val="36"/>
          <w:szCs w:val="36"/>
          <w:highlight w:val="none"/>
        </w:rPr>
      </w:pPr>
      <w:bookmarkStart w:id="425" w:name="_Toc21482"/>
      <w:bookmarkStart w:id="426" w:name="_Toc24091"/>
      <w:bookmarkStart w:id="427" w:name="_Toc866"/>
      <w:bookmarkStart w:id="428" w:name="_Toc2676"/>
      <w:r>
        <w:rPr>
          <w:rStyle w:val="42"/>
          <w:rFonts w:hint="eastAsia" w:ascii="宋体" w:hAnsi="宋体" w:eastAsia="宋体" w:cs="宋体"/>
          <w:b/>
          <w:color w:val="auto"/>
          <w:sz w:val="36"/>
          <w:szCs w:val="36"/>
          <w:highlight w:val="none"/>
        </w:rPr>
        <w:t>第五章  服务需求</w:t>
      </w:r>
      <w:bookmarkEnd w:id="425"/>
      <w:bookmarkEnd w:id="426"/>
      <w:bookmarkEnd w:id="427"/>
      <w:bookmarkEnd w:id="428"/>
    </w:p>
    <w:p w14:paraId="7C5C6111">
      <w:pPr>
        <w:adjustRightInd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说明：</w:t>
      </w:r>
    </w:p>
    <w:p w14:paraId="4EBC1801">
      <w:pPr>
        <w:numPr>
          <w:ilvl w:val="0"/>
          <w:numId w:val="6"/>
        </w:numPr>
        <w:spacing w:line="360" w:lineRule="auto"/>
        <w:ind w:firstLine="480" w:firstLineChars="200"/>
        <w:rPr>
          <w:rFonts w:hint="eastAsia" w:ascii="宋体" w:hAnsi="宋体" w:cs="宋体"/>
          <w:b/>
          <w:color w:val="auto"/>
          <w:sz w:val="24"/>
          <w:highlight w:val="none"/>
        </w:rPr>
      </w:pPr>
      <w:r>
        <w:rPr>
          <w:rFonts w:hint="eastAsia" w:ascii="宋体" w:hAnsi="宋体" w:cs="宋体"/>
          <w:b/>
          <w:color w:val="auto"/>
          <w:sz w:val="24"/>
          <w:highlight w:val="none"/>
        </w:rPr>
        <w:t>投标人须根据技术要求提供符合采购人需求，与实际情况一致、可操作性强的详细解决方案，无特殊情况不得更改。</w:t>
      </w:r>
    </w:p>
    <w:p w14:paraId="13C1AB31">
      <w:pPr>
        <w:numPr>
          <w:ilvl w:val="0"/>
          <w:numId w:val="6"/>
        </w:numPr>
        <w:spacing w:line="360" w:lineRule="auto"/>
        <w:ind w:firstLine="480" w:firstLineChars="200"/>
        <w:rPr>
          <w:b/>
          <w:bCs/>
          <w:color w:val="auto"/>
          <w:sz w:val="24"/>
          <w:highlight w:val="none"/>
        </w:rPr>
      </w:pPr>
      <w:r>
        <w:rPr>
          <w:rFonts w:hint="eastAsia"/>
          <w:b/>
          <w:bCs/>
          <w:color w:val="auto"/>
          <w:sz w:val="24"/>
          <w:highlight w:val="none"/>
        </w:rPr>
        <w:t>服务需求中标注★号的部分为实质性要求和条件，投标人必须作出满足或者优于原要求和条件的承诺，否则投标无效。</w:t>
      </w:r>
    </w:p>
    <w:p w14:paraId="1DB63D5D">
      <w:pPr>
        <w:spacing w:line="360" w:lineRule="auto"/>
        <w:ind w:firstLine="480" w:firstLineChars="200"/>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b/>
          <w:bCs/>
          <w:color w:val="auto"/>
          <w:sz w:val="24"/>
          <w:highlight w:val="none"/>
        </w:rPr>
        <w:t>一、简要概况</w:t>
      </w:r>
      <w:r>
        <w:rPr>
          <w:rFonts w:hint="eastAsia" w:asciiTheme="minorEastAsia" w:hAnsiTheme="minorEastAsia" w:eastAsiaTheme="minorEastAsia" w:cstheme="minorEastAsia"/>
          <w:b/>
          <w:bCs/>
          <w:color w:val="auto"/>
          <w:sz w:val="24"/>
          <w:highlight w:val="none"/>
          <w:lang w:val="en-US" w:eastAsia="zh-CN"/>
        </w:rPr>
        <w:t xml:space="preserve"> </w:t>
      </w:r>
    </w:p>
    <w:p w14:paraId="2AE67BE6">
      <w:pPr>
        <w:spacing w:line="360" w:lineRule="auto"/>
        <w:ind w:firstLine="46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pacing w:val="10"/>
          <w:szCs w:val="21"/>
          <w:highlight w:val="none"/>
          <w:lang w:val="en-US" w:eastAsia="zh-CN"/>
        </w:rPr>
        <w:t>学院位于云南省昆明安宁市昆畹中路23号，占地面积1167.65亩，拥有单体建筑37栋，总建筑面积31.7万平米，建设4个国家级高技能人才培训基地，2个世界技能大赛中国集训基地、1个国家级康养基地，4个省级公共集训基地，60多个校内实训基地。物业服务主要包含，环境卫生保障、校园公物、水电气设施日常维护及修缮服务</w:t>
      </w:r>
      <w:r>
        <w:rPr>
          <w:rFonts w:hint="eastAsia" w:asciiTheme="minorEastAsia" w:hAnsiTheme="minorEastAsia" w:eastAsiaTheme="minorEastAsia" w:cstheme="minorEastAsia"/>
          <w:color w:val="auto"/>
          <w:szCs w:val="21"/>
          <w:highlight w:val="none"/>
        </w:rPr>
        <w:t>。</w:t>
      </w:r>
    </w:p>
    <w:p w14:paraId="6F60096C">
      <w:pPr>
        <w:spacing w:line="360" w:lineRule="auto"/>
        <w:ind w:firstLine="480" w:firstLineChars="200"/>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sz w:val="24"/>
          <w:highlight w:val="none"/>
        </w:rPr>
        <w:t>二、需执行的国家相关标准、行业标准及规范</w:t>
      </w:r>
      <w:r>
        <w:rPr>
          <w:rFonts w:hint="eastAsia" w:asciiTheme="minorEastAsia" w:hAnsiTheme="minorEastAsia" w:eastAsiaTheme="minorEastAsia" w:cstheme="minorEastAsia"/>
          <w:b/>
          <w:bCs/>
          <w:color w:val="auto"/>
          <w:sz w:val="24"/>
          <w:highlight w:val="none"/>
          <w:lang w:val="en-US" w:eastAsia="zh-CN"/>
        </w:rPr>
        <w:t xml:space="preserve"> </w:t>
      </w:r>
    </w:p>
    <w:p w14:paraId="0ABF9601">
      <w:pPr>
        <w:spacing w:line="360" w:lineRule="auto"/>
        <w:ind w:firstLine="460" w:firstLineChars="200"/>
        <w:rPr>
          <w:rFonts w:hint="eastAsia" w:asciiTheme="minorEastAsia" w:hAnsiTheme="minorEastAsia" w:eastAsiaTheme="minorEastAsia" w:cstheme="minorEastAsia"/>
          <w:color w:val="auto"/>
          <w:spacing w:val="10"/>
          <w:szCs w:val="21"/>
          <w:highlight w:val="none"/>
        </w:rPr>
      </w:pPr>
      <w:r>
        <w:rPr>
          <w:rFonts w:hint="eastAsia" w:asciiTheme="minorEastAsia" w:hAnsiTheme="minorEastAsia" w:eastAsiaTheme="minorEastAsia" w:cstheme="minorEastAsia"/>
          <w:color w:val="auto"/>
          <w:spacing w:val="10"/>
          <w:szCs w:val="21"/>
          <w:highlight w:val="none"/>
          <w:lang w:val="en-US" w:eastAsia="zh-CN"/>
        </w:rPr>
        <w:t>按照《物业考核表》、国家、省、市相关物业行业标准等对乙方进行监督、管理、考核。为了给师生员工提供一个优美的学习、工作和生活环境。保证完全按照合同要求提供相应物业管理服务，为采购人提供高质量管理服务，并随时接受采购人的检查、监督考核</w:t>
      </w:r>
      <w:r>
        <w:rPr>
          <w:rFonts w:hint="eastAsia" w:asciiTheme="minorEastAsia" w:hAnsiTheme="minorEastAsia" w:eastAsiaTheme="minorEastAsia" w:cstheme="minorEastAsia"/>
          <w:color w:val="auto"/>
          <w:spacing w:val="10"/>
          <w:szCs w:val="21"/>
          <w:highlight w:val="none"/>
        </w:rPr>
        <w:t>。</w:t>
      </w:r>
    </w:p>
    <w:p w14:paraId="1C9935C1">
      <w:pPr>
        <w:numPr>
          <w:ilvl w:val="0"/>
          <w:numId w:val="0"/>
        </w:numPr>
        <w:spacing w:line="360" w:lineRule="auto"/>
        <w:ind w:firstLine="480" w:firstLineChars="200"/>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kern w:val="2"/>
          <w:sz w:val="24"/>
          <w:szCs w:val="24"/>
          <w:lang w:val="en-US" w:eastAsia="zh-CN" w:bidi="ar-SA"/>
        </w:rPr>
        <w:t>三、</w:t>
      </w:r>
      <w:r>
        <w:rPr>
          <w:rFonts w:hint="eastAsia" w:asciiTheme="minorEastAsia" w:hAnsiTheme="minorEastAsia" w:eastAsiaTheme="minorEastAsia" w:cstheme="minorEastAsia"/>
          <w:b/>
          <w:bCs/>
          <w:color w:val="auto"/>
          <w:sz w:val="24"/>
          <w:highlight w:val="none"/>
        </w:rPr>
        <w:t>服务内容</w:t>
      </w:r>
      <w:r>
        <w:rPr>
          <w:rFonts w:hint="eastAsia" w:asciiTheme="minorEastAsia" w:hAnsiTheme="minorEastAsia" w:eastAsiaTheme="minorEastAsia" w:cstheme="minorEastAsia"/>
          <w:b/>
          <w:bCs/>
          <w:color w:val="auto"/>
          <w:sz w:val="24"/>
          <w:highlight w:val="none"/>
          <w:lang w:val="en-US" w:eastAsia="zh-CN"/>
        </w:rPr>
        <w:t xml:space="preserve"> </w:t>
      </w:r>
    </w:p>
    <w:p w14:paraId="40B7A30B">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云南技师学院（云南工贸职业技术学院）2026-2029年物业服项目（以下简称“本项目”）的预算金额为</w:t>
      </w:r>
      <w:r>
        <w:rPr>
          <w:rFonts w:hint="eastAsia" w:asciiTheme="minorEastAsia" w:hAnsiTheme="minorEastAsia" w:eastAsiaTheme="minorEastAsia" w:cstheme="minorEastAsia"/>
          <w:color w:val="auto"/>
          <w:spacing w:val="10"/>
          <w:szCs w:val="21"/>
          <w:highlight w:val="none"/>
          <w:lang w:val="en-US" w:eastAsia="zh-CN"/>
        </w:rPr>
        <w:t>300</w:t>
      </w:r>
      <w:r>
        <w:rPr>
          <w:rFonts w:hint="eastAsia" w:asciiTheme="minorEastAsia" w:hAnsiTheme="minorEastAsia" w:eastAsiaTheme="minorEastAsia" w:cstheme="minorEastAsia"/>
          <w:color w:val="auto"/>
          <w:spacing w:val="10"/>
          <w:szCs w:val="21"/>
          <w:highlight w:val="none"/>
          <w:lang w:eastAsia="zh-CN"/>
        </w:rPr>
        <w:t>0000.00 元/年（大写：叁佰万元整），最高限价为</w:t>
      </w:r>
      <w:r>
        <w:rPr>
          <w:rFonts w:hint="eastAsia" w:asciiTheme="minorEastAsia" w:hAnsiTheme="minorEastAsia" w:eastAsiaTheme="minorEastAsia" w:cstheme="minorEastAsia"/>
          <w:color w:val="auto"/>
          <w:spacing w:val="10"/>
          <w:szCs w:val="21"/>
          <w:highlight w:val="none"/>
          <w:lang w:val="en-US" w:eastAsia="zh-CN"/>
        </w:rPr>
        <w:t>300</w:t>
      </w:r>
      <w:r>
        <w:rPr>
          <w:rFonts w:hint="eastAsia" w:asciiTheme="minorEastAsia" w:hAnsiTheme="minorEastAsia" w:eastAsiaTheme="minorEastAsia" w:cstheme="minorEastAsia"/>
          <w:color w:val="auto"/>
          <w:spacing w:val="10"/>
          <w:szCs w:val="21"/>
          <w:highlight w:val="none"/>
          <w:lang w:eastAsia="zh-CN"/>
        </w:rPr>
        <w:t>0000.00元/年（大写：叁佰万元整）。服务费用包括物业管理服务成本、法定税费和中标人的利润等一切应有费用，投标人报价包含但不限于人员工资、社会保险费、个人服装及防护设备、员工培训费、管理费、税金等，项目实施过程中采购人不接受任何原因导致的价格调整。本项目包含以下服务内容，具体要求如下：</w:t>
      </w:r>
    </w:p>
    <w:p w14:paraId="7132CE1D">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（一）安宁校区物业服务</w:t>
      </w:r>
    </w:p>
    <w:p w14:paraId="15C19405">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1.已建投入使用的房屋建筑（建筑面积</w:t>
      </w:r>
      <w:r>
        <w:rPr>
          <w:rFonts w:hint="eastAsia" w:asciiTheme="minorEastAsia" w:hAnsiTheme="minorEastAsia" w:eastAsiaTheme="minorEastAsia" w:cstheme="minorEastAsia"/>
          <w:color w:val="auto"/>
          <w:spacing w:val="10"/>
          <w:szCs w:val="21"/>
          <w:highlight w:val="none"/>
          <w:lang w:eastAsia="zh-CN"/>
        </w:rPr>
        <w:t>423608.46</w:t>
      </w:r>
      <w:r>
        <w:rPr>
          <w:rFonts w:hint="eastAsia" w:asciiTheme="minorEastAsia" w:hAnsiTheme="minorEastAsia" w:eastAsiaTheme="minorEastAsia" w:cstheme="minorEastAsia"/>
          <w:color w:val="auto"/>
          <w:spacing w:val="10"/>
          <w:szCs w:val="21"/>
          <w:highlight w:val="none"/>
          <w:lang w:val="en-US" w:eastAsia="zh-CN"/>
        </w:rPr>
        <w:t>平方米）公共设施的管理、养护及相应修缮。含房屋建筑、配套设施、屋顶、外墙面、供水管道、落水管、楼梯间、电梯间、走廊通道、门厅、公用卫生间、设备机房、屋面排水沟、停车场、中水处理站等。</w:t>
      </w:r>
    </w:p>
    <w:p w14:paraId="44E7A5D2">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2.已建投入使用的37栋配套公共设施（设备）的维修、养护、管理。含公共照明、供配电设施、二次供水水泵房、给排水管道、景观水池、凉亭、消防设施设备、电梯、化粪池、消防水池、足球场、篮球场等。</w:t>
      </w:r>
    </w:p>
    <w:p w14:paraId="4055F1F5">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3.约42.4万平方米公共环境卫生管理、清扫保洁。含380余个卫生间清扫保洁、办公场所、公共场所、房屋共用部位、公共卫生间、门厅及屋面玻璃的清扫保洁、生活垃圾的收集及运送至甲方指定清倒区域。</w:t>
      </w:r>
    </w:p>
    <w:p w14:paraId="1F8C12CA">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4.新增或已购盆栽植物的管理养护。含办公区域绿化植物摆放、门厅盆栽植物的浇水等工作。</w:t>
      </w:r>
    </w:p>
    <w:p w14:paraId="64A54F68">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5.公议室清扫保洁服务、临时使用各功能室（场所）清扫保洁服务。</w:t>
      </w:r>
    </w:p>
    <w:p w14:paraId="647601E2">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6.电梯日常清洁及管理、组织年检等服务。</w:t>
      </w:r>
    </w:p>
    <w:p w14:paraId="702634B9">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7.公共浴室日常运营及管理服务。</w:t>
      </w:r>
    </w:p>
    <w:p w14:paraId="69F37905">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8.中水站日常运行及管理服务。</w:t>
      </w:r>
    </w:p>
    <w:p w14:paraId="2C861B2D">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9.开水房（开水供应点）日常开水供应、维修保养和管理服务。</w:t>
      </w:r>
    </w:p>
    <w:p w14:paraId="20A4F7EC">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10.教室、学生宿舍设施维护、外围周边卫生保洁。。</w:t>
      </w:r>
    </w:p>
    <w:p w14:paraId="502AC6D2">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11.教室、宿舍等功能用房的统筹调配及管理；室内物资的分配及管理（如课桌椅、讲台、公寓床、高低床、卫生工具等）。</w:t>
      </w:r>
    </w:p>
    <w:p w14:paraId="3C735339">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12.水电设施管理（包括高低压配电室、水泵房）及水电供给，师生水电充值服务。</w:t>
      </w:r>
    </w:p>
    <w:p w14:paraId="34CB0595">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13.校园疾病防控，主要指病媒生物防治，即定期开展环境卫生消毒、灭“四害”工作。</w:t>
      </w:r>
    </w:p>
    <w:p w14:paraId="3D06008D">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14.物资发放、卫生工具发放、劳动工具收发。</w:t>
      </w:r>
    </w:p>
    <w:p w14:paraId="7BB745C8">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15.投标人配置2辆校园观光车，并对车辆进行运营管理；按照采购人指定路线运营，运营收入归中标人所有；按照采购人需求，学生开学、放假期间，接待参观，中标单位无偿提供服务。（车辆属于服务所需设备）</w:t>
      </w:r>
    </w:p>
    <w:p w14:paraId="3A3D48A4">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16.投标人提供30元以下校园维修耗材及设备、会务服务保障用品及保洁用品等，费用包含在项目总费用中。</w:t>
      </w:r>
    </w:p>
    <w:p w14:paraId="753DD028">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p>
    <w:tbl>
      <w:tblPr>
        <w:tblStyle w:val="33"/>
        <w:tblW w:w="9535" w:type="dxa"/>
        <w:tblInd w:w="19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29"/>
        <w:gridCol w:w="3444"/>
        <w:gridCol w:w="2062"/>
        <w:gridCol w:w="1938"/>
        <w:gridCol w:w="962"/>
      </w:tblGrid>
      <w:tr w14:paraId="236EC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9535" w:type="dxa"/>
            <w:gridSpan w:val="5"/>
            <w:tcBorders>
              <w:top w:val="single" w:color="000000" w:sz="4" w:space="0"/>
              <w:left w:val="single" w:color="000000" w:sz="4" w:space="0"/>
              <w:bottom w:val="single" w:color="000000" w:sz="4" w:space="0"/>
              <w:right w:val="single" w:color="000000" w:sz="4" w:space="0"/>
            </w:tcBorders>
            <w:noWrap w:val="0"/>
            <w:vAlign w:val="center"/>
          </w:tcPr>
          <w:p w14:paraId="2028C3D1">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安宁校区建筑物情况</w:t>
            </w:r>
          </w:p>
        </w:tc>
      </w:tr>
      <w:tr w14:paraId="2DB7E8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6F459F2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序号</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059F0BB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房屋建筑名称</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3DF4922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建筑面积（平方米）</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6D0B1E2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室内公共卫生间</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8054E7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电梯</w:t>
            </w:r>
          </w:p>
        </w:tc>
      </w:tr>
      <w:tr w14:paraId="7E019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7875601E">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3B785910">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匠心楼（A2行政楼）</w:t>
            </w:r>
          </w:p>
        </w:tc>
        <w:tc>
          <w:tcPr>
            <w:tcW w:w="2062" w:type="dxa"/>
            <w:tcBorders>
              <w:top w:val="single" w:color="000000" w:sz="4" w:space="0"/>
              <w:left w:val="single" w:color="000000" w:sz="4" w:space="0"/>
              <w:bottom w:val="single" w:color="000000" w:sz="4" w:space="0"/>
              <w:right w:val="single" w:color="000000" w:sz="4" w:space="0"/>
            </w:tcBorders>
            <w:noWrap/>
            <w:vAlign w:val="center"/>
          </w:tcPr>
          <w:p w14:paraId="62D76E98">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13227.7</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5BBE019C">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17</w:t>
            </w:r>
          </w:p>
        </w:tc>
        <w:tc>
          <w:tcPr>
            <w:tcW w:w="962" w:type="dxa"/>
            <w:tcBorders>
              <w:top w:val="single" w:color="000000" w:sz="4" w:space="0"/>
              <w:left w:val="single" w:color="000000" w:sz="4" w:space="0"/>
              <w:bottom w:val="single" w:color="000000" w:sz="4" w:space="0"/>
              <w:right w:val="single" w:color="000000" w:sz="4" w:space="0"/>
            </w:tcBorders>
            <w:noWrap/>
            <w:vAlign w:val="center"/>
          </w:tcPr>
          <w:p w14:paraId="72EF185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w:t>
            </w:r>
          </w:p>
        </w:tc>
      </w:tr>
      <w:tr w14:paraId="08C4E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0DD39005">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w:t>
            </w:r>
          </w:p>
        </w:tc>
        <w:tc>
          <w:tcPr>
            <w:tcW w:w="3444" w:type="dxa"/>
            <w:tcBorders>
              <w:top w:val="single" w:color="000000" w:sz="4" w:space="0"/>
              <w:left w:val="single" w:color="000000" w:sz="4" w:space="0"/>
              <w:bottom w:val="single" w:color="000000" w:sz="4" w:space="0"/>
              <w:right w:val="single" w:color="000000" w:sz="4" w:space="0"/>
            </w:tcBorders>
            <w:noWrap w:val="0"/>
            <w:vAlign w:val="top"/>
          </w:tcPr>
          <w:p w14:paraId="373B1FC3">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校医院B2</w:t>
            </w:r>
          </w:p>
        </w:tc>
        <w:tc>
          <w:tcPr>
            <w:tcW w:w="2062" w:type="dxa"/>
            <w:tcBorders>
              <w:top w:val="single" w:color="000000" w:sz="4" w:space="0"/>
              <w:left w:val="single" w:color="000000" w:sz="4" w:space="0"/>
              <w:bottom w:val="single" w:color="000000" w:sz="4" w:space="0"/>
              <w:right w:val="single" w:color="000000" w:sz="4" w:space="0"/>
            </w:tcBorders>
            <w:noWrap/>
            <w:vAlign w:val="center"/>
          </w:tcPr>
          <w:p w14:paraId="5552DA4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1912.2</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5299EF09">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6</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7F4442D">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1F1AF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24A3814F">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3</w:t>
            </w:r>
          </w:p>
        </w:tc>
        <w:tc>
          <w:tcPr>
            <w:tcW w:w="3444" w:type="dxa"/>
            <w:tcBorders>
              <w:top w:val="single" w:color="000000" w:sz="4" w:space="0"/>
              <w:left w:val="single" w:color="000000" w:sz="4" w:space="0"/>
              <w:bottom w:val="single" w:color="000000" w:sz="4" w:space="0"/>
              <w:right w:val="single" w:color="000000" w:sz="4" w:space="0"/>
            </w:tcBorders>
            <w:noWrap w:val="0"/>
            <w:vAlign w:val="top"/>
          </w:tcPr>
          <w:p w14:paraId="584B01F1">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崇技楼C4</w:t>
            </w:r>
          </w:p>
        </w:tc>
        <w:tc>
          <w:tcPr>
            <w:tcW w:w="2062" w:type="dxa"/>
            <w:tcBorders>
              <w:top w:val="single" w:color="000000" w:sz="4" w:space="0"/>
              <w:left w:val="single" w:color="000000" w:sz="4" w:space="0"/>
              <w:bottom w:val="single" w:color="000000" w:sz="4" w:space="0"/>
              <w:right w:val="single" w:color="000000" w:sz="4" w:space="0"/>
            </w:tcBorders>
            <w:noWrap/>
            <w:vAlign w:val="center"/>
          </w:tcPr>
          <w:p w14:paraId="7E06239F">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14736.1</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3371D462">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24</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7F400493">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0A272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15550750">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4</w:t>
            </w:r>
          </w:p>
        </w:tc>
        <w:tc>
          <w:tcPr>
            <w:tcW w:w="3444" w:type="dxa"/>
            <w:tcBorders>
              <w:top w:val="single" w:color="000000" w:sz="4" w:space="0"/>
              <w:left w:val="single" w:color="000000" w:sz="4" w:space="0"/>
              <w:bottom w:val="single" w:color="000000" w:sz="4" w:space="0"/>
              <w:right w:val="single" w:color="000000" w:sz="4" w:space="0"/>
            </w:tcBorders>
            <w:noWrap w:val="0"/>
            <w:vAlign w:val="top"/>
          </w:tcPr>
          <w:p w14:paraId="752FB16A">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怀德楼C5</w:t>
            </w:r>
          </w:p>
        </w:tc>
        <w:tc>
          <w:tcPr>
            <w:tcW w:w="2062" w:type="dxa"/>
            <w:tcBorders>
              <w:top w:val="single" w:color="000000" w:sz="4" w:space="0"/>
              <w:left w:val="single" w:color="000000" w:sz="4" w:space="0"/>
              <w:bottom w:val="single" w:color="000000" w:sz="4" w:space="0"/>
              <w:right w:val="single" w:color="000000" w:sz="4" w:space="0"/>
            </w:tcBorders>
            <w:noWrap/>
            <w:vAlign w:val="center"/>
          </w:tcPr>
          <w:p w14:paraId="1F2C1F19">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9807.42</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53A2FE36">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18</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B270489">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7B5FF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596BF916">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5</w:t>
            </w:r>
          </w:p>
        </w:tc>
        <w:tc>
          <w:tcPr>
            <w:tcW w:w="3444" w:type="dxa"/>
            <w:tcBorders>
              <w:top w:val="single" w:color="000000" w:sz="4" w:space="0"/>
              <w:left w:val="single" w:color="000000" w:sz="4" w:space="0"/>
              <w:bottom w:val="single" w:color="000000" w:sz="4" w:space="0"/>
              <w:right w:val="single" w:color="000000" w:sz="4" w:space="0"/>
            </w:tcBorders>
            <w:noWrap w:val="0"/>
            <w:vAlign w:val="top"/>
          </w:tcPr>
          <w:p w14:paraId="57EDA83B">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崇德园学生公寓（1栋）</w:t>
            </w:r>
          </w:p>
        </w:tc>
        <w:tc>
          <w:tcPr>
            <w:tcW w:w="2062" w:type="dxa"/>
            <w:tcBorders>
              <w:top w:val="single" w:color="000000" w:sz="4" w:space="0"/>
              <w:left w:val="single" w:color="000000" w:sz="4" w:space="0"/>
              <w:bottom w:val="single" w:color="000000" w:sz="4" w:space="0"/>
              <w:right w:val="single" w:color="000000" w:sz="4" w:space="0"/>
            </w:tcBorders>
            <w:noWrap/>
            <w:vAlign w:val="center"/>
          </w:tcPr>
          <w:p w14:paraId="6639748B">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7734.65</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265B9010">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74D0CF8">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5F5C0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4631F491">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6</w:t>
            </w:r>
          </w:p>
        </w:tc>
        <w:tc>
          <w:tcPr>
            <w:tcW w:w="3444" w:type="dxa"/>
            <w:tcBorders>
              <w:top w:val="single" w:color="000000" w:sz="4" w:space="0"/>
              <w:left w:val="single" w:color="000000" w:sz="4" w:space="0"/>
              <w:bottom w:val="single" w:color="000000" w:sz="4" w:space="0"/>
              <w:right w:val="single" w:color="000000" w:sz="4" w:space="0"/>
            </w:tcBorders>
            <w:noWrap w:val="0"/>
            <w:vAlign w:val="top"/>
          </w:tcPr>
          <w:p w14:paraId="64B0BECA">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崇德园学生公寓（2栋）</w:t>
            </w:r>
          </w:p>
        </w:tc>
        <w:tc>
          <w:tcPr>
            <w:tcW w:w="2062" w:type="dxa"/>
            <w:tcBorders>
              <w:top w:val="single" w:color="000000" w:sz="4" w:space="0"/>
              <w:left w:val="single" w:color="000000" w:sz="4" w:space="0"/>
              <w:bottom w:val="single" w:color="000000" w:sz="4" w:space="0"/>
              <w:right w:val="single" w:color="000000" w:sz="4" w:space="0"/>
            </w:tcBorders>
            <w:noWrap/>
            <w:vAlign w:val="center"/>
          </w:tcPr>
          <w:p w14:paraId="5314186D">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17206.44</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5A0B7C07">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2AD3BBF">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1D805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2C2431EB">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7</w:t>
            </w:r>
          </w:p>
        </w:tc>
        <w:tc>
          <w:tcPr>
            <w:tcW w:w="3444" w:type="dxa"/>
            <w:tcBorders>
              <w:top w:val="single" w:color="000000" w:sz="4" w:space="0"/>
              <w:left w:val="single" w:color="000000" w:sz="4" w:space="0"/>
              <w:bottom w:val="single" w:color="000000" w:sz="4" w:space="0"/>
              <w:right w:val="single" w:color="000000" w:sz="4" w:space="0"/>
            </w:tcBorders>
            <w:noWrap w:val="0"/>
            <w:vAlign w:val="top"/>
          </w:tcPr>
          <w:p w14:paraId="22D9C508">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崇德园学生公寓（3栋）</w:t>
            </w:r>
          </w:p>
        </w:tc>
        <w:tc>
          <w:tcPr>
            <w:tcW w:w="2062" w:type="dxa"/>
            <w:tcBorders>
              <w:top w:val="single" w:color="000000" w:sz="4" w:space="0"/>
              <w:left w:val="single" w:color="000000" w:sz="4" w:space="0"/>
              <w:bottom w:val="single" w:color="000000" w:sz="4" w:space="0"/>
              <w:right w:val="single" w:color="000000" w:sz="4" w:space="0"/>
            </w:tcBorders>
            <w:noWrap/>
            <w:vAlign w:val="center"/>
          </w:tcPr>
          <w:p w14:paraId="7AC9EBB0">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 xml:space="preserve">10900.80 </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14F9F8D4">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53D8D34">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5B65C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69C6B87C">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8</w:t>
            </w:r>
          </w:p>
        </w:tc>
        <w:tc>
          <w:tcPr>
            <w:tcW w:w="3444" w:type="dxa"/>
            <w:tcBorders>
              <w:top w:val="single" w:color="000000" w:sz="4" w:space="0"/>
              <w:left w:val="single" w:color="000000" w:sz="4" w:space="0"/>
              <w:bottom w:val="single" w:color="000000" w:sz="4" w:space="0"/>
              <w:right w:val="single" w:color="000000" w:sz="4" w:space="0"/>
            </w:tcBorders>
            <w:noWrap w:val="0"/>
            <w:vAlign w:val="top"/>
          </w:tcPr>
          <w:p w14:paraId="10F29BB3">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崇德园学生公寓（4栋）</w:t>
            </w:r>
          </w:p>
        </w:tc>
        <w:tc>
          <w:tcPr>
            <w:tcW w:w="2062" w:type="dxa"/>
            <w:tcBorders>
              <w:top w:val="single" w:color="000000" w:sz="4" w:space="0"/>
              <w:left w:val="single" w:color="000000" w:sz="4" w:space="0"/>
              <w:bottom w:val="single" w:color="000000" w:sz="4" w:space="0"/>
              <w:right w:val="single" w:color="000000" w:sz="4" w:space="0"/>
            </w:tcBorders>
            <w:noWrap/>
            <w:vAlign w:val="center"/>
          </w:tcPr>
          <w:p w14:paraId="32F0F393">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7734.65</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5F18D687">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37B1E7F">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3CC18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08702F21">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9</w:t>
            </w:r>
          </w:p>
        </w:tc>
        <w:tc>
          <w:tcPr>
            <w:tcW w:w="3444" w:type="dxa"/>
            <w:tcBorders>
              <w:top w:val="single" w:color="000000" w:sz="4" w:space="0"/>
              <w:left w:val="single" w:color="000000" w:sz="4" w:space="0"/>
              <w:bottom w:val="single" w:color="000000" w:sz="4" w:space="0"/>
              <w:right w:val="single" w:color="000000" w:sz="4" w:space="0"/>
            </w:tcBorders>
            <w:noWrap w:val="0"/>
            <w:vAlign w:val="top"/>
          </w:tcPr>
          <w:p w14:paraId="2AF44C78">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崇德园学生公寓（5栋）</w:t>
            </w:r>
          </w:p>
        </w:tc>
        <w:tc>
          <w:tcPr>
            <w:tcW w:w="2062" w:type="dxa"/>
            <w:tcBorders>
              <w:top w:val="single" w:color="000000" w:sz="4" w:space="0"/>
              <w:left w:val="single" w:color="000000" w:sz="4" w:space="0"/>
              <w:bottom w:val="single" w:color="000000" w:sz="4" w:space="0"/>
              <w:right w:val="single" w:color="000000" w:sz="4" w:space="0"/>
            </w:tcBorders>
            <w:noWrap/>
            <w:vAlign w:val="center"/>
          </w:tcPr>
          <w:p w14:paraId="367DFE0F">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 xml:space="preserve">10900.80 </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3FFA75A9">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1F922BC">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39DA5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79EB13B2">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10</w:t>
            </w:r>
          </w:p>
        </w:tc>
        <w:tc>
          <w:tcPr>
            <w:tcW w:w="3444" w:type="dxa"/>
            <w:tcBorders>
              <w:top w:val="single" w:color="000000" w:sz="4" w:space="0"/>
              <w:left w:val="single" w:color="000000" w:sz="4" w:space="0"/>
              <w:bottom w:val="single" w:color="000000" w:sz="4" w:space="0"/>
              <w:right w:val="single" w:color="000000" w:sz="4" w:space="0"/>
            </w:tcBorders>
            <w:noWrap w:val="0"/>
            <w:vAlign w:val="top"/>
          </w:tcPr>
          <w:p w14:paraId="3E0FADAE">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崇德园学生公寓（6栋）</w:t>
            </w:r>
          </w:p>
        </w:tc>
        <w:tc>
          <w:tcPr>
            <w:tcW w:w="2062" w:type="dxa"/>
            <w:tcBorders>
              <w:top w:val="single" w:color="000000" w:sz="4" w:space="0"/>
              <w:left w:val="single" w:color="000000" w:sz="4" w:space="0"/>
              <w:bottom w:val="single" w:color="000000" w:sz="4" w:space="0"/>
              <w:right w:val="single" w:color="000000" w:sz="4" w:space="0"/>
            </w:tcBorders>
            <w:noWrap/>
            <w:vAlign w:val="center"/>
          </w:tcPr>
          <w:p w14:paraId="3CD4E68E">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7734.65</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5E0D6C81">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31B344B">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32B97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20BAB457">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11</w:t>
            </w:r>
          </w:p>
        </w:tc>
        <w:tc>
          <w:tcPr>
            <w:tcW w:w="3444" w:type="dxa"/>
            <w:tcBorders>
              <w:top w:val="single" w:color="000000" w:sz="4" w:space="0"/>
              <w:left w:val="single" w:color="000000" w:sz="4" w:space="0"/>
              <w:bottom w:val="single" w:color="000000" w:sz="4" w:space="0"/>
              <w:right w:val="single" w:color="000000" w:sz="4" w:space="0"/>
            </w:tcBorders>
            <w:noWrap w:val="0"/>
            <w:vAlign w:val="top"/>
          </w:tcPr>
          <w:p w14:paraId="01CD1E3C">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崇德园学生公寓（7栋）</w:t>
            </w:r>
          </w:p>
        </w:tc>
        <w:tc>
          <w:tcPr>
            <w:tcW w:w="2062" w:type="dxa"/>
            <w:tcBorders>
              <w:top w:val="single" w:color="000000" w:sz="4" w:space="0"/>
              <w:left w:val="single" w:color="000000" w:sz="4" w:space="0"/>
              <w:bottom w:val="single" w:color="000000" w:sz="4" w:space="0"/>
              <w:right w:val="single" w:color="000000" w:sz="4" w:space="0"/>
            </w:tcBorders>
            <w:noWrap/>
            <w:vAlign w:val="center"/>
          </w:tcPr>
          <w:p w14:paraId="5A05A2C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7734.65</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2E52A53F">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6655A0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22F40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72722B42">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12</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745B0820">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如意餐厅E8E9</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1B00548F">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15494.75</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7047F6FC">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6</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5063E2C">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4969D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4966FC40">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13</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3936F970">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崇德园学生浴室E10</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649847F6">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2743</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28B1D236">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8FB25C2">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7AD8D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628652AD">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14</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3947E4CF">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冠军楼G1G2</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6DB35880">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10627</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36104436">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24</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7102F136">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2B162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461A9944">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15</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099E0080">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尚技园9栋K9</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129D0900">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9700</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04FEA2A2">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A09A309">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2B6D8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2823236D">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16</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5B14FC11">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尚技园4栋K4</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4945FC4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9300</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7F63F4BC">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39C2F16">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1781F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2C97A98C">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17</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5DD82958">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厚德楼D3D4</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6028164B">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19779.19</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071424D4">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26</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FA42A98">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w:t>
            </w:r>
          </w:p>
        </w:tc>
      </w:tr>
      <w:tr w14:paraId="5582A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4D0EE4E6">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18</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78F6C8B7">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图书馆D1</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1D9B8595">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31761</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7DA19938">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33</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BD40404">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4</w:t>
            </w:r>
          </w:p>
        </w:tc>
      </w:tr>
      <w:tr w14:paraId="55D25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5EB8B54C">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19</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2E5AA70B">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德技楼C7</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4B657A3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28199.6</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2B1689F2">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60</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F841B8D">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w:t>
            </w:r>
          </w:p>
        </w:tc>
      </w:tr>
      <w:tr w14:paraId="4B76C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22180059">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20</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10A5E46D">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明德楼C9G11</w:t>
            </w:r>
          </w:p>
        </w:tc>
        <w:tc>
          <w:tcPr>
            <w:tcW w:w="2062" w:type="dxa"/>
            <w:tcBorders>
              <w:top w:val="single" w:color="000000" w:sz="4" w:space="0"/>
              <w:left w:val="single" w:color="000000" w:sz="4" w:space="0"/>
              <w:bottom w:val="single" w:color="000000" w:sz="4" w:space="0"/>
              <w:right w:val="single" w:color="000000" w:sz="4" w:space="0"/>
            </w:tcBorders>
            <w:noWrap/>
            <w:vAlign w:val="center"/>
          </w:tcPr>
          <w:p w14:paraId="53C75893">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19350</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6A109A64">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30</w:t>
            </w:r>
          </w:p>
        </w:tc>
        <w:tc>
          <w:tcPr>
            <w:tcW w:w="962" w:type="dxa"/>
            <w:tcBorders>
              <w:top w:val="single" w:color="000000" w:sz="4" w:space="0"/>
              <w:left w:val="single" w:color="000000" w:sz="4" w:space="0"/>
              <w:bottom w:val="single" w:color="000000" w:sz="4" w:space="0"/>
              <w:right w:val="single" w:color="000000" w:sz="4" w:space="0"/>
            </w:tcBorders>
            <w:noWrap/>
            <w:vAlign w:val="center"/>
          </w:tcPr>
          <w:p w14:paraId="78917D99">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w:t>
            </w:r>
          </w:p>
        </w:tc>
      </w:tr>
      <w:tr w14:paraId="6CC00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45A9C4F7">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21</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2F10048B">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善技楼C8G10</w:t>
            </w:r>
          </w:p>
        </w:tc>
        <w:tc>
          <w:tcPr>
            <w:tcW w:w="2062" w:type="dxa"/>
            <w:tcBorders>
              <w:top w:val="single" w:color="000000" w:sz="4" w:space="0"/>
              <w:left w:val="single" w:color="000000" w:sz="4" w:space="0"/>
              <w:bottom w:val="single" w:color="000000" w:sz="4" w:space="0"/>
              <w:right w:val="single" w:color="000000" w:sz="4" w:space="0"/>
            </w:tcBorders>
            <w:noWrap/>
            <w:vAlign w:val="center"/>
          </w:tcPr>
          <w:p w14:paraId="2D782A47">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19350</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335924D3">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30</w:t>
            </w:r>
          </w:p>
        </w:tc>
        <w:tc>
          <w:tcPr>
            <w:tcW w:w="962" w:type="dxa"/>
            <w:tcBorders>
              <w:top w:val="single" w:color="000000" w:sz="4" w:space="0"/>
              <w:left w:val="single" w:color="000000" w:sz="4" w:space="0"/>
              <w:bottom w:val="single" w:color="000000" w:sz="4" w:space="0"/>
              <w:right w:val="single" w:color="000000" w:sz="4" w:space="0"/>
            </w:tcBorders>
            <w:noWrap/>
            <w:vAlign w:val="center"/>
          </w:tcPr>
          <w:p w14:paraId="07983534">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w:t>
            </w:r>
          </w:p>
        </w:tc>
      </w:tr>
      <w:tr w14:paraId="0B506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7C5D23BD">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22</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56601B2A">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兴技楼D8D9</w:t>
            </w:r>
          </w:p>
        </w:tc>
        <w:tc>
          <w:tcPr>
            <w:tcW w:w="2062" w:type="dxa"/>
            <w:tcBorders>
              <w:top w:val="single" w:color="000000" w:sz="4" w:space="0"/>
              <w:left w:val="single" w:color="000000" w:sz="4" w:space="0"/>
              <w:bottom w:val="single" w:color="000000" w:sz="4" w:space="0"/>
              <w:right w:val="single" w:color="000000" w:sz="4" w:space="0"/>
            </w:tcBorders>
            <w:noWrap/>
            <w:vAlign w:val="center"/>
          </w:tcPr>
          <w:p w14:paraId="02B8CBF9">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18905</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30F0B552">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28</w:t>
            </w:r>
          </w:p>
        </w:tc>
        <w:tc>
          <w:tcPr>
            <w:tcW w:w="962" w:type="dxa"/>
            <w:tcBorders>
              <w:top w:val="single" w:color="000000" w:sz="4" w:space="0"/>
              <w:left w:val="single" w:color="000000" w:sz="4" w:space="0"/>
              <w:bottom w:val="single" w:color="000000" w:sz="4" w:space="0"/>
              <w:right w:val="single" w:color="000000" w:sz="4" w:space="0"/>
            </w:tcBorders>
            <w:noWrap/>
            <w:vAlign w:val="center"/>
          </w:tcPr>
          <w:p w14:paraId="480EEE4E">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w:t>
            </w:r>
          </w:p>
        </w:tc>
      </w:tr>
      <w:tr w14:paraId="69A7B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467BCBE7">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23</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4ACE1B64">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尚技园学生宿舍5栋</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5DD44478">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8618.46</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050A9DE5">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D583450">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4D2F16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1E479A77">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24</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4E746385">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昔幸食堂K13</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754A0C13">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6997.88</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5ADD4F78">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6</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7ACFE85">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w:t>
            </w:r>
          </w:p>
        </w:tc>
      </w:tr>
      <w:tr w14:paraId="4C4F2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109619C1">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25</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40B54D96">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尚技园6栋K21</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7574FF1E">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4516.92</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5A75F303">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CDA96E1">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2F55B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60761268">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26</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3CBD8101">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尚技园3栋K10</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02F09E98">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18777.18</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3C586C12">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4</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88C9768">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58A8D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01436B4F">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27</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0828E794">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尚技园2栋K11</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52AE8A16">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6651.54</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3F562EF2">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A87EC5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41CDC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15BA5F46">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28</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305D7DDE">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尚技园1栋K12</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139CF3D8">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6651.54</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7C51A7AF">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DB1489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51B96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6993DEAC">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29</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20490807">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尚技园8栋K1</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330C307B">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11594.94</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24BF3211">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7E31DF47">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302D9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0F5A4C6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30</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53F260F2">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智能制造实训中心G8G9</w:t>
            </w:r>
          </w:p>
        </w:tc>
        <w:tc>
          <w:tcPr>
            <w:tcW w:w="2062" w:type="dxa"/>
            <w:tcBorders>
              <w:top w:val="single" w:color="000000" w:sz="4" w:space="0"/>
              <w:left w:val="single" w:color="000000" w:sz="4" w:space="0"/>
              <w:bottom w:val="single" w:color="000000" w:sz="4" w:space="0"/>
              <w:right w:val="single" w:color="000000" w:sz="4" w:space="0"/>
            </w:tcBorders>
            <w:noWrap/>
            <w:vAlign w:val="center"/>
          </w:tcPr>
          <w:p w14:paraId="0C2053CF">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11700</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18089F1B">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24</w:t>
            </w:r>
          </w:p>
        </w:tc>
        <w:tc>
          <w:tcPr>
            <w:tcW w:w="962" w:type="dxa"/>
            <w:tcBorders>
              <w:top w:val="single" w:color="000000" w:sz="4" w:space="0"/>
              <w:left w:val="single" w:color="000000" w:sz="4" w:space="0"/>
              <w:bottom w:val="single" w:color="000000" w:sz="4" w:space="0"/>
              <w:right w:val="single" w:color="000000" w:sz="4" w:space="0"/>
            </w:tcBorders>
            <w:noWrap/>
            <w:vAlign w:val="center"/>
          </w:tcPr>
          <w:p w14:paraId="41700434">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w:t>
            </w:r>
          </w:p>
        </w:tc>
      </w:tr>
      <w:tr w14:paraId="33B9A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4FAD2B9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31</w:t>
            </w:r>
          </w:p>
        </w:tc>
        <w:tc>
          <w:tcPr>
            <w:tcW w:w="3444" w:type="dxa"/>
            <w:tcBorders>
              <w:top w:val="single" w:color="000000" w:sz="4" w:space="0"/>
              <w:left w:val="single" w:color="000000" w:sz="4" w:space="0"/>
              <w:bottom w:val="single" w:color="000000" w:sz="4" w:space="0"/>
              <w:right w:val="single" w:color="000000" w:sz="4" w:space="0"/>
            </w:tcBorders>
            <w:noWrap w:val="0"/>
            <w:vAlign w:val="center"/>
          </w:tcPr>
          <w:p w14:paraId="3D3B51F0">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汽车中心G12</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068121B0">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1546</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1DA44F04">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4</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5C570FD">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5EFDC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756935B8">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32</w:t>
            </w:r>
          </w:p>
        </w:tc>
        <w:tc>
          <w:tcPr>
            <w:tcW w:w="3444" w:type="dxa"/>
            <w:tcBorders>
              <w:top w:val="single" w:color="000000" w:sz="4" w:space="0"/>
              <w:left w:val="single" w:color="000000" w:sz="4" w:space="0"/>
              <w:bottom w:val="single" w:color="000000" w:sz="4" w:space="0"/>
              <w:right w:val="single" w:color="000000" w:sz="4" w:space="0"/>
            </w:tcBorders>
            <w:noWrap w:val="0"/>
            <w:vAlign w:val="top"/>
          </w:tcPr>
          <w:p w14:paraId="632D7093">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康养实训中心G3</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19614047">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1965</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7710EE35">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4</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1124267">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23AC0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15075EDB">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33</w:t>
            </w:r>
          </w:p>
        </w:tc>
        <w:tc>
          <w:tcPr>
            <w:tcW w:w="3444" w:type="dxa"/>
            <w:tcBorders>
              <w:top w:val="single" w:color="000000" w:sz="4" w:space="0"/>
              <w:left w:val="single" w:color="000000" w:sz="4" w:space="0"/>
              <w:bottom w:val="single" w:color="000000" w:sz="4" w:space="0"/>
              <w:right w:val="single" w:color="000000" w:sz="4" w:space="0"/>
            </w:tcBorders>
            <w:noWrap w:val="0"/>
            <w:vAlign w:val="top"/>
          </w:tcPr>
          <w:p w14:paraId="1B305876">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康养实训中心G4</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6FE79B6D">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10324.93</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427BE982">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10</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D3ACDE7">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w:t>
            </w:r>
          </w:p>
        </w:tc>
      </w:tr>
      <w:tr w14:paraId="54CDF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7F368CB1">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34</w:t>
            </w:r>
          </w:p>
        </w:tc>
        <w:tc>
          <w:tcPr>
            <w:tcW w:w="3444" w:type="dxa"/>
            <w:tcBorders>
              <w:top w:val="single" w:color="000000" w:sz="4" w:space="0"/>
              <w:left w:val="single" w:color="000000" w:sz="4" w:space="0"/>
              <w:bottom w:val="single" w:color="000000" w:sz="4" w:space="0"/>
              <w:right w:val="single" w:color="000000" w:sz="4" w:space="0"/>
            </w:tcBorders>
            <w:noWrap w:val="0"/>
            <w:vAlign w:val="top"/>
          </w:tcPr>
          <w:p w14:paraId="4608F56D">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康养实训中心G5</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64457A9D">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10524.47</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575C7CB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8</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DF80ADB">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w:t>
            </w:r>
          </w:p>
        </w:tc>
      </w:tr>
      <w:tr w14:paraId="34279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15D9C06F">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35</w:t>
            </w:r>
          </w:p>
        </w:tc>
        <w:tc>
          <w:tcPr>
            <w:tcW w:w="3444" w:type="dxa"/>
            <w:tcBorders>
              <w:top w:val="single" w:color="000000" w:sz="4" w:space="0"/>
              <w:left w:val="single" w:color="000000" w:sz="4" w:space="0"/>
              <w:bottom w:val="single" w:color="000000" w:sz="4" w:space="0"/>
              <w:right w:val="single" w:color="000000" w:sz="4" w:space="0"/>
            </w:tcBorders>
            <w:noWrap/>
            <w:vAlign w:val="center"/>
          </w:tcPr>
          <w:p w14:paraId="209188F0">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室外运动场</w:t>
            </w:r>
          </w:p>
        </w:tc>
        <w:tc>
          <w:tcPr>
            <w:tcW w:w="2062" w:type="dxa"/>
            <w:tcBorders>
              <w:top w:val="single" w:color="000000" w:sz="4" w:space="0"/>
              <w:left w:val="single" w:color="000000" w:sz="4" w:space="0"/>
              <w:bottom w:val="single" w:color="000000" w:sz="4" w:space="0"/>
              <w:right w:val="single" w:color="000000" w:sz="4" w:space="0"/>
            </w:tcBorders>
            <w:noWrap/>
            <w:vAlign w:val="center"/>
          </w:tcPr>
          <w:p w14:paraId="57FACE4B">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16940</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44EF0930">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6BEBD52">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13B16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1129" w:type="dxa"/>
            <w:tcBorders>
              <w:top w:val="single" w:color="000000" w:sz="4" w:space="0"/>
              <w:left w:val="single" w:color="000000" w:sz="4" w:space="0"/>
              <w:bottom w:val="single" w:color="000000" w:sz="4" w:space="0"/>
              <w:right w:val="single" w:color="000000" w:sz="4" w:space="0"/>
            </w:tcBorders>
            <w:noWrap w:val="0"/>
            <w:vAlign w:val="center"/>
          </w:tcPr>
          <w:p w14:paraId="27726F66">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36</w:t>
            </w:r>
          </w:p>
        </w:tc>
        <w:tc>
          <w:tcPr>
            <w:tcW w:w="3444" w:type="dxa"/>
            <w:tcBorders>
              <w:top w:val="single" w:color="000000" w:sz="4" w:space="0"/>
              <w:left w:val="single" w:color="000000" w:sz="4" w:space="0"/>
              <w:bottom w:val="single" w:color="000000" w:sz="4" w:space="0"/>
              <w:right w:val="single" w:color="000000" w:sz="4" w:space="0"/>
            </w:tcBorders>
            <w:noWrap/>
            <w:vAlign w:val="center"/>
          </w:tcPr>
          <w:p w14:paraId="6DA23B8F">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临时运动场</w:t>
            </w:r>
          </w:p>
        </w:tc>
        <w:tc>
          <w:tcPr>
            <w:tcW w:w="2062" w:type="dxa"/>
            <w:tcBorders>
              <w:top w:val="single" w:color="000000" w:sz="4" w:space="0"/>
              <w:left w:val="single" w:color="000000" w:sz="4" w:space="0"/>
              <w:bottom w:val="single" w:color="000000" w:sz="4" w:space="0"/>
              <w:right w:val="single" w:color="000000" w:sz="4" w:space="0"/>
            </w:tcBorders>
            <w:noWrap/>
            <w:vAlign w:val="center"/>
          </w:tcPr>
          <w:p w14:paraId="1AA1F897">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11960</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3A9A74E3">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B082CE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p>
        </w:tc>
      </w:tr>
      <w:tr w14:paraId="701AB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4573" w:type="dxa"/>
            <w:gridSpan w:val="2"/>
            <w:tcBorders>
              <w:top w:val="single" w:color="000000" w:sz="4" w:space="0"/>
              <w:left w:val="single" w:color="000000" w:sz="4" w:space="0"/>
              <w:bottom w:val="single" w:color="000000" w:sz="4" w:space="0"/>
              <w:right w:val="single" w:color="000000" w:sz="4" w:space="0"/>
            </w:tcBorders>
            <w:noWrap w:val="0"/>
            <w:vAlign w:val="center"/>
          </w:tcPr>
          <w:p w14:paraId="00A9CB58">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合计</w:t>
            </w:r>
          </w:p>
        </w:tc>
        <w:tc>
          <w:tcPr>
            <w:tcW w:w="2062" w:type="dxa"/>
            <w:tcBorders>
              <w:top w:val="single" w:color="000000" w:sz="4" w:space="0"/>
              <w:left w:val="single" w:color="000000" w:sz="4" w:space="0"/>
              <w:bottom w:val="single" w:color="000000" w:sz="4" w:space="0"/>
              <w:right w:val="single" w:color="000000" w:sz="4" w:space="0"/>
            </w:tcBorders>
            <w:noWrap w:val="0"/>
            <w:vAlign w:val="center"/>
          </w:tcPr>
          <w:p w14:paraId="26C49935">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423608.46</w:t>
            </w:r>
          </w:p>
        </w:tc>
        <w:tc>
          <w:tcPr>
            <w:tcW w:w="1938" w:type="dxa"/>
            <w:tcBorders>
              <w:top w:val="single" w:color="000000" w:sz="4" w:space="0"/>
              <w:left w:val="single" w:color="000000" w:sz="4" w:space="0"/>
              <w:bottom w:val="single" w:color="000000" w:sz="4" w:space="0"/>
              <w:right w:val="single" w:color="000000" w:sz="4" w:space="0"/>
            </w:tcBorders>
            <w:noWrap w:val="0"/>
            <w:vAlign w:val="center"/>
          </w:tcPr>
          <w:p w14:paraId="7B5C15E1">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388</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C8014B0">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20</w:t>
            </w:r>
          </w:p>
        </w:tc>
      </w:tr>
    </w:tbl>
    <w:p w14:paraId="5461F7E7">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（二）茨坝校区物业服务</w:t>
      </w:r>
    </w:p>
    <w:p w14:paraId="3A08D6F5">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1.茨坝老校区位于昆明市盘龙区茨坝北路2号，占地面积76.97亩。</w:t>
      </w:r>
    </w:p>
    <w:p w14:paraId="7EA9B90A">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2.茨坝老校区除安保外的物业服务及资产管理，并做好校区内所有资产管理，严禁校区内资产流失。</w:t>
      </w:r>
    </w:p>
    <w:p w14:paraId="7B16089F">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3.职工家属区，茨坝北路2号4栋、昆机3村1栋，按照小区物业管理方式与安宁校区同步进行。</w:t>
      </w:r>
    </w:p>
    <w:p w14:paraId="3F2AFDD4">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4.完成驻地政府部门、学院要求创（评）建时段的环境卫及其他工作。</w:t>
      </w:r>
    </w:p>
    <w:p w14:paraId="60CD8205">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5.完成学院临时安排的各项物业任务并达到相关要求</w:t>
      </w:r>
      <w:r>
        <w:rPr>
          <w:rFonts w:hint="eastAsia" w:asciiTheme="minorEastAsia" w:hAnsiTheme="minorEastAsia" w:eastAsiaTheme="minorEastAsia" w:cstheme="minorEastAsia"/>
          <w:color w:val="auto"/>
          <w:spacing w:val="10"/>
          <w:szCs w:val="21"/>
          <w:highlight w:val="none"/>
          <w:lang w:eastAsia="zh-CN"/>
        </w:rPr>
        <w:t>。</w:t>
      </w:r>
    </w:p>
    <w:p w14:paraId="303B1002">
      <w:pPr>
        <w:numPr>
          <w:ilvl w:val="0"/>
          <w:numId w:val="0"/>
        </w:numPr>
        <w:spacing w:line="360" w:lineRule="auto"/>
        <w:ind w:firstLine="480" w:firstLineChars="200"/>
        <w:rPr>
          <w:rFonts w:hint="eastAsia" w:asciiTheme="minorEastAsia" w:hAnsiTheme="minorEastAsia" w:eastAsiaTheme="minorEastAsia" w:cstheme="minorEastAsia"/>
          <w:b/>
          <w:bCs/>
          <w:color w:val="auto"/>
          <w:sz w:val="24"/>
          <w:highlight w:val="none"/>
          <w:lang w:val="en-US" w:eastAsia="zh-CN"/>
        </w:rPr>
      </w:pPr>
      <w:bookmarkStart w:id="429" w:name="_Toc18217"/>
      <w:r>
        <w:rPr>
          <w:rFonts w:hint="eastAsia" w:asciiTheme="minorEastAsia" w:hAnsiTheme="minorEastAsia" w:eastAsiaTheme="minorEastAsia" w:cstheme="minorEastAsia"/>
          <w:b/>
          <w:bCs/>
          <w:color w:val="auto"/>
          <w:kern w:val="2"/>
          <w:sz w:val="24"/>
          <w:szCs w:val="24"/>
          <w:lang w:val="en-US" w:eastAsia="zh-CN" w:bidi="ar-SA"/>
        </w:rPr>
        <w:t>四、</w:t>
      </w:r>
      <w:r>
        <w:rPr>
          <w:rFonts w:hint="eastAsia" w:asciiTheme="minorEastAsia" w:hAnsiTheme="minorEastAsia" w:eastAsiaTheme="minorEastAsia" w:cstheme="minorEastAsia"/>
          <w:b/>
          <w:bCs/>
          <w:color w:val="auto"/>
          <w:sz w:val="24"/>
          <w:highlight w:val="none"/>
        </w:rPr>
        <w:t>质量及服务要求</w:t>
      </w:r>
      <w:bookmarkEnd w:id="429"/>
      <w:r>
        <w:rPr>
          <w:rFonts w:hint="eastAsia" w:asciiTheme="minorEastAsia" w:hAnsiTheme="minorEastAsia" w:eastAsiaTheme="minorEastAsia" w:cstheme="minorEastAsia"/>
          <w:b/>
          <w:bCs/>
          <w:color w:val="auto"/>
          <w:sz w:val="24"/>
          <w:highlight w:val="none"/>
          <w:lang w:val="en-US" w:eastAsia="zh-CN"/>
        </w:rPr>
        <w:t xml:space="preserve"> </w:t>
      </w:r>
    </w:p>
    <w:p w14:paraId="748A5F84">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按照《物业考核表》、国家、省、市相关物业行业标准等对乙方进行监督、管理、考核。为了给师生员工提供一个优美的学习、工作和生活环境。</w:t>
      </w:r>
    </w:p>
    <w:p w14:paraId="0532367C">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（一）室内保洁服务标准</w:t>
      </w:r>
    </w:p>
    <w:p w14:paraId="360981B9">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保洁人员要认真执行保洁标准，每天保质保量完成打扫，拖擦大厅、楼道、走廊、楼梯；及时清理垃圾，冲刷洗漱间、卫生间等不少于两次，每周不定时擦洗门窗玻璃、墙裙、楼梯扶手、窗台，至少一次，做到洁净、光亮、无灰尘污迹。</w:t>
      </w:r>
    </w:p>
    <w:p w14:paraId="6DFDFCA5">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（2）要时刻保持楼内环境清洁，不得将垃圾等废弃物倒进水池便坑内。</w:t>
      </w:r>
    </w:p>
    <w:p w14:paraId="026E23C6">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（3）节约用水，不得使用常流水冲洗拖把，做到随用随开，对损坏的水龙头要及时报修，避免泡、冒、滴、漏浪费水源。</w:t>
      </w:r>
    </w:p>
    <w:p w14:paraId="4328D662">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（4）走廊干净整洁，消防器材、垃圾桶按定置摆放，整齐有序。</w:t>
      </w:r>
    </w:p>
    <w:p w14:paraId="149B2155">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（5）走廊墙面、地面、天花板无灰尘、无乱写、乱画及脚印。门窗保持干净整洁。</w:t>
      </w:r>
    </w:p>
    <w:p w14:paraId="335A70A9">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（6）楼道、走廊无杂物，无卫生死角，保持行走通畅。</w:t>
      </w:r>
    </w:p>
    <w:p w14:paraId="2543FA18">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（7）洗漱间、卫生间内洁具按定置摆放，存取有序。垃圾桶内垃圾不超过2/3。</w:t>
      </w:r>
    </w:p>
    <w:p w14:paraId="316DB2CB">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（8）洗漱间、卫生间内瓷砖墙面、地面干净整洁。池保持干净整洁。卫生间内门上无乱写、乱画等粘贴物。</w:t>
      </w:r>
    </w:p>
    <w:p w14:paraId="67B4AF32">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 xml:space="preserve">（9）及时清理公共区域和卫生间烟头。 </w:t>
      </w:r>
    </w:p>
    <w:p w14:paraId="5C192F92">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（10）重视卫生间卫生工作，保持卫生间无异味并按时投放卫生灭菌药品。</w:t>
      </w:r>
    </w:p>
    <w:p w14:paraId="6CB1EEEC">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（11）公共部分每天用消毒用品消毒。</w:t>
      </w:r>
    </w:p>
    <w:p w14:paraId="7F6FDC14">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（12）无长明灯、长流水、随意丢弃垃圾等现象。</w:t>
      </w:r>
    </w:p>
    <w:p w14:paraId="0F301CA3">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（13）雨雪、冰冻天气应采取安全防护措施，在通道、台阶、出入口处设置警示标识并铺设防滑垫等。</w:t>
      </w:r>
    </w:p>
    <w:p w14:paraId="3638D01E">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（14）节假日期间，包括寒暑假期间的卫生保洁，标准不得降低；做好大型活动和大风、雨雪特殊天气期间的保洁服务。</w:t>
      </w:r>
    </w:p>
    <w:p w14:paraId="78FE5D51">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（二）室外保洁服务标准</w:t>
      </w:r>
    </w:p>
    <w:p w14:paraId="50C155AB">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（1）工作时间必须穿着工装，并保持干净、整洁；</w:t>
      </w:r>
    </w:p>
    <w:p w14:paraId="1530EA8B">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 xml:space="preserve">（2）校园清扫范围内所有地方保证无无垃圾污物，无烟头、无砖头瓦砾，无纸屑果皮核，无坑洼污水，无杂草丛生，不乱烧树叶、杂草等物； </w:t>
      </w:r>
    </w:p>
    <w:p w14:paraId="023C137C">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（3）保洁人员必须对责任区域内的地面清洁工作负责，定期、定时打扫，随时保持场地清洁；各区域卫生死角每天清扫，做到无杂物；</w:t>
      </w:r>
    </w:p>
    <w:p w14:paraId="29C6B707">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（4）教学时间前应完成教学区域内的地面清洁及清洗工作；</w:t>
      </w:r>
    </w:p>
    <w:p w14:paraId="48C17733">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（5）在教学时间外，工作人员应及时对废弃物进行清扫收集，保证课外活动期间运动场地的卫生；</w:t>
      </w:r>
    </w:p>
    <w:p w14:paraId="000757C7">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（6）运动场地每天至少清扫一次，若场内活动人员频繁、垃圾多时，要随时清扫，以保证场地清洁为目的。</w:t>
      </w:r>
    </w:p>
    <w:p w14:paraId="5D893A07">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（7）雨后扫水、排水，清除下水道中的枝叶、杂草，防止产生异味和蚊蝇滋生。</w:t>
      </w:r>
    </w:p>
    <w:p w14:paraId="6B459139">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 xml:space="preserve">（8）柏油路、便道每天上、下午各清扫一次，做到地面干净、整洁，无杂物； </w:t>
      </w:r>
    </w:p>
    <w:p w14:paraId="09E90AF3">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（9）主干道两侧人行道， 每天上、下午各保洁一次，做到无杂物；</w:t>
      </w:r>
    </w:p>
    <w:p w14:paraId="310F7C8B">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（10）夏季雨后一天路面不能有成片积水。冬季雪后及时铲冰扫雪，积雪全部清到绿地内，树盘内，不得在路面堆积。</w:t>
      </w:r>
    </w:p>
    <w:p w14:paraId="7FCA80A1">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 xml:space="preserve">（11）室外垃圾箱内垃圾每天倾倒，垃圾箱一周至少擦拭三次 箱体做到外表干净、无明显尘土、无痰迹污物。加强日常维护，确保箱体完好无损； </w:t>
      </w:r>
    </w:p>
    <w:p w14:paraId="3469B1B5">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（12）做好消杀工作，及时冲洗地面及墙面，防止虫害的发生；</w:t>
      </w:r>
    </w:p>
    <w:p w14:paraId="0999D2C4">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（13）垃圾中转站定期清洗消毒，无明显积水，无蚊蝇飞舞，保证垃圾中转站干净整洁，垃圾桶每周深度清洗 1 次，每月全面消毒 1 次；传染病高发期增加消杀频次。</w:t>
      </w:r>
    </w:p>
    <w:p w14:paraId="0F7651C5">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p>
    <w:p w14:paraId="08CA4CC9">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（14）如遇突发事件或突击检查、重大活动时，积极配合校方，搞好卫生工作，随叫随到。</w:t>
      </w:r>
    </w:p>
    <w:p w14:paraId="3D54433F">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（15）严格遵守机械操作规程，安全使用机械设备，如违规操作，致使发生事故，由责任人自行负责。</w:t>
      </w:r>
    </w:p>
    <w:p w14:paraId="3C731A5E">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（三）楼宇服务标准</w:t>
      </w:r>
    </w:p>
    <w:p w14:paraId="00C3DCD7">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（1）树立为学生服务的意识，对工作认真负责，有高度的责任感，熟悉学校关于楼宇管理的规章制度，负责各楼宇的安全管理及服务工作。</w:t>
      </w:r>
    </w:p>
    <w:p w14:paraId="7E6D3907">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（2）认真执行消防安全规定，掌握消防知识。严禁使用电炉、电暖器、电饭锅等大功率电器。</w:t>
      </w:r>
    </w:p>
    <w:p w14:paraId="238A12B7">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（3）负责各楼宇钥匙的发放和管理，发现设备未关闭，及时与设备维修相关人员沟通。</w:t>
      </w:r>
    </w:p>
    <w:p w14:paraId="34DC2B8E">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（4）维护教学楼正常秩序，发现楼宇内私拉乱接电线，使用大功率电器等违规行为要及时纠正或报相关部门处理。</w:t>
      </w:r>
    </w:p>
    <w:p w14:paraId="19ED23D9">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（5）每天对楼内公共设施进行检查，发现损坏现象要在2小时内维修，并做好维修记录。</w:t>
      </w:r>
    </w:p>
    <w:p w14:paraId="4944BDEA">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（6）服务人员热情接待学生，为学生提供文明、及时的服务。服务人员要求统一着装，挂牌上岗。</w:t>
      </w:r>
    </w:p>
    <w:p w14:paraId="657B4853">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（8）不定时进行建筑物安全巡查，发现隐患及时消除安全隐患，妥善处理，及时整理资料台账及上报。</w:t>
      </w:r>
    </w:p>
    <w:p w14:paraId="67EAD7F9">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（四）</w:t>
      </w:r>
      <w:r>
        <w:rPr>
          <w:rFonts w:hint="eastAsia" w:asciiTheme="minorEastAsia" w:hAnsiTheme="minorEastAsia" w:eastAsiaTheme="minorEastAsia" w:cstheme="minorEastAsia"/>
          <w:color w:val="auto"/>
          <w:spacing w:val="10"/>
          <w:szCs w:val="21"/>
          <w:highlight w:val="none"/>
          <w:lang w:eastAsia="zh-CN"/>
        </w:rPr>
        <w:t>水电气维修员要求</w:t>
      </w:r>
      <w:r>
        <w:rPr>
          <w:rFonts w:hint="eastAsia" w:asciiTheme="minorEastAsia" w:hAnsiTheme="minorEastAsia" w:eastAsiaTheme="minorEastAsia" w:cstheme="minorEastAsia"/>
          <w:color w:val="auto"/>
          <w:spacing w:val="10"/>
          <w:szCs w:val="21"/>
          <w:highlight w:val="none"/>
          <w:lang w:val="en-US" w:eastAsia="zh-CN"/>
        </w:rPr>
        <w:t>及标准</w:t>
      </w:r>
    </w:p>
    <w:p w14:paraId="0DCF1039">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全面负责学院课桌椅、门窗、门锁、室外公共设施、办公桌椅维修管理工作，努力提高服务质量，接到报修报告或报修单后5分钟内做出响应，10分钟内到达维修现场处理，属人为损坏的必须落实有关责任人；所有维修工作师生满意度投诉率低于1%；</w:t>
      </w:r>
    </w:p>
    <w:p w14:paraId="4B00468E">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日常、周、月、季度、年度检查检修工作，制定工作计划并组织实施，每月5日前将上月维修工作统计情况经物业公司负责人签字后报学院后勤基建处，注意开展节能降耗工作，节约维修用原材料，在上年度基础上节约5%原材料支出成本；</w:t>
      </w:r>
    </w:p>
    <w:p w14:paraId="59B2EB65">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对损坏的公物（课桌椅、门窗、门锁、室外公共设施、办公桌椅）100%组织维修；</w:t>
      </w:r>
    </w:p>
    <w:p w14:paraId="76B28C5C">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负责校园公共设施（消防系统、建筑物、围墙、外墙砖、宣传栏、道路等）安全检查，发现安全隐患，及时向主管部门领导报告，并设置醒目警示牌或提示，报告率为100%；</w:t>
      </w:r>
    </w:p>
    <w:p w14:paraId="180A2DB2">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遵守有关安全操作规程，杜绝人身、设备设施安全事故；</w:t>
      </w:r>
    </w:p>
    <w:p w14:paraId="41412E86">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负责开水房的日常管理及室内卫生的清扫保洁；</w:t>
      </w:r>
    </w:p>
    <w:p w14:paraId="4CA3C0B2">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负责校园内煤气（天然气）管道及设施的日常巡查及表房的日常管理，发现故障及时报告后勤基建处和物业服务公司负责人；</w:t>
      </w:r>
    </w:p>
    <w:p w14:paraId="2F874040">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按时按质完成学院或主管部门交办的各项任务。</w:t>
      </w:r>
    </w:p>
    <w:p w14:paraId="7C3EC925">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（1）维修人员必须懂业务，能确保维修维护，</w:t>
      </w:r>
      <w:r>
        <w:rPr>
          <w:rFonts w:hint="eastAsia" w:asciiTheme="minorEastAsia" w:hAnsiTheme="minorEastAsia" w:eastAsiaTheme="minorEastAsia" w:cstheme="minorEastAsia"/>
          <w:color w:val="auto"/>
          <w:spacing w:val="10"/>
          <w:szCs w:val="21"/>
          <w:highlight w:val="none"/>
          <w:lang w:eastAsia="zh-CN"/>
        </w:rPr>
        <w:t>全面负责学院课桌椅、门窗、门锁、照明设施，给排水设施，室内外公共设施、办公桌椅维修管理工作，努力提高服务质量，接到报修报告或报修单后5分钟内做出响应，10分钟内到达维修现场处理，属人为损坏的必须落实有关责任人；所有维修工作师生满意度投诉率低于1%。</w:t>
      </w:r>
    </w:p>
    <w:p w14:paraId="0CF17E06">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2）高低压配电室电工须征得学院同意，负责学院高低压配电室24小时值班，学院内电路维护维修，负责供电线路及供电设施的使用与维修，配合供电部门做好变压器及供电线路的检查、保养，负责学院的高压运行、低压维修以及学院供电设备的检修。</w:t>
      </w:r>
    </w:p>
    <w:p w14:paraId="55CCA906">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（3）经常巡查排除事故隐患，发现问题及时处理，确保安全用电和做好防火工作。</w:t>
      </w:r>
    </w:p>
    <w:p w14:paraId="52FD9908">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（4）电工、管道工等维修人员不得独自一人操作高危工作。</w:t>
      </w:r>
    </w:p>
    <w:p w14:paraId="5208F5F7">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（5）零星维修项目须在接到报修后30分钟内到达现场，4小时内维修完成，维修记录规范齐全，特殊情况不超过24小时维修完成，如遇无法当日完成的，需上报管理单位；</w:t>
      </w:r>
    </w:p>
    <w:p w14:paraId="75A306F9">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（6）公共区域内零星维修。包括楼道灯具、门窗、玻璃、水龙头、冲洗阀、下水管等。</w:t>
      </w:r>
      <w:r>
        <w:rPr>
          <w:rFonts w:hint="eastAsia" w:asciiTheme="minorEastAsia" w:hAnsiTheme="minorEastAsia" w:eastAsiaTheme="minorEastAsia" w:cstheme="minorEastAsia"/>
          <w:color w:val="auto"/>
          <w:spacing w:val="10"/>
          <w:szCs w:val="21"/>
          <w:highlight w:val="none"/>
          <w:lang w:eastAsia="zh-CN"/>
        </w:rPr>
        <w:t>师生提出的其他力所能及的维修服务。</w:t>
      </w:r>
    </w:p>
    <w:p w14:paraId="76C1EDB3">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（7）服务单位和人员必须遵守和服从学校的各项规章制度，严格按操作要求工作，爱护设备，坚决杜绝人为损坏。</w:t>
      </w:r>
    </w:p>
    <w:p w14:paraId="16F2C4F2">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（8）</w:t>
      </w:r>
      <w:r>
        <w:rPr>
          <w:rFonts w:hint="eastAsia" w:asciiTheme="minorEastAsia" w:hAnsiTheme="minorEastAsia" w:eastAsiaTheme="minorEastAsia" w:cstheme="minorEastAsia"/>
          <w:color w:val="auto"/>
          <w:spacing w:val="10"/>
          <w:szCs w:val="21"/>
          <w:highlight w:val="none"/>
          <w:lang w:eastAsia="zh-CN"/>
        </w:rPr>
        <w:t>负责日常、周、月、季度、年度检查检修工作，制定工作计划并组织实施，每月5日前将上月维修工作统计情况经物业公司负责人签字后报学院后勤基建处，注意开展节能降耗工作，节约维修用原材料，在上年度基础上节约5%原材料支出成本；</w:t>
      </w:r>
    </w:p>
    <w:p w14:paraId="150B9CE5">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w:t>
      </w:r>
      <w:r>
        <w:rPr>
          <w:rFonts w:hint="eastAsia" w:asciiTheme="minorEastAsia" w:hAnsiTheme="minorEastAsia" w:eastAsiaTheme="minorEastAsia" w:cstheme="minorEastAsia"/>
          <w:color w:val="auto"/>
          <w:spacing w:val="10"/>
          <w:szCs w:val="21"/>
          <w:highlight w:val="none"/>
          <w:lang w:val="en-US" w:eastAsia="zh-CN"/>
        </w:rPr>
        <w:t>9</w:t>
      </w:r>
      <w:r>
        <w:rPr>
          <w:rFonts w:hint="eastAsia" w:asciiTheme="minorEastAsia" w:hAnsiTheme="minorEastAsia" w:eastAsiaTheme="minorEastAsia" w:cstheme="minorEastAsia"/>
          <w:color w:val="auto"/>
          <w:spacing w:val="10"/>
          <w:szCs w:val="21"/>
          <w:highlight w:val="none"/>
          <w:lang w:eastAsia="zh-CN"/>
        </w:rPr>
        <w:t>）负责校园公共设施（消防系统、建筑物、围墙、外墙砖、宣传栏、道路等）安全检查，发现安全隐患，及时向主管部门领导报告，并设置醒目警示牌或提示，报告率为100%。</w:t>
      </w:r>
    </w:p>
    <w:p w14:paraId="71D383FF">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w:t>
      </w:r>
      <w:r>
        <w:rPr>
          <w:rFonts w:hint="eastAsia" w:asciiTheme="minorEastAsia" w:hAnsiTheme="minorEastAsia" w:eastAsiaTheme="minorEastAsia" w:cstheme="minorEastAsia"/>
          <w:color w:val="auto"/>
          <w:spacing w:val="10"/>
          <w:szCs w:val="21"/>
          <w:highlight w:val="none"/>
          <w:lang w:val="en-US" w:eastAsia="zh-CN"/>
        </w:rPr>
        <w:t>10</w:t>
      </w:r>
      <w:r>
        <w:rPr>
          <w:rFonts w:hint="eastAsia" w:asciiTheme="minorEastAsia" w:hAnsiTheme="minorEastAsia" w:eastAsiaTheme="minorEastAsia" w:cstheme="minorEastAsia"/>
          <w:color w:val="auto"/>
          <w:spacing w:val="10"/>
          <w:szCs w:val="21"/>
          <w:highlight w:val="none"/>
          <w:lang w:eastAsia="zh-CN"/>
        </w:rPr>
        <w:t>）负责开水房的日常管理及室内卫生的清扫保洁，定期检修及消毒。</w:t>
      </w:r>
    </w:p>
    <w:p w14:paraId="5C6E1846">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w:t>
      </w:r>
      <w:r>
        <w:rPr>
          <w:rFonts w:hint="eastAsia" w:asciiTheme="minorEastAsia" w:hAnsiTheme="minorEastAsia" w:eastAsiaTheme="minorEastAsia" w:cstheme="minorEastAsia"/>
          <w:color w:val="auto"/>
          <w:spacing w:val="10"/>
          <w:szCs w:val="21"/>
          <w:highlight w:val="none"/>
          <w:lang w:val="en-US" w:eastAsia="zh-CN"/>
        </w:rPr>
        <w:t>11</w:t>
      </w:r>
      <w:r>
        <w:rPr>
          <w:rFonts w:hint="eastAsia" w:asciiTheme="minorEastAsia" w:hAnsiTheme="minorEastAsia" w:eastAsiaTheme="minorEastAsia" w:cstheme="minorEastAsia"/>
          <w:color w:val="auto"/>
          <w:spacing w:val="10"/>
          <w:szCs w:val="21"/>
          <w:highlight w:val="none"/>
          <w:lang w:eastAsia="zh-CN"/>
        </w:rPr>
        <w:t>）负责校园内煤气（天然气）管道及设施的日常巡查及表房的日常管理，发现故障及时报告后勤基建处和物业服务公司负责人。</w:t>
      </w:r>
    </w:p>
    <w:p w14:paraId="05893B6D">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eastAsia="zh-CN"/>
        </w:rPr>
        <w:t>（</w:t>
      </w:r>
      <w:r>
        <w:rPr>
          <w:rFonts w:hint="eastAsia" w:asciiTheme="minorEastAsia" w:hAnsiTheme="minorEastAsia" w:eastAsiaTheme="minorEastAsia" w:cstheme="minorEastAsia"/>
          <w:color w:val="auto"/>
          <w:spacing w:val="10"/>
          <w:szCs w:val="21"/>
          <w:highlight w:val="none"/>
          <w:lang w:val="en-US" w:eastAsia="zh-CN"/>
        </w:rPr>
        <w:t>12</w:t>
      </w:r>
      <w:r>
        <w:rPr>
          <w:rFonts w:hint="eastAsia" w:asciiTheme="minorEastAsia" w:hAnsiTheme="minorEastAsia" w:eastAsiaTheme="minorEastAsia" w:cstheme="minorEastAsia"/>
          <w:color w:val="auto"/>
          <w:spacing w:val="10"/>
          <w:szCs w:val="21"/>
          <w:highlight w:val="none"/>
          <w:lang w:eastAsia="zh-CN"/>
        </w:rPr>
        <w:t>）按时按质完成学院或主管部门交办的各项任务。</w:t>
      </w:r>
    </w:p>
    <w:p w14:paraId="38B9620E">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（五）供电维修服务要求及标准</w:t>
      </w:r>
    </w:p>
    <w:p w14:paraId="64F0ED64">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全面负责学院供电管理及维修工作，努力提高服务质量，接到报修报告或报修单后5分钟内做出响应，10分钟内到达现场处理，属人为损坏的必须落实有关责任人；供电维修师生满意度投诉率低于1%；</w:t>
      </w:r>
    </w:p>
    <w:p w14:paraId="3B184532">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负责联系安宁供电部门，及时掌握供停电有关信息，100%向全院发布供停电信息；若发生停电或其他事故，应及时与供电部门取得联系，迅速查明原因，采取应急措施。</w:t>
      </w:r>
    </w:p>
    <w:p w14:paraId="232C3007">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负责节电较上年度节约5%目标任务，制定科学合理的节能方案；</w:t>
      </w:r>
    </w:p>
    <w:p w14:paraId="4CDCFA04">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负责供电日常、周、月、季度、年度检查检修工作，制定工作计划并组织实施；</w:t>
      </w:r>
    </w:p>
    <w:p w14:paraId="74DFCF7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每月按时抄报电表，全面掌握安宁校区用电情况，统计分析用电实际，分类整理用电数据，每月25日前完成有关单位欠费追缴并交后勤基建处；</w:t>
      </w:r>
    </w:p>
    <w:p w14:paraId="7C44EEC9">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负责配电房供电系统的日常检查和维护，每天巡视变配电间、各栋配电间、室外各配电箱1次，观察电压表、电流表、计量表是否正常，认真做好各种运行记录， 发现问题及时处理，每天对变配电间、各栋配电间清扫一次，保持室内设备的整洁和室内卫生清洁，各配电间周边及室内环境卫生达二级标准；</w:t>
      </w:r>
    </w:p>
    <w:p w14:paraId="324ABADE">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 xml:space="preserve"> 高低压配电室实行供电24小时值班制，值班人员必须坚守岗位，不准在岗做与工作无关的事项； </w:t>
      </w:r>
    </w:p>
    <w:p w14:paraId="6FBDCEB9">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 xml:space="preserve"> 自觉遵守各项规章制度，严格按安全操作规程及管理制度操作，确保安全生产，杜绝人身和设备事故的发生；  </w:t>
      </w:r>
    </w:p>
    <w:p w14:paraId="70C8666D">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熟悉学院内电梯的构造、性能和使用方法；严格遵守电梯安全操作管理规程保证电梯正常、安全运行；每天对电梯机房的设备、温度、通风状况等巡视检查一遍，及时发现问题并联系电梯维保单位排除各种不正常现象；电梯运行中出现突然故障，应首先救援出被困乘客；</w:t>
      </w:r>
    </w:p>
    <w:p w14:paraId="10512C7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负责学院内各公共部位配电箱、照明设施的维修保养工作，确保公共部位灯具完好率达98%以上；</w:t>
      </w:r>
    </w:p>
    <w:p w14:paraId="368F6CA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负责学院内临时用电的安装、跟踪服务，确保用电安全，负责学院内维修、施工、建设等用电的监管，计量设备的安装和费用统计及催缴工作；</w:t>
      </w:r>
    </w:p>
    <w:p w14:paraId="437D4E0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按时完成学院或主管部门交办的各项任务。</w:t>
      </w:r>
    </w:p>
    <w:p w14:paraId="0648FCF2">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（六）给排水及供气业务要求</w:t>
      </w:r>
    </w:p>
    <w:p w14:paraId="304FFDB0">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全面负责学院给排水管理及维修工作，努力提高服务质量，接到报修报告或报修单后5分钟内做出响应，10分钟内到达现场处理故障，属人为损坏的必须落实有关责任人；给排水维修师生满意度投诉率低于1%；</w:t>
      </w:r>
    </w:p>
    <w:p w14:paraId="6766FFA2">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负责联系安宁供水部门，及时掌握供停水有关信息，100%向全院发布供停水信息，迅速查明停水原因，采取应急措施。</w:t>
      </w:r>
    </w:p>
    <w:p w14:paraId="47A95C10">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负责节水较上年度节约5%目标任务，制定科学合理的节能方案；</w:t>
      </w:r>
    </w:p>
    <w:p w14:paraId="0A877789">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负责给排水日常、周、月、季度、年度检查检修工作，制定工作计划并组织实施，对给排水故障100%组织维修；</w:t>
      </w:r>
    </w:p>
    <w:p w14:paraId="211A9F18">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每月定期检查安宁校区用水情况，统计分析用水实际，分类整理用水数据交后勤基建处；每月25日前前完成有关单位欠费追缴并上交后勤基建处；</w:t>
      </w:r>
    </w:p>
    <w:p w14:paraId="61B8F705">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负责水泵房的日常检查和维护，负责水泵房日常卫生工作，卫生达二级标准；负责每年2次水池清洗的组织和管理（水池清洗和证照办理费用由学院支付）；</w:t>
      </w:r>
    </w:p>
    <w:p w14:paraId="2FEF8F40">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负责中水处理系统的日常管理，确保中水100%达标排放；</w:t>
      </w:r>
    </w:p>
    <w:p w14:paraId="4D6134EF">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组织开展每年3月22-28日节水周工作，有计划、有组织、有实施、有总结；</w:t>
      </w:r>
    </w:p>
    <w:p w14:paraId="72A6915D">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严格遵守有关安全操作规程，杜绝人身、设备设施安全事故；</w:t>
      </w:r>
    </w:p>
    <w:p w14:paraId="12C39CCB">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负责浴室日常管理，设施设备日常检查维护，确保资产完好率达98%以上；</w:t>
      </w:r>
    </w:p>
    <w:p w14:paraId="341D1E73">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负责浴室日常开放管理，环境卫生达二级标准，师生满意度投诉低于1%；</w:t>
      </w:r>
    </w:p>
    <w:p w14:paraId="636ECF68">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负责监督检查用气单位设施设备安全，定期检查表房运行情况，配合煤气公司做好调压站环境建设，及时汇报安全隐患 ；及时与煤气公司联系，掌握供停气动态，通知主管部门和用气单位；</w:t>
      </w:r>
    </w:p>
    <w:p w14:paraId="2F14670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负责水泵房24小时值班制管理，负责校园排水设施日常维护、疏通及管理；</w:t>
      </w:r>
    </w:p>
    <w:p w14:paraId="2715AFA1">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按时完成学院或业务主管部门交办的各项任务。</w:t>
      </w:r>
    </w:p>
    <w:p w14:paraId="46705DF2">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 xml:space="preserve">（七）电梯管理服务标准 </w:t>
      </w:r>
    </w:p>
    <w:p w14:paraId="42546C12">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（1）熟悉电梯分布、使用情况、掌握电梯使用、养护规程。</w:t>
      </w:r>
    </w:p>
    <w:p w14:paraId="3F707C6C">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 xml:space="preserve">（2）公布呼叫电话并保证与电梯值班员联络畅通。 </w:t>
      </w:r>
    </w:p>
    <w:p w14:paraId="22BA6AB7">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（3）收集和整理电梯的有关技术资料、电梯维修保养资料、电梯备用钥匙并存档。</w:t>
      </w:r>
    </w:p>
    <w:p w14:paraId="2D479EA3">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（4）协助做好电梯发生故障的应急救援工作。遇到紧急情况如电梯困人时，接到通知后须10分钟内到达事故现场，及时按照操作规程安抚被困人员，并通知维保单位人员前来处理故障电梯；</w:t>
      </w:r>
    </w:p>
    <w:p w14:paraId="30442785">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（5）当发生火灾、湿水、电梯关人事故、地震等紧急事项时，按《电梯事故应急措施》执行，与此有关的工作人员应得到培训和演练，以具备相关的能力；</w:t>
      </w:r>
    </w:p>
    <w:p w14:paraId="45C987AF">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 xml:space="preserve">（6）严格执行电梯巡检制度，每日应对电梯做常规检查，如发现有震荡、不正常的声音或电梯有损坏、应立即停梯并报电梯维保公司，将每次检查结果详细记录备案。 </w:t>
      </w:r>
    </w:p>
    <w:p w14:paraId="684F51F0">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 xml:space="preserve">（7）协助学校做好电梯的年检工作。 </w:t>
      </w:r>
    </w:p>
    <w:p w14:paraId="0AD8C5E9">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（8）监督维保单位的日常维护保养工作。</w:t>
      </w:r>
    </w:p>
    <w:p w14:paraId="43F1E14D">
      <w:pPr>
        <w:spacing w:line="360" w:lineRule="auto"/>
        <w:ind w:firstLine="460" w:firstLineChars="200"/>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（9）对师生投诉的电梯问题要及时整改并反馈。</w:t>
      </w:r>
    </w:p>
    <w:p w14:paraId="7B63E69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 xml:space="preserve"> （八）客服及</w:t>
      </w:r>
      <w:r>
        <w:rPr>
          <w:rFonts w:hint="eastAsia" w:asciiTheme="minorEastAsia" w:hAnsiTheme="minorEastAsia" w:eastAsiaTheme="minorEastAsia" w:cstheme="minorEastAsia"/>
          <w:color w:val="auto"/>
          <w:spacing w:val="10"/>
          <w:szCs w:val="21"/>
          <w:highlight w:val="none"/>
          <w:lang w:eastAsia="zh-CN"/>
        </w:rPr>
        <w:t>会务服务及要求</w:t>
      </w:r>
    </w:p>
    <w:p w14:paraId="5F96C498">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会前按需求完成会场清洁消杀、桌椅摆放、灯光/空调调试，确保场地无杂物、设施正常运行；会后1小时内完成会场复原、垃圾清运。</w:t>
      </w:r>
    </w:p>
    <w:p w14:paraId="2FB1B1CD">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配合学院做好音响、投影、麦克风、签到设备调试。</w:t>
      </w:r>
    </w:p>
    <w:p w14:paraId="1B6F2C1C">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配备专属会务对接人+现场服务团队（含接待、引导、秩序维护），人员着装统一、服务规范、形象良好，熟悉会务流程及场地布局。</w:t>
      </w:r>
    </w:p>
    <w:p w14:paraId="2E07561C">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精准对接会务需求，细化流程方案，做好茶水、物料、嘉宾接待等工作。</w:t>
      </w:r>
    </w:p>
    <w:p w14:paraId="57ECEFC1">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val="en-US" w:eastAsia="zh-CN"/>
        </w:rPr>
        <w:t>做好</w:t>
      </w:r>
      <w:r>
        <w:rPr>
          <w:rFonts w:hint="eastAsia" w:asciiTheme="minorEastAsia" w:hAnsiTheme="minorEastAsia" w:eastAsiaTheme="minorEastAsia" w:cstheme="minorEastAsia"/>
          <w:color w:val="auto"/>
          <w:spacing w:val="10"/>
          <w:szCs w:val="21"/>
          <w:highlight w:val="none"/>
          <w:lang w:eastAsia="zh-CN"/>
        </w:rPr>
        <w:t>会议保密管理。</w:t>
      </w:r>
    </w:p>
    <w:p w14:paraId="2F8AE7D9">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每学期开学之前，按照学院规定对学生宿舍进行定额水电充值；及时完成日常水电充值、临时水电充值工作并做好记录，定期报送用水用电充值月报表、季报表，做到账目清楚，所收费用及时上缴；遵守学院规章制度，努力学习专业知识，不断提高服务质量，坚持以服务师生为宗旨，以服务育人为己任。管好用好水电充值计算机及设备,及时做好数据备份,保障数据安全和设备安全；期对水电充值数据进行分析，及时向水电工提供异常用水用电客户信息；</w:t>
      </w:r>
    </w:p>
    <w:p w14:paraId="1C732087">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按时、按质、按量完成领导交办的各项任务</w:t>
      </w:r>
    </w:p>
    <w:p w14:paraId="67FCAD79">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中水站管理服务要求</w:t>
      </w:r>
    </w:p>
    <w:p w14:paraId="52A7144C">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 xml:space="preserve">1.贯彻国家（环保法）和本公司规定的管理标准，坚守工作岗位，热爱本职工作，增强工作责任心。 </w:t>
      </w:r>
    </w:p>
    <w:p w14:paraId="28FDCC3E">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 xml:space="preserve">2.熟悉设备性能和操作程序，定期保养好处理设备，密切注意水质，气压高低，确保设备安全运行。 </w:t>
      </w:r>
    </w:p>
    <w:p w14:paraId="19ECDE6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3.掌握好处理药剂，污水流量和气压的比例，经常分析处理污水效果，做到未处理的污水不排放，不达到标准不排放，排放的污水必须达到国家和其他上级环保部门有关规定的排放标准。</w:t>
      </w:r>
    </w:p>
    <w:p w14:paraId="33F83A65">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4.保持处理房内的环境清洁卫生，负责废渣、废泥的清理装运工作，且不得乱倒。</w:t>
      </w:r>
    </w:p>
    <w:p w14:paraId="285C6B8D">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5.污水处理人员应做到“四懂”，“四会”。即懂污水处理基本知识、懂厂内构筑物的作用和管理方法、懂校内及污水处理站管道分布和使用方法；懂技术经济指标的含义和计算方法；会合理配水，配药，会合理调节空气量，会正确控制排放剩余污泥量；会排除操作中的故障。</w:t>
      </w:r>
    </w:p>
    <w:p w14:paraId="0649AE04">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 xml:space="preserve">6.处理人员应严守劳动纪律，不迟到，不早退，不无帮旷工，坚守工作岗位，除必须的工作联系外，不得擅自离岗闲谈，。 </w:t>
      </w:r>
    </w:p>
    <w:p w14:paraId="5CA3E97C">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 xml:space="preserve">7.为了确保运行正常，水质达到标准，每二小时巡视一次，确认每个处理环节的设备运行状态。 </w:t>
      </w:r>
    </w:p>
    <w:p w14:paraId="11A6954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8.做好交接班工作，⑴接班人员必须十分钟前到岗，做好各项准备工作和交班人员共同到现场全面巡视一次。⑵交班应做到“三清”。即交清水质，水量，气量及处理效果，交清运行记录和及具体工作内容。交清安全设施，工具物品，设备情况。如发现交班不清，可拒绝接班，由交班人完成后再接班。 ⑶接班人员未到，交班人员不准，并及时向上级主管汇报经同意后方可离岗。</w:t>
      </w:r>
    </w:p>
    <w:p w14:paraId="64FD3C23">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 xml:space="preserve">9.认直执行安全操作规程，做好生产运转记录，根据记录表的要求，全面、准确、完整、及时、清晰地做好各项记录。做到帐目规范化，数据准确化。 </w:t>
      </w:r>
    </w:p>
    <w:p w14:paraId="15292315">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10.认真做好设备日常维护和保养工作，保证设备的清洁、整齐、润滑、安全、运行正常。</w:t>
      </w:r>
    </w:p>
    <w:p w14:paraId="3EA80B1C">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11.及时编报上级规定的各类统计报表，注意收集与环保有关的资料，便于存档查阅。</w:t>
      </w:r>
    </w:p>
    <w:p w14:paraId="5E179779">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（十）电瓶车驾驶员岗位要求</w:t>
      </w:r>
    </w:p>
    <w:p w14:paraId="2E68784C">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1.严格行公司的各项规章制度，按规定统一着装，挂牌上岗；</w:t>
      </w:r>
    </w:p>
    <w:p w14:paraId="71CAA44E">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2.出车前，认真清扫车辆做到车内外清洁，并对车辆进行全面检查，达到车辆性能正常，方可出车；</w:t>
      </w:r>
    </w:p>
    <w:p w14:paraId="77ED031F">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3.电瓶车应由专人驾驶。严禁未经许可私自将车辆交（借）他入驾驶，如因违规使用导致发生任何损失的，由违规使用人与借出人员连带承担责任</w:t>
      </w:r>
    </w:p>
    <w:p w14:paraId="0CAED58A">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4.电瓶车驾驶员原则上需持其本人有效汽车驾驶证驾驶车辆，如特殊情况（驾驶人员无汽车驾驶证）但工作所需其驾驶电动车的，相关资格需由经</w:t>
      </w:r>
    </w:p>
    <w:p w14:paraId="36922005">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营部经理审核报经理批准后并备案；</w:t>
      </w:r>
    </w:p>
    <w:p w14:paraId="2B3F0BD7">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5.电瓶车非工作用途，禁止私自动用，违者承担因私用所产生的全部责任；</w:t>
      </w:r>
    </w:p>
    <w:p w14:paraId="35BC4BF6">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6.驾驶员须严格遵守交通法规，严禁驾车逆行、超速行驶及其他违反交通法规的行驶行为，违者由驾驶员承担全部责任；</w:t>
      </w:r>
    </w:p>
    <w:p w14:paraId="4E62338B">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7.严禁酒后驾驶电瓶车，违者承担因酒后驾车所产生的全部责任。</w:t>
      </w:r>
    </w:p>
    <w:p w14:paraId="7E488FB4">
      <w:pPr>
        <w:spacing w:line="360" w:lineRule="auto"/>
        <w:ind w:firstLine="460" w:firstLineChars="200"/>
        <w:rPr>
          <w:rFonts w:hint="eastAsia" w:asciiTheme="minorEastAsia" w:hAnsiTheme="minorEastAsia" w:eastAsiaTheme="minorEastAsia" w:cstheme="minorEastAsia"/>
          <w:color w:val="auto"/>
          <w:spacing w:val="10"/>
          <w:szCs w:val="21"/>
          <w:highlight w:val="none"/>
          <w:lang w:eastAsia="zh-CN"/>
        </w:rPr>
      </w:pPr>
      <w:r>
        <w:rPr>
          <w:rFonts w:hint="eastAsia" w:asciiTheme="minorEastAsia" w:hAnsiTheme="minorEastAsia" w:eastAsiaTheme="minorEastAsia" w:cstheme="minorEastAsia"/>
          <w:color w:val="auto"/>
          <w:spacing w:val="10"/>
          <w:szCs w:val="21"/>
          <w:highlight w:val="none"/>
          <w:lang w:eastAsia="zh-CN"/>
        </w:rPr>
        <w:t>8.运营过程中，未经同意不得收取现金，一经发现，给予严肃处理并处罚金500元；</w:t>
      </w:r>
    </w:p>
    <w:p w14:paraId="5E29B45A">
      <w:pPr>
        <w:spacing w:line="360" w:lineRule="auto"/>
        <w:ind w:firstLine="460" w:firstLineChars="200"/>
        <w:rPr>
          <w:rFonts w:hint="eastAsia"/>
          <w:lang w:eastAsia="zh-CN"/>
        </w:rPr>
      </w:pPr>
      <w:r>
        <w:rPr>
          <w:rFonts w:hint="eastAsia" w:asciiTheme="minorEastAsia" w:hAnsiTheme="minorEastAsia" w:eastAsiaTheme="minorEastAsia" w:cstheme="minorEastAsia"/>
          <w:color w:val="auto"/>
          <w:spacing w:val="10"/>
          <w:szCs w:val="21"/>
          <w:highlight w:val="none"/>
          <w:lang w:eastAsia="zh-CN"/>
        </w:rPr>
        <w:t>9.电瓶车需按定标准载人，不得超员搭载，拾到钱物主动归还失主，如找不到失主，应及时上报主管领导</w:t>
      </w:r>
      <w:r>
        <w:rPr>
          <w:rFonts w:hint="eastAsia" w:asciiTheme="minorEastAsia" w:hAnsiTheme="minorEastAsia" w:eastAsiaTheme="minorEastAsia" w:cstheme="minorEastAsia"/>
          <w:color w:val="auto"/>
          <w:spacing w:val="10"/>
          <w:szCs w:val="21"/>
          <w:highlight w:val="none"/>
          <w:lang w:val="en-US" w:eastAsia="zh-CN"/>
        </w:rPr>
        <w:t>。</w:t>
      </w:r>
    </w:p>
    <w:p w14:paraId="76323AD9">
      <w:pPr>
        <w:numPr>
          <w:ilvl w:val="0"/>
          <w:numId w:val="0"/>
        </w:numPr>
        <w:spacing w:line="360" w:lineRule="auto"/>
        <w:ind w:left="0" w:leftChars="0" w:firstLine="480" w:firstLineChars="200"/>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kern w:val="2"/>
          <w:sz w:val="24"/>
          <w:szCs w:val="24"/>
          <w:lang w:val="en-US" w:eastAsia="zh-CN" w:bidi="ar-SA"/>
        </w:rPr>
        <w:t>五、</w:t>
      </w:r>
      <w:r>
        <w:rPr>
          <w:rFonts w:hint="eastAsia" w:asciiTheme="minorEastAsia" w:hAnsiTheme="minorEastAsia" w:eastAsiaTheme="minorEastAsia" w:cstheme="minorEastAsia"/>
          <w:b/>
          <w:bCs/>
          <w:color w:val="auto"/>
          <w:sz w:val="24"/>
          <w:highlight w:val="none"/>
        </w:rPr>
        <w:t>人员组成</w:t>
      </w:r>
      <w:r>
        <w:rPr>
          <w:rFonts w:hint="eastAsia" w:asciiTheme="minorEastAsia" w:hAnsiTheme="minorEastAsia" w:eastAsiaTheme="minorEastAsia" w:cstheme="minorEastAsia"/>
          <w:b/>
          <w:bCs/>
          <w:color w:val="auto"/>
          <w:sz w:val="24"/>
          <w:highlight w:val="none"/>
          <w:lang w:val="en-US" w:eastAsia="zh-CN"/>
        </w:rPr>
        <w:t xml:space="preserve"> </w:t>
      </w:r>
    </w:p>
    <w:p w14:paraId="7D26A1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60" w:firstLineChars="20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(一）人员配置基本要求</w:t>
      </w:r>
    </w:p>
    <w:p w14:paraId="439B82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60" w:firstLineChars="20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1.项目经理1人；年龄25（含）-50（含）岁，具备履行合同的执业能力，有类似项目管理服务经验</w:t>
      </w:r>
      <w:r>
        <w:rPr>
          <w:rFonts w:hint="eastAsia"/>
          <w:lang w:val="en-US" w:eastAsia="zh-CN"/>
        </w:rPr>
        <w:t>证明材料（合同或证明材料）</w:t>
      </w:r>
      <w:r>
        <w:rPr>
          <w:rFonts w:hint="eastAsia" w:asciiTheme="minorEastAsia" w:hAnsiTheme="minorEastAsia" w:eastAsiaTheme="minorEastAsia" w:cstheme="minorEastAsia"/>
          <w:color w:val="auto"/>
          <w:spacing w:val="10"/>
          <w:szCs w:val="21"/>
          <w:highlight w:val="none"/>
          <w:lang w:val="en-US" w:eastAsia="zh-CN"/>
        </w:rPr>
        <w:t>，有较强的“处理突发事件”的经验和能力，属于中标人长期服务人员。为本项目提供综合管理服务，全面负责本物业管理服务采购项目的服务质量，做好各工种人员的管理、工作检查；处理客户投诉、回访工作；做好和采购人及采购人相关负责人的协调联系工作，服从采购人的领导，按照采购人的要求及相关的服务标准提供服务。</w:t>
      </w:r>
    </w:p>
    <w:p w14:paraId="6AEF6A3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60" w:firstLineChars="20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2.客服及管理员（应配备分项目负责人，即校园环境卫生、水电气及公物维修、茨坝老校区管理、浴室管理、水泵房、中水站、开水房、水电充值、宿舍教室公物管理、摆渡车运行管理等，建议不低于10人，部分岗位可一岗双责，但需确保服务正常运行）。年龄在55岁（含）以下，具备履行合同的执业能力、退役军人及家属优先，有类似项目管理服务经验</w:t>
      </w:r>
      <w:r>
        <w:rPr>
          <w:rFonts w:hint="eastAsia"/>
          <w:lang w:val="en-US" w:eastAsia="zh-CN"/>
        </w:rPr>
        <w:t>（合同或证明材料）</w:t>
      </w:r>
      <w:r>
        <w:rPr>
          <w:rFonts w:hint="eastAsia" w:asciiTheme="minorEastAsia" w:hAnsiTheme="minorEastAsia" w:eastAsiaTheme="minorEastAsia" w:cstheme="minorEastAsia"/>
          <w:color w:val="auto"/>
          <w:spacing w:val="10"/>
          <w:szCs w:val="21"/>
          <w:highlight w:val="none"/>
          <w:lang w:val="en-US" w:eastAsia="zh-CN"/>
        </w:rPr>
        <w:t>，有较强的“处理突发事件”的经验和能力，属于中标人长期服务人员。专职常驻，费用包含在本项目采购预算中，全面负责本项目的组织管理，做好所派人员的管理及工作检查；做好回访工作；做好和采购人的协调联系工作，服从采购人的领导，按照采购人的要求及相关的服务标准提供服务。</w:t>
      </w:r>
    </w:p>
    <w:p w14:paraId="701F36F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60" w:firstLineChars="20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3.保洁员，根据实际情况配置，不低于55人；年龄在20岁（含）-55岁（含），具备履行合同的执业能力。</w:t>
      </w:r>
    </w:p>
    <w:p w14:paraId="400325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60" w:firstLineChars="20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4.维修服务人员，根据实际情况配置，不低于18人。年龄在18岁（含）-60岁（含），具备履行合同的执业能力，有类似项目管理服务经验，遵守采购人的各项规章制度，热爱本职工作，服从分配和管理，文明规范服务。电工需持维修电工证或者低压电工作业证。。</w:t>
      </w:r>
    </w:p>
    <w:p w14:paraId="32905E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60" w:firstLineChars="20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5.客服、会议服务，根据需要配置，不低于3人。年龄20（含）-50（含）岁，具备履行合同的执业能力，有会议服务经验。</w:t>
      </w:r>
    </w:p>
    <w:p w14:paraId="154EC3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60" w:firstLineChars="20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6.中水站运行管理员，根据实际情况配置，不低于4人。年龄20（含）-50（含）岁，具备履行合同的执业能力，有中水管理服务经验。</w:t>
      </w:r>
    </w:p>
    <w:p w14:paraId="1D9BC8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60" w:firstLineChars="20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7.高低压配电室值班及管理员，根据实际情况配置，不低于4人。年龄20（含）-65（含），具备履行合同的执业能力。人员需要持有相应高低压电工作业特种作业操作证，且在有效期内。</w:t>
      </w:r>
    </w:p>
    <w:p w14:paraId="5CD7D7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60" w:firstLineChars="20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8.电梯安全管理员，根据实际情况配置，不低于1人。年龄20（含）-55（含），具备履行合同的执业能力，人员需要具备相应特种设备电梯安全管理T证或作业人员A证）。</w:t>
      </w:r>
    </w:p>
    <w:p w14:paraId="468506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60" w:firstLineChars="20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9.摆渡车管理运行人员，根据实际情况配置，不低于2人。年龄20（含）-50（含）岁，具备履行合同的执业能力，驾驶人员需要具备机动车驾驶资格证）。</w:t>
      </w:r>
    </w:p>
    <w:p w14:paraId="5AC351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60" w:firstLineChars="20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10.茨坝校区，根据实际情况配置维修人员及保洁人员，不低于2人。</w:t>
      </w:r>
    </w:p>
    <w:p w14:paraId="43CE40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60" w:firstLineChars="20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以上人员配置为最低人员数量要求，服务人员要求身心健康，仪表端庄，精力充沛，工作认真负责，文明工作，训练有素，言语规范、服务意识好，能吃苦耐劳、不怕脏、不怕累，岗位与岗位之间不得兼职，工作认真负责并定期接受培训。上岗时统一着装，仪容仪表规范整齐。</w:t>
      </w:r>
    </w:p>
    <w:p w14:paraId="10AB23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60" w:firstLineChars="200"/>
        <w:jc w:val="left"/>
        <w:textAlignment w:val="auto"/>
        <w:rPr>
          <w:rFonts w:hint="eastAsia" w:asciiTheme="minorEastAsia" w:hAnsiTheme="minorEastAsia" w:eastAsiaTheme="minorEastAsia" w:cstheme="minorEastAsia"/>
          <w:color w:val="auto"/>
          <w:spacing w:val="10"/>
          <w:szCs w:val="21"/>
          <w:highlight w:val="none"/>
          <w:lang w:val="en-US" w:eastAsia="zh-CN"/>
        </w:rPr>
      </w:pPr>
    </w:p>
    <w:p w14:paraId="2370F2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60" w:firstLineChars="20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（二）人员配置表</w:t>
      </w:r>
    </w:p>
    <w:tbl>
      <w:tblPr>
        <w:tblStyle w:val="33"/>
        <w:tblW w:w="10251" w:type="dxa"/>
        <w:jc w:val="center"/>
        <w:tblLayout w:type="fixed"/>
        <w:tblCellMar>
          <w:top w:w="0" w:type="dxa"/>
          <w:left w:w="108" w:type="dxa"/>
          <w:bottom w:w="0" w:type="dxa"/>
          <w:right w:w="108" w:type="dxa"/>
        </w:tblCellMar>
      </w:tblPr>
      <w:tblGrid>
        <w:gridCol w:w="738"/>
        <w:gridCol w:w="2387"/>
        <w:gridCol w:w="2533"/>
        <w:gridCol w:w="1177"/>
        <w:gridCol w:w="1163"/>
        <w:gridCol w:w="2253"/>
      </w:tblGrid>
      <w:tr w14:paraId="70FBBBEE">
        <w:tblPrEx>
          <w:tblCellMar>
            <w:top w:w="0" w:type="dxa"/>
            <w:left w:w="108" w:type="dxa"/>
            <w:bottom w:w="0" w:type="dxa"/>
            <w:right w:w="108" w:type="dxa"/>
          </w:tblCellMar>
        </w:tblPrEx>
        <w:trPr>
          <w:trHeight w:val="247" w:hRule="atLeast"/>
          <w:jc w:val="center"/>
        </w:trPr>
        <w:tc>
          <w:tcPr>
            <w:tcW w:w="738" w:type="dxa"/>
            <w:vMerge w:val="restart"/>
            <w:tcBorders>
              <w:top w:val="single" w:color="auto" w:sz="4" w:space="0"/>
              <w:left w:val="single" w:color="auto" w:sz="4" w:space="0"/>
              <w:right w:val="single" w:color="auto" w:sz="4" w:space="0"/>
            </w:tcBorders>
            <w:noWrap w:val="0"/>
            <w:vAlign w:val="center"/>
          </w:tcPr>
          <w:p w14:paraId="7EC650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序号</w:t>
            </w:r>
          </w:p>
        </w:tc>
        <w:tc>
          <w:tcPr>
            <w:tcW w:w="2387" w:type="dxa"/>
            <w:vMerge w:val="restart"/>
            <w:tcBorders>
              <w:top w:val="single" w:color="auto" w:sz="4" w:space="0"/>
              <w:left w:val="single" w:color="auto" w:sz="4" w:space="0"/>
              <w:right w:val="single" w:color="auto" w:sz="4" w:space="0"/>
            </w:tcBorders>
            <w:noWrap w:val="0"/>
            <w:vAlign w:val="center"/>
          </w:tcPr>
          <w:p w14:paraId="0B4352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人员分配</w:t>
            </w:r>
          </w:p>
        </w:tc>
        <w:tc>
          <w:tcPr>
            <w:tcW w:w="2533" w:type="dxa"/>
            <w:vMerge w:val="restart"/>
            <w:tcBorders>
              <w:top w:val="single" w:color="auto" w:sz="4" w:space="0"/>
              <w:left w:val="single" w:color="auto" w:sz="4" w:space="0"/>
              <w:right w:val="single" w:color="auto" w:sz="4" w:space="0"/>
            </w:tcBorders>
            <w:noWrap w:val="0"/>
            <w:vAlign w:val="center"/>
          </w:tcPr>
          <w:p w14:paraId="2FADE1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工种</w:t>
            </w:r>
          </w:p>
        </w:tc>
        <w:tc>
          <w:tcPr>
            <w:tcW w:w="2340" w:type="dxa"/>
            <w:gridSpan w:val="2"/>
            <w:tcBorders>
              <w:top w:val="single" w:color="auto" w:sz="4" w:space="0"/>
              <w:left w:val="single" w:color="auto" w:sz="4" w:space="0"/>
              <w:bottom w:val="single" w:color="auto" w:sz="4" w:space="0"/>
              <w:right w:val="single" w:color="auto" w:sz="4" w:space="0"/>
            </w:tcBorders>
            <w:noWrap w:val="0"/>
            <w:vAlign w:val="center"/>
          </w:tcPr>
          <w:p w14:paraId="7788DA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人员配置（名）</w:t>
            </w:r>
          </w:p>
        </w:tc>
        <w:tc>
          <w:tcPr>
            <w:tcW w:w="2253" w:type="dxa"/>
            <w:vMerge w:val="restart"/>
            <w:tcBorders>
              <w:top w:val="single" w:color="auto" w:sz="4" w:space="0"/>
              <w:left w:val="single" w:color="auto" w:sz="4" w:space="0"/>
              <w:right w:val="single" w:color="auto" w:sz="4" w:space="0"/>
            </w:tcBorders>
            <w:noWrap w:val="0"/>
            <w:vAlign w:val="center"/>
          </w:tcPr>
          <w:p w14:paraId="7CAECE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备注</w:t>
            </w:r>
          </w:p>
        </w:tc>
      </w:tr>
      <w:tr w14:paraId="22158D25">
        <w:tblPrEx>
          <w:tblCellMar>
            <w:top w:w="0" w:type="dxa"/>
            <w:left w:w="108" w:type="dxa"/>
            <w:bottom w:w="0" w:type="dxa"/>
            <w:right w:w="108" w:type="dxa"/>
          </w:tblCellMar>
        </w:tblPrEx>
        <w:trPr>
          <w:trHeight w:val="247" w:hRule="atLeast"/>
          <w:jc w:val="center"/>
        </w:trPr>
        <w:tc>
          <w:tcPr>
            <w:tcW w:w="738" w:type="dxa"/>
            <w:vMerge w:val="continue"/>
            <w:tcBorders>
              <w:left w:val="single" w:color="auto" w:sz="4" w:space="0"/>
              <w:bottom w:val="single" w:color="auto" w:sz="4" w:space="0"/>
              <w:right w:val="single" w:color="auto" w:sz="4" w:space="0"/>
            </w:tcBorders>
            <w:noWrap w:val="0"/>
            <w:vAlign w:val="center"/>
          </w:tcPr>
          <w:p w14:paraId="30ECCF5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p>
        </w:tc>
        <w:tc>
          <w:tcPr>
            <w:tcW w:w="2387" w:type="dxa"/>
            <w:vMerge w:val="continue"/>
            <w:tcBorders>
              <w:left w:val="single" w:color="auto" w:sz="4" w:space="0"/>
              <w:bottom w:val="single" w:color="auto" w:sz="4" w:space="0"/>
              <w:right w:val="single" w:color="auto" w:sz="4" w:space="0"/>
            </w:tcBorders>
            <w:noWrap w:val="0"/>
            <w:vAlign w:val="center"/>
          </w:tcPr>
          <w:p w14:paraId="2D57CD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p>
        </w:tc>
        <w:tc>
          <w:tcPr>
            <w:tcW w:w="2533" w:type="dxa"/>
            <w:vMerge w:val="continue"/>
            <w:tcBorders>
              <w:left w:val="single" w:color="auto" w:sz="4" w:space="0"/>
              <w:bottom w:val="single" w:color="auto" w:sz="4" w:space="0"/>
              <w:right w:val="single" w:color="auto" w:sz="4" w:space="0"/>
            </w:tcBorders>
            <w:noWrap w:val="0"/>
            <w:vAlign w:val="center"/>
          </w:tcPr>
          <w:p w14:paraId="741455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p>
        </w:tc>
        <w:tc>
          <w:tcPr>
            <w:tcW w:w="1177" w:type="dxa"/>
            <w:tcBorders>
              <w:top w:val="single" w:color="auto" w:sz="4" w:space="0"/>
              <w:left w:val="single" w:color="auto" w:sz="4" w:space="0"/>
              <w:bottom w:val="single" w:color="auto" w:sz="4" w:space="0"/>
              <w:right w:val="single" w:color="auto" w:sz="4" w:space="0"/>
            </w:tcBorders>
            <w:noWrap w:val="0"/>
            <w:vAlign w:val="center"/>
          </w:tcPr>
          <w:p w14:paraId="2D9C11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主管</w:t>
            </w:r>
          </w:p>
        </w:tc>
        <w:tc>
          <w:tcPr>
            <w:tcW w:w="1163" w:type="dxa"/>
            <w:tcBorders>
              <w:top w:val="single" w:color="auto" w:sz="4" w:space="0"/>
              <w:left w:val="single" w:color="auto" w:sz="4" w:space="0"/>
              <w:bottom w:val="single" w:color="auto" w:sz="4" w:space="0"/>
              <w:right w:val="single" w:color="auto" w:sz="4" w:space="0"/>
            </w:tcBorders>
            <w:noWrap w:val="0"/>
            <w:vAlign w:val="center"/>
          </w:tcPr>
          <w:p w14:paraId="76FAAE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工作人员</w:t>
            </w:r>
          </w:p>
        </w:tc>
        <w:tc>
          <w:tcPr>
            <w:tcW w:w="2253" w:type="dxa"/>
            <w:vMerge w:val="continue"/>
            <w:tcBorders>
              <w:left w:val="single" w:color="auto" w:sz="4" w:space="0"/>
              <w:bottom w:val="single" w:color="auto" w:sz="4" w:space="0"/>
              <w:right w:val="single" w:color="auto" w:sz="4" w:space="0"/>
            </w:tcBorders>
            <w:noWrap w:val="0"/>
            <w:vAlign w:val="center"/>
          </w:tcPr>
          <w:p w14:paraId="062AFFB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p>
        </w:tc>
      </w:tr>
      <w:tr w14:paraId="04F917ED">
        <w:tblPrEx>
          <w:tblCellMar>
            <w:top w:w="0" w:type="dxa"/>
            <w:left w:w="108" w:type="dxa"/>
            <w:bottom w:w="0" w:type="dxa"/>
            <w:right w:w="108" w:type="dxa"/>
          </w:tblCellMar>
        </w:tblPrEx>
        <w:trPr>
          <w:trHeight w:val="505"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14:paraId="753699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bookmarkStart w:id="430" w:name="_Hlk223366970"/>
            <w:r>
              <w:rPr>
                <w:rFonts w:hint="eastAsia" w:asciiTheme="minorEastAsia" w:hAnsiTheme="minorEastAsia" w:eastAsiaTheme="minorEastAsia" w:cstheme="minorEastAsia"/>
                <w:color w:val="auto"/>
                <w:spacing w:val="10"/>
                <w:szCs w:val="21"/>
                <w:highlight w:val="none"/>
                <w:lang w:val="en-US" w:eastAsia="zh-CN"/>
              </w:rPr>
              <w:t>1</w:t>
            </w:r>
          </w:p>
        </w:tc>
        <w:tc>
          <w:tcPr>
            <w:tcW w:w="2387" w:type="dxa"/>
            <w:tcBorders>
              <w:top w:val="single" w:color="auto" w:sz="4" w:space="0"/>
              <w:left w:val="single" w:color="auto" w:sz="4" w:space="0"/>
              <w:bottom w:val="single" w:color="auto" w:sz="4" w:space="0"/>
              <w:right w:val="single" w:color="auto" w:sz="4" w:space="0"/>
            </w:tcBorders>
            <w:noWrap w:val="0"/>
            <w:vAlign w:val="center"/>
          </w:tcPr>
          <w:p w14:paraId="1A13AA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项目管理人员</w:t>
            </w:r>
          </w:p>
        </w:tc>
        <w:tc>
          <w:tcPr>
            <w:tcW w:w="2533" w:type="dxa"/>
            <w:tcBorders>
              <w:top w:val="single" w:color="auto" w:sz="4" w:space="0"/>
              <w:left w:val="single" w:color="auto" w:sz="4" w:space="0"/>
              <w:bottom w:val="single" w:color="auto" w:sz="4" w:space="0"/>
              <w:right w:val="single" w:color="auto" w:sz="4" w:space="0"/>
            </w:tcBorders>
            <w:noWrap w:val="0"/>
            <w:vAlign w:val="center"/>
          </w:tcPr>
          <w:p w14:paraId="7E9CDEF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项目经理</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26F820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w:t>
            </w:r>
          </w:p>
        </w:tc>
        <w:tc>
          <w:tcPr>
            <w:tcW w:w="1163" w:type="dxa"/>
            <w:tcBorders>
              <w:top w:val="single" w:color="auto" w:sz="4" w:space="0"/>
              <w:left w:val="single" w:color="auto" w:sz="4" w:space="0"/>
              <w:bottom w:val="single" w:color="auto" w:sz="4" w:space="0"/>
              <w:right w:val="single" w:color="auto" w:sz="4" w:space="0"/>
            </w:tcBorders>
            <w:noWrap w:val="0"/>
            <w:vAlign w:val="center"/>
          </w:tcPr>
          <w:p w14:paraId="37ED43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p>
        </w:tc>
        <w:tc>
          <w:tcPr>
            <w:tcW w:w="2253" w:type="dxa"/>
            <w:tcBorders>
              <w:top w:val="single" w:color="auto" w:sz="4" w:space="0"/>
              <w:left w:val="single" w:color="auto" w:sz="4" w:space="0"/>
              <w:bottom w:val="single" w:color="auto" w:sz="4" w:space="0"/>
              <w:right w:val="single" w:color="auto" w:sz="4" w:space="0"/>
            </w:tcBorders>
            <w:noWrap w:val="0"/>
            <w:vAlign w:val="center"/>
          </w:tcPr>
          <w:p w14:paraId="445166A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p>
        </w:tc>
      </w:tr>
      <w:tr w14:paraId="1D9C4672">
        <w:tblPrEx>
          <w:tblCellMar>
            <w:top w:w="0" w:type="dxa"/>
            <w:left w:w="108" w:type="dxa"/>
            <w:bottom w:w="0" w:type="dxa"/>
            <w:right w:w="108" w:type="dxa"/>
          </w:tblCellMar>
        </w:tblPrEx>
        <w:trPr>
          <w:trHeight w:val="327"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14:paraId="57B9B11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bookmarkStart w:id="431" w:name="_Hlk223366866"/>
            <w:r>
              <w:rPr>
                <w:rFonts w:hint="eastAsia" w:asciiTheme="minorEastAsia" w:hAnsiTheme="minorEastAsia" w:eastAsiaTheme="minorEastAsia" w:cstheme="minorEastAsia"/>
                <w:color w:val="auto"/>
                <w:spacing w:val="10"/>
                <w:szCs w:val="21"/>
                <w:highlight w:val="none"/>
                <w:lang w:val="en-US" w:eastAsia="zh-CN"/>
              </w:rPr>
              <w:t>1</w:t>
            </w:r>
          </w:p>
        </w:tc>
        <w:tc>
          <w:tcPr>
            <w:tcW w:w="2387" w:type="dxa"/>
            <w:tcBorders>
              <w:top w:val="single" w:color="auto" w:sz="4" w:space="0"/>
              <w:left w:val="single" w:color="auto" w:sz="4" w:space="0"/>
              <w:bottom w:val="single" w:color="auto" w:sz="4" w:space="0"/>
              <w:right w:val="single" w:color="auto" w:sz="4" w:space="0"/>
            </w:tcBorders>
            <w:noWrap w:val="0"/>
            <w:vAlign w:val="center"/>
          </w:tcPr>
          <w:p w14:paraId="2CEAB6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保洁人员</w:t>
            </w:r>
          </w:p>
        </w:tc>
        <w:tc>
          <w:tcPr>
            <w:tcW w:w="2533" w:type="dxa"/>
            <w:tcBorders>
              <w:top w:val="single" w:color="auto" w:sz="4" w:space="0"/>
              <w:left w:val="single" w:color="auto" w:sz="4" w:space="0"/>
              <w:bottom w:val="single" w:color="auto" w:sz="4" w:space="0"/>
              <w:right w:val="single" w:color="auto" w:sz="4" w:space="0"/>
            </w:tcBorders>
            <w:noWrap w:val="0"/>
            <w:vAlign w:val="center"/>
          </w:tcPr>
          <w:p w14:paraId="7EF6031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环境卫生清洁保洁员、办公室会议室卫生保洁员</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6D5AE7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w:t>
            </w:r>
          </w:p>
        </w:tc>
        <w:tc>
          <w:tcPr>
            <w:tcW w:w="1163" w:type="dxa"/>
            <w:tcBorders>
              <w:top w:val="single" w:color="auto" w:sz="4" w:space="0"/>
              <w:left w:val="single" w:color="auto" w:sz="4" w:space="0"/>
              <w:bottom w:val="single" w:color="auto" w:sz="4" w:space="0"/>
              <w:right w:val="single" w:color="auto" w:sz="4" w:space="0"/>
            </w:tcBorders>
            <w:noWrap w:val="0"/>
            <w:vAlign w:val="center"/>
          </w:tcPr>
          <w:p w14:paraId="77C2BB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55</w:t>
            </w:r>
          </w:p>
        </w:tc>
        <w:tc>
          <w:tcPr>
            <w:tcW w:w="2253" w:type="dxa"/>
            <w:tcBorders>
              <w:top w:val="single" w:color="auto" w:sz="4" w:space="0"/>
              <w:left w:val="single" w:color="auto" w:sz="4" w:space="0"/>
              <w:bottom w:val="single" w:color="auto" w:sz="4" w:space="0"/>
              <w:right w:val="single" w:color="auto" w:sz="4" w:space="0"/>
            </w:tcBorders>
            <w:noWrap w:val="0"/>
            <w:vAlign w:val="center"/>
          </w:tcPr>
          <w:p w14:paraId="5068D7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办公室会议室卫生保洁员工作范围及待遇根据甲方要求进行调整。</w:t>
            </w:r>
          </w:p>
        </w:tc>
      </w:tr>
      <w:tr w14:paraId="31FCA95C">
        <w:tblPrEx>
          <w:tblCellMar>
            <w:top w:w="0" w:type="dxa"/>
            <w:left w:w="108" w:type="dxa"/>
            <w:bottom w:w="0" w:type="dxa"/>
            <w:right w:w="108" w:type="dxa"/>
          </w:tblCellMar>
        </w:tblPrEx>
        <w:trPr>
          <w:trHeight w:val="512"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14:paraId="5595DF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2</w:t>
            </w:r>
          </w:p>
        </w:tc>
        <w:tc>
          <w:tcPr>
            <w:tcW w:w="2387" w:type="dxa"/>
            <w:tcBorders>
              <w:top w:val="single" w:color="auto" w:sz="4" w:space="0"/>
              <w:left w:val="single" w:color="auto" w:sz="4" w:space="0"/>
              <w:bottom w:val="single" w:color="auto" w:sz="4" w:space="0"/>
              <w:right w:val="single" w:color="auto" w:sz="4" w:space="0"/>
            </w:tcBorders>
            <w:noWrap w:val="0"/>
            <w:vAlign w:val="center"/>
          </w:tcPr>
          <w:p w14:paraId="1B56C2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维修服务人员</w:t>
            </w:r>
          </w:p>
        </w:tc>
        <w:tc>
          <w:tcPr>
            <w:tcW w:w="2533" w:type="dxa"/>
            <w:tcBorders>
              <w:top w:val="single" w:color="auto" w:sz="4" w:space="0"/>
              <w:left w:val="single" w:color="auto" w:sz="4" w:space="0"/>
              <w:bottom w:val="single" w:color="auto" w:sz="4" w:space="0"/>
              <w:right w:val="single" w:color="auto" w:sz="4" w:space="0"/>
            </w:tcBorders>
            <w:noWrap w:val="0"/>
            <w:vAlign w:val="center"/>
          </w:tcPr>
          <w:p w14:paraId="13E55B1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公共设施维修维护员</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43C27D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w:t>
            </w:r>
          </w:p>
        </w:tc>
        <w:tc>
          <w:tcPr>
            <w:tcW w:w="1163" w:type="dxa"/>
            <w:tcBorders>
              <w:top w:val="single" w:color="auto" w:sz="4" w:space="0"/>
              <w:left w:val="single" w:color="auto" w:sz="4" w:space="0"/>
              <w:bottom w:val="single" w:color="auto" w:sz="4" w:space="0"/>
              <w:right w:val="single" w:color="auto" w:sz="4" w:space="0"/>
            </w:tcBorders>
            <w:noWrap w:val="0"/>
            <w:vAlign w:val="center"/>
          </w:tcPr>
          <w:p w14:paraId="4DD024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17</w:t>
            </w:r>
          </w:p>
        </w:tc>
        <w:tc>
          <w:tcPr>
            <w:tcW w:w="2253" w:type="dxa"/>
            <w:tcBorders>
              <w:top w:val="single" w:color="auto" w:sz="4" w:space="0"/>
              <w:left w:val="single" w:color="auto" w:sz="4" w:space="0"/>
              <w:bottom w:val="single" w:color="auto" w:sz="4" w:space="0"/>
              <w:right w:val="single" w:color="auto" w:sz="4" w:space="0"/>
            </w:tcBorders>
            <w:noWrap w:val="0"/>
            <w:vAlign w:val="center"/>
          </w:tcPr>
          <w:p w14:paraId="62582B0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需持电工职业证书</w:t>
            </w:r>
          </w:p>
        </w:tc>
      </w:tr>
      <w:tr w14:paraId="39794CF5">
        <w:tblPrEx>
          <w:tblCellMar>
            <w:top w:w="0" w:type="dxa"/>
            <w:left w:w="108" w:type="dxa"/>
            <w:bottom w:w="0" w:type="dxa"/>
            <w:right w:w="108" w:type="dxa"/>
          </w:tblCellMar>
        </w:tblPrEx>
        <w:trPr>
          <w:trHeight w:val="327"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14:paraId="27D466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4</w:t>
            </w:r>
          </w:p>
        </w:tc>
        <w:tc>
          <w:tcPr>
            <w:tcW w:w="2387" w:type="dxa"/>
            <w:tcBorders>
              <w:top w:val="single" w:color="auto" w:sz="4" w:space="0"/>
              <w:left w:val="single" w:color="auto" w:sz="4" w:space="0"/>
              <w:bottom w:val="single" w:color="auto" w:sz="4" w:space="0"/>
              <w:right w:val="single" w:color="auto" w:sz="4" w:space="0"/>
            </w:tcBorders>
            <w:noWrap w:val="0"/>
            <w:vAlign w:val="center"/>
          </w:tcPr>
          <w:p w14:paraId="70A0B4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bookmarkStart w:id="432" w:name="OLE_LINK15"/>
            <w:r>
              <w:rPr>
                <w:rFonts w:hint="eastAsia" w:asciiTheme="minorEastAsia" w:hAnsiTheme="minorEastAsia" w:eastAsiaTheme="minorEastAsia" w:cstheme="minorEastAsia"/>
                <w:color w:val="auto"/>
                <w:spacing w:val="10"/>
                <w:szCs w:val="21"/>
                <w:highlight w:val="none"/>
                <w:lang w:val="en-US" w:eastAsia="zh-CN"/>
              </w:rPr>
              <w:t>客服、会务服务人员</w:t>
            </w:r>
            <w:bookmarkEnd w:id="432"/>
          </w:p>
        </w:tc>
        <w:tc>
          <w:tcPr>
            <w:tcW w:w="2533" w:type="dxa"/>
            <w:tcBorders>
              <w:top w:val="single" w:color="auto" w:sz="4" w:space="0"/>
              <w:left w:val="single" w:color="auto" w:sz="4" w:space="0"/>
              <w:bottom w:val="single" w:color="auto" w:sz="4" w:space="0"/>
              <w:right w:val="single" w:color="auto" w:sz="4" w:space="0"/>
            </w:tcBorders>
            <w:noWrap w:val="0"/>
            <w:vAlign w:val="center"/>
          </w:tcPr>
          <w:p w14:paraId="241F6C1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会务服务</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3A38F7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w:t>
            </w:r>
          </w:p>
        </w:tc>
        <w:tc>
          <w:tcPr>
            <w:tcW w:w="1163" w:type="dxa"/>
            <w:tcBorders>
              <w:top w:val="single" w:color="auto" w:sz="4" w:space="0"/>
              <w:left w:val="single" w:color="auto" w:sz="4" w:space="0"/>
              <w:bottom w:val="single" w:color="auto" w:sz="4" w:space="0"/>
              <w:right w:val="single" w:color="auto" w:sz="4" w:space="0"/>
            </w:tcBorders>
            <w:noWrap w:val="0"/>
            <w:vAlign w:val="center"/>
          </w:tcPr>
          <w:p w14:paraId="086465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2</w:t>
            </w:r>
          </w:p>
        </w:tc>
        <w:tc>
          <w:tcPr>
            <w:tcW w:w="2253" w:type="dxa"/>
            <w:tcBorders>
              <w:top w:val="single" w:color="auto" w:sz="4" w:space="0"/>
              <w:left w:val="single" w:color="auto" w:sz="4" w:space="0"/>
              <w:bottom w:val="single" w:color="auto" w:sz="4" w:space="0"/>
              <w:right w:val="single" w:color="auto" w:sz="4" w:space="0"/>
            </w:tcBorders>
            <w:noWrap w:val="0"/>
            <w:vAlign w:val="center"/>
          </w:tcPr>
          <w:p w14:paraId="580873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p>
        </w:tc>
      </w:tr>
      <w:tr w14:paraId="4A25FA9F">
        <w:tblPrEx>
          <w:tblCellMar>
            <w:top w:w="0" w:type="dxa"/>
            <w:left w:w="108" w:type="dxa"/>
            <w:bottom w:w="0" w:type="dxa"/>
            <w:right w:w="108" w:type="dxa"/>
          </w:tblCellMar>
        </w:tblPrEx>
        <w:trPr>
          <w:trHeight w:val="327"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14:paraId="56D675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5</w:t>
            </w:r>
          </w:p>
        </w:tc>
        <w:tc>
          <w:tcPr>
            <w:tcW w:w="2387" w:type="dxa"/>
            <w:tcBorders>
              <w:top w:val="single" w:color="auto" w:sz="4" w:space="0"/>
              <w:left w:val="single" w:color="auto" w:sz="4" w:space="0"/>
              <w:bottom w:val="single" w:color="auto" w:sz="4" w:space="0"/>
              <w:right w:val="single" w:color="auto" w:sz="4" w:space="0"/>
            </w:tcBorders>
            <w:noWrap w:val="0"/>
            <w:vAlign w:val="center"/>
          </w:tcPr>
          <w:p w14:paraId="7E13FF4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配电室值班及管理人员</w:t>
            </w:r>
          </w:p>
        </w:tc>
        <w:tc>
          <w:tcPr>
            <w:tcW w:w="2533" w:type="dxa"/>
            <w:tcBorders>
              <w:top w:val="single" w:color="auto" w:sz="4" w:space="0"/>
              <w:left w:val="single" w:color="auto" w:sz="4" w:space="0"/>
              <w:bottom w:val="single" w:color="auto" w:sz="4" w:space="0"/>
              <w:right w:val="single" w:color="auto" w:sz="4" w:space="0"/>
            </w:tcBorders>
            <w:noWrap w:val="0"/>
            <w:vAlign w:val="center"/>
          </w:tcPr>
          <w:p w14:paraId="36EE94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高低压电工作业人员</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1FC7C0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w:t>
            </w:r>
          </w:p>
        </w:tc>
        <w:tc>
          <w:tcPr>
            <w:tcW w:w="1163" w:type="dxa"/>
            <w:tcBorders>
              <w:top w:val="single" w:color="auto" w:sz="4" w:space="0"/>
              <w:left w:val="single" w:color="auto" w:sz="4" w:space="0"/>
              <w:bottom w:val="single" w:color="auto" w:sz="4" w:space="0"/>
              <w:right w:val="single" w:color="auto" w:sz="4" w:space="0"/>
            </w:tcBorders>
            <w:noWrap w:val="0"/>
            <w:vAlign w:val="center"/>
          </w:tcPr>
          <w:p w14:paraId="698A30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3</w:t>
            </w:r>
          </w:p>
        </w:tc>
        <w:tc>
          <w:tcPr>
            <w:tcW w:w="2253" w:type="dxa"/>
            <w:tcBorders>
              <w:top w:val="single" w:color="auto" w:sz="4" w:space="0"/>
              <w:left w:val="single" w:color="auto" w:sz="4" w:space="0"/>
              <w:bottom w:val="single" w:color="auto" w:sz="4" w:space="0"/>
              <w:right w:val="single" w:color="auto" w:sz="4" w:space="0"/>
            </w:tcBorders>
            <w:noWrap w:val="0"/>
            <w:vAlign w:val="center"/>
          </w:tcPr>
          <w:p w14:paraId="655EC6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需持高低压电工特种作业操作证</w:t>
            </w:r>
          </w:p>
        </w:tc>
      </w:tr>
      <w:tr w14:paraId="4EEE2152">
        <w:tblPrEx>
          <w:tblCellMar>
            <w:top w:w="0" w:type="dxa"/>
            <w:left w:w="108" w:type="dxa"/>
            <w:bottom w:w="0" w:type="dxa"/>
            <w:right w:w="108" w:type="dxa"/>
          </w:tblCellMar>
        </w:tblPrEx>
        <w:trPr>
          <w:trHeight w:val="327"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14:paraId="2AD305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6</w:t>
            </w:r>
          </w:p>
        </w:tc>
        <w:tc>
          <w:tcPr>
            <w:tcW w:w="2387" w:type="dxa"/>
            <w:tcBorders>
              <w:top w:val="single" w:color="auto" w:sz="4" w:space="0"/>
              <w:left w:val="single" w:color="auto" w:sz="4" w:space="0"/>
              <w:bottom w:val="single" w:color="auto" w:sz="4" w:space="0"/>
              <w:right w:val="single" w:color="auto" w:sz="4" w:space="0"/>
            </w:tcBorders>
            <w:noWrap w:val="0"/>
            <w:vAlign w:val="center"/>
          </w:tcPr>
          <w:p w14:paraId="1B3B0EF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中水站运行管理员</w:t>
            </w:r>
          </w:p>
        </w:tc>
        <w:tc>
          <w:tcPr>
            <w:tcW w:w="2533" w:type="dxa"/>
            <w:tcBorders>
              <w:top w:val="single" w:color="auto" w:sz="4" w:space="0"/>
              <w:left w:val="single" w:color="auto" w:sz="4" w:space="0"/>
              <w:bottom w:val="single" w:color="auto" w:sz="4" w:space="0"/>
              <w:right w:val="single" w:color="auto" w:sz="4" w:space="0"/>
            </w:tcBorders>
            <w:noWrap w:val="0"/>
            <w:vAlign w:val="center"/>
          </w:tcPr>
          <w:p w14:paraId="64B520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中水运行管理</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1C14F6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w:t>
            </w:r>
          </w:p>
        </w:tc>
        <w:tc>
          <w:tcPr>
            <w:tcW w:w="1163" w:type="dxa"/>
            <w:tcBorders>
              <w:top w:val="single" w:color="auto" w:sz="4" w:space="0"/>
              <w:left w:val="single" w:color="auto" w:sz="4" w:space="0"/>
              <w:bottom w:val="single" w:color="auto" w:sz="4" w:space="0"/>
              <w:right w:val="single" w:color="auto" w:sz="4" w:space="0"/>
            </w:tcBorders>
            <w:noWrap w:val="0"/>
            <w:vAlign w:val="center"/>
          </w:tcPr>
          <w:p w14:paraId="291146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3</w:t>
            </w:r>
          </w:p>
        </w:tc>
        <w:tc>
          <w:tcPr>
            <w:tcW w:w="2253" w:type="dxa"/>
            <w:tcBorders>
              <w:top w:val="single" w:color="auto" w:sz="4" w:space="0"/>
              <w:left w:val="single" w:color="auto" w:sz="4" w:space="0"/>
              <w:bottom w:val="single" w:color="auto" w:sz="4" w:space="0"/>
              <w:right w:val="single" w:color="auto" w:sz="4" w:space="0"/>
            </w:tcBorders>
            <w:noWrap w:val="0"/>
            <w:vAlign w:val="center"/>
          </w:tcPr>
          <w:p w14:paraId="4C4073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p>
        </w:tc>
      </w:tr>
      <w:tr w14:paraId="0D6D25EF">
        <w:tblPrEx>
          <w:tblCellMar>
            <w:top w:w="0" w:type="dxa"/>
            <w:left w:w="108" w:type="dxa"/>
            <w:bottom w:w="0" w:type="dxa"/>
            <w:right w:w="108" w:type="dxa"/>
          </w:tblCellMar>
        </w:tblPrEx>
        <w:trPr>
          <w:trHeight w:val="327"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14:paraId="014275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7</w:t>
            </w:r>
          </w:p>
        </w:tc>
        <w:tc>
          <w:tcPr>
            <w:tcW w:w="2387" w:type="dxa"/>
            <w:tcBorders>
              <w:top w:val="single" w:color="auto" w:sz="4" w:space="0"/>
              <w:left w:val="single" w:color="auto" w:sz="4" w:space="0"/>
              <w:bottom w:val="single" w:color="auto" w:sz="4" w:space="0"/>
              <w:right w:val="single" w:color="auto" w:sz="4" w:space="0"/>
            </w:tcBorders>
            <w:noWrap w:val="0"/>
            <w:vAlign w:val="center"/>
          </w:tcPr>
          <w:p w14:paraId="4DB67B9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电梯安全管理员</w:t>
            </w:r>
          </w:p>
        </w:tc>
        <w:tc>
          <w:tcPr>
            <w:tcW w:w="2533" w:type="dxa"/>
            <w:tcBorders>
              <w:top w:val="single" w:color="auto" w:sz="4" w:space="0"/>
              <w:left w:val="single" w:color="auto" w:sz="4" w:space="0"/>
              <w:bottom w:val="single" w:color="auto" w:sz="4" w:space="0"/>
              <w:right w:val="single" w:color="auto" w:sz="4" w:space="0"/>
            </w:tcBorders>
            <w:noWrap w:val="0"/>
            <w:vAlign w:val="center"/>
          </w:tcPr>
          <w:p w14:paraId="108FBF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安全员</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5CC251B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p>
        </w:tc>
        <w:tc>
          <w:tcPr>
            <w:tcW w:w="1163" w:type="dxa"/>
            <w:tcBorders>
              <w:top w:val="single" w:color="auto" w:sz="4" w:space="0"/>
              <w:left w:val="single" w:color="auto" w:sz="4" w:space="0"/>
              <w:bottom w:val="single" w:color="auto" w:sz="4" w:space="0"/>
              <w:right w:val="single" w:color="auto" w:sz="4" w:space="0"/>
            </w:tcBorders>
            <w:noWrap w:val="0"/>
            <w:vAlign w:val="center"/>
          </w:tcPr>
          <w:p w14:paraId="340474A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1</w:t>
            </w:r>
          </w:p>
        </w:tc>
        <w:tc>
          <w:tcPr>
            <w:tcW w:w="2253" w:type="dxa"/>
            <w:tcBorders>
              <w:top w:val="single" w:color="auto" w:sz="4" w:space="0"/>
              <w:left w:val="single" w:color="auto" w:sz="4" w:space="0"/>
              <w:bottom w:val="single" w:color="auto" w:sz="4" w:space="0"/>
              <w:right w:val="single" w:color="auto" w:sz="4" w:space="0"/>
            </w:tcBorders>
            <w:noWrap w:val="0"/>
            <w:vAlign w:val="center"/>
          </w:tcPr>
          <w:p w14:paraId="3BE595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需持电梯管理作业T证</w:t>
            </w:r>
          </w:p>
        </w:tc>
      </w:tr>
      <w:tr w14:paraId="0EA256D1">
        <w:tblPrEx>
          <w:tblCellMar>
            <w:top w:w="0" w:type="dxa"/>
            <w:left w:w="108" w:type="dxa"/>
            <w:bottom w:w="0" w:type="dxa"/>
            <w:right w:w="108" w:type="dxa"/>
          </w:tblCellMar>
        </w:tblPrEx>
        <w:trPr>
          <w:trHeight w:val="327"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14:paraId="100622C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8</w:t>
            </w:r>
          </w:p>
        </w:tc>
        <w:tc>
          <w:tcPr>
            <w:tcW w:w="2387" w:type="dxa"/>
            <w:tcBorders>
              <w:top w:val="single" w:color="auto" w:sz="4" w:space="0"/>
              <w:left w:val="single" w:color="auto" w:sz="4" w:space="0"/>
              <w:bottom w:val="single" w:color="auto" w:sz="4" w:space="0"/>
              <w:right w:val="single" w:color="auto" w:sz="4" w:space="0"/>
            </w:tcBorders>
            <w:noWrap w:val="0"/>
            <w:vAlign w:val="center"/>
          </w:tcPr>
          <w:p w14:paraId="5AB0B0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摆渡车管理运行人员</w:t>
            </w:r>
          </w:p>
        </w:tc>
        <w:tc>
          <w:tcPr>
            <w:tcW w:w="2533" w:type="dxa"/>
            <w:tcBorders>
              <w:top w:val="single" w:color="auto" w:sz="4" w:space="0"/>
              <w:left w:val="single" w:color="auto" w:sz="4" w:space="0"/>
              <w:bottom w:val="single" w:color="auto" w:sz="4" w:space="0"/>
              <w:right w:val="single" w:color="auto" w:sz="4" w:space="0"/>
            </w:tcBorders>
            <w:noWrap w:val="0"/>
            <w:vAlign w:val="center"/>
          </w:tcPr>
          <w:p w14:paraId="57A066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驾驶员</w:t>
            </w:r>
          </w:p>
        </w:tc>
        <w:tc>
          <w:tcPr>
            <w:tcW w:w="1177" w:type="dxa"/>
            <w:tcBorders>
              <w:top w:val="single" w:color="auto" w:sz="4" w:space="0"/>
              <w:left w:val="single" w:color="auto" w:sz="4" w:space="0"/>
              <w:bottom w:val="single" w:color="auto" w:sz="4" w:space="0"/>
              <w:right w:val="single" w:color="auto" w:sz="4" w:space="0"/>
            </w:tcBorders>
            <w:noWrap w:val="0"/>
            <w:vAlign w:val="center"/>
          </w:tcPr>
          <w:p w14:paraId="1C5C69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p>
        </w:tc>
        <w:tc>
          <w:tcPr>
            <w:tcW w:w="1163" w:type="dxa"/>
            <w:tcBorders>
              <w:top w:val="single" w:color="auto" w:sz="4" w:space="0"/>
              <w:left w:val="single" w:color="auto" w:sz="4" w:space="0"/>
              <w:bottom w:val="single" w:color="auto" w:sz="4" w:space="0"/>
              <w:right w:val="single" w:color="auto" w:sz="4" w:space="0"/>
            </w:tcBorders>
            <w:noWrap w:val="0"/>
            <w:vAlign w:val="center"/>
          </w:tcPr>
          <w:p w14:paraId="79E9FF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2</w:t>
            </w:r>
          </w:p>
        </w:tc>
        <w:tc>
          <w:tcPr>
            <w:tcW w:w="2253" w:type="dxa"/>
            <w:tcBorders>
              <w:top w:val="single" w:color="auto" w:sz="4" w:space="0"/>
              <w:left w:val="single" w:color="auto" w:sz="4" w:space="0"/>
              <w:bottom w:val="single" w:color="auto" w:sz="4" w:space="0"/>
              <w:right w:val="single" w:color="auto" w:sz="4" w:space="0"/>
            </w:tcBorders>
            <w:noWrap w:val="0"/>
            <w:vAlign w:val="center"/>
          </w:tcPr>
          <w:p w14:paraId="24F8E7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需持机动车驾驶C证及以上</w:t>
            </w:r>
          </w:p>
        </w:tc>
      </w:tr>
      <w:bookmarkEnd w:id="430"/>
      <w:bookmarkEnd w:id="431"/>
    </w:tbl>
    <w:p w14:paraId="080498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60" w:firstLineChars="200"/>
        <w:jc w:val="left"/>
        <w:textAlignment w:val="auto"/>
        <w:rPr>
          <w:rFonts w:hint="eastAsia" w:asciiTheme="minorEastAsia" w:hAnsiTheme="minorEastAsia" w:eastAsiaTheme="minorEastAsia" w:cstheme="minorEastAsia"/>
          <w:color w:val="auto"/>
          <w:spacing w:val="10"/>
          <w:szCs w:val="21"/>
          <w:highlight w:val="none"/>
          <w:lang w:val="en-US" w:eastAsia="zh-CN"/>
        </w:rPr>
      </w:pPr>
    </w:p>
    <w:p w14:paraId="2CF3A3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60" w:firstLineChars="200"/>
        <w:jc w:val="left"/>
        <w:textAlignment w:val="auto"/>
        <w:rPr>
          <w:rFonts w:hint="eastAsia" w:asciiTheme="minorEastAsia" w:hAnsiTheme="minorEastAsia" w:eastAsiaTheme="minorEastAsia" w:cstheme="minorEastAsia"/>
          <w:color w:val="auto"/>
          <w:spacing w:val="10"/>
          <w:szCs w:val="21"/>
          <w:highlight w:val="none"/>
          <w:lang w:val="en-US" w:eastAsia="zh-CN"/>
        </w:rPr>
      </w:pPr>
      <w:r>
        <w:rPr>
          <w:rFonts w:hint="eastAsia" w:asciiTheme="minorEastAsia" w:hAnsiTheme="minorEastAsia" w:eastAsiaTheme="minorEastAsia" w:cstheme="minorEastAsia"/>
          <w:color w:val="auto"/>
          <w:spacing w:val="10"/>
          <w:szCs w:val="21"/>
          <w:highlight w:val="none"/>
          <w:lang w:val="en-US" w:eastAsia="zh-CN"/>
        </w:rPr>
        <w:t>茨坝小区服务人员包含在上述人员中，岗位及人数安排以根据实际情况按照采购人要求为准。</w:t>
      </w:r>
    </w:p>
    <w:p w14:paraId="403C0098">
      <w:pPr>
        <w:bidi w:val="0"/>
        <w:rPr>
          <w:rFonts w:hint="eastAsia"/>
          <w:b/>
          <w:bCs/>
          <w:color w:val="auto"/>
          <w:sz w:val="24"/>
          <w:highlight w:val="none"/>
        </w:rPr>
      </w:pPr>
      <w:r>
        <w:rPr>
          <w:rFonts w:hint="eastAsia" w:cs="Times New Roman"/>
          <w:b/>
          <w:bCs/>
          <w:color w:val="auto"/>
          <w:kern w:val="2"/>
          <w:sz w:val="24"/>
          <w:szCs w:val="24"/>
          <w:lang w:val="en-US" w:eastAsia="zh-CN" w:bidi="ar-SA"/>
        </w:rPr>
        <w:t>六</w:t>
      </w:r>
      <w:r>
        <w:rPr>
          <w:rFonts w:hint="eastAsia" w:ascii="Times New Roman" w:hAnsi="Times New Roman" w:eastAsia="宋体" w:cs="Times New Roman"/>
          <w:b/>
          <w:bCs/>
          <w:color w:val="auto"/>
          <w:kern w:val="2"/>
          <w:sz w:val="24"/>
          <w:szCs w:val="24"/>
          <w:lang w:val="en-US" w:eastAsia="zh-CN" w:bidi="ar-SA"/>
        </w:rPr>
        <w:t>、</w:t>
      </w:r>
      <w:r>
        <w:rPr>
          <w:rFonts w:hint="eastAsia"/>
          <w:b/>
          <w:bCs/>
          <w:color w:val="auto"/>
          <w:sz w:val="24"/>
          <w:highlight w:val="none"/>
        </w:rPr>
        <w:t>设施器材</w:t>
      </w:r>
    </w:p>
    <w:p w14:paraId="2BB4F58C">
      <w:pPr>
        <w:spacing w:line="360" w:lineRule="auto"/>
        <w:ind w:firstLine="420" w:firstLineChars="200"/>
        <w:rPr>
          <w:rFonts w:hint="eastAsia" w:ascii="Times New Roman" w:hAnsi="Times New Roman" w:eastAsia="宋体" w:cs="Times New Roman"/>
          <w:color w:val="auto"/>
          <w:lang w:val="en-US" w:eastAsia="zh-CN"/>
        </w:rPr>
      </w:pPr>
      <w:bookmarkStart w:id="433" w:name="_Toc17113"/>
      <w:bookmarkStart w:id="434" w:name="_Toc6803"/>
      <w:r>
        <w:rPr>
          <w:rFonts w:hint="eastAsia" w:ascii="Times New Roman" w:hAnsi="Times New Roman" w:eastAsia="宋体" w:cs="Times New Roman"/>
          <w:color w:val="auto"/>
          <w:lang w:val="en-US" w:eastAsia="zh-CN"/>
        </w:rPr>
        <w:t>1.投标人应按物业管理及服务需求，配置相应清扫机械及设备、维修设备及保障项目正常运行相关设备，并承担费用。</w:t>
      </w:r>
    </w:p>
    <w:p w14:paraId="6138BA1B">
      <w:pPr>
        <w:spacing w:line="360" w:lineRule="auto"/>
        <w:ind w:firstLine="420" w:firstLineChars="200"/>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物业费用包含项目</w:t>
      </w:r>
    </w:p>
    <w:tbl>
      <w:tblPr>
        <w:tblStyle w:val="33"/>
        <w:tblW w:w="9757" w:type="dxa"/>
        <w:tblInd w:w="0" w:type="dxa"/>
        <w:tblLayout w:type="fixed"/>
        <w:tblCellMar>
          <w:top w:w="0" w:type="dxa"/>
          <w:left w:w="108" w:type="dxa"/>
          <w:bottom w:w="0" w:type="dxa"/>
          <w:right w:w="108" w:type="dxa"/>
        </w:tblCellMar>
      </w:tblPr>
      <w:tblGrid>
        <w:gridCol w:w="1892"/>
        <w:gridCol w:w="371"/>
        <w:gridCol w:w="1415"/>
        <w:gridCol w:w="195"/>
        <w:gridCol w:w="1347"/>
        <w:gridCol w:w="28"/>
        <w:gridCol w:w="1598"/>
        <w:gridCol w:w="699"/>
        <w:gridCol w:w="1050"/>
        <w:gridCol w:w="72"/>
        <w:gridCol w:w="1090"/>
      </w:tblGrid>
      <w:tr w14:paraId="047CF3CC">
        <w:tblPrEx>
          <w:tblCellMar>
            <w:top w:w="0" w:type="dxa"/>
            <w:left w:w="108" w:type="dxa"/>
            <w:bottom w:w="0" w:type="dxa"/>
            <w:right w:w="108" w:type="dxa"/>
          </w:tblCellMar>
        </w:tblPrEx>
        <w:trPr>
          <w:trHeight w:val="300" w:hRule="atLeast"/>
        </w:trPr>
        <w:tc>
          <w:tcPr>
            <w:tcW w:w="2263" w:type="dxa"/>
            <w:gridSpan w:val="2"/>
            <w:tcBorders>
              <w:top w:val="single" w:color="auto" w:sz="4" w:space="0"/>
              <w:left w:val="single" w:color="auto" w:sz="4" w:space="0"/>
              <w:bottom w:val="single" w:color="auto" w:sz="4" w:space="0"/>
              <w:right w:val="single" w:color="auto" w:sz="4" w:space="0"/>
            </w:tcBorders>
            <w:noWrap w:val="0"/>
            <w:vAlign w:val="bottom"/>
          </w:tcPr>
          <w:p w14:paraId="4F27250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人员工资及附加费</w:t>
            </w:r>
          </w:p>
        </w:tc>
        <w:tc>
          <w:tcPr>
            <w:tcW w:w="2957" w:type="dxa"/>
            <w:gridSpan w:val="3"/>
            <w:tcBorders>
              <w:top w:val="single" w:color="auto" w:sz="4" w:space="0"/>
              <w:left w:val="nil"/>
              <w:bottom w:val="single" w:color="auto" w:sz="4" w:space="0"/>
              <w:right w:val="single" w:color="000000" w:sz="4" w:space="0"/>
            </w:tcBorders>
            <w:noWrap w:val="0"/>
            <w:vAlign w:val="bottom"/>
          </w:tcPr>
          <w:p w14:paraId="5878449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秩序维护部设备</w:t>
            </w:r>
          </w:p>
        </w:tc>
        <w:tc>
          <w:tcPr>
            <w:tcW w:w="2325" w:type="dxa"/>
            <w:gridSpan w:val="3"/>
            <w:tcBorders>
              <w:top w:val="single" w:color="auto" w:sz="4" w:space="0"/>
              <w:left w:val="nil"/>
              <w:bottom w:val="single" w:color="auto" w:sz="4" w:space="0"/>
              <w:right w:val="single" w:color="auto" w:sz="4" w:space="0"/>
            </w:tcBorders>
            <w:noWrap w:val="0"/>
            <w:vAlign w:val="bottom"/>
          </w:tcPr>
          <w:p w14:paraId="1A6FEB8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保洁低值易耗品</w:t>
            </w:r>
          </w:p>
        </w:tc>
        <w:tc>
          <w:tcPr>
            <w:tcW w:w="2212" w:type="dxa"/>
            <w:gridSpan w:val="3"/>
            <w:tcBorders>
              <w:top w:val="single" w:color="auto" w:sz="4" w:space="0"/>
              <w:left w:val="nil"/>
              <w:bottom w:val="single" w:color="auto" w:sz="4" w:space="0"/>
              <w:right w:val="single" w:color="000000" w:sz="4" w:space="0"/>
            </w:tcBorders>
            <w:noWrap w:val="0"/>
            <w:vAlign w:val="bottom"/>
          </w:tcPr>
          <w:p w14:paraId="6C1ADB7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开办费</w:t>
            </w:r>
          </w:p>
        </w:tc>
      </w:tr>
      <w:tr w14:paraId="4DD41FC8">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bottom"/>
          </w:tcPr>
          <w:p w14:paraId="4F5012A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校园保洁人员</w:t>
            </w:r>
          </w:p>
        </w:tc>
        <w:tc>
          <w:tcPr>
            <w:tcW w:w="2957" w:type="dxa"/>
            <w:gridSpan w:val="3"/>
            <w:tcBorders>
              <w:top w:val="single" w:color="auto" w:sz="4" w:space="0"/>
              <w:left w:val="nil"/>
              <w:bottom w:val="single" w:color="auto" w:sz="4" w:space="0"/>
              <w:right w:val="single" w:color="auto" w:sz="4" w:space="0"/>
            </w:tcBorders>
            <w:noWrap w:val="0"/>
            <w:vAlign w:val="bottom"/>
          </w:tcPr>
          <w:p w14:paraId="0F7915F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秩序维护部用床</w:t>
            </w:r>
          </w:p>
        </w:tc>
        <w:tc>
          <w:tcPr>
            <w:tcW w:w="2325" w:type="dxa"/>
            <w:gridSpan w:val="3"/>
            <w:tcBorders>
              <w:top w:val="nil"/>
              <w:left w:val="nil"/>
              <w:bottom w:val="single" w:color="auto" w:sz="4" w:space="0"/>
              <w:right w:val="single" w:color="auto" w:sz="4" w:space="0"/>
            </w:tcBorders>
            <w:noWrap w:val="0"/>
            <w:vAlign w:val="center"/>
          </w:tcPr>
          <w:p w14:paraId="4B97FD1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洗洁净</w:t>
            </w:r>
          </w:p>
        </w:tc>
        <w:tc>
          <w:tcPr>
            <w:tcW w:w="2212" w:type="dxa"/>
            <w:gridSpan w:val="3"/>
            <w:tcBorders>
              <w:top w:val="single" w:color="auto" w:sz="4" w:space="0"/>
              <w:left w:val="nil"/>
              <w:bottom w:val="single" w:color="auto" w:sz="4" w:space="0"/>
              <w:right w:val="single" w:color="auto" w:sz="4" w:space="0"/>
            </w:tcBorders>
            <w:noWrap w:val="0"/>
            <w:vAlign w:val="center"/>
          </w:tcPr>
          <w:p w14:paraId="2B81260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人员工资</w:t>
            </w:r>
          </w:p>
        </w:tc>
      </w:tr>
      <w:tr w14:paraId="295A7CDB">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bottom"/>
          </w:tcPr>
          <w:p w14:paraId="6D538C4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维修服务人员</w:t>
            </w:r>
          </w:p>
        </w:tc>
        <w:tc>
          <w:tcPr>
            <w:tcW w:w="2957" w:type="dxa"/>
            <w:gridSpan w:val="3"/>
            <w:tcBorders>
              <w:top w:val="single" w:color="auto" w:sz="4" w:space="0"/>
              <w:left w:val="nil"/>
              <w:bottom w:val="single" w:color="auto" w:sz="4" w:space="0"/>
              <w:right w:val="single" w:color="auto" w:sz="4" w:space="0"/>
            </w:tcBorders>
            <w:noWrap w:val="0"/>
            <w:vAlign w:val="bottom"/>
          </w:tcPr>
          <w:p w14:paraId="0498375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更衣柜</w:t>
            </w:r>
          </w:p>
        </w:tc>
        <w:tc>
          <w:tcPr>
            <w:tcW w:w="2325" w:type="dxa"/>
            <w:gridSpan w:val="3"/>
            <w:tcBorders>
              <w:top w:val="nil"/>
              <w:left w:val="nil"/>
              <w:bottom w:val="single" w:color="auto" w:sz="4" w:space="0"/>
              <w:right w:val="single" w:color="auto" w:sz="4" w:space="0"/>
            </w:tcBorders>
            <w:noWrap w:val="0"/>
            <w:vAlign w:val="center"/>
          </w:tcPr>
          <w:p w14:paraId="480DEF5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洁厕精</w:t>
            </w:r>
          </w:p>
        </w:tc>
        <w:tc>
          <w:tcPr>
            <w:tcW w:w="2212" w:type="dxa"/>
            <w:gridSpan w:val="3"/>
            <w:tcBorders>
              <w:top w:val="single" w:color="auto" w:sz="4" w:space="0"/>
              <w:left w:val="nil"/>
              <w:bottom w:val="single" w:color="auto" w:sz="4" w:space="0"/>
              <w:right w:val="single" w:color="auto" w:sz="4" w:space="0"/>
            </w:tcBorders>
            <w:noWrap w:val="0"/>
            <w:vAlign w:val="center"/>
          </w:tcPr>
          <w:p w14:paraId="50CF3DE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服装费</w:t>
            </w:r>
          </w:p>
        </w:tc>
      </w:tr>
      <w:tr w14:paraId="7CE548D7">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bottom"/>
          </w:tcPr>
          <w:p w14:paraId="2811F27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专项管理员</w:t>
            </w:r>
          </w:p>
        </w:tc>
        <w:tc>
          <w:tcPr>
            <w:tcW w:w="2957" w:type="dxa"/>
            <w:gridSpan w:val="3"/>
            <w:tcBorders>
              <w:top w:val="single" w:color="auto" w:sz="4" w:space="0"/>
              <w:left w:val="nil"/>
              <w:bottom w:val="single" w:color="auto" w:sz="4" w:space="0"/>
              <w:right w:val="single" w:color="auto" w:sz="4" w:space="0"/>
            </w:tcBorders>
            <w:noWrap w:val="0"/>
            <w:vAlign w:val="bottom"/>
          </w:tcPr>
          <w:p w14:paraId="7CF4D38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铺盖</w:t>
            </w:r>
          </w:p>
        </w:tc>
        <w:tc>
          <w:tcPr>
            <w:tcW w:w="2325" w:type="dxa"/>
            <w:gridSpan w:val="3"/>
            <w:tcBorders>
              <w:top w:val="nil"/>
              <w:left w:val="nil"/>
              <w:bottom w:val="single" w:color="auto" w:sz="4" w:space="0"/>
              <w:right w:val="single" w:color="auto" w:sz="4" w:space="0"/>
            </w:tcBorders>
            <w:noWrap w:val="0"/>
            <w:vAlign w:val="center"/>
          </w:tcPr>
          <w:p w14:paraId="053A216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洗衣粉</w:t>
            </w:r>
          </w:p>
        </w:tc>
        <w:tc>
          <w:tcPr>
            <w:tcW w:w="2212" w:type="dxa"/>
            <w:gridSpan w:val="3"/>
            <w:tcBorders>
              <w:top w:val="single" w:color="auto" w:sz="4" w:space="0"/>
              <w:left w:val="nil"/>
              <w:bottom w:val="single" w:color="auto" w:sz="4" w:space="0"/>
              <w:right w:val="single" w:color="auto" w:sz="4" w:space="0"/>
            </w:tcBorders>
            <w:noWrap w:val="0"/>
            <w:vAlign w:val="center"/>
          </w:tcPr>
          <w:p w14:paraId="7C1E955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培训费用</w:t>
            </w:r>
          </w:p>
        </w:tc>
      </w:tr>
      <w:tr w14:paraId="1FEE5544">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bottom"/>
          </w:tcPr>
          <w:p w14:paraId="54594F9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宿舍管理员</w:t>
            </w:r>
          </w:p>
        </w:tc>
        <w:tc>
          <w:tcPr>
            <w:tcW w:w="2957" w:type="dxa"/>
            <w:gridSpan w:val="3"/>
            <w:tcBorders>
              <w:top w:val="single" w:color="auto" w:sz="4" w:space="0"/>
              <w:left w:val="nil"/>
              <w:bottom w:val="single" w:color="auto" w:sz="4" w:space="0"/>
              <w:right w:val="single" w:color="auto" w:sz="4" w:space="0"/>
            </w:tcBorders>
            <w:noWrap w:val="0"/>
            <w:vAlign w:val="bottom"/>
          </w:tcPr>
          <w:p w14:paraId="4DF8A49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对讲机</w:t>
            </w:r>
          </w:p>
        </w:tc>
        <w:tc>
          <w:tcPr>
            <w:tcW w:w="2325" w:type="dxa"/>
            <w:gridSpan w:val="3"/>
            <w:tcBorders>
              <w:top w:val="nil"/>
              <w:left w:val="nil"/>
              <w:bottom w:val="single" w:color="auto" w:sz="4" w:space="0"/>
              <w:right w:val="single" w:color="auto" w:sz="4" w:space="0"/>
            </w:tcBorders>
            <w:noWrap w:val="0"/>
            <w:vAlign w:val="center"/>
          </w:tcPr>
          <w:p w14:paraId="044B223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除胶剂</w:t>
            </w:r>
          </w:p>
        </w:tc>
        <w:tc>
          <w:tcPr>
            <w:tcW w:w="2212" w:type="dxa"/>
            <w:gridSpan w:val="3"/>
            <w:tcBorders>
              <w:top w:val="single" w:color="auto" w:sz="4" w:space="0"/>
              <w:left w:val="nil"/>
              <w:bottom w:val="single" w:color="auto" w:sz="4" w:space="0"/>
              <w:right w:val="single" w:color="auto" w:sz="4" w:space="0"/>
            </w:tcBorders>
            <w:noWrap w:val="0"/>
            <w:vAlign w:val="center"/>
          </w:tcPr>
          <w:p w14:paraId="59576D5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招聘费</w:t>
            </w:r>
          </w:p>
        </w:tc>
      </w:tr>
      <w:tr w14:paraId="299EB86E">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center"/>
          </w:tcPr>
          <w:p w14:paraId="57C882A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茨坝校区物业</w:t>
            </w:r>
          </w:p>
        </w:tc>
        <w:tc>
          <w:tcPr>
            <w:tcW w:w="2957" w:type="dxa"/>
            <w:gridSpan w:val="3"/>
            <w:tcBorders>
              <w:top w:val="single" w:color="auto" w:sz="4" w:space="0"/>
              <w:left w:val="nil"/>
              <w:bottom w:val="single" w:color="auto" w:sz="4" w:space="0"/>
              <w:right w:val="single" w:color="auto" w:sz="4" w:space="0"/>
            </w:tcBorders>
            <w:noWrap w:val="0"/>
            <w:vAlign w:val="center"/>
          </w:tcPr>
          <w:p w14:paraId="5C94F4D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不锈钢油</w:t>
            </w:r>
          </w:p>
        </w:tc>
        <w:tc>
          <w:tcPr>
            <w:tcW w:w="2325" w:type="dxa"/>
            <w:gridSpan w:val="3"/>
            <w:tcBorders>
              <w:top w:val="nil"/>
              <w:left w:val="nil"/>
              <w:bottom w:val="single" w:color="auto" w:sz="4" w:space="0"/>
              <w:right w:val="single" w:color="auto" w:sz="4" w:space="0"/>
            </w:tcBorders>
            <w:noWrap w:val="0"/>
            <w:vAlign w:val="center"/>
          </w:tcPr>
          <w:p w14:paraId="4894D59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p>
        </w:tc>
        <w:tc>
          <w:tcPr>
            <w:tcW w:w="2212" w:type="dxa"/>
            <w:gridSpan w:val="3"/>
            <w:tcBorders>
              <w:top w:val="single" w:color="auto" w:sz="4" w:space="0"/>
              <w:left w:val="nil"/>
              <w:bottom w:val="single" w:color="auto" w:sz="4" w:space="0"/>
              <w:right w:val="single" w:color="auto" w:sz="4" w:space="0"/>
            </w:tcBorders>
            <w:noWrap w:val="0"/>
            <w:vAlign w:val="center"/>
          </w:tcPr>
          <w:p w14:paraId="59D37B8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人员意外伤害、伤亡发生的费用</w:t>
            </w:r>
          </w:p>
        </w:tc>
      </w:tr>
      <w:tr w14:paraId="1060BC82">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center"/>
          </w:tcPr>
          <w:p w14:paraId="6E9A684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综合加班费</w:t>
            </w:r>
          </w:p>
        </w:tc>
        <w:tc>
          <w:tcPr>
            <w:tcW w:w="2957" w:type="dxa"/>
            <w:gridSpan w:val="3"/>
            <w:tcBorders>
              <w:top w:val="single" w:color="auto" w:sz="4" w:space="0"/>
              <w:left w:val="nil"/>
              <w:bottom w:val="single" w:color="auto" w:sz="4" w:space="0"/>
              <w:right w:val="single" w:color="auto" w:sz="4" w:space="0"/>
            </w:tcBorders>
            <w:noWrap w:val="0"/>
            <w:vAlign w:val="center"/>
          </w:tcPr>
          <w:p w14:paraId="69AA08B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p>
        </w:tc>
        <w:tc>
          <w:tcPr>
            <w:tcW w:w="2325" w:type="dxa"/>
            <w:gridSpan w:val="3"/>
            <w:tcBorders>
              <w:top w:val="nil"/>
              <w:left w:val="nil"/>
              <w:bottom w:val="single" w:color="auto" w:sz="4" w:space="0"/>
              <w:right w:val="single" w:color="auto" w:sz="4" w:space="0"/>
            </w:tcBorders>
            <w:noWrap w:val="0"/>
            <w:vAlign w:val="center"/>
          </w:tcPr>
          <w:p w14:paraId="720C343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复合肥及打虫药（盆栽）</w:t>
            </w:r>
          </w:p>
        </w:tc>
        <w:tc>
          <w:tcPr>
            <w:tcW w:w="2212" w:type="dxa"/>
            <w:gridSpan w:val="3"/>
            <w:tcBorders>
              <w:top w:val="single" w:color="auto" w:sz="4" w:space="0"/>
              <w:left w:val="nil"/>
              <w:bottom w:val="single" w:color="auto" w:sz="4" w:space="0"/>
              <w:right w:val="single" w:color="auto" w:sz="4" w:space="0"/>
            </w:tcBorders>
            <w:noWrap w:val="0"/>
            <w:vAlign w:val="center"/>
          </w:tcPr>
          <w:p w14:paraId="27D4632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p>
        </w:tc>
      </w:tr>
      <w:tr w14:paraId="2F9C6A67">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bottom"/>
          </w:tcPr>
          <w:p w14:paraId="6681197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电梯维日常维保费</w:t>
            </w:r>
          </w:p>
        </w:tc>
        <w:tc>
          <w:tcPr>
            <w:tcW w:w="2957" w:type="dxa"/>
            <w:gridSpan w:val="3"/>
            <w:tcBorders>
              <w:top w:val="nil"/>
              <w:left w:val="nil"/>
              <w:bottom w:val="single" w:color="auto" w:sz="4" w:space="0"/>
              <w:right w:val="single" w:color="000000" w:sz="4" w:space="0"/>
            </w:tcBorders>
            <w:noWrap w:val="0"/>
            <w:vAlign w:val="bottom"/>
          </w:tcPr>
          <w:p w14:paraId="019D303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p>
        </w:tc>
        <w:tc>
          <w:tcPr>
            <w:tcW w:w="2325" w:type="dxa"/>
            <w:gridSpan w:val="3"/>
            <w:tcBorders>
              <w:top w:val="nil"/>
              <w:left w:val="nil"/>
              <w:bottom w:val="single" w:color="auto" w:sz="4" w:space="0"/>
              <w:right w:val="single" w:color="auto" w:sz="4" w:space="0"/>
            </w:tcBorders>
            <w:noWrap w:val="0"/>
            <w:vAlign w:val="bottom"/>
          </w:tcPr>
          <w:p w14:paraId="542FEE8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p>
        </w:tc>
        <w:tc>
          <w:tcPr>
            <w:tcW w:w="2212" w:type="dxa"/>
            <w:gridSpan w:val="3"/>
            <w:tcBorders>
              <w:top w:val="single" w:color="auto" w:sz="4" w:space="0"/>
              <w:left w:val="nil"/>
              <w:bottom w:val="single" w:color="auto" w:sz="4" w:space="0"/>
              <w:right w:val="single" w:color="auto" w:sz="4" w:space="0"/>
            </w:tcBorders>
            <w:noWrap w:val="0"/>
            <w:vAlign w:val="bottom"/>
          </w:tcPr>
          <w:p w14:paraId="350B65C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p>
        </w:tc>
      </w:tr>
      <w:tr w14:paraId="045324C0">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bottom"/>
          </w:tcPr>
          <w:p w14:paraId="09EB768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其它费用</w:t>
            </w:r>
          </w:p>
        </w:tc>
        <w:tc>
          <w:tcPr>
            <w:tcW w:w="2957" w:type="dxa"/>
            <w:gridSpan w:val="3"/>
            <w:tcBorders>
              <w:top w:val="nil"/>
              <w:left w:val="nil"/>
              <w:bottom w:val="single" w:color="auto" w:sz="4" w:space="0"/>
              <w:right w:val="single" w:color="000000" w:sz="4" w:space="0"/>
            </w:tcBorders>
            <w:noWrap w:val="0"/>
            <w:vAlign w:val="bottom"/>
          </w:tcPr>
          <w:p w14:paraId="5174FC6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保洁材料</w:t>
            </w:r>
          </w:p>
        </w:tc>
        <w:tc>
          <w:tcPr>
            <w:tcW w:w="4537" w:type="dxa"/>
            <w:gridSpan w:val="6"/>
            <w:tcBorders>
              <w:top w:val="single" w:color="auto" w:sz="4" w:space="0"/>
              <w:left w:val="nil"/>
              <w:bottom w:val="single" w:color="auto" w:sz="4" w:space="0"/>
              <w:right w:val="single" w:color="auto" w:sz="4" w:space="0"/>
            </w:tcBorders>
            <w:noWrap w:val="0"/>
            <w:vAlign w:val="bottom"/>
          </w:tcPr>
          <w:p w14:paraId="28E1208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办公费用</w:t>
            </w:r>
          </w:p>
        </w:tc>
      </w:tr>
      <w:tr w14:paraId="7CF28621">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bottom"/>
          </w:tcPr>
          <w:p w14:paraId="22C27D8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不可预见费</w:t>
            </w:r>
          </w:p>
        </w:tc>
        <w:tc>
          <w:tcPr>
            <w:tcW w:w="1610" w:type="dxa"/>
            <w:gridSpan w:val="2"/>
            <w:tcBorders>
              <w:top w:val="nil"/>
              <w:left w:val="nil"/>
              <w:bottom w:val="single" w:color="auto" w:sz="4" w:space="0"/>
              <w:right w:val="single" w:color="auto" w:sz="4" w:space="0"/>
            </w:tcBorders>
            <w:noWrap w:val="0"/>
            <w:vAlign w:val="bottom"/>
          </w:tcPr>
          <w:p w14:paraId="0A392C4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玻璃刮</w:t>
            </w:r>
          </w:p>
        </w:tc>
        <w:tc>
          <w:tcPr>
            <w:tcW w:w="1347" w:type="dxa"/>
            <w:tcBorders>
              <w:top w:val="nil"/>
              <w:left w:val="nil"/>
              <w:bottom w:val="single" w:color="auto" w:sz="4" w:space="0"/>
              <w:right w:val="single" w:color="auto" w:sz="4" w:space="0"/>
            </w:tcBorders>
            <w:noWrap w:val="0"/>
            <w:vAlign w:val="bottom"/>
          </w:tcPr>
          <w:p w14:paraId="62638A6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水管</w:t>
            </w:r>
          </w:p>
        </w:tc>
        <w:tc>
          <w:tcPr>
            <w:tcW w:w="2325" w:type="dxa"/>
            <w:gridSpan w:val="3"/>
            <w:tcBorders>
              <w:top w:val="nil"/>
              <w:left w:val="nil"/>
              <w:bottom w:val="single" w:color="auto" w:sz="4" w:space="0"/>
              <w:right w:val="single" w:color="auto" w:sz="4" w:space="0"/>
            </w:tcBorders>
            <w:noWrap w:val="0"/>
            <w:vAlign w:val="bottom"/>
          </w:tcPr>
          <w:p w14:paraId="387EE07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办公桌椅</w:t>
            </w:r>
          </w:p>
        </w:tc>
        <w:tc>
          <w:tcPr>
            <w:tcW w:w="1122" w:type="dxa"/>
            <w:gridSpan w:val="2"/>
            <w:tcBorders>
              <w:top w:val="nil"/>
              <w:left w:val="nil"/>
              <w:bottom w:val="single" w:color="auto" w:sz="4" w:space="0"/>
              <w:right w:val="single" w:color="auto" w:sz="4" w:space="0"/>
            </w:tcBorders>
            <w:noWrap w:val="0"/>
            <w:vAlign w:val="bottom"/>
          </w:tcPr>
          <w:p w14:paraId="191ABF2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胶水</w:t>
            </w:r>
          </w:p>
        </w:tc>
        <w:tc>
          <w:tcPr>
            <w:tcW w:w="1090" w:type="dxa"/>
            <w:tcBorders>
              <w:top w:val="nil"/>
              <w:left w:val="nil"/>
              <w:bottom w:val="single" w:color="auto" w:sz="4" w:space="0"/>
              <w:right w:val="single" w:color="auto" w:sz="4" w:space="0"/>
            </w:tcBorders>
            <w:noWrap w:val="0"/>
            <w:vAlign w:val="bottom"/>
          </w:tcPr>
          <w:p w14:paraId="7643FA6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资料架</w:t>
            </w:r>
          </w:p>
        </w:tc>
      </w:tr>
      <w:tr w14:paraId="6386A816">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bottom"/>
          </w:tcPr>
          <w:p w14:paraId="2A70909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办公电话费</w:t>
            </w:r>
          </w:p>
        </w:tc>
        <w:tc>
          <w:tcPr>
            <w:tcW w:w="1610" w:type="dxa"/>
            <w:gridSpan w:val="2"/>
            <w:tcBorders>
              <w:top w:val="nil"/>
              <w:left w:val="nil"/>
              <w:bottom w:val="single" w:color="auto" w:sz="4" w:space="0"/>
              <w:right w:val="single" w:color="auto" w:sz="4" w:space="0"/>
            </w:tcBorders>
            <w:noWrap w:val="0"/>
            <w:vAlign w:val="bottom"/>
          </w:tcPr>
          <w:p w14:paraId="3C75C6D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拖把桶</w:t>
            </w:r>
          </w:p>
        </w:tc>
        <w:tc>
          <w:tcPr>
            <w:tcW w:w="1347" w:type="dxa"/>
            <w:tcBorders>
              <w:top w:val="nil"/>
              <w:left w:val="nil"/>
              <w:bottom w:val="single" w:color="auto" w:sz="4" w:space="0"/>
              <w:right w:val="single" w:color="auto" w:sz="4" w:space="0"/>
            </w:tcBorders>
            <w:noWrap w:val="0"/>
            <w:vAlign w:val="bottom"/>
          </w:tcPr>
          <w:p w14:paraId="315974C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尘推90</w:t>
            </w:r>
          </w:p>
        </w:tc>
        <w:tc>
          <w:tcPr>
            <w:tcW w:w="2325" w:type="dxa"/>
            <w:gridSpan w:val="3"/>
            <w:tcBorders>
              <w:top w:val="nil"/>
              <w:left w:val="nil"/>
              <w:bottom w:val="single" w:color="auto" w:sz="4" w:space="0"/>
              <w:right w:val="single" w:color="auto" w:sz="4" w:space="0"/>
            </w:tcBorders>
            <w:noWrap w:val="0"/>
            <w:vAlign w:val="bottom"/>
          </w:tcPr>
          <w:p w14:paraId="7106FB2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打印机传真一体机</w:t>
            </w:r>
          </w:p>
        </w:tc>
        <w:tc>
          <w:tcPr>
            <w:tcW w:w="1122" w:type="dxa"/>
            <w:gridSpan w:val="2"/>
            <w:tcBorders>
              <w:top w:val="nil"/>
              <w:left w:val="nil"/>
              <w:bottom w:val="single" w:color="auto" w:sz="4" w:space="0"/>
              <w:right w:val="single" w:color="auto" w:sz="4" w:space="0"/>
            </w:tcBorders>
            <w:noWrap w:val="0"/>
            <w:vAlign w:val="bottom"/>
          </w:tcPr>
          <w:p w14:paraId="013802E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工作证</w:t>
            </w:r>
          </w:p>
        </w:tc>
        <w:tc>
          <w:tcPr>
            <w:tcW w:w="1090" w:type="dxa"/>
            <w:tcBorders>
              <w:top w:val="nil"/>
              <w:left w:val="nil"/>
              <w:bottom w:val="single" w:color="auto" w:sz="4" w:space="0"/>
              <w:right w:val="single" w:color="auto" w:sz="4" w:space="0"/>
            </w:tcBorders>
            <w:noWrap w:val="0"/>
            <w:vAlign w:val="bottom"/>
          </w:tcPr>
          <w:p w14:paraId="43758DE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印蓝纸(大)</w:t>
            </w:r>
          </w:p>
        </w:tc>
      </w:tr>
      <w:tr w14:paraId="6FA78F07">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bottom"/>
          </w:tcPr>
          <w:p w14:paraId="7FD3B3D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工会经费</w:t>
            </w:r>
          </w:p>
        </w:tc>
        <w:tc>
          <w:tcPr>
            <w:tcW w:w="1610" w:type="dxa"/>
            <w:gridSpan w:val="2"/>
            <w:tcBorders>
              <w:top w:val="nil"/>
              <w:left w:val="nil"/>
              <w:bottom w:val="single" w:color="auto" w:sz="4" w:space="0"/>
              <w:right w:val="single" w:color="auto" w:sz="4" w:space="0"/>
            </w:tcBorders>
            <w:noWrap w:val="0"/>
            <w:vAlign w:val="bottom"/>
          </w:tcPr>
          <w:p w14:paraId="4CBB1E3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水桶</w:t>
            </w:r>
          </w:p>
        </w:tc>
        <w:tc>
          <w:tcPr>
            <w:tcW w:w="1347" w:type="dxa"/>
            <w:tcBorders>
              <w:top w:val="nil"/>
              <w:left w:val="nil"/>
              <w:bottom w:val="single" w:color="auto" w:sz="4" w:space="0"/>
              <w:right w:val="single" w:color="auto" w:sz="4" w:space="0"/>
            </w:tcBorders>
            <w:noWrap w:val="0"/>
            <w:vAlign w:val="bottom"/>
          </w:tcPr>
          <w:p w14:paraId="299BA6B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尘推套90</w:t>
            </w:r>
          </w:p>
        </w:tc>
        <w:tc>
          <w:tcPr>
            <w:tcW w:w="2325" w:type="dxa"/>
            <w:gridSpan w:val="3"/>
            <w:tcBorders>
              <w:top w:val="nil"/>
              <w:left w:val="nil"/>
              <w:bottom w:val="single" w:color="auto" w:sz="4" w:space="0"/>
              <w:right w:val="single" w:color="auto" w:sz="4" w:space="0"/>
            </w:tcBorders>
            <w:noWrap w:val="0"/>
            <w:vAlign w:val="bottom"/>
          </w:tcPr>
          <w:p w14:paraId="6593AFC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电话机</w:t>
            </w:r>
          </w:p>
        </w:tc>
        <w:tc>
          <w:tcPr>
            <w:tcW w:w="1122" w:type="dxa"/>
            <w:gridSpan w:val="2"/>
            <w:tcBorders>
              <w:top w:val="nil"/>
              <w:left w:val="nil"/>
              <w:bottom w:val="single" w:color="auto" w:sz="4" w:space="0"/>
              <w:right w:val="single" w:color="auto" w:sz="4" w:space="0"/>
            </w:tcBorders>
            <w:noWrap w:val="0"/>
            <w:vAlign w:val="bottom"/>
          </w:tcPr>
          <w:p w14:paraId="3DC1957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回形针</w:t>
            </w:r>
          </w:p>
        </w:tc>
        <w:tc>
          <w:tcPr>
            <w:tcW w:w="1090" w:type="dxa"/>
            <w:tcBorders>
              <w:top w:val="nil"/>
              <w:left w:val="nil"/>
              <w:bottom w:val="single" w:color="auto" w:sz="4" w:space="0"/>
              <w:right w:val="single" w:color="auto" w:sz="4" w:space="0"/>
            </w:tcBorders>
            <w:noWrap w:val="0"/>
            <w:vAlign w:val="bottom"/>
          </w:tcPr>
          <w:p w14:paraId="3B6D932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印蓝纸(小)</w:t>
            </w:r>
          </w:p>
        </w:tc>
      </w:tr>
      <w:tr w14:paraId="66B90997">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bottom"/>
          </w:tcPr>
          <w:p w14:paraId="6FCA168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公众责任保险</w:t>
            </w:r>
          </w:p>
        </w:tc>
        <w:tc>
          <w:tcPr>
            <w:tcW w:w="1610" w:type="dxa"/>
            <w:gridSpan w:val="2"/>
            <w:tcBorders>
              <w:top w:val="nil"/>
              <w:left w:val="nil"/>
              <w:bottom w:val="single" w:color="auto" w:sz="4" w:space="0"/>
              <w:right w:val="single" w:color="auto" w:sz="4" w:space="0"/>
            </w:tcBorders>
            <w:noWrap w:val="0"/>
            <w:vAlign w:val="bottom"/>
          </w:tcPr>
          <w:p w14:paraId="36AAB86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水鞋</w:t>
            </w:r>
          </w:p>
        </w:tc>
        <w:tc>
          <w:tcPr>
            <w:tcW w:w="1347" w:type="dxa"/>
            <w:tcBorders>
              <w:top w:val="nil"/>
              <w:left w:val="nil"/>
              <w:bottom w:val="single" w:color="auto" w:sz="4" w:space="0"/>
              <w:right w:val="single" w:color="auto" w:sz="4" w:space="0"/>
            </w:tcBorders>
            <w:noWrap w:val="0"/>
            <w:vAlign w:val="bottom"/>
          </w:tcPr>
          <w:p w14:paraId="274C1FE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玻璃杆240</w:t>
            </w:r>
          </w:p>
        </w:tc>
        <w:tc>
          <w:tcPr>
            <w:tcW w:w="2325" w:type="dxa"/>
            <w:gridSpan w:val="3"/>
            <w:tcBorders>
              <w:top w:val="nil"/>
              <w:left w:val="nil"/>
              <w:bottom w:val="single" w:color="auto" w:sz="4" w:space="0"/>
              <w:right w:val="single" w:color="auto" w:sz="4" w:space="0"/>
            </w:tcBorders>
            <w:noWrap w:val="0"/>
            <w:vAlign w:val="bottom"/>
          </w:tcPr>
          <w:p w14:paraId="35FE4D8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文件柜</w:t>
            </w:r>
          </w:p>
        </w:tc>
        <w:tc>
          <w:tcPr>
            <w:tcW w:w="1122" w:type="dxa"/>
            <w:gridSpan w:val="2"/>
            <w:tcBorders>
              <w:top w:val="nil"/>
              <w:left w:val="nil"/>
              <w:bottom w:val="single" w:color="auto" w:sz="4" w:space="0"/>
              <w:right w:val="single" w:color="auto" w:sz="4" w:space="0"/>
            </w:tcBorders>
            <w:noWrap w:val="0"/>
            <w:vAlign w:val="bottom"/>
          </w:tcPr>
          <w:p w14:paraId="61A9ADD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白板</w:t>
            </w:r>
          </w:p>
        </w:tc>
        <w:tc>
          <w:tcPr>
            <w:tcW w:w="1090" w:type="dxa"/>
            <w:tcBorders>
              <w:top w:val="nil"/>
              <w:left w:val="nil"/>
              <w:bottom w:val="single" w:color="auto" w:sz="4" w:space="0"/>
              <w:right w:val="single" w:color="auto" w:sz="4" w:space="0"/>
            </w:tcBorders>
            <w:noWrap w:val="0"/>
            <w:vAlign w:val="bottom"/>
          </w:tcPr>
          <w:p w14:paraId="265BB86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软抄</w:t>
            </w:r>
          </w:p>
        </w:tc>
      </w:tr>
      <w:tr w14:paraId="7CE373E8">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bottom"/>
          </w:tcPr>
          <w:p w14:paraId="0B78CC6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印花税、发票工本费</w:t>
            </w:r>
          </w:p>
        </w:tc>
        <w:tc>
          <w:tcPr>
            <w:tcW w:w="1610" w:type="dxa"/>
            <w:gridSpan w:val="2"/>
            <w:tcBorders>
              <w:top w:val="nil"/>
              <w:left w:val="nil"/>
              <w:bottom w:val="single" w:color="auto" w:sz="4" w:space="0"/>
              <w:right w:val="single" w:color="auto" w:sz="4" w:space="0"/>
            </w:tcBorders>
            <w:noWrap w:val="0"/>
            <w:vAlign w:val="bottom"/>
          </w:tcPr>
          <w:p w14:paraId="3497FBD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白洁垫</w:t>
            </w:r>
          </w:p>
        </w:tc>
        <w:tc>
          <w:tcPr>
            <w:tcW w:w="1347" w:type="dxa"/>
            <w:tcBorders>
              <w:top w:val="nil"/>
              <w:left w:val="nil"/>
              <w:bottom w:val="single" w:color="auto" w:sz="4" w:space="0"/>
              <w:right w:val="single" w:color="auto" w:sz="4" w:space="0"/>
            </w:tcBorders>
            <w:noWrap w:val="0"/>
            <w:vAlign w:val="bottom"/>
          </w:tcPr>
          <w:p w14:paraId="7E56C4D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玻璃杆600</w:t>
            </w:r>
          </w:p>
        </w:tc>
        <w:tc>
          <w:tcPr>
            <w:tcW w:w="2325" w:type="dxa"/>
            <w:gridSpan w:val="3"/>
            <w:tcBorders>
              <w:top w:val="nil"/>
              <w:left w:val="nil"/>
              <w:bottom w:val="single" w:color="auto" w:sz="4" w:space="0"/>
              <w:right w:val="single" w:color="auto" w:sz="4" w:space="0"/>
            </w:tcBorders>
            <w:noWrap w:val="0"/>
            <w:vAlign w:val="bottom"/>
          </w:tcPr>
          <w:p w14:paraId="4948706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办公网络费</w:t>
            </w:r>
          </w:p>
        </w:tc>
        <w:tc>
          <w:tcPr>
            <w:tcW w:w="1122" w:type="dxa"/>
            <w:gridSpan w:val="2"/>
            <w:tcBorders>
              <w:top w:val="nil"/>
              <w:left w:val="nil"/>
              <w:bottom w:val="single" w:color="auto" w:sz="4" w:space="0"/>
              <w:right w:val="single" w:color="auto" w:sz="4" w:space="0"/>
            </w:tcBorders>
            <w:noWrap w:val="0"/>
            <w:vAlign w:val="bottom"/>
          </w:tcPr>
          <w:p w14:paraId="05ECA70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马克笔</w:t>
            </w:r>
          </w:p>
        </w:tc>
        <w:tc>
          <w:tcPr>
            <w:tcW w:w="1090" w:type="dxa"/>
            <w:tcBorders>
              <w:top w:val="nil"/>
              <w:left w:val="nil"/>
              <w:bottom w:val="single" w:color="auto" w:sz="4" w:space="0"/>
              <w:right w:val="single" w:color="auto" w:sz="4" w:space="0"/>
            </w:tcBorders>
            <w:noWrap w:val="0"/>
            <w:vAlign w:val="bottom"/>
          </w:tcPr>
          <w:p w14:paraId="5D100D5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纸杯</w:t>
            </w:r>
          </w:p>
        </w:tc>
      </w:tr>
      <w:tr w14:paraId="047B27D4">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bottom"/>
          </w:tcPr>
          <w:p w14:paraId="7E5F887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社会保险费</w:t>
            </w:r>
          </w:p>
        </w:tc>
        <w:tc>
          <w:tcPr>
            <w:tcW w:w="1610" w:type="dxa"/>
            <w:gridSpan w:val="2"/>
            <w:tcBorders>
              <w:top w:val="nil"/>
              <w:left w:val="nil"/>
              <w:bottom w:val="single" w:color="auto" w:sz="4" w:space="0"/>
              <w:right w:val="single" w:color="auto" w:sz="4" w:space="0"/>
            </w:tcBorders>
            <w:noWrap w:val="0"/>
            <w:vAlign w:val="bottom"/>
          </w:tcPr>
          <w:p w14:paraId="6B75C6C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海绵</w:t>
            </w:r>
          </w:p>
        </w:tc>
        <w:tc>
          <w:tcPr>
            <w:tcW w:w="1347" w:type="dxa"/>
            <w:tcBorders>
              <w:top w:val="nil"/>
              <w:left w:val="nil"/>
              <w:bottom w:val="single" w:color="auto" w:sz="4" w:space="0"/>
              <w:right w:val="single" w:color="auto" w:sz="4" w:space="0"/>
            </w:tcBorders>
            <w:noWrap w:val="0"/>
            <w:vAlign w:val="bottom"/>
          </w:tcPr>
          <w:p w14:paraId="65CD711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橡胶手套</w:t>
            </w:r>
          </w:p>
        </w:tc>
        <w:tc>
          <w:tcPr>
            <w:tcW w:w="2325" w:type="dxa"/>
            <w:gridSpan w:val="3"/>
            <w:tcBorders>
              <w:top w:val="nil"/>
              <w:left w:val="nil"/>
              <w:bottom w:val="single" w:color="auto" w:sz="4" w:space="0"/>
              <w:right w:val="single" w:color="auto" w:sz="4" w:space="0"/>
            </w:tcBorders>
            <w:noWrap w:val="0"/>
            <w:vAlign w:val="bottom"/>
          </w:tcPr>
          <w:p w14:paraId="0F29823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电脑</w:t>
            </w:r>
          </w:p>
        </w:tc>
        <w:tc>
          <w:tcPr>
            <w:tcW w:w="1122" w:type="dxa"/>
            <w:gridSpan w:val="2"/>
            <w:tcBorders>
              <w:top w:val="nil"/>
              <w:left w:val="nil"/>
              <w:bottom w:val="single" w:color="auto" w:sz="4" w:space="0"/>
              <w:right w:val="single" w:color="auto" w:sz="4" w:space="0"/>
            </w:tcBorders>
            <w:noWrap w:val="0"/>
            <w:vAlign w:val="bottom"/>
          </w:tcPr>
          <w:p w14:paraId="4951B49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牛皮袋</w:t>
            </w:r>
          </w:p>
        </w:tc>
        <w:tc>
          <w:tcPr>
            <w:tcW w:w="1090" w:type="dxa"/>
            <w:tcBorders>
              <w:top w:val="nil"/>
              <w:left w:val="nil"/>
              <w:bottom w:val="single" w:color="auto" w:sz="4" w:space="0"/>
              <w:right w:val="single" w:color="auto" w:sz="4" w:space="0"/>
            </w:tcBorders>
            <w:noWrap w:val="0"/>
            <w:vAlign w:val="bottom"/>
          </w:tcPr>
          <w:p w14:paraId="0778120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文件夹</w:t>
            </w:r>
          </w:p>
        </w:tc>
      </w:tr>
      <w:tr w14:paraId="029BF710">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bottom"/>
          </w:tcPr>
          <w:p w14:paraId="0B9A4AF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意外伤害保险</w:t>
            </w:r>
          </w:p>
        </w:tc>
        <w:tc>
          <w:tcPr>
            <w:tcW w:w="1610" w:type="dxa"/>
            <w:gridSpan w:val="2"/>
            <w:tcBorders>
              <w:top w:val="nil"/>
              <w:left w:val="nil"/>
              <w:bottom w:val="single" w:color="auto" w:sz="4" w:space="0"/>
              <w:right w:val="single" w:color="auto" w:sz="4" w:space="0"/>
            </w:tcBorders>
            <w:noWrap w:val="0"/>
            <w:vAlign w:val="bottom"/>
          </w:tcPr>
          <w:p w14:paraId="1479A28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工作指示牌</w:t>
            </w:r>
          </w:p>
        </w:tc>
        <w:tc>
          <w:tcPr>
            <w:tcW w:w="1347" w:type="dxa"/>
            <w:tcBorders>
              <w:top w:val="nil"/>
              <w:left w:val="nil"/>
              <w:bottom w:val="single" w:color="auto" w:sz="4" w:space="0"/>
              <w:right w:val="single" w:color="auto" w:sz="4" w:space="0"/>
            </w:tcBorders>
            <w:noWrap w:val="0"/>
            <w:vAlign w:val="bottom"/>
          </w:tcPr>
          <w:p w14:paraId="7003758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毛巾</w:t>
            </w:r>
          </w:p>
        </w:tc>
        <w:tc>
          <w:tcPr>
            <w:tcW w:w="2325" w:type="dxa"/>
            <w:gridSpan w:val="3"/>
            <w:tcBorders>
              <w:top w:val="nil"/>
              <w:left w:val="nil"/>
              <w:bottom w:val="single" w:color="auto" w:sz="4" w:space="0"/>
              <w:right w:val="single" w:color="auto" w:sz="4" w:space="0"/>
            </w:tcBorders>
            <w:noWrap w:val="0"/>
            <w:vAlign w:val="bottom"/>
          </w:tcPr>
          <w:p w14:paraId="348A70F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笔记本</w:t>
            </w:r>
          </w:p>
        </w:tc>
        <w:tc>
          <w:tcPr>
            <w:tcW w:w="1122" w:type="dxa"/>
            <w:gridSpan w:val="2"/>
            <w:tcBorders>
              <w:top w:val="nil"/>
              <w:left w:val="nil"/>
              <w:bottom w:val="single" w:color="auto" w:sz="4" w:space="0"/>
              <w:right w:val="single" w:color="auto" w:sz="4" w:space="0"/>
            </w:tcBorders>
            <w:noWrap w:val="0"/>
            <w:vAlign w:val="bottom"/>
          </w:tcPr>
          <w:p w14:paraId="134B7EA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订书机</w:t>
            </w:r>
          </w:p>
        </w:tc>
        <w:tc>
          <w:tcPr>
            <w:tcW w:w="1090" w:type="dxa"/>
            <w:tcBorders>
              <w:top w:val="nil"/>
              <w:left w:val="nil"/>
              <w:bottom w:val="single" w:color="auto" w:sz="4" w:space="0"/>
              <w:right w:val="single" w:color="auto" w:sz="4" w:space="0"/>
            </w:tcBorders>
            <w:noWrap w:val="0"/>
            <w:vAlign w:val="bottom"/>
          </w:tcPr>
          <w:p w14:paraId="35FE7F2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大铁夹</w:t>
            </w:r>
          </w:p>
        </w:tc>
      </w:tr>
      <w:tr w14:paraId="7083FD15">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bottom"/>
          </w:tcPr>
          <w:p w14:paraId="795646A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门前“三包”</w:t>
            </w:r>
          </w:p>
        </w:tc>
        <w:tc>
          <w:tcPr>
            <w:tcW w:w="1610" w:type="dxa"/>
            <w:gridSpan w:val="2"/>
            <w:tcBorders>
              <w:top w:val="nil"/>
              <w:left w:val="nil"/>
              <w:bottom w:val="single" w:color="auto" w:sz="4" w:space="0"/>
              <w:right w:val="single" w:color="auto" w:sz="4" w:space="0"/>
            </w:tcBorders>
            <w:noWrap w:val="0"/>
            <w:vAlign w:val="bottom"/>
          </w:tcPr>
          <w:p w14:paraId="2D40E17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喷药器</w:t>
            </w:r>
          </w:p>
        </w:tc>
        <w:tc>
          <w:tcPr>
            <w:tcW w:w="1347" w:type="dxa"/>
            <w:tcBorders>
              <w:top w:val="nil"/>
              <w:left w:val="nil"/>
              <w:bottom w:val="single" w:color="auto" w:sz="4" w:space="0"/>
              <w:right w:val="single" w:color="auto" w:sz="4" w:space="0"/>
            </w:tcBorders>
            <w:noWrap w:val="0"/>
            <w:vAlign w:val="bottom"/>
          </w:tcPr>
          <w:p w14:paraId="53BDD02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排拖</w:t>
            </w:r>
          </w:p>
        </w:tc>
        <w:tc>
          <w:tcPr>
            <w:tcW w:w="2325" w:type="dxa"/>
            <w:gridSpan w:val="3"/>
            <w:tcBorders>
              <w:top w:val="nil"/>
              <w:left w:val="nil"/>
              <w:bottom w:val="single" w:color="auto" w:sz="4" w:space="0"/>
              <w:right w:val="single" w:color="auto" w:sz="4" w:space="0"/>
            </w:tcBorders>
            <w:noWrap w:val="0"/>
            <w:vAlign w:val="bottom"/>
          </w:tcPr>
          <w:p w14:paraId="7B89DB0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A4纸</w:t>
            </w:r>
          </w:p>
        </w:tc>
        <w:tc>
          <w:tcPr>
            <w:tcW w:w="1122" w:type="dxa"/>
            <w:gridSpan w:val="2"/>
            <w:tcBorders>
              <w:top w:val="nil"/>
              <w:left w:val="nil"/>
              <w:bottom w:val="single" w:color="auto" w:sz="4" w:space="0"/>
              <w:right w:val="single" w:color="auto" w:sz="4" w:space="0"/>
            </w:tcBorders>
            <w:noWrap w:val="0"/>
            <w:vAlign w:val="bottom"/>
          </w:tcPr>
          <w:p w14:paraId="26E164E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涂改液</w:t>
            </w:r>
          </w:p>
        </w:tc>
        <w:tc>
          <w:tcPr>
            <w:tcW w:w="1090" w:type="dxa"/>
            <w:tcBorders>
              <w:top w:val="nil"/>
              <w:left w:val="nil"/>
              <w:bottom w:val="single" w:color="auto" w:sz="4" w:space="0"/>
              <w:right w:val="single" w:color="auto" w:sz="4" w:space="0"/>
            </w:tcBorders>
            <w:noWrap w:val="0"/>
            <w:vAlign w:val="bottom"/>
          </w:tcPr>
          <w:p w14:paraId="12ECBCE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碳素笔</w:t>
            </w:r>
          </w:p>
        </w:tc>
      </w:tr>
      <w:tr w14:paraId="3D8D1430">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bottom"/>
          </w:tcPr>
          <w:p w14:paraId="3D979F9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清洁车</w:t>
            </w:r>
          </w:p>
        </w:tc>
        <w:tc>
          <w:tcPr>
            <w:tcW w:w="1610" w:type="dxa"/>
            <w:gridSpan w:val="2"/>
            <w:tcBorders>
              <w:top w:val="nil"/>
              <w:left w:val="nil"/>
              <w:bottom w:val="single" w:color="auto" w:sz="4" w:space="0"/>
              <w:right w:val="single" w:color="auto" w:sz="4" w:space="0"/>
            </w:tcBorders>
            <w:noWrap w:val="0"/>
            <w:vAlign w:val="bottom"/>
          </w:tcPr>
          <w:p w14:paraId="668CFCC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抛光垫</w:t>
            </w:r>
          </w:p>
        </w:tc>
        <w:tc>
          <w:tcPr>
            <w:tcW w:w="1347" w:type="dxa"/>
            <w:tcBorders>
              <w:top w:val="nil"/>
              <w:left w:val="nil"/>
              <w:bottom w:val="single" w:color="auto" w:sz="4" w:space="0"/>
              <w:right w:val="single" w:color="auto" w:sz="4" w:space="0"/>
            </w:tcBorders>
            <w:noWrap w:val="0"/>
            <w:vAlign w:val="bottom"/>
          </w:tcPr>
          <w:p w14:paraId="4CEF958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塑料扫帚</w:t>
            </w:r>
          </w:p>
        </w:tc>
        <w:tc>
          <w:tcPr>
            <w:tcW w:w="2325" w:type="dxa"/>
            <w:gridSpan w:val="3"/>
            <w:tcBorders>
              <w:top w:val="nil"/>
              <w:left w:val="nil"/>
              <w:bottom w:val="single" w:color="auto" w:sz="4" w:space="0"/>
              <w:right w:val="single" w:color="auto" w:sz="4" w:space="0"/>
            </w:tcBorders>
            <w:noWrap w:val="0"/>
            <w:vAlign w:val="bottom"/>
          </w:tcPr>
          <w:p w14:paraId="510AF3A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大头针</w:t>
            </w:r>
          </w:p>
        </w:tc>
        <w:tc>
          <w:tcPr>
            <w:tcW w:w="1122" w:type="dxa"/>
            <w:gridSpan w:val="2"/>
            <w:tcBorders>
              <w:top w:val="nil"/>
              <w:left w:val="nil"/>
              <w:bottom w:val="single" w:color="auto" w:sz="4" w:space="0"/>
              <w:right w:val="single" w:color="auto" w:sz="4" w:space="0"/>
            </w:tcBorders>
            <w:noWrap w:val="0"/>
            <w:vAlign w:val="bottom"/>
          </w:tcPr>
          <w:p w14:paraId="048F20C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透明胶</w:t>
            </w:r>
          </w:p>
        </w:tc>
        <w:tc>
          <w:tcPr>
            <w:tcW w:w="1090" w:type="dxa"/>
            <w:tcBorders>
              <w:top w:val="nil"/>
              <w:left w:val="nil"/>
              <w:bottom w:val="single" w:color="auto" w:sz="4" w:space="0"/>
              <w:right w:val="single" w:color="auto" w:sz="4" w:space="0"/>
            </w:tcBorders>
            <w:noWrap w:val="0"/>
            <w:vAlign w:val="bottom"/>
          </w:tcPr>
          <w:p w14:paraId="515B84E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双面胶</w:t>
            </w:r>
          </w:p>
        </w:tc>
      </w:tr>
      <w:tr w14:paraId="4ADCBD26">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bottom"/>
          </w:tcPr>
          <w:p w14:paraId="2631C8F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p>
        </w:tc>
        <w:tc>
          <w:tcPr>
            <w:tcW w:w="1610" w:type="dxa"/>
            <w:gridSpan w:val="2"/>
            <w:tcBorders>
              <w:top w:val="nil"/>
              <w:left w:val="nil"/>
              <w:bottom w:val="single" w:color="auto" w:sz="4" w:space="0"/>
              <w:right w:val="single" w:color="auto" w:sz="4" w:space="0"/>
            </w:tcBorders>
            <w:noWrap w:val="0"/>
            <w:vAlign w:val="bottom"/>
          </w:tcPr>
          <w:p w14:paraId="7E355ED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喷壶</w:t>
            </w:r>
          </w:p>
        </w:tc>
        <w:tc>
          <w:tcPr>
            <w:tcW w:w="1347" w:type="dxa"/>
            <w:tcBorders>
              <w:top w:val="nil"/>
              <w:left w:val="nil"/>
              <w:bottom w:val="single" w:color="auto" w:sz="4" w:space="0"/>
              <w:right w:val="single" w:color="auto" w:sz="4" w:space="0"/>
            </w:tcBorders>
            <w:noWrap w:val="0"/>
            <w:vAlign w:val="bottom"/>
          </w:tcPr>
          <w:p w14:paraId="640364A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火钳</w:t>
            </w:r>
          </w:p>
        </w:tc>
        <w:tc>
          <w:tcPr>
            <w:tcW w:w="2325" w:type="dxa"/>
            <w:gridSpan w:val="3"/>
            <w:tcBorders>
              <w:top w:val="nil"/>
              <w:left w:val="nil"/>
              <w:bottom w:val="single" w:color="auto" w:sz="4" w:space="0"/>
              <w:right w:val="single" w:color="auto" w:sz="4" w:space="0"/>
            </w:tcBorders>
            <w:noWrap w:val="0"/>
            <w:vAlign w:val="bottom"/>
          </w:tcPr>
          <w:p w14:paraId="7B3312B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p>
        </w:tc>
        <w:tc>
          <w:tcPr>
            <w:tcW w:w="1122" w:type="dxa"/>
            <w:gridSpan w:val="2"/>
            <w:tcBorders>
              <w:top w:val="nil"/>
              <w:left w:val="nil"/>
              <w:bottom w:val="single" w:color="auto" w:sz="4" w:space="0"/>
              <w:right w:val="single" w:color="auto" w:sz="4" w:space="0"/>
            </w:tcBorders>
            <w:noWrap w:val="0"/>
            <w:vAlign w:val="bottom"/>
          </w:tcPr>
          <w:p w14:paraId="3A1948B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小剪刀</w:t>
            </w:r>
          </w:p>
        </w:tc>
        <w:tc>
          <w:tcPr>
            <w:tcW w:w="1090" w:type="dxa"/>
            <w:tcBorders>
              <w:top w:val="nil"/>
              <w:left w:val="nil"/>
              <w:bottom w:val="single" w:color="auto" w:sz="4" w:space="0"/>
              <w:right w:val="single" w:color="auto" w:sz="4" w:space="0"/>
            </w:tcBorders>
            <w:noWrap w:val="0"/>
            <w:vAlign w:val="bottom"/>
          </w:tcPr>
          <w:p w14:paraId="6707986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大剪刀</w:t>
            </w:r>
          </w:p>
        </w:tc>
      </w:tr>
      <w:tr w14:paraId="1C673974">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bottom"/>
          </w:tcPr>
          <w:p w14:paraId="392A241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p>
        </w:tc>
        <w:tc>
          <w:tcPr>
            <w:tcW w:w="1610" w:type="dxa"/>
            <w:gridSpan w:val="2"/>
            <w:tcBorders>
              <w:top w:val="nil"/>
              <w:left w:val="nil"/>
              <w:bottom w:val="single" w:color="auto" w:sz="4" w:space="0"/>
              <w:right w:val="single" w:color="auto" w:sz="4" w:space="0"/>
            </w:tcBorders>
            <w:noWrap w:val="0"/>
            <w:vAlign w:val="bottom"/>
          </w:tcPr>
          <w:p w14:paraId="243C5FB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垃圾袋</w:t>
            </w:r>
          </w:p>
        </w:tc>
        <w:tc>
          <w:tcPr>
            <w:tcW w:w="1347" w:type="dxa"/>
            <w:tcBorders>
              <w:top w:val="nil"/>
              <w:left w:val="nil"/>
              <w:bottom w:val="single" w:color="auto" w:sz="4" w:space="0"/>
              <w:right w:val="single" w:color="auto" w:sz="4" w:space="0"/>
            </w:tcBorders>
            <w:noWrap w:val="0"/>
            <w:vAlign w:val="bottom"/>
          </w:tcPr>
          <w:p w14:paraId="2FB9576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厕刷</w:t>
            </w:r>
          </w:p>
        </w:tc>
        <w:tc>
          <w:tcPr>
            <w:tcW w:w="2325" w:type="dxa"/>
            <w:gridSpan w:val="3"/>
            <w:tcBorders>
              <w:top w:val="nil"/>
              <w:left w:val="nil"/>
              <w:bottom w:val="single" w:color="auto" w:sz="4" w:space="0"/>
              <w:right w:val="single" w:color="auto" w:sz="4" w:space="0"/>
            </w:tcBorders>
            <w:noWrap w:val="0"/>
            <w:vAlign w:val="bottom"/>
          </w:tcPr>
          <w:p w14:paraId="174D917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p>
        </w:tc>
        <w:tc>
          <w:tcPr>
            <w:tcW w:w="1122" w:type="dxa"/>
            <w:gridSpan w:val="2"/>
            <w:tcBorders>
              <w:top w:val="nil"/>
              <w:left w:val="nil"/>
              <w:bottom w:val="single" w:color="auto" w:sz="4" w:space="0"/>
              <w:right w:val="single" w:color="auto" w:sz="4" w:space="0"/>
            </w:tcBorders>
            <w:noWrap w:val="0"/>
            <w:vAlign w:val="bottom"/>
          </w:tcPr>
          <w:p w14:paraId="520B687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垃圾篓</w:t>
            </w:r>
          </w:p>
        </w:tc>
        <w:tc>
          <w:tcPr>
            <w:tcW w:w="1090" w:type="dxa"/>
            <w:tcBorders>
              <w:top w:val="nil"/>
              <w:left w:val="nil"/>
              <w:bottom w:val="single" w:color="auto" w:sz="4" w:space="0"/>
              <w:right w:val="single" w:color="auto" w:sz="4" w:space="0"/>
            </w:tcBorders>
            <w:noWrap w:val="0"/>
            <w:vAlign w:val="bottom"/>
          </w:tcPr>
          <w:p w14:paraId="50C6C40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货架</w:t>
            </w:r>
          </w:p>
        </w:tc>
      </w:tr>
      <w:tr w14:paraId="75A16EF3">
        <w:tblPrEx>
          <w:tblCellMar>
            <w:top w:w="0" w:type="dxa"/>
            <w:left w:w="108" w:type="dxa"/>
            <w:bottom w:w="0" w:type="dxa"/>
            <w:right w:w="108" w:type="dxa"/>
          </w:tblCellMar>
        </w:tblPrEx>
        <w:trPr>
          <w:trHeight w:val="300" w:hRule="atLeast"/>
        </w:trPr>
        <w:tc>
          <w:tcPr>
            <w:tcW w:w="2263" w:type="dxa"/>
            <w:gridSpan w:val="2"/>
            <w:tcBorders>
              <w:top w:val="nil"/>
              <w:left w:val="single" w:color="auto" w:sz="4" w:space="0"/>
              <w:bottom w:val="single" w:color="auto" w:sz="4" w:space="0"/>
              <w:right w:val="single" w:color="auto" w:sz="4" w:space="0"/>
            </w:tcBorders>
            <w:noWrap w:val="0"/>
            <w:vAlign w:val="bottom"/>
          </w:tcPr>
          <w:p w14:paraId="030FF6E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p>
        </w:tc>
        <w:tc>
          <w:tcPr>
            <w:tcW w:w="1610" w:type="dxa"/>
            <w:gridSpan w:val="2"/>
            <w:tcBorders>
              <w:top w:val="nil"/>
              <w:left w:val="nil"/>
              <w:bottom w:val="single" w:color="auto" w:sz="4" w:space="0"/>
              <w:right w:val="single" w:color="auto" w:sz="4" w:space="0"/>
            </w:tcBorders>
            <w:noWrap w:val="0"/>
            <w:vAlign w:val="bottom"/>
          </w:tcPr>
          <w:p w14:paraId="1A12E33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水瓢</w:t>
            </w:r>
          </w:p>
        </w:tc>
        <w:tc>
          <w:tcPr>
            <w:tcW w:w="1347" w:type="dxa"/>
            <w:tcBorders>
              <w:top w:val="nil"/>
              <w:left w:val="nil"/>
              <w:bottom w:val="single" w:color="auto" w:sz="4" w:space="0"/>
              <w:right w:val="single" w:color="auto" w:sz="4" w:space="0"/>
            </w:tcBorders>
            <w:noWrap w:val="0"/>
            <w:vAlign w:val="bottom"/>
          </w:tcPr>
          <w:p w14:paraId="3198B6E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塑料撮箕</w:t>
            </w:r>
          </w:p>
        </w:tc>
        <w:tc>
          <w:tcPr>
            <w:tcW w:w="2325" w:type="dxa"/>
            <w:gridSpan w:val="3"/>
            <w:tcBorders>
              <w:top w:val="nil"/>
              <w:left w:val="nil"/>
              <w:bottom w:val="single" w:color="auto" w:sz="4" w:space="0"/>
              <w:right w:val="single" w:color="auto" w:sz="4" w:space="0"/>
            </w:tcBorders>
            <w:noWrap w:val="0"/>
            <w:vAlign w:val="bottom"/>
          </w:tcPr>
          <w:p w14:paraId="5AE8B55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p>
        </w:tc>
        <w:tc>
          <w:tcPr>
            <w:tcW w:w="1122" w:type="dxa"/>
            <w:gridSpan w:val="2"/>
            <w:tcBorders>
              <w:top w:val="nil"/>
              <w:left w:val="nil"/>
              <w:bottom w:val="single" w:color="auto" w:sz="4" w:space="0"/>
              <w:right w:val="single" w:color="auto" w:sz="4" w:space="0"/>
            </w:tcBorders>
            <w:noWrap w:val="0"/>
            <w:vAlign w:val="bottom"/>
          </w:tcPr>
          <w:p w14:paraId="24A912C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p>
        </w:tc>
        <w:tc>
          <w:tcPr>
            <w:tcW w:w="1090" w:type="dxa"/>
            <w:tcBorders>
              <w:top w:val="nil"/>
              <w:left w:val="nil"/>
              <w:bottom w:val="single" w:color="auto" w:sz="4" w:space="0"/>
              <w:right w:val="single" w:color="auto" w:sz="4" w:space="0"/>
            </w:tcBorders>
            <w:noWrap w:val="0"/>
            <w:vAlign w:val="bottom"/>
          </w:tcPr>
          <w:p w14:paraId="390A92B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p>
        </w:tc>
      </w:tr>
      <w:tr w14:paraId="4B8C3F41">
        <w:tblPrEx>
          <w:tblCellMar>
            <w:top w:w="0" w:type="dxa"/>
            <w:left w:w="108" w:type="dxa"/>
            <w:bottom w:w="0" w:type="dxa"/>
            <w:right w:w="108" w:type="dxa"/>
          </w:tblCellMar>
        </w:tblPrEx>
        <w:trPr>
          <w:trHeight w:val="342" w:hRule="atLeast"/>
        </w:trPr>
        <w:tc>
          <w:tcPr>
            <w:tcW w:w="9757" w:type="dxa"/>
            <w:gridSpan w:val="11"/>
            <w:tcBorders>
              <w:top w:val="single" w:color="auto" w:sz="4" w:space="0"/>
              <w:left w:val="single" w:color="auto" w:sz="4" w:space="0"/>
              <w:bottom w:val="single" w:color="auto" w:sz="4" w:space="0"/>
              <w:right w:val="nil"/>
            </w:tcBorders>
            <w:noWrap w:val="0"/>
            <w:vAlign w:val="bottom"/>
          </w:tcPr>
          <w:p w14:paraId="55FF0F7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工程维修相关工具费用</w:t>
            </w:r>
          </w:p>
        </w:tc>
      </w:tr>
      <w:tr w14:paraId="7EAEAE86">
        <w:tblPrEx>
          <w:tblCellMar>
            <w:top w:w="0" w:type="dxa"/>
            <w:left w:w="108" w:type="dxa"/>
            <w:bottom w:w="0" w:type="dxa"/>
            <w:right w:w="108" w:type="dxa"/>
          </w:tblCellMar>
        </w:tblPrEx>
        <w:trPr>
          <w:trHeight w:val="300" w:hRule="atLeast"/>
        </w:trPr>
        <w:tc>
          <w:tcPr>
            <w:tcW w:w="1892" w:type="dxa"/>
            <w:tcBorders>
              <w:top w:val="nil"/>
              <w:left w:val="single" w:color="auto" w:sz="4" w:space="0"/>
              <w:bottom w:val="single" w:color="auto" w:sz="4" w:space="0"/>
              <w:right w:val="single" w:color="auto" w:sz="4" w:space="0"/>
            </w:tcBorders>
            <w:noWrap w:val="0"/>
            <w:vAlign w:val="bottom"/>
          </w:tcPr>
          <w:p w14:paraId="63C6E89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电焊机</w:t>
            </w:r>
          </w:p>
        </w:tc>
        <w:tc>
          <w:tcPr>
            <w:tcW w:w="1786" w:type="dxa"/>
            <w:gridSpan w:val="2"/>
            <w:tcBorders>
              <w:top w:val="nil"/>
              <w:left w:val="nil"/>
              <w:bottom w:val="single" w:color="auto" w:sz="4" w:space="0"/>
              <w:right w:val="single" w:color="auto" w:sz="4" w:space="0"/>
            </w:tcBorders>
            <w:noWrap w:val="0"/>
            <w:vAlign w:val="bottom"/>
          </w:tcPr>
          <w:p w14:paraId="6BBB9F6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电钻式疏通机</w:t>
            </w:r>
          </w:p>
        </w:tc>
        <w:tc>
          <w:tcPr>
            <w:tcW w:w="1570" w:type="dxa"/>
            <w:gridSpan w:val="3"/>
            <w:tcBorders>
              <w:top w:val="nil"/>
              <w:left w:val="nil"/>
              <w:bottom w:val="single" w:color="auto" w:sz="4" w:space="0"/>
              <w:right w:val="single" w:color="auto" w:sz="4" w:space="0"/>
            </w:tcBorders>
            <w:noWrap w:val="0"/>
            <w:vAlign w:val="bottom"/>
          </w:tcPr>
          <w:p w14:paraId="15EE2D2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老式剥线钳</w:t>
            </w:r>
          </w:p>
        </w:tc>
        <w:tc>
          <w:tcPr>
            <w:tcW w:w="1598" w:type="dxa"/>
            <w:tcBorders>
              <w:top w:val="nil"/>
              <w:left w:val="nil"/>
              <w:bottom w:val="single" w:color="auto" w:sz="4" w:space="0"/>
              <w:right w:val="single" w:color="auto" w:sz="4" w:space="0"/>
            </w:tcBorders>
            <w:noWrap w:val="0"/>
            <w:vAlign w:val="bottom"/>
          </w:tcPr>
          <w:p w14:paraId="6FE6002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活动板手</w:t>
            </w:r>
          </w:p>
        </w:tc>
        <w:tc>
          <w:tcPr>
            <w:tcW w:w="1749" w:type="dxa"/>
            <w:gridSpan w:val="2"/>
            <w:tcBorders>
              <w:top w:val="nil"/>
              <w:left w:val="nil"/>
              <w:bottom w:val="single" w:color="auto" w:sz="4" w:space="0"/>
              <w:right w:val="single" w:color="auto" w:sz="4" w:space="0"/>
            </w:tcBorders>
            <w:noWrap w:val="0"/>
            <w:vAlign w:val="bottom"/>
          </w:tcPr>
          <w:p w14:paraId="3429EB1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活动板手</w:t>
            </w:r>
          </w:p>
        </w:tc>
        <w:tc>
          <w:tcPr>
            <w:tcW w:w="1162" w:type="dxa"/>
            <w:gridSpan w:val="2"/>
            <w:tcBorders>
              <w:top w:val="nil"/>
              <w:left w:val="nil"/>
              <w:bottom w:val="single" w:color="auto" w:sz="4" w:space="0"/>
              <w:right w:val="single" w:color="auto" w:sz="4" w:space="0"/>
            </w:tcBorders>
            <w:noWrap w:val="0"/>
            <w:vAlign w:val="bottom"/>
          </w:tcPr>
          <w:p w14:paraId="1BB6DF6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管子钳</w:t>
            </w:r>
          </w:p>
        </w:tc>
      </w:tr>
      <w:tr w14:paraId="57BC27DF">
        <w:tblPrEx>
          <w:tblCellMar>
            <w:top w:w="0" w:type="dxa"/>
            <w:left w:w="108" w:type="dxa"/>
            <w:bottom w:w="0" w:type="dxa"/>
            <w:right w:w="108" w:type="dxa"/>
          </w:tblCellMar>
        </w:tblPrEx>
        <w:trPr>
          <w:trHeight w:val="300" w:hRule="atLeast"/>
        </w:trPr>
        <w:tc>
          <w:tcPr>
            <w:tcW w:w="1892" w:type="dxa"/>
            <w:tcBorders>
              <w:top w:val="nil"/>
              <w:left w:val="single" w:color="auto" w:sz="4" w:space="0"/>
              <w:bottom w:val="single" w:color="auto" w:sz="4" w:space="0"/>
              <w:right w:val="single" w:color="auto" w:sz="4" w:space="0"/>
            </w:tcBorders>
            <w:noWrap w:val="0"/>
            <w:vAlign w:val="bottom"/>
          </w:tcPr>
          <w:p w14:paraId="4E97259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人字铝梯（3M）</w:t>
            </w:r>
          </w:p>
        </w:tc>
        <w:tc>
          <w:tcPr>
            <w:tcW w:w="1786" w:type="dxa"/>
            <w:gridSpan w:val="2"/>
            <w:tcBorders>
              <w:top w:val="nil"/>
              <w:left w:val="nil"/>
              <w:bottom w:val="single" w:color="auto" w:sz="4" w:space="0"/>
              <w:right w:val="single" w:color="auto" w:sz="4" w:space="0"/>
            </w:tcBorders>
            <w:noWrap w:val="0"/>
            <w:vAlign w:val="bottom"/>
          </w:tcPr>
          <w:p w14:paraId="69AC1D6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斜口钳</w:t>
            </w:r>
          </w:p>
        </w:tc>
        <w:tc>
          <w:tcPr>
            <w:tcW w:w="1570" w:type="dxa"/>
            <w:gridSpan w:val="3"/>
            <w:tcBorders>
              <w:top w:val="nil"/>
              <w:left w:val="nil"/>
              <w:bottom w:val="single" w:color="auto" w:sz="4" w:space="0"/>
              <w:right w:val="single" w:color="auto" w:sz="4" w:space="0"/>
            </w:tcBorders>
            <w:noWrap w:val="0"/>
            <w:vAlign w:val="bottom"/>
          </w:tcPr>
          <w:p w14:paraId="40BB8A0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长嘴尖嘴钳</w:t>
            </w:r>
          </w:p>
        </w:tc>
        <w:tc>
          <w:tcPr>
            <w:tcW w:w="1598" w:type="dxa"/>
            <w:tcBorders>
              <w:top w:val="nil"/>
              <w:left w:val="nil"/>
              <w:bottom w:val="single" w:color="auto" w:sz="4" w:space="0"/>
              <w:right w:val="single" w:color="auto" w:sz="4" w:space="0"/>
            </w:tcBorders>
            <w:noWrap w:val="0"/>
            <w:vAlign w:val="bottom"/>
          </w:tcPr>
          <w:p w14:paraId="61FB3DF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十字起</w:t>
            </w:r>
          </w:p>
        </w:tc>
        <w:tc>
          <w:tcPr>
            <w:tcW w:w="1749" w:type="dxa"/>
            <w:gridSpan w:val="2"/>
            <w:tcBorders>
              <w:top w:val="nil"/>
              <w:left w:val="nil"/>
              <w:bottom w:val="single" w:color="auto" w:sz="4" w:space="0"/>
              <w:right w:val="single" w:color="auto" w:sz="4" w:space="0"/>
            </w:tcBorders>
            <w:noWrap w:val="0"/>
            <w:vAlign w:val="bottom"/>
          </w:tcPr>
          <w:p w14:paraId="44C7EE5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沉头自功缧丝钉</w:t>
            </w:r>
          </w:p>
        </w:tc>
        <w:tc>
          <w:tcPr>
            <w:tcW w:w="1162" w:type="dxa"/>
            <w:gridSpan w:val="2"/>
            <w:tcBorders>
              <w:top w:val="nil"/>
              <w:left w:val="nil"/>
              <w:bottom w:val="single" w:color="auto" w:sz="4" w:space="0"/>
              <w:right w:val="single" w:color="auto" w:sz="4" w:space="0"/>
            </w:tcBorders>
            <w:noWrap w:val="0"/>
            <w:vAlign w:val="bottom"/>
          </w:tcPr>
          <w:p w14:paraId="2A3DD8E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数字电笔</w:t>
            </w:r>
          </w:p>
        </w:tc>
      </w:tr>
      <w:tr w14:paraId="0E3CF0CA">
        <w:tblPrEx>
          <w:tblCellMar>
            <w:top w:w="0" w:type="dxa"/>
            <w:left w:w="108" w:type="dxa"/>
            <w:bottom w:w="0" w:type="dxa"/>
            <w:right w:w="108" w:type="dxa"/>
          </w:tblCellMar>
        </w:tblPrEx>
        <w:trPr>
          <w:trHeight w:val="300" w:hRule="atLeast"/>
        </w:trPr>
        <w:tc>
          <w:tcPr>
            <w:tcW w:w="1892" w:type="dxa"/>
            <w:tcBorders>
              <w:top w:val="nil"/>
              <w:left w:val="single" w:color="auto" w:sz="4" w:space="0"/>
              <w:bottom w:val="single" w:color="auto" w:sz="4" w:space="0"/>
              <w:right w:val="single" w:color="auto" w:sz="4" w:space="0"/>
            </w:tcBorders>
            <w:noWrap w:val="0"/>
            <w:vAlign w:val="bottom"/>
          </w:tcPr>
          <w:p w14:paraId="52A4FC0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人字铝梯（2M）</w:t>
            </w:r>
          </w:p>
        </w:tc>
        <w:tc>
          <w:tcPr>
            <w:tcW w:w="1786" w:type="dxa"/>
            <w:gridSpan w:val="2"/>
            <w:tcBorders>
              <w:top w:val="nil"/>
              <w:left w:val="nil"/>
              <w:bottom w:val="single" w:color="auto" w:sz="4" w:space="0"/>
              <w:right w:val="single" w:color="auto" w:sz="4" w:space="0"/>
            </w:tcBorders>
            <w:noWrap w:val="0"/>
            <w:vAlign w:val="bottom"/>
          </w:tcPr>
          <w:p w14:paraId="6ABB295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一字起</w:t>
            </w:r>
          </w:p>
        </w:tc>
        <w:tc>
          <w:tcPr>
            <w:tcW w:w="1570" w:type="dxa"/>
            <w:gridSpan w:val="3"/>
            <w:tcBorders>
              <w:top w:val="nil"/>
              <w:left w:val="nil"/>
              <w:bottom w:val="single" w:color="auto" w:sz="4" w:space="0"/>
              <w:right w:val="single" w:color="auto" w:sz="4" w:space="0"/>
            </w:tcBorders>
            <w:noWrap w:val="0"/>
            <w:vAlign w:val="bottom"/>
          </w:tcPr>
          <w:p w14:paraId="5FCC9A4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电线卡</w:t>
            </w:r>
          </w:p>
        </w:tc>
        <w:tc>
          <w:tcPr>
            <w:tcW w:w="1598" w:type="dxa"/>
            <w:tcBorders>
              <w:top w:val="nil"/>
              <w:left w:val="nil"/>
              <w:bottom w:val="single" w:color="auto" w:sz="4" w:space="0"/>
              <w:right w:val="single" w:color="auto" w:sz="4" w:space="0"/>
            </w:tcBorders>
            <w:noWrap w:val="0"/>
            <w:vAlign w:val="bottom"/>
          </w:tcPr>
          <w:p w14:paraId="215DE48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两用冲击起</w:t>
            </w:r>
          </w:p>
        </w:tc>
        <w:tc>
          <w:tcPr>
            <w:tcW w:w="1749" w:type="dxa"/>
            <w:gridSpan w:val="2"/>
            <w:tcBorders>
              <w:top w:val="nil"/>
              <w:left w:val="nil"/>
              <w:bottom w:val="single" w:color="auto" w:sz="4" w:space="0"/>
              <w:right w:val="single" w:color="auto" w:sz="4" w:space="0"/>
            </w:tcBorders>
            <w:noWrap w:val="0"/>
            <w:vAlign w:val="bottom"/>
          </w:tcPr>
          <w:p w14:paraId="3039ED3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角磨机角磨片</w:t>
            </w:r>
          </w:p>
        </w:tc>
        <w:tc>
          <w:tcPr>
            <w:tcW w:w="1162" w:type="dxa"/>
            <w:gridSpan w:val="2"/>
            <w:tcBorders>
              <w:top w:val="nil"/>
              <w:left w:val="nil"/>
              <w:bottom w:val="single" w:color="auto" w:sz="4" w:space="0"/>
              <w:right w:val="single" w:color="auto" w:sz="4" w:space="0"/>
            </w:tcBorders>
            <w:noWrap w:val="0"/>
            <w:vAlign w:val="bottom"/>
          </w:tcPr>
          <w:p w14:paraId="065F828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万用表</w:t>
            </w:r>
          </w:p>
        </w:tc>
      </w:tr>
      <w:tr w14:paraId="3DC45D8E">
        <w:tblPrEx>
          <w:tblCellMar>
            <w:top w:w="0" w:type="dxa"/>
            <w:left w:w="108" w:type="dxa"/>
            <w:bottom w:w="0" w:type="dxa"/>
            <w:right w:w="108" w:type="dxa"/>
          </w:tblCellMar>
        </w:tblPrEx>
        <w:trPr>
          <w:trHeight w:val="300" w:hRule="atLeast"/>
        </w:trPr>
        <w:tc>
          <w:tcPr>
            <w:tcW w:w="1892" w:type="dxa"/>
            <w:tcBorders>
              <w:top w:val="nil"/>
              <w:left w:val="single" w:color="auto" w:sz="4" w:space="0"/>
              <w:bottom w:val="single" w:color="auto" w:sz="4" w:space="0"/>
              <w:right w:val="single" w:color="auto" w:sz="4" w:space="0"/>
            </w:tcBorders>
            <w:noWrap w:val="0"/>
            <w:vAlign w:val="bottom"/>
          </w:tcPr>
          <w:p w14:paraId="3234025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角磨机</w:t>
            </w:r>
          </w:p>
        </w:tc>
        <w:tc>
          <w:tcPr>
            <w:tcW w:w="1786" w:type="dxa"/>
            <w:gridSpan w:val="2"/>
            <w:tcBorders>
              <w:top w:val="nil"/>
              <w:left w:val="nil"/>
              <w:bottom w:val="single" w:color="auto" w:sz="4" w:space="0"/>
              <w:right w:val="single" w:color="auto" w:sz="4" w:space="0"/>
            </w:tcBorders>
            <w:noWrap w:val="0"/>
            <w:vAlign w:val="bottom"/>
          </w:tcPr>
          <w:p w14:paraId="0016F3C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一炮通</w:t>
            </w:r>
          </w:p>
        </w:tc>
        <w:tc>
          <w:tcPr>
            <w:tcW w:w="1570" w:type="dxa"/>
            <w:gridSpan w:val="3"/>
            <w:tcBorders>
              <w:top w:val="nil"/>
              <w:left w:val="nil"/>
              <w:bottom w:val="single" w:color="auto" w:sz="4" w:space="0"/>
              <w:right w:val="single" w:color="auto" w:sz="4" w:space="0"/>
            </w:tcBorders>
            <w:noWrap w:val="0"/>
            <w:vAlign w:val="bottom"/>
          </w:tcPr>
          <w:p w14:paraId="1AD3E7C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角磨机木据片</w:t>
            </w:r>
          </w:p>
        </w:tc>
        <w:tc>
          <w:tcPr>
            <w:tcW w:w="1598" w:type="dxa"/>
            <w:tcBorders>
              <w:top w:val="nil"/>
              <w:left w:val="nil"/>
              <w:bottom w:val="single" w:color="auto" w:sz="4" w:space="0"/>
              <w:right w:val="single" w:color="auto" w:sz="4" w:space="0"/>
            </w:tcBorders>
            <w:noWrap w:val="0"/>
            <w:vAlign w:val="bottom"/>
          </w:tcPr>
          <w:p w14:paraId="2A82F1A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大力钳</w:t>
            </w:r>
          </w:p>
        </w:tc>
        <w:tc>
          <w:tcPr>
            <w:tcW w:w="1749" w:type="dxa"/>
            <w:gridSpan w:val="2"/>
            <w:tcBorders>
              <w:top w:val="nil"/>
              <w:left w:val="nil"/>
              <w:bottom w:val="single" w:color="auto" w:sz="4" w:space="0"/>
              <w:right w:val="single" w:color="auto" w:sz="4" w:space="0"/>
            </w:tcBorders>
            <w:noWrap w:val="0"/>
            <w:vAlign w:val="bottom"/>
          </w:tcPr>
          <w:p w14:paraId="53810AF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钳形电流表</w:t>
            </w:r>
          </w:p>
        </w:tc>
        <w:tc>
          <w:tcPr>
            <w:tcW w:w="1162" w:type="dxa"/>
            <w:gridSpan w:val="2"/>
            <w:tcBorders>
              <w:top w:val="nil"/>
              <w:left w:val="nil"/>
              <w:bottom w:val="single" w:color="auto" w:sz="4" w:space="0"/>
              <w:right w:val="single" w:color="auto" w:sz="4" w:space="0"/>
            </w:tcBorders>
            <w:noWrap w:val="0"/>
            <w:vAlign w:val="bottom"/>
          </w:tcPr>
          <w:p w14:paraId="509D4E2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防水电胶布</w:t>
            </w:r>
          </w:p>
        </w:tc>
      </w:tr>
      <w:tr w14:paraId="603E2DE2">
        <w:tblPrEx>
          <w:tblCellMar>
            <w:top w:w="0" w:type="dxa"/>
            <w:left w:w="108" w:type="dxa"/>
            <w:bottom w:w="0" w:type="dxa"/>
            <w:right w:w="108" w:type="dxa"/>
          </w:tblCellMar>
        </w:tblPrEx>
        <w:trPr>
          <w:trHeight w:val="300" w:hRule="atLeast"/>
        </w:trPr>
        <w:tc>
          <w:tcPr>
            <w:tcW w:w="1892" w:type="dxa"/>
            <w:tcBorders>
              <w:top w:val="nil"/>
              <w:left w:val="single" w:color="auto" w:sz="4" w:space="0"/>
              <w:bottom w:val="single" w:color="auto" w:sz="4" w:space="0"/>
              <w:right w:val="single" w:color="auto" w:sz="4" w:space="0"/>
            </w:tcBorders>
            <w:noWrap w:val="0"/>
            <w:vAlign w:val="bottom"/>
          </w:tcPr>
          <w:p w14:paraId="49EDE63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角磨机切割片</w:t>
            </w:r>
          </w:p>
        </w:tc>
        <w:tc>
          <w:tcPr>
            <w:tcW w:w="1786" w:type="dxa"/>
            <w:gridSpan w:val="2"/>
            <w:tcBorders>
              <w:top w:val="nil"/>
              <w:left w:val="nil"/>
              <w:bottom w:val="single" w:color="auto" w:sz="4" w:space="0"/>
              <w:right w:val="single" w:color="auto" w:sz="4" w:space="0"/>
            </w:tcBorders>
            <w:noWrap w:val="0"/>
            <w:vAlign w:val="bottom"/>
          </w:tcPr>
          <w:p w14:paraId="28EEEDB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记号笔</w:t>
            </w:r>
          </w:p>
        </w:tc>
        <w:tc>
          <w:tcPr>
            <w:tcW w:w="1570" w:type="dxa"/>
            <w:gridSpan w:val="3"/>
            <w:tcBorders>
              <w:top w:val="nil"/>
              <w:left w:val="nil"/>
              <w:bottom w:val="single" w:color="auto" w:sz="4" w:space="0"/>
              <w:right w:val="single" w:color="auto" w:sz="4" w:space="0"/>
            </w:tcBorders>
            <w:noWrap w:val="0"/>
            <w:vAlign w:val="bottom"/>
          </w:tcPr>
          <w:p w14:paraId="788C127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电话查号器</w:t>
            </w:r>
          </w:p>
        </w:tc>
        <w:tc>
          <w:tcPr>
            <w:tcW w:w="1598" w:type="dxa"/>
            <w:tcBorders>
              <w:top w:val="nil"/>
              <w:left w:val="nil"/>
              <w:bottom w:val="single" w:color="auto" w:sz="4" w:space="0"/>
              <w:right w:val="single" w:color="auto" w:sz="4" w:space="0"/>
            </w:tcBorders>
            <w:noWrap w:val="0"/>
            <w:vAlign w:val="bottom"/>
          </w:tcPr>
          <w:p w14:paraId="2ED7F0A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牛皮工具包</w:t>
            </w:r>
          </w:p>
        </w:tc>
        <w:tc>
          <w:tcPr>
            <w:tcW w:w="1749" w:type="dxa"/>
            <w:gridSpan w:val="2"/>
            <w:tcBorders>
              <w:top w:val="nil"/>
              <w:left w:val="nil"/>
              <w:bottom w:val="single" w:color="auto" w:sz="4" w:space="0"/>
              <w:right w:val="single" w:color="auto" w:sz="4" w:space="0"/>
            </w:tcBorders>
            <w:noWrap w:val="0"/>
            <w:vAlign w:val="bottom"/>
          </w:tcPr>
          <w:p w14:paraId="1F9C377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电线卡</w:t>
            </w:r>
          </w:p>
        </w:tc>
        <w:tc>
          <w:tcPr>
            <w:tcW w:w="1162" w:type="dxa"/>
            <w:gridSpan w:val="2"/>
            <w:tcBorders>
              <w:top w:val="nil"/>
              <w:left w:val="nil"/>
              <w:bottom w:val="single" w:color="auto" w:sz="4" w:space="0"/>
              <w:right w:val="single" w:color="auto" w:sz="4" w:space="0"/>
            </w:tcBorders>
            <w:noWrap w:val="0"/>
            <w:vAlign w:val="bottom"/>
          </w:tcPr>
          <w:p w14:paraId="2722DC1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溶塑机</w:t>
            </w:r>
          </w:p>
        </w:tc>
      </w:tr>
      <w:tr w14:paraId="37800A44">
        <w:tblPrEx>
          <w:tblCellMar>
            <w:top w:w="0" w:type="dxa"/>
            <w:left w:w="108" w:type="dxa"/>
            <w:bottom w:w="0" w:type="dxa"/>
            <w:right w:w="108" w:type="dxa"/>
          </w:tblCellMar>
        </w:tblPrEx>
        <w:trPr>
          <w:trHeight w:val="300" w:hRule="atLeast"/>
        </w:trPr>
        <w:tc>
          <w:tcPr>
            <w:tcW w:w="1892" w:type="dxa"/>
            <w:tcBorders>
              <w:top w:val="nil"/>
              <w:left w:val="single" w:color="auto" w:sz="4" w:space="0"/>
              <w:bottom w:val="single" w:color="auto" w:sz="4" w:space="0"/>
              <w:right w:val="single" w:color="auto" w:sz="4" w:space="0"/>
            </w:tcBorders>
            <w:noWrap w:val="0"/>
            <w:vAlign w:val="bottom"/>
          </w:tcPr>
          <w:p w14:paraId="4B8B79F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铆钉枪</w:t>
            </w:r>
          </w:p>
        </w:tc>
        <w:tc>
          <w:tcPr>
            <w:tcW w:w="1786" w:type="dxa"/>
            <w:gridSpan w:val="2"/>
            <w:tcBorders>
              <w:top w:val="nil"/>
              <w:left w:val="nil"/>
              <w:bottom w:val="single" w:color="auto" w:sz="4" w:space="0"/>
              <w:right w:val="single" w:color="auto" w:sz="4" w:space="0"/>
            </w:tcBorders>
            <w:noWrap w:val="0"/>
            <w:vAlign w:val="bottom"/>
          </w:tcPr>
          <w:p w14:paraId="71DEAD5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铆钉</w:t>
            </w:r>
          </w:p>
        </w:tc>
        <w:tc>
          <w:tcPr>
            <w:tcW w:w="1570" w:type="dxa"/>
            <w:gridSpan w:val="3"/>
            <w:tcBorders>
              <w:top w:val="nil"/>
              <w:left w:val="nil"/>
              <w:bottom w:val="single" w:color="auto" w:sz="4" w:space="0"/>
              <w:right w:val="single" w:color="auto" w:sz="4" w:space="0"/>
            </w:tcBorders>
            <w:noWrap w:val="0"/>
            <w:vAlign w:val="bottom"/>
          </w:tcPr>
          <w:p w14:paraId="6DDFBBB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p>
        </w:tc>
        <w:tc>
          <w:tcPr>
            <w:tcW w:w="1598" w:type="dxa"/>
            <w:tcBorders>
              <w:top w:val="nil"/>
              <w:left w:val="nil"/>
              <w:bottom w:val="single" w:color="auto" w:sz="4" w:space="0"/>
              <w:right w:val="single" w:color="auto" w:sz="4" w:space="0"/>
            </w:tcBorders>
            <w:noWrap w:val="0"/>
            <w:vAlign w:val="bottom"/>
          </w:tcPr>
          <w:p w14:paraId="0A12AD3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p>
        </w:tc>
        <w:tc>
          <w:tcPr>
            <w:tcW w:w="1749" w:type="dxa"/>
            <w:gridSpan w:val="2"/>
            <w:tcBorders>
              <w:top w:val="nil"/>
              <w:left w:val="nil"/>
              <w:bottom w:val="single" w:color="auto" w:sz="4" w:space="0"/>
              <w:right w:val="single" w:color="auto" w:sz="4" w:space="0"/>
            </w:tcBorders>
            <w:noWrap w:val="0"/>
            <w:vAlign w:val="bottom"/>
          </w:tcPr>
          <w:p w14:paraId="179FC4BC">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p>
        </w:tc>
        <w:tc>
          <w:tcPr>
            <w:tcW w:w="1162" w:type="dxa"/>
            <w:gridSpan w:val="2"/>
            <w:tcBorders>
              <w:top w:val="nil"/>
              <w:left w:val="nil"/>
              <w:bottom w:val="single" w:color="auto" w:sz="4" w:space="0"/>
              <w:right w:val="single" w:color="auto" w:sz="4" w:space="0"/>
            </w:tcBorders>
            <w:noWrap w:val="0"/>
            <w:vAlign w:val="bottom"/>
          </w:tcPr>
          <w:p w14:paraId="08B27C8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p>
        </w:tc>
      </w:tr>
      <w:tr w14:paraId="26D0BD83">
        <w:tblPrEx>
          <w:tblCellMar>
            <w:top w:w="0" w:type="dxa"/>
            <w:left w:w="108" w:type="dxa"/>
            <w:bottom w:w="0" w:type="dxa"/>
            <w:right w:w="108" w:type="dxa"/>
          </w:tblCellMar>
        </w:tblPrEx>
        <w:trPr>
          <w:trHeight w:val="300" w:hRule="atLeast"/>
        </w:trPr>
        <w:tc>
          <w:tcPr>
            <w:tcW w:w="9757" w:type="dxa"/>
            <w:gridSpan w:val="11"/>
            <w:tcBorders>
              <w:top w:val="single" w:color="auto" w:sz="4" w:space="0"/>
              <w:left w:val="single" w:color="auto" w:sz="4" w:space="0"/>
              <w:bottom w:val="single" w:color="auto" w:sz="4" w:space="0"/>
              <w:right w:val="single" w:color="auto" w:sz="4" w:space="0"/>
            </w:tcBorders>
            <w:noWrap w:val="0"/>
            <w:vAlign w:val="bottom"/>
          </w:tcPr>
          <w:p w14:paraId="09CEAA6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其他清洁消毒药剂、清洁工具、洗手液、卫生纸等低值易耗品</w:t>
            </w:r>
          </w:p>
        </w:tc>
      </w:tr>
      <w:tr w14:paraId="0C62E64C">
        <w:tblPrEx>
          <w:tblCellMar>
            <w:top w:w="0" w:type="dxa"/>
            <w:left w:w="108" w:type="dxa"/>
            <w:bottom w:w="0" w:type="dxa"/>
            <w:right w:w="108" w:type="dxa"/>
          </w:tblCellMar>
        </w:tblPrEx>
        <w:trPr>
          <w:trHeight w:val="300" w:hRule="atLeast"/>
        </w:trPr>
        <w:tc>
          <w:tcPr>
            <w:tcW w:w="9757" w:type="dxa"/>
            <w:gridSpan w:val="11"/>
            <w:tcBorders>
              <w:top w:val="single" w:color="auto" w:sz="4" w:space="0"/>
              <w:left w:val="single" w:color="auto" w:sz="4" w:space="0"/>
              <w:bottom w:val="single" w:color="auto" w:sz="4" w:space="0"/>
              <w:right w:val="single" w:color="auto" w:sz="4" w:space="0"/>
            </w:tcBorders>
            <w:noWrap w:val="0"/>
            <w:vAlign w:val="bottom"/>
          </w:tcPr>
          <w:p w14:paraId="4AEFD2E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以上设备及工具仅供参考，投标人应按物业管理及服务需求，自行配备所需设备及工具，并承担费用。</w:t>
            </w:r>
          </w:p>
        </w:tc>
      </w:tr>
    </w:tbl>
    <w:p w14:paraId="301CDF4E">
      <w:pPr>
        <w:spacing w:line="360" w:lineRule="auto"/>
        <w:ind w:firstLine="480" w:firstLineChars="200"/>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sz w:val="24"/>
          <w:highlight w:val="none"/>
          <w:lang w:val="en-US" w:eastAsia="zh-CN"/>
        </w:rPr>
        <w:t>七、</w:t>
      </w:r>
      <w:r>
        <w:rPr>
          <w:rFonts w:hint="eastAsia" w:asciiTheme="minorEastAsia" w:hAnsiTheme="minorEastAsia" w:eastAsiaTheme="minorEastAsia" w:cstheme="minorEastAsia"/>
          <w:b/>
          <w:bCs/>
          <w:color w:val="auto"/>
          <w:sz w:val="24"/>
          <w:highlight w:val="none"/>
          <w:lang w:eastAsia="zh-CN"/>
        </w:rPr>
        <w:t>其它要求：</w:t>
      </w:r>
    </w:p>
    <w:p w14:paraId="2A650896">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1.在服务期限内，在合同实施期间不因市场价格、政策因素的变化而调整中标价。采购人有权根据情况的变化，经与中标人协商，出台、修改、完善相应的管理规定。采购人有权增加和减少实际岗位数量，增加和减少的费用按照合同对应的岗位金额进行增加或减少。项目实施过程中若出现服务人员配置与项目实际运行需求不符合的情况，采购人有权根据实际情况要求中标人进行人员调整，若服务人员新增，以实际新增服务区域增加服务人员，在不改变合同及其他条款的前提下，采购人与中标人签订补充合同，但所有补充合同与原合同标的相同且金额不超过原合同采购金额的10%。</w:t>
      </w:r>
    </w:p>
    <w:p w14:paraId="36BFADB9">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2.服务人员费用</w:t>
      </w:r>
    </w:p>
    <w:p w14:paraId="79395181">
      <w:pPr>
        <w:spacing w:line="360" w:lineRule="auto"/>
        <w:ind w:firstLine="480" w:firstLineChars="200"/>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2.1.严格执行《劳动法》《劳动合同法》等强制性规定，按照《云南省人力资源和社会保障厅关于调整最低工资标准的通知》（云人社发〔2025〕19号）要求落实物业人员的工资及相关福利待遇，保证履行国家相关劳动保障类法律法规（投标人须在投标文件中提供承诺函）。</w:t>
      </w:r>
    </w:p>
    <w:p w14:paraId="267974D5">
      <w:pPr>
        <w:spacing w:line="360" w:lineRule="auto"/>
        <w:ind w:firstLine="480" w:firstLineChars="200"/>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★2.2投标人应当自行为服务人员办理必需的保险，有关人员伤亡及第三者责任险均应当考虑在报价因素中（投标人须在投标文件中提供承诺函，格式自拟。</w:t>
      </w:r>
    </w:p>
    <w:p w14:paraId="5CE83A73">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2.3签订合同前，中标人需提供所有拟派驻人员的社会保险缴费凭证供采购人备查。中标后，确保派驻服务人员按期休假，派驻服务人员工资发放名册每季度统一提供复印件给采购人备查，每年提供派驻服务人员有效社保证明材料复印件给采购人备查。</w:t>
      </w:r>
    </w:p>
    <w:p w14:paraId="740C5C00">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3.中标人在管理服务过程中，必须爱护采购人的各种设备设施。凡因管理不善、使用不当或未及时发现问题、上报，以及人为损坏的须承担修复、赔偿责任。因未及时报告采购人而造成重大损失的由中标人承担责任。产生重大损失的直接原因以双方一致认可的有资质部门鉴定结果为准。如中标人不及时履行上述责任，采购人有权在中标人的履约保证金、服务费中扣除。</w:t>
      </w:r>
    </w:p>
    <w:p w14:paraId="6C514098">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4.在服务过程中采购人不承担中标人本项目派驻人员在服务期间发生的病、老、伤、残、亡等所导致的在工作中或生活中发生的各类涉及安全权益等纠纷的任何经济赔偿责任和法律责任。</w:t>
      </w:r>
    </w:p>
    <w:p w14:paraId="645DE705">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5.项目实施过程中因国家政策调整、学校管理体制改变及不可抗力因素导致合同无法实施外，双方必须履行采购合同中规定的义务和承担所列责任。采购人在合同期间对中标人工作质量进行服务考核，因中标人原因造成服务考核达不到采购人要求的，采购人有权单方解除合同，不承担支付合同款项的义务，并要求中标人承担相应损失。</w:t>
      </w:r>
    </w:p>
    <w:p w14:paraId="62A0C3AD">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6.中标人需整理本项目管理档案备采购人查询，对拟派驻人员的应聘、录用、离职等管理档案需规范、手续齐全；签订合同前，采购人有权查询相关档案资料（包含但不限于：无犯罪记录证明等）。</w:t>
      </w:r>
    </w:p>
    <w:p w14:paraId="286B85EC">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7.采购人对中标人派驻人员、派驻重要岗位的设置、录用与管理，以及重要的管理决策有直接参与权与审批权，有权对中标人管理工作提供有效的意见和建议；在举办重大活动时，采购人对派驻的人员有直接指挥权。</w:t>
      </w:r>
    </w:p>
    <w:p w14:paraId="0E31A4D8">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8.严禁中标人对本项目的服务事项进行任何形式的转包，一经查实，采购人有权单方解除服务合同，并且不承担任何违约责任。中标人须提供拟派驻人员的相关社会保险的缴费凭证及拟派人员与中标单位用工合同或协议。</w:t>
      </w:r>
    </w:p>
    <w:p w14:paraId="5C8C757D">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9.中标人派驻的所有服务人员须严格执行采购人所有关于公共传染病防控的相关要求，所发生的费用由中标人负责。</w:t>
      </w:r>
    </w:p>
    <w:p w14:paraId="1EDCA41C">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10.服务期满后，如果不再承担采购人相关服务，需积极配合采购人完成与下一合同期承接主体的工作交接。工作交接未得到采购人确认之前，不得随意停止或终止服务。</w:t>
      </w:r>
    </w:p>
    <w:p w14:paraId="613A766B">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11.节能减排的要求</w:t>
      </w:r>
    </w:p>
    <w:p w14:paraId="6016CFDE">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（1）中标人服务期间应按国家节能减排的要求做好服务工作，服务过程中应做到节约用水和节约用电。</w:t>
      </w:r>
    </w:p>
    <w:p w14:paraId="527D0D66">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（2）中标人服务过程中涉及用水时应尽量做到控制用水电量，清理拖布用桶接水后清洗，用洗衣机漂洗织物时要注意及时关闭水阀。</w:t>
      </w:r>
    </w:p>
    <w:p w14:paraId="1CD7CF95">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（3）中标人服务过程中勤巡视、检查，发现有跑冒滴漏的水暖设施应及时安排修复。</w:t>
      </w:r>
    </w:p>
    <w:p w14:paraId="74CC5886">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（4）中标人服务过程中应及时关闭无需使用的用电设备，不使用的用电设备应拔下插头，发现有未关闭的灯具应随手进行关闭。</w:t>
      </w:r>
    </w:p>
    <w:p w14:paraId="3B9BDCCA">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采购人依据考核办法每学期对服务项目进行考核。若定期考核达不到标准的，进行整改，造成严重后果的采购人可终止合同</w:t>
      </w:r>
    </w:p>
    <w:p w14:paraId="0D8A9758">
      <w:pPr>
        <w:spacing w:line="360" w:lineRule="auto"/>
        <w:ind w:firstLine="480" w:firstLineChars="200"/>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sz w:val="24"/>
          <w:highlight w:val="none"/>
          <w:lang w:eastAsia="zh-CN"/>
        </w:rPr>
        <w:t>八、</w:t>
      </w:r>
      <w:r>
        <w:rPr>
          <w:rFonts w:hint="eastAsia" w:asciiTheme="minorEastAsia" w:hAnsiTheme="minorEastAsia" w:eastAsiaTheme="minorEastAsia" w:cstheme="minorEastAsia"/>
          <w:b/>
          <w:bCs/>
          <w:color w:val="auto"/>
          <w:sz w:val="24"/>
          <w:highlight w:val="none"/>
          <w:lang w:val="en-US" w:eastAsia="zh-CN"/>
        </w:rPr>
        <w:t>考核标准（或满意度）</w:t>
      </w:r>
      <w:r>
        <w:rPr>
          <w:rFonts w:hint="eastAsia" w:asciiTheme="minorEastAsia" w:hAnsiTheme="minorEastAsia" w:eastAsiaTheme="minorEastAsia" w:cstheme="minorEastAsia"/>
          <w:b/>
          <w:bCs/>
          <w:color w:val="auto"/>
          <w:sz w:val="24"/>
          <w:highlight w:val="none"/>
          <w:lang w:eastAsia="zh-CN"/>
        </w:rPr>
        <w:t>：</w:t>
      </w:r>
    </w:p>
    <w:p w14:paraId="57DD57BC">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（一）房屋本体的管理服务内容及标准</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8616"/>
      </w:tblGrid>
      <w:tr w14:paraId="36AAD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1326" w:type="dxa"/>
            <w:noWrap w:val="0"/>
            <w:vAlign w:val="center"/>
          </w:tcPr>
          <w:p w14:paraId="67AF5231">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服务内容</w:t>
            </w:r>
          </w:p>
        </w:tc>
        <w:tc>
          <w:tcPr>
            <w:tcW w:w="8616" w:type="dxa"/>
            <w:noWrap w:val="0"/>
            <w:vAlign w:val="top"/>
          </w:tcPr>
          <w:p w14:paraId="03933ABA">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服务标准</w:t>
            </w:r>
          </w:p>
        </w:tc>
      </w:tr>
      <w:tr w14:paraId="1E6BA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9" w:hRule="atLeast"/>
          <w:jc w:val="center"/>
        </w:trPr>
        <w:tc>
          <w:tcPr>
            <w:tcW w:w="1326" w:type="dxa"/>
            <w:noWrap w:val="0"/>
            <w:vAlign w:val="center"/>
          </w:tcPr>
          <w:p w14:paraId="042619EC">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房屋建筑物及设备小修</w:t>
            </w:r>
          </w:p>
        </w:tc>
        <w:tc>
          <w:tcPr>
            <w:tcW w:w="8616" w:type="dxa"/>
            <w:noWrap w:val="0"/>
            <w:vAlign w:val="top"/>
          </w:tcPr>
          <w:p w14:paraId="52B255FB">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1.时限性小修项目：包括楼房厕浴间排污管道堵塞；室内给水系统小修、换管；通风管道堵塞；建筑物内所有门、窗故障等，自接到报修之时起15分钟之内到达现场处理。2.维护性小修项目：除紧急性小修之外的零星维修项目，自接到报修之日起，一日之内处理或与报修人预约修复。3.各项目服务要求：①</w:t>
            </w:r>
          </w:p>
          <w:p w14:paraId="5C88F418">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室内地面、散水小修内容：楼面或地面的块料面层松动的、散水严重破损影响其功能的，应修补。楼面或地面的块料面层损坏、残缺的，应修复，如磨损过薄影响安全的，应局部拆换。质量标准：维修后应平整、光滑、接槎平顺。②.室内墙面及顶棚小修内容：内墙、踢脚线及顶棚抹灰空鼓、剥落的应修补。质量标准：维修后的内墙面及顶棚应恢复原有使用功能，抹面应接槎平整、不开裂、不空鼓、不起泡、不翘边，面层与基层结合牢固。③.检修门窗小修内容：门锁损坏、门窗框松动、门窗扇开关不灵活、开焊、小五金缺损的应进行修补、更换。质量标准：维修后的门窗应开关灵活不松动，框与墙体结合牢固，五金齐全。玻璃装钉牢固，窗纱绷紧，不露纱头。时限要求：自接到报修之时起15分钟之内到达现场处理。</w:t>
            </w:r>
            <w:r>
              <w:rPr>
                <w:rFonts w:hint="eastAsia" w:asciiTheme="minorEastAsia" w:hAnsiTheme="minorEastAsia" w:eastAsiaTheme="minorEastAsia" w:cstheme="minorEastAsia"/>
                <w:b w:val="0"/>
                <w:bCs w:val="0"/>
                <w:color w:val="auto"/>
                <w:sz w:val="24"/>
                <w:highlight w:val="none"/>
                <w:lang w:val="en-US" w:eastAsia="zh-CN"/>
              </w:rPr>
              <w:fldChar w:fldCharType="begin"/>
            </w:r>
            <w:r>
              <w:rPr>
                <w:rFonts w:hint="eastAsia" w:asciiTheme="minorEastAsia" w:hAnsiTheme="minorEastAsia" w:eastAsiaTheme="minorEastAsia" w:cstheme="minorEastAsia"/>
                <w:b w:val="0"/>
                <w:bCs w:val="0"/>
                <w:color w:val="auto"/>
                <w:sz w:val="24"/>
                <w:highlight w:val="none"/>
                <w:lang w:val="en-US" w:eastAsia="zh-CN"/>
              </w:rPr>
              <w:instrText xml:space="preserve"> = 4 \* GB3 \* MERGEFORMAT </w:instrText>
            </w:r>
            <w:r>
              <w:rPr>
                <w:rFonts w:hint="eastAsia" w:asciiTheme="minorEastAsia" w:hAnsiTheme="minorEastAsia" w:eastAsiaTheme="minorEastAsia" w:cstheme="minorEastAsia"/>
                <w:b w:val="0"/>
                <w:bCs w:val="0"/>
                <w:color w:val="auto"/>
                <w:sz w:val="24"/>
                <w:highlight w:val="none"/>
                <w:lang w:val="en-US" w:eastAsia="zh-CN"/>
              </w:rPr>
              <w:fldChar w:fldCharType="separate"/>
            </w:r>
            <w:r>
              <w:rPr>
                <w:rFonts w:hint="eastAsia" w:asciiTheme="minorEastAsia" w:hAnsiTheme="minorEastAsia" w:eastAsiaTheme="minorEastAsia" w:cstheme="minorEastAsia"/>
                <w:b w:val="0"/>
                <w:bCs w:val="0"/>
                <w:color w:val="auto"/>
                <w:sz w:val="24"/>
                <w:highlight w:val="none"/>
                <w:lang w:val="en-US" w:eastAsia="zh-CN"/>
              </w:rPr>
              <w:t>④</w:t>
            </w:r>
            <w:r>
              <w:rPr>
                <w:rFonts w:hint="eastAsia" w:asciiTheme="minorEastAsia" w:hAnsiTheme="minorEastAsia" w:eastAsiaTheme="minorEastAsia" w:cstheme="minorEastAsia"/>
                <w:b w:val="0"/>
                <w:bCs w:val="0"/>
                <w:color w:val="auto"/>
                <w:sz w:val="24"/>
                <w:highlight w:val="none"/>
                <w:lang w:val="en-US" w:eastAsia="zh-CN"/>
              </w:rPr>
              <w:fldChar w:fldCharType="end"/>
            </w:r>
            <w:r>
              <w:rPr>
                <w:rFonts w:hint="eastAsia" w:asciiTheme="minorEastAsia" w:hAnsiTheme="minorEastAsia" w:eastAsiaTheme="minorEastAsia" w:cstheme="minorEastAsia"/>
                <w:b w:val="0"/>
                <w:bCs w:val="0"/>
                <w:color w:val="auto"/>
                <w:sz w:val="24"/>
                <w:highlight w:val="none"/>
                <w:lang w:val="en-US" w:eastAsia="zh-CN"/>
              </w:rPr>
              <w:t>.清扫屋面、雨落管等小修内容：每年应将屋面、雨水口积存的杂物清扫干净。雨落管局部残缺、破损应更换。质量标准：屋面应清扫干净，雨落管维修后应补齐五金配件。</w:t>
            </w:r>
            <w:r>
              <w:rPr>
                <w:rFonts w:hint="eastAsia" w:asciiTheme="minorEastAsia" w:hAnsiTheme="minorEastAsia" w:eastAsiaTheme="minorEastAsia" w:cstheme="minorEastAsia"/>
                <w:b w:val="0"/>
                <w:bCs w:val="0"/>
                <w:color w:val="auto"/>
                <w:sz w:val="24"/>
                <w:highlight w:val="none"/>
                <w:lang w:val="en-US" w:eastAsia="zh-CN"/>
              </w:rPr>
              <w:fldChar w:fldCharType="begin"/>
            </w:r>
            <w:r>
              <w:rPr>
                <w:rFonts w:hint="eastAsia" w:asciiTheme="minorEastAsia" w:hAnsiTheme="minorEastAsia" w:eastAsiaTheme="minorEastAsia" w:cstheme="minorEastAsia"/>
                <w:b w:val="0"/>
                <w:bCs w:val="0"/>
                <w:color w:val="auto"/>
                <w:sz w:val="24"/>
                <w:highlight w:val="none"/>
                <w:lang w:val="en-US" w:eastAsia="zh-CN"/>
              </w:rPr>
              <w:instrText xml:space="preserve"> = 5 \* GB3 \* MERGEFORMAT </w:instrText>
            </w:r>
            <w:r>
              <w:rPr>
                <w:rFonts w:hint="eastAsia" w:asciiTheme="minorEastAsia" w:hAnsiTheme="minorEastAsia" w:eastAsiaTheme="minorEastAsia" w:cstheme="minorEastAsia"/>
                <w:b w:val="0"/>
                <w:bCs w:val="0"/>
                <w:color w:val="auto"/>
                <w:sz w:val="24"/>
                <w:highlight w:val="none"/>
                <w:lang w:val="en-US" w:eastAsia="zh-CN"/>
              </w:rPr>
              <w:fldChar w:fldCharType="separate"/>
            </w:r>
            <w:r>
              <w:rPr>
                <w:rFonts w:hint="eastAsia" w:asciiTheme="minorEastAsia" w:hAnsiTheme="minorEastAsia" w:eastAsiaTheme="minorEastAsia" w:cstheme="minorEastAsia"/>
                <w:b w:val="0"/>
                <w:bCs w:val="0"/>
                <w:color w:val="auto"/>
                <w:sz w:val="24"/>
                <w:highlight w:val="none"/>
                <w:lang w:val="en-US" w:eastAsia="zh-CN"/>
              </w:rPr>
              <w:t>⑤</w:t>
            </w:r>
            <w:r>
              <w:rPr>
                <w:rFonts w:hint="eastAsia" w:asciiTheme="minorEastAsia" w:hAnsiTheme="minorEastAsia" w:eastAsiaTheme="minorEastAsia" w:cstheme="minorEastAsia"/>
                <w:b w:val="0"/>
                <w:bCs w:val="0"/>
                <w:color w:val="auto"/>
                <w:sz w:val="24"/>
                <w:highlight w:val="none"/>
                <w:lang w:val="en-US" w:eastAsia="zh-CN"/>
              </w:rPr>
              <w:fldChar w:fldCharType="end"/>
            </w:r>
            <w:r>
              <w:rPr>
                <w:rFonts w:hint="eastAsia" w:asciiTheme="minorEastAsia" w:hAnsiTheme="minorEastAsia" w:eastAsiaTheme="minorEastAsia" w:cstheme="minorEastAsia"/>
                <w:b w:val="0"/>
                <w:bCs w:val="0"/>
                <w:color w:val="auto"/>
                <w:sz w:val="24"/>
                <w:highlight w:val="none"/>
                <w:lang w:val="en-US" w:eastAsia="zh-CN"/>
              </w:rPr>
              <w:t>.屋面补漏小修内容：屋面局部滴漏以至影响使用的属于屋面局部补漏范围。质量标准：屋面部补漏后应达到不再滴漏。</w:t>
            </w:r>
          </w:p>
        </w:tc>
      </w:tr>
      <w:tr w14:paraId="1623E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326" w:type="dxa"/>
            <w:noWrap w:val="0"/>
            <w:vAlign w:val="center"/>
          </w:tcPr>
          <w:p w14:paraId="6374DAC8">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上下水系统小修标准</w:t>
            </w:r>
          </w:p>
        </w:tc>
        <w:tc>
          <w:tcPr>
            <w:tcW w:w="8616" w:type="dxa"/>
            <w:noWrap w:val="0"/>
            <w:vAlign w:val="top"/>
          </w:tcPr>
          <w:p w14:paraId="174A42C5">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1.室内给水系统小修、局部换管小修内容：建筑物户表以内管道锈蚀脱皮的，应清除干净后，做防锈处理，管道锈蚀严重的，应予以更换；给水系统漏水的，应进行修理，严重的，予以更换，零件残缺的应予以补齐。质量标准：经修缮的给水系统畅通，部件应配齐全，无跑、冒、滴、漏现象，能正常使用。2.卫生设备小修内容：卫生设备及配件残缺的应配齐，破损的应维修。质量标准：修缮后应做到给排水畅通，各部位零件齐全、灵活、有效，无跑、冒、漏、滴现象，能正常使用。3.排水、排污管道等小修内容：楼房排污管道堵塞，排污不畅通的应疏通，配件残缺应补齐。质量标准：楼房排污管道经疏通后，应达到排污管道畅通，不滴水，达到井体、池体、井圈、井盖、池盖完好。</w:t>
            </w:r>
          </w:p>
        </w:tc>
      </w:tr>
      <w:tr w14:paraId="2AE46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326" w:type="dxa"/>
            <w:noWrap w:val="0"/>
            <w:vAlign w:val="center"/>
          </w:tcPr>
          <w:p w14:paraId="2F1DB6A4">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供电设备设施小修</w:t>
            </w:r>
          </w:p>
        </w:tc>
        <w:tc>
          <w:tcPr>
            <w:tcW w:w="8616" w:type="dxa"/>
            <w:noWrap w:val="0"/>
            <w:vAlign w:val="top"/>
          </w:tcPr>
          <w:p w14:paraId="22AFC05F">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1.配电设施小修内容：①配电柜②配电箱③配电盘。质量标准：元器件齐全，显示正常动作可靠，接地良好。时限要求：出现故障15分钟之内到达现场处理。2.室内设备小修内容：①闸具②电源插座③开关④灯头⑤灯泡⑥灯管。质量标准：正常使用。时限要求：自接到报修之时起15分钟之内到达现场处理。3.配电线路小修内容：①导线②支持物。质量标准：绝缘良好完整可靠。时限要求：出现故障15分钟之内到达现场处理。</w:t>
            </w:r>
          </w:p>
        </w:tc>
      </w:tr>
      <w:tr w14:paraId="38E00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1326" w:type="dxa"/>
            <w:noWrap w:val="0"/>
            <w:vAlign w:val="center"/>
          </w:tcPr>
          <w:p w14:paraId="31AA651A">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建构筑物安全排查</w:t>
            </w:r>
          </w:p>
        </w:tc>
        <w:tc>
          <w:tcPr>
            <w:tcW w:w="8616" w:type="dxa"/>
            <w:noWrap w:val="0"/>
            <w:vAlign w:val="top"/>
          </w:tcPr>
          <w:p w14:paraId="3655442A">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1.每月定期排查各建筑物安全，存在安全隐患及时处理，消除安全隐患。2.做好安全排查、整改记录及资料收集。</w:t>
            </w:r>
          </w:p>
        </w:tc>
      </w:tr>
    </w:tbl>
    <w:p w14:paraId="0595E313">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（二）各楼内涉及的保洁项目标准</w:t>
      </w:r>
    </w:p>
    <w:tbl>
      <w:tblPr>
        <w:tblStyle w:val="33"/>
        <w:tblW w:w="9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8161"/>
      </w:tblGrid>
      <w:tr w14:paraId="062D2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1320" w:type="dxa"/>
            <w:noWrap w:val="0"/>
            <w:vAlign w:val="top"/>
          </w:tcPr>
          <w:p w14:paraId="4463CA8B">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服务内容</w:t>
            </w:r>
          </w:p>
        </w:tc>
        <w:tc>
          <w:tcPr>
            <w:tcW w:w="8161" w:type="dxa"/>
            <w:noWrap w:val="0"/>
            <w:vAlign w:val="top"/>
          </w:tcPr>
          <w:p w14:paraId="0AB9A7F6">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服务标准</w:t>
            </w:r>
          </w:p>
        </w:tc>
      </w:tr>
      <w:tr w14:paraId="366F0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1320" w:type="dxa"/>
            <w:noWrap w:val="0"/>
            <w:vAlign w:val="top"/>
          </w:tcPr>
          <w:p w14:paraId="33076DD9">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建筑物内公共区域：地面、台阶、墙面、顶棚、门厅、门斗、门窗、窗帘、窗台、玻璃、灯具及开关、楼梯扶手、栏杆、消防栓、标志牌、宣传窗、垃圾桶、装饰物、植物花盆等</w:t>
            </w:r>
          </w:p>
        </w:tc>
        <w:tc>
          <w:tcPr>
            <w:tcW w:w="8161" w:type="dxa"/>
            <w:noWrap w:val="0"/>
            <w:vAlign w:val="top"/>
          </w:tcPr>
          <w:p w14:paraId="6B3E9968">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1.地面、台阶无水渍、无污渍、无垃圾、无积尘，光亮。雨雪天气要有防滑、防水措施。大理石（花岗岩）每两个月打蜡不少于一次，每周抛光不少于一次。地砖或水磨石地面每月刷洗不少于一次。2.墙面无灰尘、无乱悬挂、无乱张贴等现象；顶棚目视无灰尘、无蛛网。3.玻璃表面无手印、无积尘、无污渍，明亮。4.不锈钢表面无手印，无积尘、无污渍，光亮。5.窗帘洁净无污渍，挂放整齐，每学期清洗不少于一次。6.垃圾桶及时清运，并保持垃圾桶周围区域干净整洁，空气流通无异味。7.楼梯扶手、栏杆、窗台无积尘、无污渍。8.植物花盆无积尘，无污渍。9.其他设施表面无积尘、无污渍、无损坏。</w:t>
            </w:r>
          </w:p>
        </w:tc>
      </w:tr>
      <w:tr w14:paraId="50340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320" w:type="dxa"/>
            <w:noWrap w:val="0"/>
            <w:vAlign w:val="top"/>
          </w:tcPr>
          <w:p w14:paraId="25221A29">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公共卫生间、开水房、盥洗间：地面、墙面、顶棚、门窗、窗台、玻璃、灯具及开关、镜面、洗手盆、台面、便具、垃圾篓、标志牌、排气扇、开水器等</w:t>
            </w:r>
          </w:p>
        </w:tc>
        <w:tc>
          <w:tcPr>
            <w:tcW w:w="8161" w:type="dxa"/>
            <w:noWrap w:val="0"/>
            <w:vAlign w:val="top"/>
          </w:tcPr>
          <w:p w14:paraId="12C20A69">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地面无积水、无污渍、无垃圾、无积尘、无烟头，光亮。</w:t>
            </w:r>
          </w:p>
          <w:p w14:paraId="12965ECA">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墙面无灰尘、无乱悬挂、无乱张贴等现象；顶棚目视无灰尘、无蛛网。</w:t>
            </w:r>
          </w:p>
          <w:p w14:paraId="1A2CD77A">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玻璃表面无手印、无积尘、无污渍，明亮。</w:t>
            </w:r>
          </w:p>
          <w:p w14:paraId="0D6C633D">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不锈钢表面无手印，无积尘、无污渍，光亮。</w:t>
            </w:r>
          </w:p>
          <w:p w14:paraId="44CA5C53">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垃圾桶及时清运，并保持垃圾桶周围区域干净整洁，空气流通无异味。</w:t>
            </w:r>
          </w:p>
          <w:p w14:paraId="1DF3912B">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便具洁净无黄渍，下水道通畅无堵塞，垃圾篓随时清理并保持外表清洁。</w:t>
            </w:r>
          </w:p>
          <w:p w14:paraId="2A3A9923">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镜面、洗手盆、台面无污点，光亮。</w:t>
            </w:r>
          </w:p>
          <w:p w14:paraId="3C2DFBB9">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开水房、开水器的日常保洁及消毒，保证水质达到饮用标准，安全可靠。</w:t>
            </w:r>
          </w:p>
          <w:p w14:paraId="00FC876B">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保洁工具与用品要统一放在指定地点。</w:t>
            </w:r>
          </w:p>
          <w:p w14:paraId="21B09AA0">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其他设施表面无积尘、无污渍、无损坏。</w:t>
            </w:r>
          </w:p>
        </w:tc>
      </w:tr>
      <w:tr w14:paraId="3B1E6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1320" w:type="dxa"/>
            <w:noWrap w:val="0"/>
            <w:vAlign w:val="top"/>
          </w:tcPr>
          <w:p w14:paraId="0D263ADC">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教室、教师休息室：地面、墙面、顶棚、门窗、窗帘、窗台、玻璃、灯具及开关、课桌椅、讲桌、书箱、前后黑板、讲台等</w:t>
            </w:r>
          </w:p>
        </w:tc>
        <w:tc>
          <w:tcPr>
            <w:tcW w:w="8161" w:type="dxa"/>
            <w:noWrap w:val="0"/>
            <w:vAlign w:val="top"/>
          </w:tcPr>
          <w:p w14:paraId="51EC4D7C">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地面无水渍、无污渍、无垃圾、无积尘、无烟头，光亮。</w:t>
            </w:r>
          </w:p>
          <w:p w14:paraId="47E9761E">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墙面无灰尘、无乱悬挂、无乱张贴等现象；顶棚目视无灰尘、无蛛网。</w:t>
            </w:r>
          </w:p>
          <w:p w14:paraId="3A2F3BCA">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玻璃表面无手印、无积尘、无污渍，明亮。</w:t>
            </w:r>
          </w:p>
          <w:p w14:paraId="09FB8C3F">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不锈钢表面无手印，无积尘、无污渍，光亮。</w:t>
            </w:r>
          </w:p>
          <w:p w14:paraId="3935AD5E">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窗帘洁净无污渍，挂放整齐，每学期清洗不少于一次。</w:t>
            </w:r>
          </w:p>
          <w:p w14:paraId="2B828F8A">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室内空气流通无异味。7.课桌椅、讲桌表面无积尘、无垃圾，整洁光亮；书箱无纸屑、无垃圾。</w:t>
            </w:r>
          </w:p>
          <w:p w14:paraId="6D308491">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讲台、地面、窗台无水渍、无污渍、无垃圾、无积尘，光亮。</w:t>
            </w:r>
          </w:p>
          <w:p w14:paraId="217ACDAD">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其他设施表面无积尘、无污渍、无损坏。</w:t>
            </w:r>
          </w:p>
        </w:tc>
      </w:tr>
      <w:tr w14:paraId="20A1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1320" w:type="dxa"/>
            <w:noWrap w:val="0"/>
            <w:vAlign w:val="top"/>
          </w:tcPr>
          <w:p w14:paraId="37638F03">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会议室、阅览室、活动室：地面、墙面、顶棚、门窗、窗帘、窗台、玻璃、灯具及开关、桌椅、台灯、书架、图书等</w:t>
            </w:r>
          </w:p>
        </w:tc>
        <w:tc>
          <w:tcPr>
            <w:tcW w:w="8161" w:type="dxa"/>
            <w:noWrap w:val="0"/>
            <w:vAlign w:val="top"/>
          </w:tcPr>
          <w:p w14:paraId="417F1D7F">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地面无水渍、无污渍、无垃圾、无积尘、无烟头，光亮。</w:t>
            </w:r>
          </w:p>
          <w:p w14:paraId="729C2D03">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墙面无灰尘、无乱悬挂、无乱张贴等现象；顶棚目视无灰尘、无蛛网。</w:t>
            </w:r>
          </w:p>
          <w:p w14:paraId="36014376">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玻璃表面无手印、无积尘、无污渍，明亮。</w:t>
            </w:r>
          </w:p>
          <w:p w14:paraId="7D15C184">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不锈钢表面无手印，无积尘、无污渍，光亮。</w:t>
            </w:r>
          </w:p>
          <w:p w14:paraId="6CF261F8">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窗帘洁净无污渍，挂放整齐，每学期清洗不少于一次。</w:t>
            </w:r>
          </w:p>
          <w:p w14:paraId="157025AA">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室内空气流通无异味。</w:t>
            </w:r>
          </w:p>
          <w:p w14:paraId="2240C4C3">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桌椅表面无积尘、无垃圾，整洁光亮。台灯表面无积尘、无污痕，灯光柔和，明亮无闪烁。8.书架、图书、窗台无积尘、无污渍。</w:t>
            </w:r>
          </w:p>
          <w:p w14:paraId="748679C9">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其他设施表面无积尘、无污渍、无损坏。</w:t>
            </w:r>
          </w:p>
        </w:tc>
      </w:tr>
    </w:tbl>
    <w:p w14:paraId="10C8D97C">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（三）设备设施的管理服务内容及标准</w:t>
      </w:r>
    </w:p>
    <w:tbl>
      <w:tblPr>
        <w:tblStyle w:val="33"/>
        <w:tblW w:w="95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4"/>
        <w:gridCol w:w="7841"/>
      </w:tblGrid>
      <w:tr w14:paraId="6D990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1734" w:type="dxa"/>
            <w:noWrap w:val="0"/>
            <w:vAlign w:val="top"/>
          </w:tcPr>
          <w:p w14:paraId="76D494DE">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服务内容</w:t>
            </w:r>
          </w:p>
        </w:tc>
        <w:tc>
          <w:tcPr>
            <w:tcW w:w="7841" w:type="dxa"/>
            <w:noWrap w:val="0"/>
            <w:vAlign w:val="top"/>
          </w:tcPr>
          <w:p w14:paraId="17FFFF01">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服务标准</w:t>
            </w:r>
          </w:p>
        </w:tc>
      </w:tr>
      <w:tr w14:paraId="3640C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1734" w:type="dxa"/>
            <w:noWrap w:val="0"/>
            <w:vAlign w:val="center"/>
          </w:tcPr>
          <w:p w14:paraId="27B56A31">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照明系统</w:t>
            </w:r>
          </w:p>
        </w:tc>
        <w:tc>
          <w:tcPr>
            <w:tcW w:w="7841" w:type="dxa"/>
            <w:noWrap w:val="0"/>
            <w:vAlign w:val="top"/>
          </w:tcPr>
          <w:p w14:paraId="120B09F6">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质保期内，负责照明系统的运行管理、维护、保洁及报修；质保期外，负责照明系统的运行管理、维护、保洁、定期检查及维修。</w:t>
            </w:r>
          </w:p>
        </w:tc>
      </w:tr>
      <w:tr w14:paraId="2249F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1734" w:type="dxa"/>
            <w:noWrap w:val="0"/>
            <w:vAlign w:val="center"/>
          </w:tcPr>
          <w:p w14:paraId="25197E1B">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10KVA高压配电设施及400V以下电力设备设施</w:t>
            </w:r>
          </w:p>
        </w:tc>
        <w:tc>
          <w:tcPr>
            <w:tcW w:w="7841" w:type="dxa"/>
            <w:noWrap w:val="0"/>
            <w:vAlign w:val="top"/>
          </w:tcPr>
          <w:p w14:paraId="7ACD6B51">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1.10KVA高压配电室设施设备的运行管理、维护、保洁、定期检查及维修。2.高低压配电室值班值守，严格落实值班职责。3.400V以下电力设备设施的运行管理、维护、保洁、定期检查及维修。4.工作人员持证上岗，有严格的岗位职责，确保供电安全运行。5.严格执行电力部门的行业规范，各项记录资料正确齐全，处理故障无误。6.保证正常供电无任何责任停电事故,限电、停电须有相关部门出具的明确依据并按规定时间及时通知物业使用人。7.制定安全用电岗位责任及管理制度，定时巡检设备，做好维护保养记录、管理维修档案等管理工作。及时消除隐患，定期对变电设备进行维护保养，保证设备干净整洁，绝缘良好，接触可靠。设备时刻处于完好状态，保障安全供电，巡回检查。8.每月定期对全院水电表进行抄表，统计水电用量、分析水电使用情况，涉及收费的按时收取水电费后及时上交水电费。</w:t>
            </w:r>
          </w:p>
        </w:tc>
      </w:tr>
      <w:tr w14:paraId="2FFB2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1734" w:type="dxa"/>
            <w:noWrap w:val="0"/>
            <w:vAlign w:val="center"/>
          </w:tcPr>
          <w:p w14:paraId="7E979D4A">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二次供水、排水</w:t>
            </w:r>
          </w:p>
        </w:tc>
        <w:tc>
          <w:tcPr>
            <w:tcW w:w="7841" w:type="dxa"/>
            <w:noWrap w:val="0"/>
            <w:vAlign w:val="top"/>
          </w:tcPr>
          <w:p w14:paraId="40681E84">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1.以建筑物内调水间为界限，二次管网及以下设备设施的运行管理、维护、保洁、定期检查及维修；2.排水设施及中心处理站，包括雨水管井、雨水回收系统、污水管井、污水处理系统的运行管理、保洁、定期检查及维护；3.工作人员持有效健康证上岗，有二次供水卫生许可证。4.正常生活饮用水，有停水或水污染事件发生时，有应急预案并能及时启动。5.专人对水箱、水泵进行封闭式管理，有严格的管理制度并上墙；6.水泵或管道或水箱维修后，要及时进行清洗，同时进行水质化验并出示化验报告单，确保水质符合饮用水标准；7.设备及环境卫生清洁，符合饮用水卫生标准；8.保证雨季或暴雨天气地下室集水井排水设备的正常运行,地下室及地下车库无积水。</w:t>
            </w:r>
          </w:p>
        </w:tc>
      </w:tr>
      <w:tr w14:paraId="49F94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1734" w:type="dxa"/>
            <w:noWrap w:val="0"/>
            <w:vAlign w:val="center"/>
          </w:tcPr>
          <w:p w14:paraId="213AD300">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中水处理系统</w:t>
            </w:r>
          </w:p>
        </w:tc>
        <w:tc>
          <w:tcPr>
            <w:tcW w:w="7841" w:type="dxa"/>
            <w:noWrap w:val="0"/>
            <w:vAlign w:val="top"/>
          </w:tcPr>
          <w:p w14:paraId="708B3439">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保修期内中水站水处理系统的运行管理、维护、保洁及报修；保修期外中水站水处理系统的运行管理、维护、保洁、定期检查及维修。</w:t>
            </w:r>
          </w:p>
        </w:tc>
      </w:tr>
      <w:tr w14:paraId="576EA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734" w:type="dxa"/>
            <w:noWrap w:val="0"/>
            <w:vAlign w:val="center"/>
          </w:tcPr>
          <w:p w14:paraId="03914029">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浴室、中水站、热水器及蓄水设备</w:t>
            </w:r>
          </w:p>
        </w:tc>
        <w:tc>
          <w:tcPr>
            <w:tcW w:w="7841" w:type="dxa"/>
            <w:noWrap w:val="0"/>
            <w:vAlign w:val="top"/>
          </w:tcPr>
          <w:p w14:paraId="2246EA96">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1.保修期内空气能热水器及蓄水设备的运行管理、维护、保洁及报修；保修期外空气能热水器及蓄水设备的运行管理、维护、保洁、定期检查及维修；2.定期进行系统排污，防止管道阻塞，并对水箱进行清洗，保证水质达标；3.定期清除空气能设备上的灰尘、污垢，保持设备的清洁以保证较高的透光率。</w:t>
            </w:r>
          </w:p>
        </w:tc>
      </w:tr>
      <w:tr w14:paraId="700DB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1734" w:type="dxa"/>
            <w:noWrap w:val="0"/>
            <w:vAlign w:val="center"/>
          </w:tcPr>
          <w:p w14:paraId="1522B683">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电瓶车</w:t>
            </w:r>
          </w:p>
        </w:tc>
        <w:tc>
          <w:tcPr>
            <w:tcW w:w="7841" w:type="dxa"/>
            <w:noWrap w:val="0"/>
            <w:vAlign w:val="top"/>
          </w:tcPr>
          <w:p w14:paraId="3082B7B2">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保修期内电瓶车的运行管理、维护、保洁及报修；保修期外电瓶车的运行管理、维护、保洁、定期检查及维修。负责安排人员驾驶电瓶车校内运行并负责管理。</w:t>
            </w:r>
          </w:p>
        </w:tc>
      </w:tr>
      <w:tr w14:paraId="1C690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1734" w:type="dxa"/>
            <w:noWrap w:val="0"/>
            <w:vAlign w:val="center"/>
          </w:tcPr>
          <w:p w14:paraId="1928FFD9">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电梯</w:t>
            </w:r>
          </w:p>
        </w:tc>
        <w:tc>
          <w:tcPr>
            <w:tcW w:w="7841" w:type="dxa"/>
            <w:noWrap w:val="0"/>
            <w:vAlign w:val="top"/>
          </w:tcPr>
          <w:p w14:paraId="6B725E59">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电梯使用期限内的运行管理、维护、保洁及报修，负责安排具有相应资质人员进行专人管理。</w:t>
            </w:r>
          </w:p>
        </w:tc>
      </w:tr>
    </w:tbl>
    <w:tbl>
      <w:tblPr>
        <w:tblStyle w:val="33"/>
        <w:tblpPr w:leftFromText="180" w:rightFromText="180" w:vertAnchor="text" w:horzAnchor="page" w:tblpX="1413" w:tblpY="496"/>
        <w:tblOverlap w:val="never"/>
        <w:tblW w:w="95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3"/>
        <w:gridCol w:w="8360"/>
      </w:tblGrid>
      <w:tr w14:paraId="2D2F8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trPr>
        <w:tc>
          <w:tcPr>
            <w:tcW w:w="1203" w:type="dxa"/>
            <w:noWrap w:val="0"/>
            <w:vAlign w:val="top"/>
          </w:tcPr>
          <w:p w14:paraId="5B06F1A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服务内容</w:t>
            </w:r>
          </w:p>
        </w:tc>
        <w:tc>
          <w:tcPr>
            <w:tcW w:w="8360" w:type="dxa"/>
            <w:noWrap w:val="0"/>
            <w:vAlign w:val="top"/>
          </w:tcPr>
          <w:p w14:paraId="15FB6C2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服务标准</w:t>
            </w:r>
          </w:p>
        </w:tc>
      </w:tr>
      <w:tr w14:paraId="70536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1203" w:type="dxa"/>
            <w:noWrap w:val="0"/>
            <w:vAlign w:val="center"/>
          </w:tcPr>
          <w:p w14:paraId="4EEF5F4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宣传栏、室外标志牌</w:t>
            </w:r>
          </w:p>
        </w:tc>
        <w:tc>
          <w:tcPr>
            <w:tcW w:w="8360" w:type="dxa"/>
            <w:noWrap w:val="0"/>
            <w:vAlign w:val="top"/>
          </w:tcPr>
          <w:p w14:paraId="1C37F2E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宣传栏、室外标志牌无灰尘、无污痕、无破损、无黏贴。</w:t>
            </w:r>
          </w:p>
        </w:tc>
      </w:tr>
      <w:tr w14:paraId="39433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203" w:type="dxa"/>
            <w:noWrap w:val="0"/>
            <w:vAlign w:val="center"/>
          </w:tcPr>
          <w:p w14:paraId="3340A113">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垃圾桶、果皮箱</w:t>
            </w:r>
          </w:p>
        </w:tc>
        <w:tc>
          <w:tcPr>
            <w:tcW w:w="8360" w:type="dxa"/>
            <w:noWrap w:val="0"/>
            <w:vAlign w:val="top"/>
          </w:tcPr>
          <w:p w14:paraId="2AED55A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1.生活垃圾装袋入桶，垃圾桶、果皮箱无异味，夏季每天消毒，桶、箱外壁洁净、无明显污渍。2.垃圾桶、果皮箱内垃圾不超过一半，保证桶、箱内垃圾不过夜，日产日清，及时将垃圾运送到指定地点。3.工程垃圾及有害类垃圾专门地方存放，不得放入垃圾桶内。</w:t>
            </w:r>
          </w:p>
        </w:tc>
      </w:tr>
      <w:tr w14:paraId="3FDE0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1203" w:type="dxa"/>
            <w:noWrap w:val="0"/>
            <w:vAlign w:val="center"/>
          </w:tcPr>
          <w:p w14:paraId="46A1A8E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路灯、楼前灯</w:t>
            </w:r>
          </w:p>
        </w:tc>
        <w:tc>
          <w:tcPr>
            <w:tcW w:w="8360" w:type="dxa"/>
            <w:noWrap w:val="0"/>
            <w:vAlign w:val="top"/>
          </w:tcPr>
          <w:p w14:paraId="3198E77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路灯、楼前灯无灰尘、无污痕、无损坏。</w:t>
            </w:r>
          </w:p>
        </w:tc>
      </w:tr>
      <w:tr w14:paraId="32DD5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1203" w:type="dxa"/>
            <w:noWrap w:val="0"/>
            <w:vAlign w:val="center"/>
          </w:tcPr>
          <w:p w14:paraId="1CFA917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近水区域</w:t>
            </w:r>
          </w:p>
        </w:tc>
        <w:tc>
          <w:tcPr>
            <w:tcW w:w="8360" w:type="dxa"/>
            <w:noWrap w:val="0"/>
            <w:vAlign w:val="top"/>
          </w:tcPr>
          <w:p w14:paraId="3A63FDF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近水区域护栏、扶手、指示牌、亲水平台的巡回保洁。</w:t>
            </w:r>
          </w:p>
        </w:tc>
      </w:tr>
      <w:tr w14:paraId="2CF74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trPr>
        <w:tc>
          <w:tcPr>
            <w:tcW w:w="1203" w:type="dxa"/>
            <w:noWrap w:val="0"/>
            <w:vAlign w:val="center"/>
          </w:tcPr>
          <w:p w14:paraId="4FBB674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湖泊及景观水域卫生</w:t>
            </w:r>
          </w:p>
        </w:tc>
        <w:tc>
          <w:tcPr>
            <w:tcW w:w="8360" w:type="dxa"/>
            <w:noWrap w:val="0"/>
            <w:vAlign w:val="top"/>
          </w:tcPr>
          <w:p w14:paraId="2A36F8B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1.景观水面无残花、落叶、垃圾及漂浮植物；2.景观水质清澈，无臭味，能见度达到50cm以上；3.水生动植物长势良好。</w:t>
            </w:r>
          </w:p>
        </w:tc>
      </w:tr>
      <w:tr w14:paraId="6E6DC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1203" w:type="dxa"/>
            <w:noWrap w:val="0"/>
            <w:vAlign w:val="center"/>
          </w:tcPr>
          <w:p w14:paraId="0338AD8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室外体育场及青石板路面</w:t>
            </w:r>
          </w:p>
        </w:tc>
        <w:tc>
          <w:tcPr>
            <w:tcW w:w="8360" w:type="dxa"/>
            <w:noWrap w:val="0"/>
            <w:vAlign w:val="top"/>
          </w:tcPr>
          <w:p w14:paraId="064E761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室外体育场青石板路面，每年清洗不少于一次，如遇重大节庆活动，按甲方要求组织清洗。</w:t>
            </w:r>
          </w:p>
        </w:tc>
      </w:tr>
      <w:tr w14:paraId="1B8F6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1203" w:type="dxa"/>
            <w:noWrap w:val="0"/>
            <w:vAlign w:val="center"/>
          </w:tcPr>
          <w:p w14:paraId="4D0EA37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楼外公共区域</w:t>
            </w:r>
          </w:p>
        </w:tc>
        <w:tc>
          <w:tcPr>
            <w:tcW w:w="8360" w:type="dxa"/>
            <w:noWrap w:val="0"/>
            <w:vAlign w:val="top"/>
          </w:tcPr>
          <w:p w14:paraId="574B0349">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1.硬化地面、各道路无垃圾、无杂物、无污泥、无积水、无泼撒物，干净整洁见本色；2.绿地无垃圾、无杂物，树上无悬挂物，干净整洁；3.设专人保洁，保持墙面、地面干净整洁无杂物；公共设施表面无黏贴小广告。4.负责自行车停放区域的私人非机动车的摆放及周边环境清洁。5.对停车场进行管理，引导车辆有序停放及通行，并保证停车场周边环境清洁。6.对区域内主道、干道落叶、积水、积雪、烟花炮屑等应在每天学校作息时间上班前进行清扫。7.如遇雪天，应科学喷洒溶雪剂，有效融雪，雪停后立即组织人员清理积雪，并将积雪运送到指定地点。</w:t>
            </w:r>
          </w:p>
        </w:tc>
      </w:tr>
      <w:tr w14:paraId="1A300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trPr>
        <w:tc>
          <w:tcPr>
            <w:tcW w:w="1203" w:type="dxa"/>
            <w:noWrap w:val="0"/>
            <w:vAlign w:val="center"/>
          </w:tcPr>
          <w:p w14:paraId="42659B5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四害消杀</w:t>
            </w:r>
          </w:p>
        </w:tc>
        <w:tc>
          <w:tcPr>
            <w:tcW w:w="8360" w:type="dxa"/>
            <w:noWrap w:val="0"/>
            <w:vAlign w:val="top"/>
          </w:tcPr>
          <w:p w14:paraId="7E0D07B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一、灭鼠标准1.15㎡标准房间布放20X20厘米滑石粉块两块，一夜后阳性粉块不超过3％。有鼠洞、鼠粪、鼠咬等痕迹的房间不超过2％。2.不同类型的外环境累计2000米，鼠迹不超过5处。二、灭蚊标准1.内外环境积水中，蚊幼虫及蛹的阳性率不超过3％。2.用500ml收集勺采集校园水体中的蚊幼虫或蛹阳性率不超过3％，阳性勺内幼虫或蛹的平均数不超过5只。3.特殊场所白天人诱蚊30分钟，平均每人次诱获成蚊数不超过1只。三、灭蝇标准1.有蝇房间不超过3％，平均每阳性房间不超过3只。食堂防蝇设施不合格房间不超过5％。加工、销售直接入口食品的场所不得有蝇。2.蝇类孳生地得到有效治理，幼虫和蛹的检出率不超过3％。四、灭蟑螂标准l.室内有蟑螂成虫或若虫阳性房间不超过3％，平均每间房大蠊不超过5只，小蠊不超过10只。2.有活蟑螂卵鞘房间不超过2％，平均每间房不超过4只。3.有蟑螂粪便蜕皮等蟑迹的房间不超过5％。</w:t>
            </w:r>
          </w:p>
        </w:tc>
      </w:tr>
    </w:tbl>
    <w:p w14:paraId="39950D29">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（四）校园环境环境卫生保洁的管理服务内容及标准</w:t>
      </w:r>
    </w:p>
    <w:p w14:paraId="12594778">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（五）会议服务的内容及标准</w:t>
      </w:r>
    </w:p>
    <w:tbl>
      <w:tblPr>
        <w:tblStyle w:val="33"/>
        <w:tblW w:w="98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4"/>
        <w:gridCol w:w="6892"/>
      </w:tblGrid>
      <w:tr w14:paraId="202F1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jc w:val="center"/>
        </w:trPr>
        <w:tc>
          <w:tcPr>
            <w:tcW w:w="2914" w:type="dxa"/>
            <w:noWrap w:val="0"/>
            <w:vAlign w:val="top"/>
          </w:tcPr>
          <w:p w14:paraId="376921FC">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服务内容</w:t>
            </w:r>
          </w:p>
        </w:tc>
        <w:tc>
          <w:tcPr>
            <w:tcW w:w="6892" w:type="dxa"/>
            <w:noWrap w:val="0"/>
            <w:vAlign w:val="top"/>
          </w:tcPr>
          <w:p w14:paraId="770DB9CD">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服务标准</w:t>
            </w:r>
          </w:p>
        </w:tc>
      </w:tr>
      <w:tr w14:paraId="22EDA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9" w:hRule="atLeast"/>
          <w:jc w:val="center"/>
        </w:trPr>
        <w:tc>
          <w:tcPr>
            <w:tcW w:w="2914" w:type="dxa"/>
            <w:noWrap w:val="0"/>
            <w:vAlign w:val="center"/>
          </w:tcPr>
          <w:p w14:paraId="4F0F4D85">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会议服务</w:t>
            </w:r>
          </w:p>
        </w:tc>
        <w:tc>
          <w:tcPr>
            <w:tcW w:w="6892" w:type="dxa"/>
            <w:noWrap w:val="0"/>
            <w:vAlign w:val="top"/>
          </w:tcPr>
          <w:p w14:paraId="37ED0BE7">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根据会议性质、开会时间、与会领导人数及要求布置会议场所，并准备会议所需的各种用具和设备（包括但不限于文具、装饰物、多媒体设备）。</w:t>
            </w:r>
          </w:p>
          <w:p w14:paraId="02C4428F">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会议服务人员于会前30分钟到岗，精神饱满地在门口迎候并引导与会领导入座，提供茶水服务。</w:t>
            </w:r>
          </w:p>
          <w:p w14:paraId="1F97B1DC">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会议期间适时为与会领导更换烟缸、添加茶水等。</w:t>
            </w:r>
          </w:p>
          <w:p w14:paraId="1E7C17DB">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会议期间服务人员须始终站于会议室门口直至会议结束。</w:t>
            </w:r>
          </w:p>
          <w:p w14:paraId="1757A164">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会议中间休息，要尽快整理会场，补充和更换各种用品。</w:t>
            </w:r>
          </w:p>
          <w:p w14:paraId="7EB53F65">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会议间歇为与会领导提供茶歇服务，所提供的餐点、饮品、水果应品类多样，品质新鲜。</w:t>
            </w:r>
          </w:p>
          <w:p w14:paraId="1B306247">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会议结束，服务人员应仔细检查会场是否有遗忘的物品和文件，设备设施是否完好，关闭设施设备并做好会场保洁。</w:t>
            </w:r>
          </w:p>
          <w:p w14:paraId="5895A4B8">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做好会议保密工作。</w:t>
            </w:r>
          </w:p>
          <w:p w14:paraId="21561424">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p>
        </w:tc>
      </w:tr>
    </w:tbl>
    <w:p w14:paraId="543D7C7B">
      <w:pPr>
        <w:spacing w:line="360" w:lineRule="auto"/>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sz w:val="24"/>
          <w:highlight w:val="none"/>
          <w:lang w:eastAsia="zh-CN"/>
        </w:rPr>
        <w:t>九、</w:t>
      </w:r>
      <w:r>
        <w:rPr>
          <w:rFonts w:hint="eastAsia" w:asciiTheme="minorEastAsia" w:hAnsiTheme="minorEastAsia" w:eastAsiaTheme="minorEastAsia" w:cstheme="minorEastAsia"/>
          <w:b/>
          <w:bCs/>
          <w:color w:val="auto"/>
          <w:sz w:val="24"/>
          <w:highlight w:val="none"/>
        </w:rPr>
        <w:t>项目验收要求</w:t>
      </w:r>
      <w:r>
        <w:rPr>
          <w:rFonts w:hint="eastAsia" w:asciiTheme="minorEastAsia" w:hAnsiTheme="minorEastAsia" w:eastAsiaTheme="minorEastAsia" w:cstheme="minorEastAsia"/>
          <w:b/>
          <w:bCs/>
          <w:color w:val="auto"/>
          <w:sz w:val="24"/>
          <w:highlight w:val="none"/>
          <w:lang w:eastAsia="zh-CN"/>
        </w:rPr>
        <w:t>：</w:t>
      </w:r>
    </w:p>
    <w:p w14:paraId="21B49ACB">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r>
        <w:rPr>
          <w:rFonts w:hint="eastAsia" w:asciiTheme="minorEastAsia" w:hAnsiTheme="minorEastAsia" w:eastAsiaTheme="minorEastAsia" w:cstheme="minorEastAsia"/>
          <w:b w:val="0"/>
          <w:bCs w:val="0"/>
          <w:color w:val="auto"/>
          <w:sz w:val="24"/>
          <w:highlight w:val="none"/>
          <w:lang w:val="en-US" w:eastAsia="zh-CN"/>
        </w:rPr>
        <w:t>按照考核期限参照第二、第四、第八进行验收及附件内容进行考核验收。</w:t>
      </w:r>
    </w:p>
    <w:p w14:paraId="03D6E4DE">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pPr>
    </w:p>
    <w:p w14:paraId="6435E715">
      <w:pPr>
        <w:pStyle w:val="27"/>
        <w:bidi w:val="0"/>
        <w:rPr>
          <w:sz w:val="30"/>
          <w:szCs w:val="30"/>
        </w:rPr>
      </w:pPr>
      <w:r>
        <w:rPr>
          <w:rFonts w:hint="eastAsia"/>
          <w:sz w:val="30"/>
          <w:szCs w:val="30"/>
        </w:rPr>
        <w:t>附件1</w:t>
      </w:r>
    </w:p>
    <w:p w14:paraId="3E70BDB0">
      <w:pPr>
        <w:pStyle w:val="29"/>
        <w:pageBreakBefore w:val="0"/>
        <w:widowControl w:val="0"/>
        <w:kinsoku/>
        <w:wordWrap/>
        <w:overflowPunct/>
        <w:topLinePunct w:val="0"/>
        <w:autoSpaceDE/>
        <w:autoSpaceDN/>
        <w:bidi w:val="0"/>
        <w:spacing w:after="312" w:afterLines="100" w:line="360" w:lineRule="exact"/>
        <w:textAlignment w:val="auto"/>
        <w:rPr>
          <w:rFonts w:ascii="宋体" w:hAnsi="宋体" w:eastAsia="宋体" w:cs="仿宋_GB2312"/>
          <w:sz w:val="32"/>
        </w:rPr>
      </w:pPr>
      <w:bookmarkStart w:id="435" w:name="_Toc28253"/>
      <w:bookmarkStart w:id="436" w:name="_Toc448305496"/>
      <w:r>
        <w:rPr>
          <w:rFonts w:hint="eastAsia" w:ascii="宋体" w:hAnsi="宋体" w:eastAsia="宋体" w:cs="仿宋_GB2312"/>
          <w:sz w:val="32"/>
          <w:lang w:eastAsia="zh-CN"/>
        </w:rPr>
        <w:t>云南技师学院</w:t>
      </w:r>
      <w:r>
        <w:rPr>
          <w:rFonts w:hint="eastAsia" w:ascii="宋体" w:hAnsi="宋体" w:eastAsia="宋体" w:cs="仿宋_GB2312"/>
          <w:kern w:val="0"/>
          <w:sz w:val="32"/>
          <w:lang w:eastAsia="zh-CN"/>
        </w:rPr>
        <w:t>物业</w:t>
      </w:r>
      <w:r>
        <w:rPr>
          <w:rFonts w:hint="eastAsia" w:ascii="宋体" w:hAnsi="宋体" w:eastAsia="宋体" w:cs="仿宋_GB2312"/>
          <w:kern w:val="0"/>
          <w:sz w:val="32"/>
        </w:rPr>
        <w:t>服务管理办法</w:t>
      </w:r>
      <w:bookmarkEnd w:id="435"/>
      <w:bookmarkEnd w:id="436"/>
    </w:p>
    <w:p w14:paraId="17CC023F">
      <w:pPr>
        <w:spacing w:line="360" w:lineRule="auto"/>
        <w:jc w:val="center"/>
        <w:rPr>
          <w:rFonts w:ascii="宋体" w:hAnsi="宋体" w:eastAsia="宋体" w:cs="Times New Roman"/>
          <w:b/>
        </w:rPr>
      </w:pPr>
      <w:r>
        <w:rPr>
          <w:rFonts w:hint="eastAsia" w:ascii="宋体" w:hAnsi="宋体" w:eastAsia="宋体" w:cs="Times New Roman"/>
          <w:b/>
          <w:lang w:eastAsia="zh-CN"/>
        </w:rPr>
        <w:t>第一：</w:t>
      </w:r>
      <w:r>
        <w:rPr>
          <w:rFonts w:hint="eastAsia" w:ascii="宋体" w:hAnsi="宋体" w:eastAsia="宋体" w:cs="Times New Roman"/>
          <w:b/>
        </w:rPr>
        <w:t>总体服务要求</w:t>
      </w:r>
    </w:p>
    <w:p w14:paraId="424AA3F8">
      <w:pPr>
        <w:spacing w:line="360" w:lineRule="auto"/>
        <w:jc w:val="center"/>
        <w:rPr>
          <w:rFonts w:ascii="宋体" w:hAnsi="宋体" w:eastAsia="宋体" w:cs="Times New Roman"/>
          <w:b/>
        </w:rPr>
      </w:pPr>
    </w:p>
    <w:p w14:paraId="0CB37235">
      <w:pPr>
        <w:numPr>
          <w:ilvl w:val="0"/>
          <w:numId w:val="7"/>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建立健全项目</w:t>
      </w:r>
      <w:r>
        <w:rPr>
          <w:rFonts w:hint="eastAsia" w:ascii="新宋体" w:hAnsi="新宋体" w:eastAsia="新宋体" w:cs="Times New Roman"/>
          <w:lang w:eastAsia="zh-CN"/>
        </w:rPr>
        <w:t>服务</w:t>
      </w:r>
      <w:r>
        <w:rPr>
          <w:rFonts w:hint="eastAsia" w:ascii="新宋体" w:hAnsi="新宋体" w:eastAsia="新宋体" w:cs="Times New Roman"/>
        </w:rPr>
        <w:t>管理制度，组建专业管理团队，指定专人负责</w:t>
      </w:r>
      <w:r>
        <w:rPr>
          <w:rFonts w:hint="eastAsia" w:ascii="新宋体" w:hAnsi="新宋体" w:eastAsia="新宋体" w:cs="Times New Roman"/>
          <w:lang w:eastAsia="zh-CN"/>
        </w:rPr>
        <w:t>本</w:t>
      </w:r>
      <w:r>
        <w:rPr>
          <w:rFonts w:hint="eastAsia" w:ascii="新宋体" w:hAnsi="新宋体" w:eastAsia="新宋体" w:cs="Times New Roman"/>
        </w:rPr>
        <w:t>项目管理、工作计划实施、突发事件的处置，完成合同约定的服务项目；</w:t>
      </w:r>
    </w:p>
    <w:p w14:paraId="513DF0DF">
      <w:pPr>
        <w:numPr>
          <w:ilvl w:val="0"/>
          <w:numId w:val="7"/>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有完善的</w:t>
      </w:r>
      <w:r>
        <w:rPr>
          <w:rFonts w:hint="eastAsia" w:ascii="新宋体" w:hAnsi="新宋体" w:eastAsia="新宋体" w:cs="Times New Roman"/>
          <w:lang w:eastAsia="zh-CN"/>
        </w:rPr>
        <w:t>物业服务</w:t>
      </w:r>
      <w:r>
        <w:rPr>
          <w:rFonts w:hint="eastAsia" w:ascii="新宋体" w:hAnsi="新宋体" w:eastAsia="新宋体" w:cs="Times New Roman"/>
        </w:rPr>
        <w:t>方案和质量控制措施，人力资源状况能够满足校方管理服务要求；</w:t>
      </w:r>
    </w:p>
    <w:p w14:paraId="6EE693E3">
      <w:pPr>
        <w:numPr>
          <w:ilvl w:val="0"/>
          <w:numId w:val="7"/>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运行机制合理、全面、高效，环环相扣，互相制约，保障物业服务全覆盖，无盲点；</w:t>
      </w:r>
    </w:p>
    <w:p w14:paraId="57923C0E">
      <w:pPr>
        <w:numPr>
          <w:ilvl w:val="0"/>
          <w:numId w:val="7"/>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监督机制健全，主动公示24小时服务电话和投诉电话，有完整的报修、维修和回访记录，并定期向管理部门汇报工作；</w:t>
      </w:r>
    </w:p>
    <w:p w14:paraId="33D6A893">
      <w:pPr>
        <w:numPr>
          <w:ilvl w:val="0"/>
          <w:numId w:val="7"/>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纪律严明，规章制度健全，管理架构清晰，职责分明，员工评价机制健全，奖惩分明，具有可操作性和约束力；</w:t>
      </w:r>
    </w:p>
    <w:p w14:paraId="0DBD501B">
      <w:pPr>
        <w:numPr>
          <w:ilvl w:val="0"/>
          <w:numId w:val="7"/>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物业服务人员行为习惯良好，工作人员仪表端庄，举止文明，着装统一，标识清楚；服务作业施工规范；水电专业人员持证上岗、项目经理阅历丰富，证书齐备；</w:t>
      </w:r>
    </w:p>
    <w:p w14:paraId="3168BB9B">
      <w:pPr>
        <w:numPr>
          <w:ilvl w:val="0"/>
          <w:numId w:val="7"/>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工作态度端正，服务至上，热情周到，工作人员行为习惯良好，主动巡查，遇事决策果断，处理效果良好，主动服务，听从安排，不推诿扯皮；</w:t>
      </w:r>
    </w:p>
    <w:p w14:paraId="59A3E458">
      <w:pPr>
        <w:numPr>
          <w:ilvl w:val="0"/>
          <w:numId w:val="7"/>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服务质量上乘，节约成本，能修不换；响应迅速，维修质量可靠，操作安全规范，校园环境卫生清洁，物业服务无安全事故；</w:t>
      </w:r>
    </w:p>
    <w:p w14:paraId="4C08C559">
      <w:pPr>
        <w:numPr>
          <w:ilvl w:val="0"/>
          <w:numId w:val="7"/>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档案资料完整，各类管理档案健全，过程控制可追溯，结果可查，归类存档；</w:t>
      </w:r>
    </w:p>
    <w:p w14:paraId="17A33824">
      <w:pPr>
        <w:numPr>
          <w:ilvl w:val="0"/>
          <w:numId w:val="7"/>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服务大局，做到令行禁止，服从指挥，主动服务，能及时完成领导交办的各项任务；</w:t>
      </w:r>
    </w:p>
    <w:p w14:paraId="528326B1">
      <w:pPr>
        <w:numPr>
          <w:ilvl w:val="0"/>
          <w:numId w:val="7"/>
        </w:numPr>
        <w:spacing w:line="360" w:lineRule="auto"/>
        <w:ind w:left="0" w:firstLine="420" w:firstLineChars="200"/>
        <w:jc w:val="left"/>
        <w:rPr>
          <w:rFonts w:ascii="新宋体" w:hAnsi="新宋体" w:eastAsia="新宋体" w:cs="Times New Roman"/>
          <w:b/>
        </w:rPr>
      </w:pPr>
      <w:r>
        <w:rPr>
          <w:rFonts w:hint="eastAsia" w:ascii="新宋体" w:hAnsi="新宋体" w:eastAsia="新宋体" w:cs="Times New Roman"/>
        </w:rPr>
        <w:t>全面服务，不留</w:t>
      </w:r>
      <w:r>
        <w:rPr>
          <w:rFonts w:hint="eastAsia" w:ascii="新宋体" w:hAnsi="新宋体" w:eastAsia="新宋体" w:cs="Times New Roman"/>
          <w:lang w:eastAsia="zh-CN"/>
        </w:rPr>
        <w:t>死角</w:t>
      </w:r>
      <w:r>
        <w:rPr>
          <w:rFonts w:hint="eastAsia" w:ascii="新宋体" w:hAnsi="新宋体" w:eastAsia="新宋体" w:cs="Times New Roman"/>
        </w:rPr>
        <w:t>，安宁校区与老校区同步同标准进行物管服务。</w:t>
      </w:r>
    </w:p>
    <w:p w14:paraId="3EB3B323">
      <w:pPr>
        <w:numPr>
          <w:ilvl w:val="0"/>
          <w:numId w:val="7"/>
        </w:numPr>
        <w:spacing w:line="360" w:lineRule="auto"/>
        <w:ind w:left="0" w:firstLine="420" w:firstLineChars="200"/>
        <w:jc w:val="left"/>
        <w:rPr>
          <w:rFonts w:ascii="宋体" w:hAnsi="宋体" w:eastAsia="宋体" w:cs="Times New Roman"/>
          <w:b/>
        </w:rPr>
      </w:pPr>
      <w:r>
        <w:rPr>
          <w:rFonts w:hint="eastAsia" w:ascii="新宋体" w:hAnsi="新宋体" w:eastAsia="新宋体" w:cs="Times New Roman"/>
        </w:rPr>
        <w:t>投</w:t>
      </w:r>
      <w:r>
        <w:rPr>
          <w:rFonts w:ascii="新宋体" w:hAnsi="新宋体" w:eastAsia="新宋体" w:cs="Times New Roman"/>
        </w:rPr>
        <w:t>标单位</w:t>
      </w:r>
      <w:r>
        <w:rPr>
          <w:rFonts w:hint="eastAsia" w:ascii="新宋体" w:hAnsi="新宋体" w:eastAsia="新宋体" w:cs="Times New Roman"/>
        </w:rPr>
        <w:t>应现</w:t>
      </w:r>
      <w:r>
        <w:rPr>
          <w:rFonts w:ascii="新宋体" w:hAnsi="新宋体" w:eastAsia="新宋体" w:cs="Times New Roman"/>
        </w:rPr>
        <w:t>场实堪，充分听</w:t>
      </w:r>
      <w:r>
        <w:rPr>
          <w:rFonts w:hint="eastAsia" w:ascii="新宋体" w:hAnsi="新宋体" w:eastAsia="新宋体" w:cs="Times New Roman"/>
        </w:rPr>
        <w:t>取业</w:t>
      </w:r>
      <w:r>
        <w:rPr>
          <w:rFonts w:ascii="新宋体" w:hAnsi="新宋体" w:eastAsia="新宋体" w:cs="Times New Roman"/>
        </w:rPr>
        <w:t>主方需求，</w:t>
      </w:r>
      <w:r>
        <w:rPr>
          <w:rFonts w:hint="eastAsia" w:ascii="新宋体" w:hAnsi="新宋体" w:eastAsia="新宋体" w:cs="Times New Roman"/>
        </w:rPr>
        <w:t>制</w:t>
      </w:r>
      <w:r>
        <w:rPr>
          <w:rFonts w:ascii="新宋体" w:hAnsi="新宋体" w:eastAsia="新宋体" w:cs="Times New Roman"/>
        </w:rPr>
        <w:t>定合</w:t>
      </w:r>
      <w:r>
        <w:rPr>
          <w:rFonts w:hint="eastAsia" w:ascii="新宋体" w:hAnsi="新宋体" w:eastAsia="新宋体" w:cs="Times New Roman"/>
        </w:rPr>
        <w:t>理</w:t>
      </w:r>
      <w:r>
        <w:rPr>
          <w:rFonts w:ascii="新宋体" w:hAnsi="新宋体" w:eastAsia="新宋体" w:cs="Times New Roman"/>
        </w:rPr>
        <w:t>物业</w:t>
      </w:r>
      <w:r>
        <w:rPr>
          <w:rFonts w:hint="eastAsia" w:ascii="新宋体" w:hAnsi="新宋体" w:eastAsia="新宋体" w:cs="Times New Roman"/>
        </w:rPr>
        <w:t>服</w:t>
      </w:r>
      <w:r>
        <w:rPr>
          <w:rFonts w:ascii="新宋体" w:hAnsi="新宋体" w:eastAsia="新宋体" w:cs="Times New Roman"/>
        </w:rPr>
        <w:t>务计划，满足</w:t>
      </w:r>
      <w:r>
        <w:rPr>
          <w:rFonts w:hint="eastAsia" w:ascii="新宋体" w:hAnsi="新宋体" w:eastAsia="新宋体" w:cs="Times New Roman"/>
          <w:lang w:eastAsia="zh-CN"/>
        </w:rPr>
        <w:t>学院</w:t>
      </w:r>
      <w:r>
        <w:rPr>
          <w:rFonts w:ascii="新宋体" w:hAnsi="新宋体" w:eastAsia="新宋体" w:cs="Times New Roman"/>
        </w:rPr>
        <w:t>物业管理及服务需求。</w:t>
      </w:r>
    </w:p>
    <w:p w14:paraId="6CBC1C7D">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rPr>
          <w:rFonts w:ascii="宋体" w:hAnsi="宋体" w:eastAsia="宋体" w:cs="Times New Roman"/>
          <w:b/>
        </w:rPr>
      </w:pPr>
      <w:bookmarkStart w:id="437" w:name="_Toc468376539"/>
      <w:bookmarkStart w:id="438" w:name="_Toc468960288"/>
      <w:bookmarkStart w:id="439" w:name="_Toc468376509"/>
      <w:bookmarkStart w:id="440" w:name="_Toc468376642"/>
      <w:r>
        <w:rPr>
          <w:rFonts w:hint="eastAsia" w:ascii="宋体" w:hAnsi="宋体" w:eastAsia="宋体" w:cs="Times New Roman"/>
          <w:b/>
          <w:lang w:eastAsia="zh-CN"/>
        </w:rPr>
        <w:t>第二：</w:t>
      </w:r>
      <w:r>
        <w:rPr>
          <w:rFonts w:hint="eastAsia" w:ascii="宋体" w:hAnsi="宋体" w:eastAsia="宋体" w:cs="Times New Roman"/>
          <w:b/>
        </w:rPr>
        <w:t>物业公司实力要求</w:t>
      </w:r>
      <w:bookmarkEnd w:id="437"/>
      <w:bookmarkEnd w:id="438"/>
      <w:bookmarkEnd w:id="439"/>
      <w:bookmarkEnd w:id="440"/>
    </w:p>
    <w:p w14:paraId="16597B46">
      <w:pPr>
        <w:spacing w:line="360" w:lineRule="auto"/>
        <w:ind w:firstLine="420" w:firstLineChars="200"/>
        <w:jc w:val="left"/>
        <w:rPr>
          <w:rFonts w:ascii="新宋体" w:hAnsi="新宋体" w:eastAsia="新宋体" w:cs="Times New Roman"/>
          <w:b/>
          <w:bCs w:val="0"/>
        </w:rPr>
      </w:pPr>
      <w:bookmarkStart w:id="441" w:name="_Toc468376541"/>
      <w:bookmarkStart w:id="442" w:name="_Toc468960290"/>
      <w:bookmarkStart w:id="443" w:name="_Toc468376511"/>
      <w:bookmarkStart w:id="444" w:name="_Toc468376644"/>
      <w:r>
        <w:rPr>
          <w:rFonts w:hint="eastAsia" w:ascii="新宋体" w:hAnsi="新宋体" w:eastAsia="新宋体" w:cs="Times New Roman"/>
          <w:b/>
          <w:bCs w:val="0"/>
        </w:rPr>
        <w:t>一、业务要求</w:t>
      </w:r>
      <w:bookmarkEnd w:id="441"/>
      <w:bookmarkEnd w:id="442"/>
      <w:bookmarkEnd w:id="443"/>
      <w:bookmarkEnd w:id="444"/>
    </w:p>
    <w:p w14:paraId="36E900E9">
      <w:pPr>
        <w:numPr>
          <w:ilvl w:val="1"/>
          <w:numId w:val="8"/>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建立健全管理制度，组建甲方需求的管理和业务队伍，指定一名驻甲方校园代表，负责处理日常事务及重大事项；</w:t>
      </w:r>
    </w:p>
    <w:p w14:paraId="4A71FAD3">
      <w:pPr>
        <w:numPr>
          <w:ilvl w:val="1"/>
          <w:numId w:val="8"/>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全面组织业务队伍按甲方要求完成</w:t>
      </w:r>
      <w:r>
        <w:rPr>
          <w:rFonts w:hint="eastAsia" w:ascii="新宋体" w:hAnsi="新宋体" w:eastAsia="新宋体" w:cs="Times New Roman"/>
          <w:lang w:eastAsia="zh-CN"/>
        </w:rPr>
        <w:t>物业服务</w:t>
      </w:r>
      <w:r>
        <w:rPr>
          <w:rFonts w:hint="eastAsia" w:ascii="新宋体" w:hAnsi="新宋体" w:eastAsia="新宋体" w:cs="Times New Roman"/>
        </w:rPr>
        <w:t>和日常保洁、日常维修（含报修）业务；</w:t>
      </w:r>
    </w:p>
    <w:p w14:paraId="4A24D3E6">
      <w:pPr>
        <w:numPr>
          <w:ilvl w:val="1"/>
          <w:numId w:val="8"/>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全面负责派驻人员的业务素质、安全意识、安全行为及日常业务管理和承担责任；</w:t>
      </w:r>
    </w:p>
    <w:p w14:paraId="31C14EFD">
      <w:pPr>
        <w:numPr>
          <w:ilvl w:val="1"/>
          <w:numId w:val="8"/>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建立完善派驻人员的社会保障体系，承担派驻期间人员的人身安全、财产安全（含涉及业务范围内甲方的财产安全）；</w:t>
      </w:r>
    </w:p>
    <w:p w14:paraId="7395ACB4">
      <w:pPr>
        <w:numPr>
          <w:ilvl w:val="1"/>
          <w:numId w:val="8"/>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及时组织处理涉及的物业突发情况，全面组织完成甲方大型活动期间的后勤保障业务；</w:t>
      </w:r>
    </w:p>
    <w:p w14:paraId="1C178AB6">
      <w:pPr>
        <w:numPr>
          <w:ilvl w:val="1"/>
          <w:numId w:val="8"/>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建立健全服务期间水电气、公物维修、保洁、水电充值应急预案，全面履行合同约定的有关物业保障。</w:t>
      </w:r>
    </w:p>
    <w:p w14:paraId="4D0E97F4">
      <w:pPr>
        <w:spacing w:line="360" w:lineRule="auto"/>
        <w:ind w:firstLine="420" w:firstLineChars="200"/>
        <w:rPr>
          <w:rFonts w:ascii="宋体" w:hAnsi="宋体" w:eastAsia="宋体" w:cs="Times New Roman"/>
          <w:b/>
        </w:rPr>
      </w:pPr>
      <w:bookmarkStart w:id="445" w:name="_Toc468960291"/>
      <w:bookmarkStart w:id="446" w:name="_Toc468376645"/>
      <w:bookmarkStart w:id="447" w:name="_Toc468376542"/>
      <w:bookmarkStart w:id="448" w:name="_Toc468376512"/>
      <w:r>
        <w:rPr>
          <w:rFonts w:hint="eastAsia" w:ascii="宋体" w:hAnsi="宋体" w:eastAsia="宋体" w:cs="Times New Roman"/>
          <w:b/>
        </w:rPr>
        <w:t>二</w:t>
      </w:r>
      <w:r>
        <w:rPr>
          <w:rFonts w:ascii="宋体" w:hAnsi="宋体" w:eastAsia="宋体" w:cs="Times New Roman"/>
          <w:b/>
        </w:rPr>
        <w:t>、</w:t>
      </w:r>
      <w:r>
        <w:rPr>
          <w:rFonts w:hint="eastAsia" w:ascii="宋体" w:hAnsi="宋体" w:eastAsia="宋体" w:cs="Times New Roman"/>
          <w:b/>
        </w:rPr>
        <w:t>管理人员资格要求</w:t>
      </w:r>
      <w:bookmarkEnd w:id="445"/>
      <w:bookmarkEnd w:id="446"/>
      <w:bookmarkEnd w:id="447"/>
      <w:bookmarkEnd w:id="448"/>
    </w:p>
    <w:p w14:paraId="3058B16F">
      <w:pPr>
        <w:spacing w:line="360" w:lineRule="auto"/>
        <w:ind w:firstLine="420" w:firstLineChars="200"/>
        <w:jc w:val="left"/>
        <w:rPr>
          <w:rFonts w:hint="eastAsia" w:ascii="新宋体" w:hAnsi="新宋体" w:eastAsia="新宋体" w:cs="Times New Roman"/>
          <w:lang w:eastAsia="zh-CN"/>
        </w:rPr>
      </w:pPr>
      <w:r>
        <w:rPr>
          <w:rFonts w:hint="eastAsia" w:ascii="新宋体" w:hAnsi="新宋体" w:eastAsia="新宋体" w:cs="Times New Roman"/>
          <w:lang w:val="en-US" w:eastAsia="zh-CN"/>
        </w:rPr>
        <w:t>1.</w:t>
      </w:r>
      <w:r>
        <w:rPr>
          <w:rFonts w:hint="eastAsia" w:ascii="新宋体" w:hAnsi="新宋体" w:eastAsia="新宋体" w:cs="Times New Roman"/>
          <w:lang w:eastAsia="zh-CN"/>
        </w:rPr>
        <w:t>项目经理</w:t>
      </w:r>
    </w:p>
    <w:p w14:paraId="60D9AC98">
      <w:pPr>
        <w:widowControl/>
        <w:overflowPunct w:val="0"/>
        <w:autoSpaceDE w:val="0"/>
        <w:autoSpaceDN w:val="0"/>
        <w:adjustRightInd w:val="0"/>
        <w:snapToGrid w:val="0"/>
        <w:spacing w:line="590" w:lineRule="exact"/>
        <w:ind w:firstLine="420" w:firstLineChars="200"/>
        <w:textAlignment w:val="baseline"/>
        <w:rPr>
          <w:rFonts w:ascii="新宋体" w:hAnsi="新宋体" w:eastAsia="新宋体" w:cs="Times New Roman"/>
        </w:rPr>
      </w:pPr>
      <w:r>
        <w:rPr>
          <w:rFonts w:hint="eastAsia" w:ascii="新宋体" w:hAnsi="新宋体" w:eastAsia="新宋体" w:cs="Times New Roman"/>
        </w:rPr>
        <w:t>要求有三年以上的物业</w:t>
      </w:r>
      <w:r>
        <w:rPr>
          <w:rFonts w:ascii="新宋体" w:hAnsi="新宋体" w:eastAsia="新宋体" w:cs="Times New Roman"/>
        </w:rPr>
        <w:t>服务及</w:t>
      </w:r>
      <w:r>
        <w:rPr>
          <w:rFonts w:hint="eastAsia" w:ascii="新宋体" w:hAnsi="新宋体" w:eastAsia="新宋体" w:cs="Times New Roman"/>
        </w:rPr>
        <w:t>管</w:t>
      </w:r>
      <w:r>
        <w:rPr>
          <w:rFonts w:ascii="新宋体" w:hAnsi="新宋体" w:eastAsia="新宋体" w:cs="Times New Roman"/>
        </w:rPr>
        <w:t>理</w:t>
      </w:r>
      <w:r>
        <w:rPr>
          <w:rFonts w:hint="eastAsia" w:ascii="新宋体" w:hAnsi="新宋体" w:eastAsia="新宋体" w:cs="Times New Roman"/>
        </w:rPr>
        <w:t>经验，大专以上文化，有敬业精神，能吃苦耐劳，政治面貌好，有一定组织能力、表达能力、写作能力、应变能力和相应的协调及社交能力，有中级以上的物业</w:t>
      </w:r>
      <w:r>
        <w:rPr>
          <w:rFonts w:ascii="新宋体" w:hAnsi="新宋体" w:eastAsia="新宋体" w:cs="Times New Roman"/>
        </w:rPr>
        <w:t>管理（服务）</w:t>
      </w:r>
      <w:r>
        <w:rPr>
          <w:rFonts w:hint="eastAsia" w:ascii="新宋体" w:hAnsi="新宋体" w:eastAsia="新宋体" w:cs="Times New Roman"/>
        </w:rPr>
        <w:t>从业人员资格证。</w:t>
      </w:r>
      <w:r>
        <w:rPr>
          <w:rFonts w:ascii="宋体" w:hAnsi="宋体" w:eastAsia="宋体" w:cs="仿宋_GB2312"/>
          <w:snapToGrid w:val="0"/>
          <w:color w:val="000000"/>
          <w:kern w:val="0"/>
          <w:sz w:val="21"/>
          <w:szCs w:val="21"/>
          <w:highlight w:val="none"/>
        </w:rPr>
        <w:t>全面负责本项目的组织管理，做好所派人员的管理及工作检查；做好回访工作；做好和采购人的协调联系工作，服从采购人的领导，按照采购人的要求及相关的服务标准提供服务。</w:t>
      </w:r>
    </w:p>
    <w:p w14:paraId="64FCAA5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ascii="新宋体" w:hAnsi="新宋体" w:eastAsia="新宋体" w:cs="Times New Roman"/>
        </w:rPr>
      </w:pPr>
      <w:bookmarkStart w:id="449" w:name="_Toc468376544"/>
      <w:bookmarkStart w:id="450" w:name="_Toc468376647"/>
      <w:bookmarkStart w:id="451" w:name="_Toc468960293"/>
      <w:bookmarkStart w:id="452" w:name="_Toc468376514"/>
      <w:r>
        <w:rPr>
          <w:rFonts w:hint="eastAsia" w:ascii="新宋体" w:hAnsi="新宋体" w:eastAsia="新宋体" w:cs="Times New Roman"/>
          <w:lang w:val="en-US" w:eastAsia="zh-CN"/>
        </w:rPr>
        <w:t>2.</w:t>
      </w:r>
      <w:r>
        <w:rPr>
          <w:rFonts w:hint="eastAsia" w:ascii="新宋体" w:hAnsi="新宋体" w:eastAsia="新宋体" w:cs="Times New Roman"/>
        </w:rPr>
        <w:t>一般管理人员</w:t>
      </w:r>
      <w:bookmarkEnd w:id="449"/>
      <w:bookmarkEnd w:id="450"/>
      <w:bookmarkEnd w:id="451"/>
      <w:bookmarkEnd w:id="452"/>
    </w:p>
    <w:p w14:paraId="4C3CD777">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bCs/>
        </w:rPr>
        <w:t>具有一年以上</w:t>
      </w:r>
      <w:r>
        <w:rPr>
          <w:rFonts w:hint="eastAsia" w:ascii="新宋体" w:hAnsi="新宋体" w:eastAsia="新宋体" w:cs="Times New Roman"/>
          <w:bCs/>
          <w:lang w:eastAsia="zh-CN"/>
        </w:rPr>
        <w:t>物业服务</w:t>
      </w:r>
      <w:r>
        <w:rPr>
          <w:rFonts w:hint="eastAsia" w:ascii="新宋体" w:hAnsi="新宋体" w:eastAsia="新宋体" w:cs="Times New Roman"/>
          <w:bCs/>
        </w:rPr>
        <w:t>工作经验，</w:t>
      </w:r>
      <w:r>
        <w:rPr>
          <w:rFonts w:hint="eastAsia" w:ascii="新宋体" w:hAnsi="新宋体" w:eastAsia="新宋体" w:cs="Times New Roman"/>
        </w:rPr>
        <w:t>中专以上文化，会熟练操作电脑，具有一定的协调能力、沟通能力，文字和语言表达能力；有敬业和吃苦耐劳精神，工作认真负责，有上进心，政治面貌好，有</w:t>
      </w:r>
      <w:r>
        <w:rPr>
          <w:rFonts w:hint="eastAsia" w:ascii="新宋体" w:hAnsi="新宋体" w:eastAsia="新宋体" w:cs="Times New Roman"/>
          <w:lang w:eastAsia="zh-CN"/>
        </w:rPr>
        <w:t>物业服务</w:t>
      </w:r>
      <w:r>
        <w:rPr>
          <w:rFonts w:hint="eastAsia" w:ascii="新宋体" w:hAnsi="新宋体" w:eastAsia="新宋体" w:cs="Times New Roman"/>
        </w:rPr>
        <w:t>从业人员资格证书。遵守国家法律、法规，无违法犯罪记录，遵守各项规章制度，服从工作安排，文明服务，态度和蔼。</w:t>
      </w:r>
    </w:p>
    <w:p w14:paraId="721A6DB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ascii="新宋体" w:hAnsi="新宋体" w:eastAsia="新宋体" w:cs="Times New Roman"/>
          <w:bCs/>
        </w:rPr>
      </w:pPr>
      <w:bookmarkStart w:id="453" w:name="_Toc468376648"/>
      <w:bookmarkStart w:id="454" w:name="_Toc468376545"/>
      <w:bookmarkStart w:id="455" w:name="_Toc468960294"/>
      <w:bookmarkStart w:id="456" w:name="_Toc468376515"/>
      <w:r>
        <w:rPr>
          <w:rFonts w:hint="eastAsia" w:ascii="新宋体" w:hAnsi="新宋体" w:eastAsia="新宋体" w:cs="Times New Roman"/>
          <w:bCs/>
          <w:lang w:val="en-US" w:eastAsia="zh-CN"/>
        </w:rPr>
        <w:t>3.各部门</w:t>
      </w:r>
      <w:r>
        <w:rPr>
          <w:rFonts w:hint="eastAsia" w:ascii="新宋体" w:hAnsi="新宋体" w:eastAsia="新宋体" w:cs="Times New Roman"/>
          <w:bCs/>
        </w:rPr>
        <w:t>经理</w:t>
      </w:r>
      <w:bookmarkEnd w:id="453"/>
      <w:bookmarkEnd w:id="454"/>
      <w:bookmarkEnd w:id="455"/>
      <w:bookmarkEnd w:id="456"/>
      <w:r>
        <w:rPr>
          <w:rFonts w:hint="eastAsia" w:ascii="新宋体" w:hAnsi="新宋体" w:eastAsia="新宋体" w:cs="Times New Roman"/>
          <w:bCs/>
          <w:lang w:eastAsia="zh-CN"/>
        </w:rPr>
        <w:t>（或负责人）</w:t>
      </w:r>
    </w:p>
    <w:p w14:paraId="4035ABAB">
      <w:pPr>
        <w:spacing w:line="360" w:lineRule="auto"/>
        <w:ind w:firstLine="420" w:firstLineChars="200"/>
        <w:jc w:val="left"/>
        <w:rPr>
          <w:rFonts w:hint="eastAsia" w:ascii="新宋体" w:hAnsi="新宋体" w:eastAsia="新宋体" w:cs="Times New Roman"/>
        </w:rPr>
      </w:pPr>
      <w:r>
        <w:rPr>
          <w:rFonts w:hint="eastAsia" w:ascii="新宋体" w:hAnsi="新宋体" w:eastAsia="新宋体" w:cs="Times New Roman"/>
        </w:rPr>
        <w:t>要求有三年以上的物业服</w:t>
      </w:r>
      <w:r>
        <w:rPr>
          <w:rFonts w:ascii="新宋体" w:hAnsi="新宋体" w:eastAsia="新宋体" w:cs="Times New Roman"/>
        </w:rPr>
        <w:t>务及管理</w:t>
      </w:r>
      <w:r>
        <w:rPr>
          <w:rFonts w:hint="eastAsia" w:ascii="新宋体" w:hAnsi="新宋体" w:eastAsia="新宋体" w:cs="Times New Roman"/>
        </w:rPr>
        <w:t>经验，大专以上文化，有敬业精神，能吃苦耐劳，政治面貌好，有一定组织能力、表达能力、写作能力、应变能力和社交能力，有中级以上的物</w:t>
      </w:r>
      <w:r>
        <w:rPr>
          <w:rFonts w:ascii="新宋体" w:hAnsi="新宋体" w:eastAsia="新宋体" w:cs="Times New Roman"/>
        </w:rPr>
        <w:t>业管理</w:t>
      </w:r>
      <w:r>
        <w:rPr>
          <w:rFonts w:hint="eastAsia" w:ascii="新宋体" w:hAnsi="新宋体" w:eastAsia="新宋体" w:cs="Times New Roman"/>
        </w:rPr>
        <w:t>从业人员资格证。遵守国家法律、法规，无违法犯罪记录，遵守各项规章制度，服从工作安排，文明服务，态度和蔼，礼貌待人。</w:t>
      </w:r>
    </w:p>
    <w:p w14:paraId="623991A8">
      <w:pPr>
        <w:widowControl/>
        <w:autoSpaceDE w:val="0"/>
        <w:autoSpaceDN w:val="0"/>
        <w:spacing w:line="460" w:lineRule="exact"/>
        <w:ind w:firstLine="420" w:firstLineChars="200"/>
        <w:textAlignment w:val="bottom"/>
        <w:rPr>
          <w:rFonts w:ascii="新宋体" w:hAnsi="新宋体" w:eastAsia="新宋体" w:cs="Times New Roman"/>
          <w:b/>
          <w:szCs w:val="21"/>
        </w:rPr>
      </w:pPr>
      <w:r>
        <w:rPr>
          <w:rFonts w:hint="eastAsia" w:ascii="新宋体" w:hAnsi="新宋体" w:eastAsia="新宋体" w:cs="Times New Roman"/>
          <w:b/>
          <w:szCs w:val="21"/>
        </w:rPr>
        <w:t>三、人员配备要求：</w:t>
      </w:r>
    </w:p>
    <w:p w14:paraId="687CCBB8">
      <w:pPr>
        <w:snapToGrid w:val="0"/>
        <w:spacing w:line="460" w:lineRule="exact"/>
        <w:ind w:firstLine="420" w:firstLineChars="200"/>
        <w:rPr>
          <w:rFonts w:ascii="新宋体" w:hAnsi="新宋体" w:eastAsia="新宋体" w:cs="Times New Roman"/>
          <w:szCs w:val="21"/>
        </w:rPr>
      </w:pPr>
      <w:r>
        <w:rPr>
          <w:rFonts w:hint="eastAsia" w:ascii="新宋体" w:hAnsi="新宋体" w:eastAsia="新宋体" w:cs="Times New Roman"/>
          <w:szCs w:val="21"/>
        </w:rPr>
        <w:t>人员要求：中标候选人根据招标单位需求合理配备各类服务人员，其中物管主管需有一定物</w:t>
      </w:r>
      <w:r>
        <w:rPr>
          <w:rFonts w:ascii="新宋体" w:hAnsi="新宋体" w:eastAsia="新宋体" w:cs="Times New Roman"/>
          <w:szCs w:val="21"/>
        </w:rPr>
        <w:t>业管理或服务</w:t>
      </w:r>
      <w:r>
        <w:rPr>
          <w:rFonts w:hint="eastAsia" w:ascii="新宋体" w:hAnsi="新宋体" w:eastAsia="新宋体" w:cs="Times New Roman"/>
          <w:szCs w:val="21"/>
        </w:rPr>
        <w:t>工作经验者担任，应保证所录用人员身体健康、无传染性疾病、无刑事违法或犯罪记录、要求持证上岗的有上岗资格证。中标候选人各类管理服务人员按岗位统一着装，言行规范，文明礼貌。</w:t>
      </w:r>
    </w:p>
    <w:p w14:paraId="69FBFC63">
      <w:pPr>
        <w:snapToGrid w:val="0"/>
        <w:spacing w:line="460" w:lineRule="exact"/>
        <w:ind w:firstLine="420" w:firstLineChars="200"/>
        <w:rPr>
          <w:rFonts w:ascii="新宋体" w:hAnsi="新宋体" w:eastAsia="新宋体" w:cs="Times New Roman"/>
          <w:b/>
          <w:szCs w:val="21"/>
        </w:rPr>
      </w:pPr>
      <w:r>
        <w:rPr>
          <w:rFonts w:hint="eastAsia" w:ascii="新宋体" w:hAnsi="新宋体" w:eastAsia="新宋体" w:cs="Times New Roman"/>
          <w:b/>
          <w:bCs/>
          <w:szCs w:val="21"/>
        </w:rPr>
        <w:t>四、管理服务应达到的各项指标：</w:t>
      </w:r>
    </w:p>
    <w:p w14:paraId="25051B42">
      <w:pPr>
        <w:spacing w:line="460" w:lineRule="exact"/>
        <w:ind w:firstLine="420" w:firstLineChars="200"/>
        <w:rPr>
          <w:rFonts w:ascii="新宋体" w:hAnsi="新宋体" w:eastAsia="新宋体" w:cs="Times New Roman"/>
          <w:color w:val="auto"/>
          <w:szCs w:val="21"/>
        </w:rPr>
      </w:pPr>
      <w:r>
        <w:rPr>
          <w:rFonts w:hint="eastAsia" w:ascii="新宋体" w:hAnsi="新宋体" w:eastAsia="新宋体" w:cs="Times New Roman"/>
          <w:color w:val="auto"/>
          <w:szCs w:val="21"/>
        </w:rPr>
        <w:t>1．杜绝火灾责任事故，杜绝刑事案件；</w:t>
      </w:r>
    </w:p>
    <w:p w14:paraId="0C300B85">
      <w:pPr>
        <w:spacing w:line="460" w:lineRule="exact"/>
        <w:ind w:firstLine="420" w:firstLineChars="200"/>
        <w:rPr>
          <w:rFonts w:ascii="新宋体" w:hAnsi="新宋体" w:eastAsia="新宋体" w:cs="Times New Roman"/>
          <w:color w:val="auto"/>
          <w:szCs w:val="21"/>
        </w:rPr>
      </w:pPr>
      <w:r>
        <w:rPr>
          <w:rFonts w:hint="eastAsia" w:ascii="新宋体" w:hAnsi="新宋体" w:eastAsia="新宋体" w:cs="Times New Roman"/>
          <w:color w:val="auto"/>
          <w:szCs w:val="21"/>
        </w:rPr>
        <w:t>2．环境卫生、清洁率达99%；</w:t>
      </w:r>
    </w:p>
    <w:p w14:paraId="716C5D1B">
      <w:pPr>
        <w:spacing w:line="460" w:lineRule="exact"/>
        <w:ind w:firstLine="420" w:firstLineChars="200"/>
        <w:rPr>
          <w:rFonts w:ascii="新宋体" w:hAnsi="新宋体" w:eastAsia="新宋体" w:cs="Times New Roman"/>
          <w:color w:val="auto"/>
          <w:szCs w:val="21"/>
        </w:rPr>
      </w:pPr>
      <w:r>
        <w:rPr>
          <w:rFonts w:hint="eastAsia" w:ascii="新宋体" w:hAnsi="新宋体" w:eastAsia="新宋体" w:cs="Times New Roman"/>
          <w:color w:val="auto"/>
          <w:szCs w:val="21"/>
        </w:rPr>
        <w:t>3．智能化系统运行正常率100%；</w:t>
      </w:r>
    </w:p>
    <w:p w14:paraId="7F975AB2">
      <w:pPr>
        <w:spacing w:line="460" w:lineRule="exact"/>
        <w:ind w:firstLine="420" w:firstLineChars="200"/>
        <w:rPr>
          <w:rFonts w:ascii="新宋体" w:hAnsi="新宋体" w:eastAsia="新宋体" w:cs="Times New Roman"/>
          <w:color w:val="auto"/>
          <w:szCs w:val="21"/>
        </w:rPr>
      </w:pPr>
      <w:r>
        <w:rPr>
          <w:rFonts w:hint="eastAsia" w:ascii="新宋体" w:hAnsi="新宋体" w:eastAsia="新宋体" w:cs="Times New Roman"/>
          <w:color w:val="auto"/>
          <w:szCs w:val="21"/>
        </w:rPr>
        <w:t>4．零修、报修及时率100%，返修率小于1%；；</w:t>
      </w:r>
    </w:p>
    <w:p w14:paraId="1837DE1D">
      <w:pPr>
        <w:spacing w:line="460" w:lineRule="exact"/>
        <w:ind w:firstLine="420" w:firstLineChars="200"/>
        <w:rPr>
          <w:rFonts w:ascii="新宋体" w:hAnsi="新宋体" w:eastAsia="新宋体" w:cs="Times New Roman"/>
          <w:color w:val="auto"/>
          <w:szCs w:val="21"/>
        </w:rPr>
      </w:pPr>
      <w:r>
        <w:rPr>
          <w:rFonts w:hint="eastAsia" w:ascii="新宋体" w:hAnsi="新宋体" w:eastAsia="新宋体" w:cs="Times New Roman"/>
          <w:color w:val="auto"/>
          <w:szCs w:val="21"/>
        </w:rPr>
        <w:t>5．服务有效投诉少于1%，处理率100%；</w:t>
      </w:r>
    </w:p>
    <w:p w14:paraId="6C728702">
      <w:pPr>
        <w:spacing w:line="460" w:lineRule="exact"/>
        <w:ind w:firstLine="420" w:firstLineChars="200"/>
        <w:rPr>
          <w:rFonts w:ascii="新宋体" w:hAnsi="新宋体" w:eastAsia="新宋体" w:cs="Times New Roman"/>
          <w:color w:val="auto"/>
          <w:szCs w:val="21"/>
        </w:rPr>
      </w:pPr>
      <w:r>
        <w:rPr>
          <w:rFonts w:hint="eastAsia" w:ascii="新宋体" w:hAnsi="新宋体" w:eastAsia="新宋体" w:cs="Times New Roman"/>
          <w:color w:val="auto"/>
          <w:szCs w:val="21"/>
        </w:rPr>
        <w:t>6．满意率95%以上。</w:t>
      </w:r>
    </w:p>
    <w:p w14:paraId="2E039F2D">
      <w:pPr>
        <w:adjustRightInd w:val="0"/>
        <w:spacing w:line="480" w:lineRule="exact"/>
        <w:ind w:firstLine="420" w:firstLineChars="200"/>
        <w:rPr>
          <w:rFonts w:ascii="新宋体" w:hAnsi="新宋体" w:eastAsia="新宋体" w:cs="Times New Roman"/>
          <w:b/>
          <w:bCs/>
          <w:szCs w:val="21"/>
        </w:rPr>
      </w:pPr>
      <w:r>
        <w:rPr>
          <w:rFonts w:hint="eastAsia" w:ascii="新宋体" w:hAnsi="新宋体" w:eastAsia="新宋体" w:cs="Times New Roman"/>
          <w:b/>
          <w:szCs w:val="21"/>
        </w:rPr>
        <w:t>五、</w:t>
      </w:r>
      <w:r>
        <w:rPr>
          <w:rFonts w:hint="eastAsia" w:ascii="新宋体" w:hAnsi="新宋体" w:eastAsia="新宋体" w:cs="Times New Roman"/>
          <w:b/>
          <w:bCs/>
          <w:szCs w:val="21"/>
        </w:rPr>
        <w:t>管理服务费用及财务管理要求</w:t>
      </w:r>
    </w:p>
    <w:p w14:paraId="34A047AC">
      <w:pPr>
        <w:adjustRightInd w:val="0"/>
        <w:spacing w:line="480" w:lineRule="exact"/>
        <w:ind w:firstLine="420" w:firstLineChars="200"/>
        <w:rPr>
          <w:rFonts w:ascii="新宋体" w:hAnsi="新宋体" w:eastAsia="新宋体" w:cs="Times New Roman"/>
          <w:bCs/>
          <w:szCs w:val="21"/>
        </w:rPr>
      </w:pPr>
      <w:r>
        <w:rPr>
          <w:rFonts w:hint="eastAsia" w:ascii="新宋体" w:hAnsi="新宋体" w:eastAsia="新宋体" w:cs="Times New Roman"/>
          <w:bCs/>
          <w:szCs w:val="21"/>
        </w:rPr>
        <w:t>1</w:t>
      </w:r>
      <w:r>
        <w:rPr>
          <w:rFonts w:hint="eastAsia" w:ascii="新宋体" w:hAnsi="新宋体" w:eastAsia="新宋体" w:cs="Times New Roman"/>
          <w:bCs/>
          <w:szCs w:val="21"/>
          <w:lang w:val="en-US" w:eastAsia="zh-CN"/>
        </w:rPr>
        <w:t>.物业服务项目</w:t>
      </w:r>
      <w:r>
        <w:rPr>
          <w:rFonts w:hint="eastAsia" w:ascii="新宋体" w:hAnsi="新宋体" w:eastAsia="新宋体" w:cs="Times New Roman"/>
          <w:bCs/>
          <w:szCs w:val="21"/>
        </w:rPr>
        <w:t>费用以签订的合同价为准，业主按月分期支</w:t>
      </w:r>
      <w:r>
        <w:rPr>
          <w:rFonts w:ascii="新宋体" w:hAnsi="新宋体" w:eastAsia="新宋体" w:cs="Times New Roman"/>
          <w:bCs/>
          <w:szCs w:val="21"/>
        </w:rPr>
        <w:t>付</w:t>
      </w:r>
      <w:r>
        <w:rPr>
          <w:rFonts w:hint="eastAsia" w:ascii="新宋体" w:hAnsi="新宋体" w:eastAsia="新宋体" w:cs="Times New Roman"/>
          <w:bCs/>
          <w:szCs w:val="21"/>
        </w:rPr>
        <w:t>。</w:t>
      </w:r>
      <w:r>
        <w:rPr>
          <w:rFonts w:hint="eastAsia" w:ascii="新宋体" w:hAnsi="新宋体" w:eastAsia="新宋体" w:cs="Times New Roman"/>
          <w:b/>
          <w:bCs/>
          <w:szCs w:val="21"/>
        </w:rPr>
        <w:t>支付</w:t>
      </w:r>
      <w:r>
        <w:rPr>
          <w:rFonts w:ascii="新宋体" w:hAnsi="新宋体" w:eastAsia="新宋体" w:cs="Times New Roman"/>
          <w:b/>
          <w:bCs/>
          <w:szCs w:val="21"/>
        </w:rPr>
        <w:t>方式为：</w:t>
      </w:r>
      <w:r>
        <w:rPr>
          <w:rFonts w:ascii="新宋体" w:hAnsi="新宋体" w:eastAsia="新宋体" w:cs="Times New Roman"/>
          <w:bCs/>
          <w:szCs w:val="21"/>
        </w:rPr>
        <w:t>次月</w:t>
      </w:r>
      <w:r>
        <w:rPr>
          <w:rFonts w:hint="eastAsia" w:ascii="新宋体" w:hAnsi="新宋体" w:eastAsia="新宋体" w:cs="Times New Roman"/>
          <w:bCs/>
          <w:szCs w:val="21"/>
        </w:rPr>
        <w:t>30日前</w:t>
      </w:r>
      <w:r>
        <w:rPr>
          <w:rFonts w:ascii="新宋体" w:hAnsi="新宋体" w:eastAsia="新宋体" w:cs="Times New Roman"/>
          <w:bCs/>
          <w:szCs w:val="21"/>
        </w:rPr>
        <w:t>支付上月</w:t>
      </w:r>
      <w:r>
        <w:rPr>
          <w:rFonts w:hint="eastAsia" w:ascii="新宋体" w:hAnsi="新宋体" w:eastAsia="新宋体" w:cs="Times New Roman"/>
          <w:bCs/>
          <w:szCs w:val="21"/>
          <w:lang w:eastAsia="zh-CN"/>
        </w:rPr>
        <w:t>物业服务</w:t>
      </w:r>
      <w:r>
        <w:rPr>
          <w:rFonts w:ascii="新宋体" w:hAnsi="新宋体" w:eastAsia="新宋体" w:cs="Times New Roman"/>
          <w:bCs/>
          <w:szCs w:val="21"/>
        </w:rPr>
        <w:t>费</w:t>
      </w:r>
      <w:r>
        <w:rPr>
          <w:rFonts w:hint="eastAsia" w:ascii="新宋体" w:hAnsi="新宋体" w:eastAsia="新宋体" w:cs="Times New Roman"/>
          <w:bCs/>
          <w:szCs w:val="21"/>
        </w:rPr>
        <w:t>，乙</w:t>
      </w:r>
      <w:r>
        <w:rPr>
          <w:rFonts w:ascii="新宋体" w:hAnsi="新宋体" w:eastAsia="新宋体" w:cs="Times New Roman"/>
          <w:bCs/>
          <w:szCs w:val="21"/>
        </w:rPr>
        <w:t>方</w:t>
      </w:r>
      <w:r>
        <w:rPr>
          <w:rFonts w:hint="eastAsia" w:ascii="新宋体" w:hAnsi="新宋体" w:eastAsia="新宋体" w:cs="Times New Roman"/>
          <w:bCs/>
          <w:szCs w:val="21"/>
        </w:rPr>
        <w:t>须</w:t>
      </w:r>
      <w:r>
        <w:rPr>
          <w:rFonts w:ascii="新宋体" w:hAnsi="新宋体" w:eastAsia="新宋体" w:cs="Times New Roman"/>
          <w:bCs/>
          <w:szCs w:val="21"/>
        </w:rPr>
        <w:t>开具</w:t>
      </w:r>
      <w:r>
        <w:rPr>
          <w:rFonts w:hint="eastAsia" w:ascii="新宋体" w:hAnsi="新宋体" w:eastAsia="新宋体" w:cs="Times New Roman"/>
          <w:bCs/>
          <w:szCs w:val="21"/>
        </w:rPr>
        <w:t>税</w:t>
      </w:r>
      <w:r>
        <w:rPr>
          <w:rFonts w:ascii="新宋体" w:hAnsi="新宋体" w:eastAsia="新宋体" w:cs="Times New Roman"/>
          <w:bCs/>
          <w:szCs w:val="21"/>
        </w:rPr>
        <w:t>务部门</w:t>
      </w:r>
      <w:r>
        <w:rPr>
          <w:rFonts w:hint="eastAsia" w:ascii="新宋体" w:hAnsi="新宋体" w:eastAsia="新宋体" w:cs="Times New Roman"/>
          <w:bCs/>
          <w:szCs w:val="21"/>
        </w:rPr>
        <w:t>规</w:t>
      </w:r>
      <w:r>
        <w:rPr>
          <w:rFonts w:ascii="新宋体" w:hAnsi="新宋体" w:eastAsia="新宋体" w:cs="Times New Roman"/>
          <w:bCs/>
          <w:szCs w:val="21"/>
        </w:rPr>
        <w:t>定的正规发票</w:t>
      </w:r>
      <w:r>
        <w:rPr>
          <w:rFonts w:hint="eastAsia" w:ascii="新宋体" w:hAnsi="新宋体" w:eastAsia="新宋体" w:cs="Times New Roman"/>
          <w:bCs/>
          <w:szCs w:val="21"/>
        </w:rPr>
        <w:t>。</w:t>
      </w:r>
    </w:p>
    <w:p w14:paraId="01D64F0A">
      <w:pPr>
        <w:adjustRightInd w:val="0"/>
        <w:spacing w:line="480" w:lineRule="exact"/>
        <w:ind w:firstLine="420" w:firstLineChars="200"/>
        <w:rPr>
          <w:rFonts w:ascii="新宋体" w:hAnsi="新宋体" w:eastAsia="新宋体" w:cs="Times New Roman"/>
          <w:bCs/>
          <w:szCs w:val="21"/>
        </w:rPr>
      </w:pPr>
      <w:r>
        <w:rPr>
          <w:rFonts w:hint="eastAsia" w:ascii="新宋体" w:hAnsi="新宋体" w:eastAsia="新宋体" w:cs="Times New Roman"/>
          <w:bCs/>
          <w:szCs w:val="21"/>
        </w:rPr>
        <w:t>2</w:t>
      </w:r>
      <w:r>
        <w:rPr>
          <w:rFonts w:hint="eastAsia" w:ascii="新宋体" w:hAnsi="新宋体" w:eastAsia="新宋体" w:cs="Times New Roman"/>
          <w:bCs/>
          <w:szCs w:val="21"/>
          <w:lang w:val="en-US" w:eastAsia="zh-CN"/>
        </w:rPr>
        <w:t>.</w:t>
      </w:r>
      <w:r>
        <w:rPr>
          <w:rFonts w:hint="eastAsia" w:ascii="新宋体" w:hAnsi="新宋体" w:eastAsia="新宋体" w:cs="Times New Roman"/>
          <w:bCs/>
          <w:szCs w:val="21"/>
        </w:rPr>
        <w:t>用于</w:t>
      </w:r>
      <w:r>
        <w:rPr>
          <w:rFonts w:hint="eastAsia" w:ascii="新宋体" w:hAnsi="新宋体" w:eastAsia="新宋体" w:cs="Times New Roman"/>
          <w:bCs/>
          <w:szCs w:val="21"/>
          <w:lang w:eastAsia="zh-CN"/>
        </w:rPr>
        <w:t>物业服务</w:t>
      </w:r>
      <w:r>
        <w:rPr>
          <w:rFonts w:hint="eastAsia" w:ascii="新宋体" w:hAnsi="新宋体" w:eastAsia="新宋体" w:cs="Times New Roman"/>
          <w:bCs/>
          <w:szCs w:val="21"/>
        </w:rPr>
        <w:t>的操作实施时所用水电费及大件维修费用等由业主承担（零星维修所用的材料由业</w:t>
      </w:r>
      <w:r>
        <w:rPr>
          <w:rFonts w:ascii="新宋体" w:hAnsi="新宋体" w:eastAsia="新宋体" w:cs="Times New Roman"/>
          <w:bCs/>
          <w:szCs w:val="21"/>
        </w:rPr>
        <w:t>主</w:t>
      </w:r>
      <w:r>
        <w:rPr>
          <w:rFonts w:hint="eastAsia" w:ascii="新宋体" w:hAnsi="新宋体" w:eastAsia="新宋体" w:cs="Times New Roman"/>
          <w:bCs/>
          <w:szCs w:val="21"/>
        </w:rPr>
        <w:t>提</w:t>
      </w:r>
      <w:r>
        <w:rPr>
          <w:rFonts w:ascii="新宋体" w:hAnsi="新宋体" w:eastAsia="新宋体" w:cs="Times New Roman"/>
          <w:bCs/>
          <w:szCs w:val="21"/>
        </w:rPr>
        <w:t>供，</w:t>
      </w:r>
      <w:r>
        <w:rPr>
          <w:rFonts w:hint="eastAsia" w:ascii="新宋体" w:hAnsi="新宋体" w:eastAsia="新宋体" w:cs="Times New Roman"/>
          <w:bCs/>
          <w:szCs w:val="21"/>
        </w:rPr>
        <w:t>领</w:t>
      </w:r>
      <w:r>
        <w:rPr>
          <w:rFonts w:ascii="新宋体" w:hAnsi="新宋体" w:eastAsia="新宋体" w:cs="Times New Roman"/>
          <w:bCs/>
          <w:szCs w:val="21"/>
        </w:rPr>
        <w:t>用方式为</w:t>
      </w:r>
      <w:r>
        <w:rPr>
          <w:rFonts w:hint="eastAsia" w:ascii="新宋体" w:hAnsi="新宋体" w:eastAsia="新宋体" w:cs="Times New Roman"/>
          <w:bCs/>
          <w:szCs w:val="21"/>
        </w:rPr>
        <w:t>“</w:t>
      </w:r>
      <w:r>
        <w:rPr>
          <w:rFonts w:ascii="新宋体" w:hAnsi="新宋体" w:eastAsia="新宋体" w:cs="Times New Roman"/>
          <w:bCs/>
          <w:szCs w:val="21"/>
        </w:rPr>
        <w:t>以旧换新</w:t>
      </w:r>
      <w:r>
        <w:rPr>
          <w:rFonts w:hint="eastAsia" w:ascii="新宋体" w:hAnsi="新宋体" w:eastAsia="新宋体" w:cs="Times New Roman"/>
          <w:bCs/>
          <w:szCs w:val="21"/>
        </w:rPr>
        <w:t>”）；</w:t>
      </w:r>
      <w:r>
        <w:rPr>
          <w:rFonts w:hint="eastAsia" w:ascii="新宋体" w:hAnsi="新宋体" w:eastAsia="新宋体" w:cs="Times New Roman"/>
          <w:bCs/>
          <w:szCs w:val="21"/>
          <w:lang w:eastAsia="zh-CN"/>
        </w:rPr>
        <w:t>物业服务</w:t>
      </w:r>
      <w:r>
        <w:rPr>
          <w:rFonts w:hint="eastAsia" w:ascii="新宋体" w:hAnsi="新宋体" w:eastAsia="新宋体" w:cs="Times New Roman"/>
          <w:bCs/>
          <w:szCs w:val="21"/>
        </w:rPr>
        <w:t>中所需低值易耗品（</w:t>
      </w:r>
      <w:r>
        <w:rPr>
          <w:rFonts w:hint="eastAsia" w:ascii="新宋体" w:hAnsi="新宋体" w:eastAsia="新宋体" w:cs="Times New Roman"/>
          <w:bCs/>
          <w:szCs w:val="21"/>
          <w:lang w:eastAsia="zh-CN"/>
        </w:rPr>
        <w:t>单价</w:t>
      </w:r>
      <w:r>
        <w:rPr>
          <w:rFonts w:hint="eastAsia" w:ascii="新宋体" w:hAnsi="新宋体" w:eastAsia="新宋体" w:cs="Times New Roman"/>
          <w:bCs/>
          <w:szCs w:val="21"/>
          <w:lang w:val="en-US" w:eastAsia="zh-CN"/>
        </w:rPr>
        <w:t>30元以下</w:t>
      </w:r>
      <w:r>
        <w:rPr>
          <w:rFonts w:ascii="新宋体" w:hAnsi="新宋体" w:eastAsia="新宋体" w:cs="Times New Roman"/>
          <w:bCs/>
          <w:szCs w:val="21"/>
        </w:rPr>
        <w:t>）</w:t>
      </w:r>
      <w:r>
        <w:rPr>
          <w:rFonts w:hint="eastAsia" w:ascii="新宋体" w:hAnsi="新宋体" w:eastAsia="新宋体" w:cs="Times New Roman"/>
          <w:bCs/>
          <w:szCs w:val="21"/>
        </w:rPr>
        <w:t>、清洁用品、服</w:t>
      </w:r>
      <w:r>
        <w:rPr>
          <w:rFonts w:ascii="新宋体" w:hAnsi="新宋体" w:eastAsia="新宋体" w:cs="Times New Roman"/>
          <w:bCs/>
          <w:szCs w:val="21"/>
        </w:rPr>
        <w:t>务</w:t>
      </w:r>
      <w:r>
        <w:rPr>
          <w:rFonts w:hint="eastAsia" w:ascii="新宋体" w:hAnsi="新宋体" w:eastAsia="新宋体" w:cs="Times New Roman"/>
          <w:bCs/>
          <w:szCs w:val="21"/>
        </w:rPr>
        <w:t>作</w:t>
      </w:r>
      <w:r>
        <w:rPr>
          <w:rFonts w:ascii="新宋体" w:hAnsi="新宋体" w:eastAsia="新宋体" w:cs="Times New Roman"/>
          <w:bCs/>
          <w:szCs w:val="21"/>
        </w:rPr>
        <w:t>业所需的</w:t>
      </w:r>
      <w:r>
        <w:rPr>
          <w:rFonts w:hint="eastAsia" w:ascii="新宋体" w:hAnsi="新宋体" w:eastAsia="新宋体" w:cs="Times New Roman"/>
          <w:bCs/>
          <w:szCs w:val="21"/>
        </w:rPr>
        <w:t>用具、设备器材、</w:t>
      </w:r>
      <w:r>
        <w:rPr>
          <w:rFonts w:hint="eastAsia" w:ascii="新宋体" w:hAnsi="新宋体" w:eastAsia="新宋体" w:cs="Times New Roman"/>
          <w:bCs/>
          <w:szCs w:val="21"/>
          <w:lang w:eastAsia="zh-CN"/>
        </w:rPr>
        <w:t>物业服务</w:t>
      </w:r>
      <w:r>
        <w:rPr>
          <w:rFonts w:hint="eastAsia" w:ascii="新宋体" w:hAnsi="新宋体" w:eastAsia="新宋体" w:cs="Times New Roman"/>
          <w:bCs/>
          <w:szCs w:val="21"/>
        </w:rPr>
        <w:t>办公费（包括电话费）和服务中损坏物赔偿费等由服务方自行承担。</w:t>
      </w:r>
    </w:p>
    <w:p w14:paraId="145278C2">
      <w:pPr>
        <w:tabs>
          <w:tab w:val="left" w:pos="840"/>
        </w:tabs>
        <w:spacing w:line="460" w:lineRule="exact"/>
        <w:ind w:firstLine="420" w:firstLineChars="200"/>
        <w:rPr>
          <w:rFonts w:ascii="新宋体" w:hAnsi="新宋体" w:eastAsia="新宋体" w:cs="Times New Roman"/>
          <w:bCs/>
          <w:szCs w:val="21"/>
        </w:rPr>
      </w:pPr>
      <w:r>
        <w:rPr>
          <w:rFonts w:hint="eastAsia" w:ascii="新宋体" w:hAnsi="新宋体" w:eastAsia="新宋体" w:cs="Times New Roman"/>
          <w:szCs w:val="21"/>
        </w:rPr>
        <w:t>3</w:t>
      </w:r>
      <w:r>
        <w:rPr>
          <w:rFonts w:hint="eastAsia" w:ascii="新宋体" w:hAnsi="新宋体" w:eastAsia="新宋体" w:cs="Times New Roman"/>
          <w:szCs w:val="21"/>
          <w:lang w:val="en-US" w:eastAsia="zh-CN"/>
        </w:rPr>
        <w:t>.</w:t>
      </w:r>
      <w:r>
        <w:rPr>
          <w:rFonts w:hint="eastAsia" w:ascii="新宋体" w:hAnsi="新宋体" w:eastAsia="新宋体" w:cs="Times New Roman"/>
          <w:szCs w:val="21"/>
          <w:lang w:eastAsia="zh-CN"/>
        </w:rPr>
        <w:t>物业服务</w:t>
      </w:r>
      <w:r>
        <w:rPr>
          <w:rFonts w:hint="eastAsia" w:ascii="新宋体" w:hAnsi="新宋体" w:eastAsia="新宋体" w:cs="Times New Roman"/>
          <w:szCs w:val="21"/>
        </w:rPr>
        <w:t>人员缺岗的，按其岗位平均每月人员开支的标准扣除服务费。 扣除的费用业主可用于其他顶岗人员的加班或奖励费用。</w:t>
      </w:r>
    </w:p>
    <w:p w14:paraId="25F99F93">
      <w:pPr>
        <w:spacing w:line="460" w:lineRule="exact"/>
        <w:ind w:firstLine="420" w:firstLineChars="200"/>
        <w:rPr>
          <w:rFonts w:ascii="新宋体" w:hAnsi="新宋体" w:eastAsia="新宋体" w:cs="Times New Roman"/>
          <w:b/>
          <w:szCs w:val="21"/>
        </w:rPr>
      </w:pPr>
      <w:r>
        <w:rPr>
          <w:rFonts w:hint="eastAsia" w:ascii="新宋体" w:hAnsi="新宋体" w:eastAsia="新宋体" w:cs="Times New Roman"/>
          <w:b/>
          <w:szCs w:val="21"/>
        </w:rPr>
        <w:t>六、其它要求</w:t>
      </w:r>
    </w:p>
    <w:p w14:paraId="16D6BB2E">
      <w:pPr>
        <w:spacing w:line="380" w:lineRule="exact"/>
        <w:ind w:firstLine="480"/>
        <w:rPr>
          <w:rFonts w:ascii="新宋体" w:hAnsi="新宋体" w:eastAsia="新宋体" w:cs="Times New Roman"/>
          <w:szCs w:val="21"/>
        </w:rPr>
      </w:pPr>
      <w:r>
        <w:rPr>
          <w:rFonts w:hint="eastAsia" w:ascii="新宋体" w:hAnsi="新宋体" w:eastAsia="新宋体" w:cs="Times New Roman"/>
          <w:szCs w:val="21"/>
        </w:rPr>
        <w:t>本物业项目</w:t>
      </w:r>
      <w:r>
        <w:rPr>
          <w:rFonts w:hint="eastAsia" w:ascii="新宋体" w:hAnsi="新宋体" w:eastAsia="新宋体" w:cs="Times New Roman"/>
          <w:szCs w:val="21"/>
          <w:lang w:eastAsia="zh-CN"/>
        </w:rPr>
        <w:t>所有</w:t>
      </w:r>
      <w:r>
        <w:rPr>
          <w:rFonts w:hint="eastAsia" w:ascii="新宋体" w:hAnsi="新宋体" w:eastAsia="新宋体" w:cs="Times New Roman"/>
          <w:szCs w:val="21"/>
        </w:rPr>
        <w:t>员工在学院内，不能使用大功率的电器（设备）用于生活用途，如热得快、电炒锅、电炉等；也不能使用煤气炉灶等私自做饭菜。</w:t>
      </w:r>
    </w:p>
    <w:p w14:paraId="69D62DD0">
      <w:pPr>
        <w:spacing w:line="460" w:lineRule="exact"/>
        <w:ind w:firstLine="420" w:firstLineChars="200"/>
        <w:rPr>
          <w:rFonts w:ascii="新宋体" w:hAnsi="新宋体" w:eastAsia="新宋体" w:cs="Times New Roman"/>
          <w:szCs w:val="21"/>
        </w:rPr>
      </w:pPr>
      <w:r>
        <w:rPr>
          <w:rFonts w:hint="eastAsia" w:ascii="新宋体" w:hAnsi="新宋体" w:eastAsia="新宋体" w:cs="Times New Roman"/>
          <w:b/>
          <w:szCs w:val="21"/>
        </w:rPr>
        <w:t>七、服务期限</w:t>
      </w:r>
      <w:r>
        <w:rPr>
          <w:rFonts w:hint="eastAsia" w:ascii="新宋体" w:hAnsi="新宋体" w:eastAsia="新宋体" w:cs="Times New Roman"/>
          <w:szCs w:val="21"/>
        </w:rPr>
        <w:t>：</w:t>
      </w:r>
    </w:p>
    <w:p w14:paraId="27DFAB06">
      <w:pPr>
        <w:spacing w:line="460" w:lineRule="exact"/>
        <w:ind w:firstLine="420" w:firstLineChars="200"/>
        <w:rPr>
          <w:rFonts w:ascii="新宋体" w:hAnsi="新宋体" w:eastAsia="新宋体" w:cs="Times New Roman"/>
          <w:szCs w:val="21"/>
        </w:rPr>
      </w:pPr>
      <w:r>
        <w:rPr>
          <w:rFonts w:hint="eastAsia" w:ascii="新宋体" w:hAnsi="新宋体" w:eastAsia="新宋体" w:cs="Times New Roman"/>
          <w:szCs w:val="21"/>
          <w:lang w:eastAsia="zh-CN"/>
        </w:rPr>
        <w:t>合同服务期为</w:t>
      </w:r>
      <w:r>
        <w:rPr>
          <w:rFonts w:hint="eastAsia" w:ascii="新宋体" w:hAnsi="新宋体" w:eastAsia="新宋体" w:cs="Times New Roman"/>
          <w:szCs w:val="21"/>
          <w:lang w:val="en-US" w:eastAsia="zh-CN"/>
        </w:rPr>
        <w:t>3年，合同实行一年一签。即经甲方对上年度服务质量考核合格后，签订下一年服务合同。</w:t>
      </w:r>
    </w:p>
    <w:p w14:paraId="59BE321E">
      <w:pPr>
        <w:adjustRightInd w:val="0"/>
        <w:snapToGrid w:val="0"/>
        <w:spacing w:line="460" w:lineRule="exact"/>
        <w:ind w:firstLine="420" w:firstLineChars="200"/>
        <w:rPr>
          <w:rFonts w:ascii="新宋体" w:hAnsi="新宋体" w:eastAsia="新宋体" w:cs="Arial"/>
          <w:snapToGrid w:val="0"/>
          <w:kern w:val="0"/>
          <w:szCs w:val="21"/>
        </w:rPr>
      </w:pPr>
      <w:r>
        <w:rPr>
          <w:rFonts w:hint="eastAsia" w:ascii="新宋体" w:hAnsi="新宋体" w:eastAsia="新宋体" w:cs="Arial"/>
          <w:b/>
          <w:snapToGrid w:val="0"/>
          <w:kern w:val="0"/>
          <w:szCs w:val="21"/>
        </w:rPr>
        <w:t>八、工作时间要求</w:t>
      </w:r>
      <w:r>
        <w:rPr>
          <w:rFonts w:hint="eastAsia" w:ascii="新宋体" w:hAnsi="新宋体" w:eastAsia="新宋体" w:cs="Arial"/>
          <w:snapToGrid w:val="0"/>
          <w:kern w:val="0"/>
          <w:szCs w:val="21"/>
        </w:rPr>
        <w:t>：</w:t>
      </w:r>
    </w:p>
    <w:p w14:paraId="60360343">
      <w:pPr>
        <w:adjustRightInd w:val="0"/>
        <w:snapToGrid w:val="0"/>
        <w:spacing w:line="460" w:lineRule="exact"/>
        <w:ind w:firstLine="480"/>
        <w:rPr>
          <w:rFonts w:hint="eastAsia" w:ascii="新宋体" w:hAnsi="新宋体" w:eastAsia="新宋体" w:cs="Arial"/>
          <w:snapToGrid w:val="0"/>
          <w:kern w:val="0"/>
          <w:szCs w:val="21"/>
        </w:rPr>
      </w:pPr>
      <w:r>
        <w:rPr>
          <w:rFonts w:ascii="新宋体" w:hAnsi="新宋体" w:eastAsia="新宋体" w:cs="Arial"/>
          <w:snapToGrid w:val="0"/>
          <w:kern w:val="0"/>
          <w:szCs w:val="21"/>
        </w:rPr>
        <w:t>客服</w:t>
      </w:r>
      <w:r>
        <w:rPr>
          <w:rFonts w:hint="eastAsia" w:ascii="新宋体" w:hAnsi="新宋体" w:eastAsia="新宋体" w:cs="Arial"/>
          <w:snapToGrid w:val="0"/>
          <w:kern w:val="0"/>
          <w:szCs w:val="21"/>
        </w:rPr>
        <w:t>实行每天24小时值班</w:t>
      </w:r>
      <w:r>
        <w:rPr>
          <w:rFonts w:hint="eastAsia" w:ascii="新宋体" w:hAnsi="新宋体" w:eastAsia="新宋体" w:cs="Arial"/>
          <w:snapToGrid w:val="0"/>
          <w:kern w:val="0"/>
          <w:szCs w:val="21"/>
          <w:lang w:eastAsia="zh-CN"/>
        </w:rPr>
        <w:t>；高低压配电执行</w:t>
      </w:r>
      <w:r>
        <w:rPr>
          <w:rFonts w:hint="eastAsia" w:ascii="新宋体" w:hAnsi="新宋体" w:eastAsia="新宋体" w:cs="Arial"/>
          <w:snapToGrid w:val="0"/>
          <w:kern w:val="0"/>
          <w:szCs w:val="21"/>
          <w:lang w:val="en-US" w:eastAsia="zh-CN"/>
        </w:rPr>
        <w:t>24小时值班；</w:t>
      </w:r>
      <w:r>
        <w:rPr>
          <w:rFonts w:hint="eastAsia" w:ascii="新宋体" w:hAnsi="新宋体" w:eastAsia="新宋体" w:cs="Arial"/>
          <w:snapToGrid w:val="0"/>
          <w:kern w:val="0"/>
          <w:szCs w:val="21"/>
        </w:rPr>
        <w:t>管理</w:t>
      </w:r>
      <w:r>
        <w:rPr>
          <w:rFonts w:ascii="新宋体" w:hAnsi="新宋体" w:eastAsia="新宋体" w:cs="Arial"/>
          <w:snapToGrid w:val="0"/>
          <w:kern w:val="0"/>
          <w:szCs w:val="21"/>
        </w:rPr>
        <w:t>岗</w:t>
      </w:r>
      <w:r>
        <w:rPr>
          <w:rFonts w:hint="eastAsia" w:ascii="新宋体" w:hAnsi="新宋体" w:eastAsia="新宋体" w:cs="Arial"/>
          <w:snapToGrid w:val="0"/>
          <w:kern w:val="0"/>
          <w:szCs w:val="21"/>
          <w:lang w:eastAsia="zh-CN"/>
        </w:rPr>
        <w:t>每天</w:t>
      </w:r>
      <w:r>
        <w:rPr>
          <w:rFonts w:hint="eastAsia" w:ascii="新宋体" w:hAnsi="新宋体" w:eastAsia="新宋体" w:cs="Arial"/>
          <w:snapToGrid w:val="0"/>
          <w:kern w:val="0"/>
          <w:szCs w:val="21"/>
        </w:rPr>
        <w:t>8：</w:t>
      </w:r>
      <w:r>
        <w:rPr>
          <w:rFonts w:ascii="新宋体" w:hAnsi="新宋体" w:eastAsia="新宋体" w:cs="Arial"/>
          <w:snapToGrid w:val="0"/>
          <w:kern w:val="0"/>
          <w:szCs w:val="21"/>
        </w:rPr>
        <w:t>0</w:t>
      </w:r>
      <w:r>
        <w:rPr>
          <w:rFonts w:hint="eastAsia" w:ascii="新宋体" w:hAnsi="新宋体" w:eastAsia="新宋体" w:cs="Arial"/>
          <w:snapToGrid w:val="0"/>
          <w:kern w:val="0"/>
          <w:szCs w:val="21"/>
        </w:rPr>
        <w:t>0－1</w:t>
      </w:r>
      <w:r>
        <w:rPr>
          <w:rFonts w:ascii="新宋体" w:hAnsi="新宋体" w:eastAsia="新宋体" w:cs="Arial"/>
          <w:snapToGrid w:val="0"/>
          <w:kern w:val="0"/>
          <w:szCs w:val="21"/>
        </w:rPr>
        <w:t>8</w:t>
      </w:r>
      <w:r>
        <w:rPr>
          <w:rFonts w:hint="eastAsia" w:ascii="新宋体" w:hAnsi="新宋体" w:eastAsia="新宋体" w:cs="Arial"/>
          <w:snapToGrid w:val="0"/>
          <w:kern w:val="0"/>
          <w:szCs w:val="21"/>
        </w:rPr>
        <w:t>：00</w:t>
      </w:r>
      <w:r>
        <w:rPr>
          <w:rFonts w:hint="eastAsia" w:ascii="新宋体" w:hAnsi="新宋体" w:eastAsia="新宋体" w:cs="Arial"/>
          <w:snapToGrid w:val="0"/>
          <w:kern w:val="0"/>
          <w:szCs w:val="21"/>
          <w:lang w:eastAsia="zh-CN"/>
        </w:rPr>
        <w:t>；</w:t>
      </w:r>
      <w:r>
        <w:rPr>
          <w:rFonts w:hint="eastAsia" w:ascii="新宋体" w:hAnsi="新宋体" w:eastAsia="新宋体" w:cs="Arial"/>
          <w:snapToGrid w:val="0"/>
          <w:kern w:val="0"/>
          <w:szCs w:val="21"/>
        </w:rPr>
        <w:t>保洁、维修服</w:t>
      </w:r>
      <w:r>
        <w:rPr>
          <w:rFonts w:ascii="新宋体" w:hAnsi="新宋体" w:eastAsia="新宋体" w:cs="Arial"/>
          <w:snapToGrid w:val="0"/>
          <w:kern w:val="0"/>
          <w:szCs w:val="21"/>
        </w:rPr>
        <w:t>务</w:t>
      </w:r>
      <w:r>
        <w:rPr>
          <w:rFonts w:hint="eastAsia" w:ascii="新宋体" w:hAnsi="新宋体" w:eastAsia="新宋体" w:cs="Arial"/>
          <w:snapToGrid w:val="0"/>
          <w:kern w:val="0"/>
          <w:szCs w:val="21"/>
        </w:rPr>
        <w:t>工作时间原</w:t>
      </w:r>
      <w:r>
        <w:rPr>
          <w:rFonts w:ascii="新宋体" w:hAnsi="新宋体" w:eastAsia="新宋体" w:cs="Arial"/>
          <w:snapToGrid w:val="0"/>
          <w:kern w:val="0"/>
          <w:szCs w:val="21"/>
        </w:rPr>
        <w:t>则上</w:t>
      </w:r>
      <w:r>
        <w:rPr>
          <w:rFonts w:hint="eastAsia" w:ascii="新宋体" w:hAnsi="新宋体" w:eastAsia="新宋体" w:cs="Arial"/>
          <w:snapToGrid w:val="0"/>
          <w:kern w:val="0"/>
          <w:szCs w:val="21"/>
        </w:rPr>
        <w:t>为每天上班时间为8：</w:t>
      </w:r>
      <w:r>
        <w:rPr>
          <w:rFonts w:ascii="新宋体" w:hAnsi="新宋体" w:eastAsia="新宋体" w:cs="Arial"/>
          <w:snapToGrid w:val="0"/>
          <w:kern w:val="0"/>
          <w:szCs w:val="21"/>
        </w:rPr>
        <w:t>0</w:t>
      </w:r>
      <w:r>
        <w:rPr>
          <w:rFonts w:hint="eastAsia" w:ascii="新宋体" w:hAnsi="新宋体" w:eastAsia="新宋体" w:cs="Arial"/>
          <w:snapToGrid w:val="0"/>
          <w:kern w:val="0"/>
          <w:szCs w:val="21"/>
        </w:rPr>
        <w:t>0－1</w:t>
      </w:r>
      <w:r>
        <w:rPr>
          <w:rFonts w:ascii="新宋体" w:hAnsi="新宋体" w:eastAsia="新宋体" w:cs="Arial"/>
          <w:snapToGrid w:val="0"/>
          <w:kern w:val="0"/>
          <w:szCs w:val="21"/>
        </w:rPr>
        <w:t>8</w:t>
      </w:r>
      <w:r>
        <w:rPr>
          <w:rFonts w:hint="eastAsia" w:ascii="新宋体" w:hAnsi="新宋体" w:eastAsia="新宋体" w:cs="Arial"/>
          <w:snapToGrid w:val="0"/>
          <w:kern w:val="0"/>
          <w:szCs w:val="21"/>
        </w:rPr>
        <w:t>：00，如遇新生</w:t>
      </w:r>
      <w:r>
        <w:rPr>
          <w:rFonts w:ascii="新宋体" w:hAnsi="新宋体" w:eastAsia="新宋体" w:cs="Arial"/>
          <w:snapToGrid w:val="0"/>
          <w:kern w:val="0"/>
          <w:szCs w:val="21"/>
        </w:rPr>
        <w:t>报到、学院大型活动、</w:t>
      </w:r>
      <w:r>
        <w:rPr>
          <w:rFonts w:hint="eastAsia" w:ascii="新宋体" w:hAnsi="新宋体" w:eastAsia="新宋体" w:cs="Arial"/>
          <w:snapToGrid w:val="0"/>
          <w:kern w:val="0"/>
          <w:szCs w:val="21"/>
        </w:rPr>
        <w:t>抗台、抗震等特殊情况，24小时到场服务；给</w:t>
      </w:r>
      <w:r>
        <w:rPr>
          <w:rFonts w:ascii="新宋体" w:hAnsi="新宋体" w:eastAsia="新宋体" w:cs="Arial"/>
          <w:snapToGrid w:val="0"/>
          <w:kern w:val="0"/>
          <w:szCs w:val="21"/>
        </w:rPr>
        <w:t>排水管理应结合学院实际，安排</w:t>
      </w:r>
      <w:r>
        <w:rPr>
          <w:rFonts w:hint="eastAsia" w:ascii="新宋体" w:hAnsi="新宋体" w:eastAsia="新宋体" w:cs="Arial"/>
          <w:snapToGrid w:val="0"/>
          <w:kern w:val="0"/>
          <w:szCs w:val="21"/>
        </w:rPr>
        <w:t>24小</w:t>
      </w:r>
      <w:r>
        <w:rPr>
          <w:rFonts w:ascii="新宋体" w:hAnsi="新宋体" w:eastAsia="新宋体" w:cs="Arial"/>
          <w:snapToGrid w:val="0"/>
          <w:kern w:val="0"/>
          <w:szCs w:val="21"/>
        </w:rPr>
        <w:t>时值班</w:t>
      </w:r>
      <w:r>
        <w:rPr>
          <w:rFonts w:hint="eastAsia" w:ascii="新宋体" w:hAnsi="新宋体" w:eastAsia="新宋体" w:cs="Arial"/>
          <w:snapToGrid w:val="0"/>
          <w:kern w:val="0"/>
          <w:szCs w:val="21"/>
        </w:rPr>
        <w:t>；遇突</w:t>
      </w:r>
      <w:r>
        <w:rPr>
          <w:rFonts w:ascii="新宋体" w:hAnsi="新宋体" w:eastAsia="新宋体" w:cs="Arial"/>
          <w:snapToGrid w:val="0"/>
          <w:kern w:val="0"/>
          <w:szCs w:val="21"/>
        </w:rPr>
        <w:t>发事件，</w:t>
      </w:r>
      <w:r>
        <w:rPr>
          <w:rFonts w:hint="eastAsia" w:ascii="新宋体" w:hAnsi="新宋体" w:eastAsia="新宋体" w:cs="Arial"/>
          <w:snapToGrid w:val="0"/>
          <w:kern w:val="0"/>
          <w:szCs w:val="21"/>
          <w:lang w:eastAsia="zh-CN"/>
        </w:rPr>
        <w:t>所有人员</w:t>
      </w:r>
      <w:r>
        <w:rPr>
          <w:rFonts w:hint="eastAsia" w:ascii="新宋体" w:hAnsi="新宋体" w:eastAsia="新宋体" w:cs="Arial"/>
          <w:snapToGrid w:val="0"/>
          <w:kern w:val="0"/>
          <w:szCs w:val="21"/>
        </w:rPr>
        <w:t>要</w:t>
      </w:r>
      <w:r>
        <w:rPr>
          <w:rFonts w:ascii="新宋体" w:hAnsi="新宋体" w:eastAsia="新宋体" w:cs="Arial"/>
          <w:snapToGrid w:val="0"/>
          <w:kern w:val="0"/>
          <w:szCs w:val="21"/>
        </w:rPr>
        <w:t>求随叫随到。</w:t>
      </w:r>
    </w:p>
    <w:p w14:paraId="3D416333">
      <w:pPr>
        <w:adjustRightInd w:val="0"/>
        <w:snapToGrid w:val="0"/>
        <w:spacing w:line="460" w:lineRule="exact"/>
        <w:ind w:firstLine="420" w:firstLineChars="200"/>
        <w:rPr>
          <w:rFonts w:ascii="新宋体" w:hAnsi="新宋体" w:eastAsia="新宋体" w:cs="Arial"/>
          <w:snapToGrid w:val="0"/>
          <w:kern w:val="0"/>
          <w:szCs w:val="21"/>
        </w:rPr>
      </w:pPr>
      <w:r>
        <w:rPr>
          <w:rFonts w:hint="eastAsia" w:ascii="新宋体" w:hAnsi="新宋体" w:eastAsia="新宋体" w:cs="Arial"/>
          <w:b/>
          <w:snapToGrid w:val="0"/>
          <w:kern w:val="0"/>
          <w:szCs w:val="21"/>
        </w:rPr>
        <w:t>九、物业人员要求</w:t>
      </w:r>
      <w:r>
        <w:rPr>
          <w:rFonts w:hint="eastAsia" w:ascii="新宋体" w:hAnsi="新宋体" w:eastAsia="新宋体" w:cs="Arial"/>
          <w:snapToGrid w:val="0"/>
          <w:kern w:val="0"/>
          <w:szCs w:val="21"/>
        </w:rPr>
        <w:t>：</w:t>
      </w:r>
    </w:p>
    <w:p w14:paraId="11DD79BB">
      <w:pPr>
        <w:adjustRightInd w:val="0"/>
        <w:snapToGrid w:val="0"/>
        <w:spacing w:line="460" w:lineRule="exact"/>
        <w:ind w:firstLine="480"/>
        <w:rPr>
          <w:rFonts w:ascii="新宋体" w:hAnsi="新宋体" w:eastAsia="新宋体" w:cs="Arial"/>
          <w:snapToGrid w:val="0"/>
          <w:kern w:val="0"/>
          <w:szCs w:val="21"/>
        </w:rPr>
      </w:pPr>
      <w:r>
        <w:rPr>
          <w:rFonts w:hint="eastAsia" w:ascii="新宋体" w:hAnsi="新宋体" w:eastAsia="新宋体" w:cs="Arial"/>
          <w:snapToGrid w:val="0"/>
          <w:kern w:val="0"/>
          <w:szCs w:val="21"/>
        </w:rPr>
        <w:t>1、所有相关人员的配备如需获得相关主管部门认证的，均需配证并持证上岗，且根据不同岗位统一着装。</w:t>
      </w:r>
    </w:p>
    <w:p w14:paraId="384E2A33">
      <w:pPr>
        <w:adjustRightInd w:val="0"/>
        <w:snapToGrid w:val="0"/>
        <w:spacing w:line="460" w:lineRule="exact"/>
        <w:ind w:firstLine="480"/>
        <w:rPr>
          <w:rFonts w:ascii="新宋体" w:hAnsi="新宋体" w:eastAsia="新宋体" w:cs="Arial"/>
          <w:snapToGrid w:val="0"/>
          <w:kern w:val="0"/>
          <w:szCs w:val="21"/>
        </w:rPr>
      </w:pPr>
      <w:r>
        <w:rPr>
          <w:rFonts w:hint="eastAsia" w:ascii="新宋体" w:hAnsi="新宋体" w:eastAsia="新宋体" w:cs="Arial"/>
          <w:snapToGrid w:val="0"/>
          <w:kern w:val="0"/>
          <w:szCs w:val="21"/>
        </w:rPr>
        <w:t>2、所有相关人员要求政治上可靠，身体素质好，无不良行为记录。</w:t>
      </w:r>
    </w:p>
    <w:p w14:paraId="1A82BF3A">
      <w:pPr>
        <w:adjustRightInd w:val="0"/>
        <w:snapToGrid w:val="0"/>
        <w:spacing w:line="460" w:lineRule="exact"/>
        <w:ind w:firstLine="480"/>
        <w:rPr>
          <w:rFonts w:ascii="新宋体" w:hAnsi="新宋体" w:eastAsia="新宋体" w:cs="Arial"/>
          <w:snapToGrid w:val="0"/>
          <w:kern w:val="0"/>
          <w:szCs w:val="21"/>
        </w:rPr>
      </w:pPr>
      <w:r>
        <w:rPr>
          <w:rFonts w:hint="eastAsia" w:ascii="新宋体" w:hAnsi="新宋体" w:eastAsia="新宋体" w:cs="Arial"/>
          <w:snapToGrid w:val="0"/>
          <w:kern w:val="0"/>
          <w:szCs w:val="21"/>
        </w:rPr>
        <w:t>3、重要岗位人员必须由人事部门考核、政治审查通过方可录用。</w:t>
      </w:r>
    </w:p>
    <w:p w14:paraId="2EE209D1">
      <w:pPr>
        <w:adjustRightInd w:val="0"/>
        <w:snapToGrid w:val="0"/>
        <w:spacing w:line="460" w:lineRule="exact"/>
        <w:ind w:firstLine="480"/>
        <w:rPr>
          <w:rFonts w:ascii="新宋体" w:hAnsi="新宋体" w:eastAsia="新宋体" w:cs="Arial"/>
          <w:b/>
          <w:snapToGrid w:val="0"/>
          <w:kern w:val="0"/>
          <w:szCs w:val="21"/>
        </w:rPr>
      </w:pPr>
      <w:r>
        <w:rPr>
          <w:rFonts w:hint="eastAsia" w:ascii="新宋体" w:hAnsi="新宋体" w:eastAsia="新宋体" w:cs="Arial"/>
          <w:snapToGrid w:val="0"/>
          <w:kern w:val="0"/>
          <w:szCs w:val="21"/>
        </w:rPr>
        <w:t>4、预中标人必须在合同签订前提供所有工程人员的有效职称证、技工证、上岗证等原件供招标人审核，如果中标人不能提供，则招标人有权废除预中标人的中标资格。所有人员必须专职为云南技师学院</w:t>
      </w:r>
      <w:r>
        <w:rPr>
          <w:rFonts w:hint="eastAsia" w:ascii="新宋体" w:hAnsi="新宋体" w:eastAsia="新宋体" w:cs="Times New Roman"/>
          <w:szCs w:val="21"/>
        </w:rPr>
        <w:t>服务</w:t>
      </w:r>
      <w:r>
        <w:rPr>
          <w:rFonts w:hint="eastAsia" w:ascii="新宋体" w:hAnsi="新宋体" w:eastAsia="新宋体" w:cs="Arial"/>
          <w:snapToGrid w:val="0"/>
          <w:kern w:val="0"/>
          <w:szCs w:val="21"/>
        </w:rPr>
        <w:t>，不得兼职，中标后工程技术人员如需要更换，须及时上报招标人，经招标人同意认可后更换。</w:t>
      </w:r>
    </w:p>
    <w:p w14:paraId="00BE2DD3">
      <w:pPr>
        <w:adjustRightInd w:val="0"/>
        <w:snapToGrid w:val="0"/>
        <w:spacing w:line="460" w:lineRule="exact"/>
        <w:ind w:firstLine="480"/>
        <w:rPr>
          <w:rFonts w:ascii="新宋体" w:hAnsi="新宋体" w:eastAsia="新宋体" w:cs="Arial"/>
          <w:snapToGrid w:val="0"/>
          <w:kern w:val="0"/>
          <w:szCs w:val="21"/>
        </w:rPr>
      </w:pPr>
      <w:r>
        <w:rPr>
          <w:rFonts w:hint="eastAsia" w:ascii="新宋体" w:hAnsi="新宋体" w:eastAsia="新宋体" w:cs="Arial"/>
          <w:snapToGrid w:val="0"/>
          <w:kern w:val="0"/>
          <w:szCs w:val="21"/>
        </w:rPr>
        <w:t>5、为提高</w:t>
      </w:r>
      <w:r>
        <w:rPr>
          <w:rFonts w:hint="eastAsia" w:ascii="新宋体" w:hAnsi="新宋体" w:eastAsia="新宋体" w:cs="Arial"/>
          <w:snapToGrid w:val="0"/>
          <w:kern w:val="0"/>
          <w:szCs w:val="21"/>
          <w:lang w:eastAsia="zh-CN"/>
        </w:rPr>
        <w:t>物业服务</w:t>
      </w:r>
      <w:r>
        <w:rPr>
          <w:rFonts w:hint="eastAsia" w:ascii="新宋体" w:hAnsi="新宋体" w:eastAsia="新宋体" w:cs="Arial"/>
          <w:snapToGrid w:val="0"/>
          <w:kern w:val="0"/>
          <w:szCs w:val="21"/>
        </w:rPr>
        <w:t>水平，所有物业人员还需进行宾馆礼仪的培训。除投标人对服务人员的培训外，需接受招标人对服务人员的集中进行培训。</w:t>
      </w:r>
    </w:p>
    <w:p w14:paraId="34107F60">
      <w:pPr>
        <w:adjustRightInd w:val="0"/>
        <w:snapToGrid w:val="0"/>
        <w:spacing w:line="460" w:lineRule="exact"/>
        <w:ind w:firstLine="480"/>
        <w:rPr>
          <w:rFonts w:ascii="新宋体" w:hAnsi="新宋体" w:eastAsia="新宋体" w:cs="Arial"/>
          <w:snapToGrid w:val="0"/>
          <w:kern w:val="0"/>
          <w:szCs w:val="21"/>
        </w:rPr>
      </w:pPr>
      <w:r>
        <w:rPr>
          <w:rFonts w:hint="eastAsia" w:ascii="新宋体" w:hAnsi="新宋体" w:eastAsia="新宋体" w:cs="Arial"/>
          <w:snapToGrid w:val="0"/>
          <w:kern w:val="0"/>
          <w:szCs w:val="21"/>
        </w:rPr>
        <w:t>6、招标人将对前期进场主要管理人员、工程技术人员进行考核，如在培训、熟悉环境过程中发现其不能胜任的，招标人可要求更换，直至胜任为止。</w:t>
      </w:r>
    </w:p>
    <w:p w14:paraId="1C692DAF">
      <w:pPr>
        <w:adjustRightInd w:val="0"/>
        <w:spacing w:line="480" w:lineRule="exact"/>
        <w:ind w:firstLine="420" w:firstLineChars="200"/>
        <w:rPr>
          <w:rFonts w:ascii="新宋体" w:hAnsi="新宋体" w:eastAsia="新宋体" w:cs="Arial"/>
          <w:b/>
          <w:snapToGrid w:val="0"/>
          <w:kern w:val="0"/>
          <w:szCs w:val="21"/>
        </w:rPr>
      </w:pPr>
      <w:r>
        <w:rPr>
          <w:rFonts w:hint="eastAsia" w:ascii="新宋体" w:hAnsi="新宋体" w:eastAsia="新宋体" w:cs="Arial"/>
          <w:b/>
          <w:snapToGrid w:val="0"/>
          <w:kern w:val="0"/>
          <w:szCs w:val="21"/>
        </w:rPr>
        <w:t>十、相关场地提供</w:t>
      </w:r>
    </w:p>
    <w:p w14:paraId="68101D34">
      <w:pPr>
        <w:adjustRightInd w:val="0"/>
        <w:snapToGrid w:val="0"/>
        <w:spacing w:line="460" w:lineRule="exact"/>
        <w:ind w:firstLine="480"/>
        <w:rPr>
          <w:rFonts w:ascii="新宋体" w:hAnsi="新宋体" w:eastAsia="新宋体" w:cs="Arial"/>
          <w:snapToGrid w:val="0"/>
          <w:kern w:val="0"/>
          <w:szCs w:val="21"/>
        </w:rPr>
      </w:pPr>
      <w:r>
        <w:rPr>
          <w:rFonts w:hint="eastAsia" w:ascii="新宋体" w:hAnsi="新宋体" w:eastAsia="新宋体" w:cs="Arial"/>
          <w:snapToGrid w:val="0"/>
          <w:kern w:val="0"/>
          <w:szCs w:val="21"/>
        </w:rPr>
        <w:t>1、招标人提供一至</w:t>
      </w:r>
      <w:r>
        <w:rPr>
          <w:rFonts w:ascii="新宋体" w:hAnsi="新宋体" w:eastAsia="新宋体" w:cs="Arial"/>
          <w:snapToGrid w:val="0"/>
          <w:kern w:val="0"/>
          <w:szCs w:val="21"/>
        </w:rPr>
        <w:t>二间</w:t>
      </w:r>
      <w:r>
        <w:rPr>
          <w:rFonts w:hint="eastAsia" w:ascii="新宋体" w:hAnsi="新宋体" w:eastAsia="新宋体" w:cs="Arial"/>
          <w:snapToGrid w:val="0"/>
          <w:kern w:val="0"/>
          <w:szCs w:val="21"/>
          <w:lang w:eastAsia="zh-CN"/>
        </w:rPr>
        <w:t>房屋</w:t>
      </w:r>
      <w:r>
        <w:rPr>
          <w:rFonts w:ascii="新宋体" w:hAnsi="新宋体" w:eastAsia="新宋体" w:cs="Arial"/>
          <w:snapToGrid w:val="0"/>
          <w:kern w:val="0"/>
          <w:szCs w:val="21"/>
        </w:rPr>
        <w:t>集中办公</w:t>
      </w:r>
      <w:r>
        <w:rPr>
          <w:rFonts w:hint="eastAsia" w:ascii="新宋体" w:hAnsi="新宋体" w:eastAsia="新宋体" w:cs="Arial"/>
          <w:snapToGrid w:val="0"/>
          <w:color w:val="FF0000"/>
          <w:kern w:val="0"/>
          <w:szCs w:val="21"/>
        </w:rPr>
        <w:t>，</w:t>
      </w:r>
      <w:r>
        <w:rPr>
          <w:rFonts w:hint="eastAsia" w:ascii="新宋体" w:hAnsi="新宋体" w:eastAsia="新宋体" w:cs="Arial"/>
          <w:snapToGrid w:val="0"/>
          <w:kern w:val="0"/>
          <w:szCs w:val="21"/>
        </w:rPr>
        <w:t>其他办公用品（如电脑、文件柜等自身使用的办公用品）由投标人自行解决。</w:t>
      </w:r>
    </w:p>
    <w:p w14:paraId="15C154C4">
      <w:pPr>
        <w:adjustRightInd w:val="0"/>
        <w:snapToGrid w:val="0"/>
        <w:spacing w:line="460" w:lineRule="exact"/>
        <w:ind w:firstLine="420" w:firstLineChars="200"/>
        <w:rPr>
          <w:rFonts w:ascii="新宋体" w:hAnsi="新宋体" w:eastAsia="新宋体" w:cs="Arial"/>
          <w:snapToGrid w:val="0"/>
          <w:kern w:val="0"/>
          <w:szCs w:val="21"/>
        </w:rPr>
      </w:pPr>
      <w:r>
        <w:rPr>
          <w:rFonts w:hint="eastAsia" w:ascii="新宋体" w:hAnsi="新宋体" w:eastAsia="新宋体" w:cs="Arial"/>
          <w:snapToGrid w:val="0"/>
          <w:kern w:val="0"/>
          <w:szCs w:val="21"/>
        </w:rPr>
        <w:t>2、根据需要在适合的楼层配备洁具堆放间，其它房间（如设备工具间、保洁仓库、保洁工作间、员工的更衣室、会议仓库、会议工作间）进场后视情况协调解决</w:t>
      </w:r>
      <w:r>
        <w:rPr>
          <w:rFonts w:hint="eastAsia" w:ascii="新宋体" w:hAnsi="新宋体" w:eastAsia="新宋体" w:cs="Arial"/>
          <w:snapToGrid w:val="0"/>
          <w:kern w:val="0"/>
          <w:szCs w:val="21"/>
          <w:lang w:eastAsia="zh-CN"/>
        </w:rPr>
        <w:t>，禁止工作人员在以上房间住宿、堆放杂物</w:t>
      </w:r>
      <w:r>
        <w:rPr>
          <w:rFonts w:hint="eastAsia" w:ascii="新宋体" w:hAnsi="新宋体" w:eastAsia="新宋体" w:cs="Arial"/>
          <w:snapToGrid w:val="0"/>
          <w:kern w:val="0"/>
          <w:szCs w:val="21"/>
        </w:rPr>
        <w:t>。</w:t>
      </w:r>
    </w:p>
    <w:p w14:paraId="79E8EBC2">
      <w:pPr>
        <w:adjustRightInd w:val="0"/>
        <w:spacing w:line="480" w:lineRule="exact"/>
        <w:ind w:firstLine="420" w:firstLineChars="200"/>
        <w:rPr>
          <w:rFonts w:ascii="新宋体" w:hAnsi="新宋体" w:eastAsia="新宋体" w:cs="Arial"/>
          <w:b/>
          <w:snapToGrid w:val="0"/>
          <w:kern w:val="0"/>
          <w:szCs w:val="21"/>
        </w:rPr>
      </w:pPr>
      <w:bookmarkStart w:id="457" w:name="_Toc180298997"/>
      <w:r>
        <w:rPr>
          <w:rFonts w:hint="eastAsia" w:ascii="新宋体" w:hAnsi="新宋体" w:eastAsia="新宋体" w:cs="Arial"/>
          <w:b/>
          <w:snapToGrid w:val="0"/>
          <w:kern w:val="0"/>
          <w:szCs w:val="21"/>
        </w:rPr>
        <w:t>十一、</w:t>
      </w:r>
      <w:bookmarkEnd w:id="457"/>
      <w:r>
        <w:rPr>
          <w:rFonts w:hint="eastAsia" w:ascii="新宋体" w:hAnsi="新宋体" w:eastAsia="新宋体" w:cs="Arial"/>
          <w:b/>
          <w:snapToGrid w:val="0"/>
          <w:kern w:val="0"/>
          <w:szCs w:val="21"/>
        </w:rPr>
        <w:t>检查与考核</w:t>
      </w:r>
    </w:p>
    <w:p w14:paraId="625FA04F">
      <w:pPr>
        <w:adjustRightInd w:val="0"/>
        <w:snapToGrid w:val="0"/>
        <w:spacing w:line="460" w:lineRule="exact"/>
        <w:ind w:firstLine="420" w:firstLineChars="200"/>
        <w:rPr>
          <w:rFonts w:ascii="新宋体" w:hAnsi="新宋体" w:eastAsia="新宋体" w:cs="Arial"/>
          <w:snapToGrid w:val="0"/>
          <w:kern w:val="0"/>
          <w:szCs w:val="21"/>
        </w:rPr>
      </w:pPr>
      <w:r>
        <w:rPr>
          <w:rFonts w:hint="eastAsia" w:ascii="新宋体" w:hAnsi="新宋体" w:eastAsia="新宋体" w:cs="Arial"/>
          <w:snapToGrid w:val="0"/>
          <w:kern w:val="0"/>
          <w:szCs w:val="21"/>
        </w:rPr>
        <w:t>1、中标单位应制订具体的质量保证措施及质量保证和相关服务承诺。中标单位所有的工作除应按中标单位的内部流程实施外，还应接受招标人或第三方的随时检查。如因质量未达到目标，招标人有权要求其整改，同时投标人应承担责任和经济赔偿（扣款或终止合同）。</w:t>
      </w:r>
    </w:p>
    <w:p w14:paraId="1E797465">
      <w:pPr>
        <w:spacing w:line="460" w:lineRule="exact"/>
        <w:ind w:firstLine="420" w:firstLineChars="200"/>
        <w:rPr>
          <w:rFonts w:ascii="宋体" w:hAnsi="宋体" w:eastAsia="宋体" w:cs="Times New Roman"/>
          <w:bCs/>
        </w:rPr>
      </w:pPr>
      <w:r>
        <w:rPr>
          <w:rFonts w:hint="eastAsia" w:ascii="新宋体" w:hAnsi="新宋体" w:eastAsia="新宋体" w:cs="Arial"/>
          <w:snapToGrid w:val="0"/>
          <w:kern w:val="0"/>
          <w:szCs w:val="21"/>
        </w:rPr>
        <w:t>2、招标人定期和不定期地对承包人管理服务进行检查和抽查，检查记录和整改时限反馈承包人。并每季对相应内容的检查结果进行考核，</w:t>
      </w:r>
      <w:r>
        <w:rPr>
          <w:rFonts w:ascii="新宋体" w:hAnsi="新宋体" w:eastAsia="新宋体" w:cs="Arial"/>
          <w:snapToGrid w:val="0"/>
          <w:kern w:val="0"/>
          <w:szCs w:val="21"/>
        </w:rPr>
        <w:t>考核不合格招标人有</w:t>
      </w:r>
      <w:r>
        <w:rPr>
          <w:rFonts w:hint="eastAsia" w:ascii="新宋体" w:hAnsi="新宋体" w:eastAsia="新宋体" w:cs="Arial"/>
          <w:snapToGrid w:val="0"/>
          <w:kern w:val="0"/>
          <w:szCs w:val="21"/>
        </w:rPr>
        <w:t>权</w:t>
      </w:r>
      <w:r>
        <w:rPr>
          <w:rFonts w:ascii="新宋体" w:hAnsi="新宋体" w:eastAsia="新宋体" w:cs="Arial"/>
          <w:snapToGrid w:val="0"/>
          <w:kern w:val="0"/>
          <w:szCs w:val="21"/>
        </w:rPr>
        <w:t>终止合同</w:t>
      </w:r>
      <w:r>
        <w:rPr>
          <w:rFonts w:hint="eastAsia" w:ascii="新宋体" w:hAnsi="新宋体" w:eastAsia="新宋体" w:cs="Arial"/>
          <w:snapToGrid w:val="0"/>
          <w:kern w:val="0"/>
          <w:szCs w:val="21"/>
        </w:rPr>
        <w:t>。</w:t>
      </w:r>
    </w:p>
    <w:p w14:paraId="47120AA7">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rPr>
          <w:rFonts w:ascii="宋体" w:hAnsi="宋体" w:eastAsia="宋体" w:cs="Times New Roman"/>
          <w:b/>
        </w:rPr>
      </w:pPr>
      <w:r>
        <w:rPr>
          <w:rFonts w:hint="eastAsia" w:ascii="宋体" w:hAnsi="宋体" w:eastAsia="宋体" w:cs="Times New Roman"/>
          <w:b/>
          <w:lang w:eastAsia="zh-CN"/>
        </w:rPr>
        <w:t>第三：</w:t>
      </w:r>
      <w:r>
        <w:rPr>
          <w:rFonts w:hint="eastAsia" w:ascii="宋体" w:hAnsi="宋体" w:eastAsia="宋体" w:cs="Times New Roman"/>
          <w:b/>
        </w:rPr>
        <w:t>客服人员</w:t>
      </w:r>
      <w:r>
        <w:rPr>
          <w:rFonts w:ascii="宋体" w:hAnsi="宋体" w:eastAsia="宋体" w:cs="Times New Roman"/>
          <w:b/>
        </w:rPr>
        <w:t>要求</w:t>
      </w:r>
    </w:p>
    <w:p w14:paraId="4BE46B73">
      <w:pPr>
        <w:spacing w:line="360" w:lineRule="auto"/>
        <w:ind w:firstLine="420" w:firstLineChars="200"/>
        <w:jc w:val="left"/>
        <w:rPr>
          <w:rFonts w:ascii="新宋体" w:hAnsi="新宋体" w:eastAsia="新宋体" w:cs="Times New Roman"/>
          <w:bCs/>
        </w:rPr>
      </w:pPr>
      <w:r>
        <w:rPr>
          <w:rFonts w:hint="eastAsia" w:ascii="新宋体" w:hAnsi="新宋体" w:eastAsia="新宋体" w:cs="Times New Roman"/>
          <w:bCs/>
        </w:rPr>
        <w:t>一、基本要求</w:t>
      </w:r>
    </w:p>
    <w:p w14:paraId="28075B5F">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具备高中及技校以上文化，会讲</w:t>
      </w:r>
      <w:r>
        <w:rPr>
          <w:rFonts w:ascii="新宋体" w:hAnsi="新宋体" w:eastAsia="新宋体" w:cs="Times New Roman"/>
        </w:rPr>
        <w:t>普通话，</w:t>
      </w:r>
      <w:r>
        <w:rPr>
          <w:rFonts w:hint="eastAsia" w:ascii="新宋体" w:hAnsi="新宋体" w:eastAsia="新宋体" w:cs="Times New Roman"/>
        </w:rPr>
        <w:t>年龄在35—55周岁之间，身体健康，无精神疾患。能熟练运用电脑办公，会水电报表的制作和统计，遵守财经纪律，服从工作安排，吃苦耐劳，遵守国家法律、法规，无违法犯罪记录，遵守各项规章制度，服从工作安排，文明服务，态度和蔼，礼貌待人。</w:t>
      </w:r>
    </w:p>
    <w:p w14:paraId="7FA36C62">
      <w:pPr>
        <w:spacing w:line="360" w:lineRule="auto"/>
        <w:ind w:firstLine="420" w:firstLineChars="200"/>
        <w:jc w:val="left"/>
        <w:rPr>
          <w:rFonts w:ascii="新宋体" w:hAnsi="新宋体" w:eastAsia="新宋体" w:cs="Times New Roman"/>
          <w:bCs/>
        </w:rPr>
      </w:pPr>
      <w:r>
        <w:rPr>
          <w:rFonts w:hint="eastAsia" w:ascii="新宋体" w:hAnsi="新宋体" w:eastAsia="新宋体" w:cs="Times New Roman"/>
          <w:bCs/>
        </w:rPr>
        <w:t>二、业务要求</w:t>
      </w:r>
    </w:p>
    <w:p w14:paraId="334E0464">
      <w:pPr>
        <w:numPr>
          <w:ilvl w:val="0"/>
          <w:numId w:val="9"/>
        </w:numPr>
        <w:spacing w:line="360" w:lineRule="auto"/>
        <w:ind w:left="0" w:firstLine="420" w:firstLineChars="200"/>
        <w:jc w:val="left"/>
        <w:rPr>
          <w:rFonts w:ascii="新宋体" w:hAnsi="新宋体" w:eastAsia="新宋体" w:cs="Times New Roman"/>
          <w:szCs w:val="21"/>
        </w:rPr>
      </w:pPr>
      <w:r>
        <w:rPr>
          <w:rFonts w:hint="eastAsia" w:ascii="新宋体" w:hAnsi="新宋体" w:eastAsia="新宋体" w:cs="Times New Roman"/>
          <w:szCs w:val="21"/>
        </w:rPr>
        <w:t>负责服务热线电话的值守，并收集掌握热线电话的所有记录，记录报修情况和服务质量，负责与业主/师生联络；</w:t>
      </w:r>
    </w:p>
    <w:p w14:paraId="78CCB9B6">
      <w:pPr>
        <w:numPr>
          <w:ilvl w:val="0"/>
          <w:numId w:val="9"/>
        </w:numPr>
        <w:spacing w:line="360" w:lineRule="auto"/>
        <w:ind w:left="0" w:firstLine="420" w:firstLineChars="200"/>
        <w:jc w:val="left"/>
        <w:rPr>
          <w:rFonts w:ascii="新宋体" w:hAnsi="新宋体" w:eastAsia="新宋体" w:cs="Times New Roman"/>
          <w:szCs w:val="21"/>
        </w:rPr>
      </w:pPr>
      <w:r>
        <w:rPr>
          <w:rFonts w:hint="eastAsia" w:ascii="新宋体" w:hAnsi="新宋体" w:eastAsia="新宋体" w:cs="Times New Roman"/>
          <w:szCs w:val="21"/>
        </w:rPr>
        <w:t>负责业主/师生满意度调查工作，做好关于业主/师生满意度调查的各种数据的统计分析工作；</w:t>
      </w:r>
    </w:p>
    <w:p w14:paraId="1FF812D4">
      <w:pPr>
        <w:numPr>
          <w:ilvl w:val="0"/>
          <w:numId w:val="9"/>
        </w:numPr>
        <w:spacing w:line="360" w:lineRule="auto"/>
        <w:ind w:left="0" w:firstLine="420" w:firstLineChars="200"/>
        <w:jc w:val="left"/>
        <w:rPr>
          <w:rFonts w:ascii="新宋体" w:hAnsi="新宋体" w:eastAsia="新宋体" w:cs="Times New Roman"/>
          <w:szCs w:val="21"/>
        </w:rPr>
      </w:pPr>
      <w:r>
        <w:rPr>
          <w:rFonts w:hint="eastAsia" w:ascii="新宋体" w:hAnsi="新宋体" w:eastAsia="新宋体" w:cs="Times New Roman"/>
          <w:szCs w:val="21"/>
        </w:rPr>
        <w:t>负责做好宣传工作，调查工作；</w:t>
      </w:r>
    </w:p>
    <w:p w14:paraId="43F8D65B">
      <w:pPr>
        <w:numPr>
          <w:ilvl w:val="0"/>
          <w:numId w:val="9"/>
        </w:numPr>
        <w:spacing w:line="360" w:lineRule="auto"/>
        <w:ind w:left="0" w:firstLine="420" w:firstLineChars="200"/>
        <w:jc w:val="left"/>
        <w:rPr>
          <w:rFonts w:ascii="新宋体" w:hAnsi="新宋体" w:eastAsia="新宋体" w:cs="Times New Roman"/>
          <w:szCs w:val="21"/>
        </w:rPr>
      </w:pPr>
      <w:r>
        <w:rPr>
          <w:rFonts w:hint="eastAsia" w:ascii="新宋体" w:hAnsi="新宋体" w:eastAsia="新宋体" w:cs="Times New Roman"/>
          <w:szCs w:val="21"/>
        </w:rPr>
        <w:t>提高服务质量，师生充值满意度投诉率低于1%；</w:t>
      </w:r>
    </w:p>
    <w:p w14:paraId="19B39656">
      <w:pPr>
        <w:numPr>
          <w:ilvl w:val="0"/>
          <w:numId w:val="9"/>
        </w:numPr>
        <w:spacing w:line="360" w:lineRule="auto"/>
        <w:ind w:left="0" w:firstLine="420" w:firstLineChars="200"/>
        <w:jc w:val="left"/>
        <w:rPr>
          <w:rFonts w:hint="eastAsia" w:ascii="新宋体" w:hAnsi="新宋体" w:eastAsia="新宋体" w:cs="Times New Roman"/>
          <w:szCs w:val="21"/>
        </w:rPr>
      </w:pPr>
      <w:r>
        <w:rPr>
          <w:rFonts w:hint="eastAsia" w:ascii="新宋体" w:hAnsi="新宋体" w:eastAsia="新宋体" w:cs="Times New Roman"/>
          <w:szCs w:val="21"/>
        </w:rPr>
        <w:t>按时按质完成学院或业务主管部门交办的各项任务。</w:t>
      </w:r>
    </w:p>
    <w:p w14:paraId="5656B734">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rPr>
          <w:rFonts w:ascii="宋体" w:hAnsi="宋体" w:eastAsia="宋体" w:cs="Times New Roman"/>
          <w:b/>
        </w:rPr>
      </w:pPr>
      <w:bookmarkStart w:id="458" w:name="_Toc468960295"/>
      <w:r>
        <w:rPr>
          <w:rFonts w:hint="eastAsia" w:ascii="宋体" w:hAnsi="宋体" w:eastAsia="宋体" w:cs="Times New Roman"/>
          <w:b/>
          <w:lang w:eastAsia="zh-CN"/>
        </w:rPr>
        <w:t>第四：各岗位人员要求</w:t>
      </w:r>
    </w:p>
    <w:p w14:paraId="1FAC28ED">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rPr>
          <w:rFonts w:ascii="宋体" w:hAnsi="宋体" w:eastAsia="宋体" w:cs="Times New Roman"/>
          <w:b/>
        </w:rPr>
      </w:pPr>
      <w:r>
        <w:rPr>
          <w:rFonts w:hint="eastAsia" w:ascii="宋体" w:hAnsi="宋体" w:eastAsia="宋体" w:cs="Times New Roman"/>
          <w:b/>
          <w:lang w:val="en-US" w:eastAsia="zh-CN"/>
        </w:rPr>
        <w:t>1.</w:t>
      </w:r>
      <w:r>
        <w:rPr>
          <w:rFonts w:hint="eastAsia" w:ascii="宋体" w:hAnsi="宋体" w:eastAsia="宋体" w:cs="Times New Roman"/>
          <w:b/>
        </w:rPr>
        <w:t>水电充值员要求</w:t>
      </w:r>
      <w:bookmarkEnd w:id="458"/>
    </w:p>
    <w:p w14:paraId="13FE97A6">
      <w:pPr>
        <w:spacing w:line="360" w:lineRule="auto"/>
        <w:ind w:firstLine="420" w:firstLineChars="200"/>
        <w:jc w:val="left"/>
        <w:rPr>
          <w:rFonts w:ascii="新宋体" w:hAnsi="新宋体" w:eastAsia="新宋体" w:cs="Times New Roman"/>
          <w:bCs/>
        </w:rPr>
      </w:pPr>
      <w:bookmarkStart w:id="459" w:name="_Toc468960296"/>
      <w:r>
        <w:rPr>
          <w:rFonts w:hint="eastAsia" w:ascii="新宋体" w:hAnsi="新宋体" w:eastAsia="新宋体" w:cs="Times New Roman"/>
          <w:bCs/>
        </w:rPr>
        <w:t>一、基本要求</w:t>
      </w:r>
      <w:bookmarkEnd w:id="459"/>
    </w:p>
    <w:p w14:paraId="5BC48B11">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具备高中及技校以上文化，持有办公应用中级以上专业职业资格证书，年龄在35—55周岁之间，身体健康，无精神疾患。能熟练运用电脑办公，会水电报表的制作和统计，遵守财经纪律，服从工作安排，吃苦耐劳，遵守国家法律、法规，无违法犯罪记录，遵守各项规章制度，服从工作安排，文明服务，态度和蔼，礼貌待人。</w:t>
      </w:r>
    </w:p>
    <w:p w14:paraId="48694E6D">
      <w:pPr>
        <w:spacing w:line="360" w:lineRule="auto"/>
        <w:ind w:firstLine="420" w:firstLineChars="200"/>
        <w:jc w:val="left"/>
        <w:rPr>
          <w:rFonts w:ascii="新宋体" w:hAnsi="新宋体" w:eastAsia="新宋体" w:cs="Times New Roman"/>
          <w:bCs/>
        </w:rPr>
      </w:pPr>
      <w:bookmarkStart w:id="460" w:name="_Toc468960297"/>
      <w:r>
        <w:rPr>
          <w:rFonts w:hint="eastAsia" w:ascii="新宋体" w:hAnsi="新宋体" w:eastAsia="新宋体" w:cs="Times New Roman"/>
          <w:bCs/>
        </w:rPr>
        <w:t>二、业务要求</w:t>
      </w:r>
      <w:bookmarkEnd w:id="460"/>
    </w:p>
    <w:p w14:paraId="04595BB7">
      <w:pPr>
        <w:numPr>
          <w:ilvl w:val="0"/>
          <w:numId w:val="10"/>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负责水电充值及系统管理，及时备份充值、消费数据，100%保证数据安全；</w:t>
      </w:r>
    </w:p>
    <w:p w14:paraId="7A568112">
      <w:pPr>
        <w:numPr>
          <w:ilvl w:val="0"/>
          <w:numId w:val="10"/>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每周与物</w:t>
      </w:r>
      <w:r>
        <w:rPr>
          <w:rFonts w:ascii="新宋体" w:hAnsi="新宋体" w:eastAsia="新宋体" w:cs="Times New Roman"/>
        </w:rPr>
        <w:t>业管理</w:t>
      </w:r>
      <w:r>
        <w:rPr>
          <w:rFonts w:hint="eastAsia" w:ascii="新宋体" w:hAnsi="新宋体" w:eastAsia="新宋体" w:cs="Times New Roman"/>
        </w:rPr>
        <w:t>公司核对充值数据，每月5日前将上月经物业</w:t>
      </w:r>
      <w:r>
        <w:rPr>
          <w:rFonts w:ascii="新宋体" w:hAnsi="新宋体" w:eastAsia="新宋体" w:cs="Times New Roman"/>
        </w:rPr>
        <w:t>管理</w:t>
      </w:r>
      <w:r>
        <w:rPr>
          <w:rFonts w:hint="eastAsia" w:ascii="新宋体" w:hAnsi="新宋体" w:eastAsia="新宋体" w:cs="Times New Roman"/>
        </w:rPr>
        <w:t>公</w:t>
      </w:r>
      <w:r>
        <w:rPr>
          <w:rFonts w:ascii="新宋体" w:hAnsi="新宋体" w:eastAsia="新宋体" w:cs="Times New Roman"/>
        </w:rPr>
        <w:t>司</w:t>
      </w:r>
      <w:r>
        <w:rPr>
          <w:rFonts w:hint="eastAsia" w:ascii="新宋体" w:hAnsi="新宋体" w:eastAsia="新宋体" w:cs="Times New Roman"/>
        </w:rPr>
        <w:t>主管人员签字的充值的报表和充值金额交后勤基建处；</w:t>
      </w:r>
    </w:p>
    <w:p w14:paraId="4C0AE232">
      <w:pPr>
        <w:numPr>
          <w:ilvl w:val="0"/>
          <w:numId w:val="10"/>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（三）100%完成师生水电充值需求；</w:t>
      </w:r>
    </w:p>
    <w:p w14:paraId="6ADE1E6B">
      <w:pPr>
        <w:numPr>
          <w:ilvl w:val="0"/>
          <w:numId w:val="10"/>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提高服务质量，师生充值满意度投诉率低于1%；</w:t>
      </w:r>
    </w:p>
    <w:p w14:paraId="0A95BD6F">
      <w:pPr>
        <w:numPr>
          <w:ilvl w:val="0"/>
          <w:numId w:val="10"/>
        </w:numPr>
        <w:spacing w:line="360" w:lineRule="auto"/>
        <w:ind w:left="0" w:firstLine="420" w:firstLineChars="200"/>
        <w:jc w:val="left"/>
        <w:rPr>
          <w:rFonts w:ascii="宋体" w:hAnsi="宋体" w:eastAsia="宋体" w:cs="Times New Roman"/>
        </w:rPr>
      </w:pPr>
      <w:r>
        <w:rPr>
          <w:rFonts w:hint="eastAsia" w:ascii="新宋体" w:hAnsi="新宋体" w:eastAsia="新宋体" w:cs="Times New Roman"/>
        </w:rPr>
        <w:t>按时按质完成学院或业务主管部门交办的各项任务。</w:t>
      </w:r>
    </w:p>
    <w:p w14:paraId="138FEFE0">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rPr>
          <w:rFonts w:ascii="宋体" w:hAnsi="宋体" w:eastAsia="宋体" w:cs="Times New Roman"/>
          <w:b/>
        </w:rPr>
      </w:pPr>
      <w:bookmarkStart w:id="461" w:name="_Toc468960298"/>
      <w:bookmarkStart w:id="462" w:name="_Toc468376639"/>
      <w:bookmarkStart w:id="463" w:name="_Toc468376506"/>
      <w:bookmarkStart w:id="464" w:name="_Toc468376536"/>
      <w:r>
        <w:rPr>
          <w:rFonts w:hint="eastAsia" w:ascii="宋体" w:hAnsi="宋体" w:eastAsia="宋体" w:cs="Times New Roman"/>
          <w:b/>
          <w:lang w:val="en-US" w:eastAsia="zh-CN"/>
        </w:rPr>
        <w:t>2.</w:t>
      </w:r>
      <w:r>
        <w:rPr>
          <w:rFonts w:hint="eastAsia" w:ascii="宋体" w:hAnsi="宋体" w:eastAsia="宋体" w:cs="Times New Roman"/>
          <w:b/>
        </w:rPr>
        <w:t>公物维修员要求</w:t>
      </w:r>
      <w:bookmarkEnd w:id="461"/>
      <w:bookmarkEnd w:id="462"/>
      <w:bookmarkEnd w:id="463"/>
      <w:bookmarkEnd w:id="464"/>
      <w:bookmarkStart w:id="465" w:name="_Toc468376537"/>
      <w:bookmarkStart w:id="466" w:name="_Toc468376507"/>
      <w:bookmarkStart w:id="467" w:name="_Toc468376640"/>
    </w:p>
    <w:p w14:paraId="213147F0">
      <w:pPr>
        <w:spacing w:line="360" w:lineRule="auto"/>
        <w:ind w:firstLine="420" w:firstLineChars="200"/>
        <w:jc w:val="left"/>
        <w:rPr>
          <w:rFonts w:ascii="新宋体" w:hAnsi="新宋体" w:eastAsia="新宋体" w:cs="Times New Roman"/>
          <w:bCs/>
        </w:rPr>
      </w:pPr>
      <w:bookmarkStart w:id="468" w:name="_Toc468960299"/>
      <w:r>
        <w:rPr>
          <w:rFonts w:hint="eastAsia" w:ascii="新宋体" w:hAnsi="新宋体" w:eastAsia="新宋体" w:cs="Times New Roman"/>
          <w:bCs/>
        </w:rPr>
        <w:t>一、基本要求</w:t>
      </w:r>
      <w:bookmarkEnd w:id="465"/>
      <w:bookmarkEnd w:id="466"/>
      <w:bookmarkEnd w:id="467"/>
      <w:bookmarkEnd w:id="468"/>
    </w:p>
    <w:p w14:paraId="501548A2">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具备高中及技校以上文化，持有中级以上专业职业资格证书，年龄在35—55周岁之间，身体健康，无精神疾患。具有物业公司一年以上工作经历，会室内外公共设施设备（除水电气方面的维修）日常维护和维修；会门窗桌椅日常维护和维修。能吃苦耐劳，工作有上进心。遵守国家法律、法规，无违法犯罪记录，遵守各项规章制度，服从工作安排，文明服务，态度和蔼，礼貌待人。</w:t>
      </w:r>
    </w:p>
    <w:p w14:paraId="23598198">
      <w:pPr>
        <w:spacing w:line="360" w:lineRule="auto"/>
        <w:ind w:firstLine="420" w:firstLineChars="200"/>
        <w:jc w:val="left"/>
        <w:rPr>
          <w:rFonts w:ascii="新宋体" w:hAnsi="新宋体" w:eastAsia="新宋体" w:cs="Times New Roman"/>
          <w:bCs/>
        </w:rPr>
      </w:pPr>
      <w:bookmarkStart w:id="469" w:name="_Toc468376641"/>
      <w:bookmarkStart w:id="470" w:name="_Toc468960300"/>
      <w:bookmarkStart w:id="471" w:name="_Toc468376538"/>
      <w:bookmarkStart w:id="472" w:name="_Toc468376508"/>
      <w:r>
        <w:rPr>
          <w:rFonts w:hint="eastAsia" w:ascii="新宋体" w:hAnsi="新宋体" w:eastAsia="新宋体" w:cs="Times New Roman"/>
          <w:bCs/>
        </w:rPr>
        <w:t>二、业务要求</w:t>
      </w:r>
      <w:bookmarkEnd w:id="469"/>
      <w:bookmarkEnd w:id="470"/>
      <w:bookmarkEnd w:id="471"/>
      <w:bookmarkEnd w:id="472"/>
    </w:p>
    <w:p w14:paraId="347AA28D">
      <w:pPr>
        <w:numPr>
          <w:ilvl w:val="2"/>
          <w:numId w:val="11"/>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全面负责学院课桌椅、门窗、门锁、室外公共设施、办公桌椅维修管理工作，努力提高服务质量，接到报修报告或报修单后5分钟内做出响应，10分钟内到达维修现场处理，属人为损坏的必须落实有关责任人；所有维修工作师生满意度投诉率低于1%；</w:t>
      </w:r>
    </w:p>
    <w:p w14:paraId="71D063BE">
      <w:pPr>
        <w:numPr>
          <w:ilvl w:val="2"/>
          <w:numId w:val="11"/>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负责日常、周、月、季度、年度检查检修工作，制定工作计划并组织实施，每月5日前将上月维修工作统计情况经物业公司负责人签字后报学院后勤基建处，注意开展节能降耗工作，节约维修用原材料，在上年度基础上节约5%原材料支出成本；</w:t>
      </w:r>
    </w:p>
    <w:p w14:paraId="11B46B90">
      <w:pPr>
        <w:numPr>
          <w:ilvl w:val="2"/>
          <w:numId w:val="11"/>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对损坏的公物（课桌椅、门窗、门锁、室外公共设施、办公桌椅）100%组织维修；</w:t>
      </w:r>
    </w:p>
    <w:p w14:paraId="362C5605">
      <w:pPr>
        <w:numPr>
          <w:ilvl w:val="2"/>
          <w:numId w:val="11"/>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负责校园公共设施（消防系统、建筑物、围墙、外墙砖、宣传栏、道路等）安全检查，发现安全隐患，及时向主管部门领导报告，并设置醒目警示牌或提示，报告率为100%；</w:t>
      </w:r>
    </w:p>
    <w:p w14:paraId="72933626">
      <w:pPr>
        <w:numPr>
          <w:ilvl w:val="2"/>
          <w:numId w:val="11"/>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遵守有关安全操作规程，杜绝人身、设备设施安全事故；</w:t>
      </w:r>
    </w:p>
    <w:p w14:paraId="135F9DB3">
      <w:pPr>
        <w:numPr>
          <w:ilvl w:val="2"/>
          <w:numId w:val="11"/>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负责开水房的日常管理及室内卫生的清扫保洁；</w:t>
      </w:r>
    </w:p>
    <w:p w14:paraId="2C008B2C">
      <w:pPr>
        <w:numPr>
          <w:ilvl w:val="2"/>
          <w:numId w:val="11"/>
        </w:numPr>
        <w:spacing w:line="360" w:lineRule="auto"/>
        <w:ind w:left="0" w:firstLine="420" w:firstLineChars="200"/>
        <w:jc w:val="left"/>
        <w:rPr>
          <w:rFonts w:ascii="新宋体" w:hAnsi="新宋体" w:eastAsia="新宋体" w:cs="Times New Roman"/>
        </w:rPr>
      </w:pPr>
      <w:r>
        <w:rPr>
          <w:rFonts w:hint="eastAsia" w:ascii="新宋体" w:hAnsi="新宋体" w:eastAsia="新宋体" w:cs="Times New Roman"/>
        </w:rPr>
        <w:t>负责校园内煤气（天然气）管道及设施的日常巡查及表房的日常管理，发现故障及时报告后勤基建处和</w:t>
      </w:r>
      <w:r>
        <w:rPr>
          <w:rFonts w:hint="eastAsia" w:ascii="新宋体" w:hAnsi="新宋体" w:eastAsia="新宋体" w:cs="Times New Roman"/>
          <w:lang w:eastAsia="zh-CN"/>
        </w:rPr>
        <w:t>物业服务</w:t>
      </w:r>
      <w:r>
        <w:rPr>
          <w:rFonts w:hint="eastAsia" w:ascii="新宋体" w:hAnsi="新宋体" w:eastAsia="新宋体" w:cs="Times New Roman"/>
        </w:rPr>
        <w:t>公司负责人；</w:t>
      </w:r>
    </w:p>
    <w:p w14:paraId="7C27F9FE">
      <w:pPr>
        <w:numPr>
          <w:ilvl w:val="2"/>
          <w:numId w:val="11"/>
        </w:numPr>
        <w:spacing w:line="360" w:lineRule="auto"/>
        <w:ind w:left="0" w:firstLine="420" w:firstLineChars="200"/>
        <w:jc w:val="left"/>
        <w:rPr>
          <w:rFonts w:hint="eastAsia" w:ascii="宋体" w:hAnsi="宋体" w:eastAsia="宋体" w:cs="Times New Roman"/>
        </w:rPr>
      </w:pPr>
      <w:r>
        <w:rPr>
          <w:rFonts w:hint="eastAsia" w:ascii="新宋体" w:hAnsi="新宋体" w:eastAsia="新宋体" w:cs="Times New Roman"/>
        </w:rPr>
        <w:t>按时按质完成学院或主管部门交办的各项任务。</w:t>
      </w:r>
    </w:p>
    <w:p w14:paraId="55AD4F83">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rPr>
          <w:rFonts w:ascii="宋体" w:hAnsi="宋体" w:eastAsia="宋体" w:cs="Times New Roman"/>
          <w:b/>
        </w:rPr>
      </w:pPr>
      <w:bookmarkStart w:id="473" w:name="_Toc468376516"/>
      <w:bookmarkStart w:id="474" w:name="_Toc468376649"/>
      <w:bookmarkStart w:id="475" w:name="_Toc468376546"/>
      <w:bookmarkStart w:id="476" w:name="_Toc468960301"/>
      <w:r>
        <w:rPr>
          <w:rFonts w:hint="eastAsia" w:ascii="宋体" w:hAnsi="宋体" w:eastAsia="宋体" w:cs="Times New Roman"/>
          <w:b/>
          <w:lang w:val="en-US" w:eastAsia="zh-CN"/>
        </w:rPr>
        <w:t>3.</w:t>
      </w:r>
      <w:r>
        <w:rPr>
          <w:rFonts w:hint="eastAsia" w:ascii="宋体" w:hAnsi="宋体" w:eastAsia="宋体" w:cs="Times New Roman"/>
          <w:b/>
        </w:rPr>
        <w:t>保洁员要求</w:t>
      </w:r>
      <w:bookmarkEnd w:id="473"/>
      <w:bookmarkEnd w:id="474"/>
      <w:bookmarkEnd w:id="475"/>
      <w:bookmarkEnd w:id="476"/>
    </w:p>
    <w:p w14:paraId="6BB695B2">
      <w:pPr>
        <w:spacing w:line="360" w:lineRule="auto"/>
        <w:ind w:firstLine="420" w:firstLineChars="200"/>
        <w:jc w:val="left"/>
        <w:rPr>
          <w:rFonts w:ascii="新宋体" w:hAnsi="新宋体" w:eastAsia="新宋体" w:cs="Times New Roman"/>
        </w:rPr>
      </w:pPr>
      <w:bookmarkStart w:id="477" w:name="_Toc468960302"/>
      <w:bookmarkStart w:id="478" w:name="_Toc468376547"/>
      <w:bookmarkStart w:id="479" w:name="_Toc468376517"/>
      <w:bookmarkStart w:id="480" w:name="_Toc468376650"/>
      <w:r>
        <w:rPr>
          <w:rFonts w:hint="eastAsia" w:ascii="新宋体" w:hAnsi="新宋体" w:eastAsia="新宋体" w:cs="Times New Roman"/>
        </w:rPr>
        <w:t>一、基本要求</w:t>
      </w:r>
      <w:bookmarkEnd w:id="477"/>
      <w:bookmarkEnd w:id="478"/>
      <w:bookmarkEnd w:id="479"/>
      <w:bookmarkEnd w:id="480"/>
    </w:p>
    <w:p w14:paraId="60715A17">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小学以上文化，年龄在55周岁以下，身体健康，能吃苦耐劳，不怕脏不怕累，有奉献精神，工作积极上进，认真负责，懂保洁方式方法，有一定工作经验，服从工作安排。遵守国家法律、法规，无违法犯罪记录，遵守各项规章制度，服从工作安排，文明服务，态度和蔼，礼貌待人。</w:t>
      </w:r>
    </w:p>
    <w:p w14:paraId="0EF318DD">
      <w:pPr>
        <w:spacing w:line="360" w:lineRule="auto"/>
        <w:ind w:firstLine="420" w:firstLineChars="200"/>
        <w:jc w:val="left"/>
        <w:rPr>
          <w:rFonts w:ascii="新宋体" w:hAnsi="新宋体" w:eastAsia="新宋体" w:cs="Times New Roman"/>
          <w:bCs/>
        </w:rPr>
      </w:pPr>
      <w:bookmarkStart w:id="481" w:name="_Toc468376548"/>
      <w:bookmarkStart w:id="482" w:name="_Toc468960303"/>
      <w:bookmarkStart w:id="483" w:name="_Toc468376518"/>
      <w:bookmarkStart w:id="484" w:name="_Toc468376651"/>
      <w:r>
        <w:rPr>
          <w:rFonts w:hint="eastAsia" w:ascii="新宋体" w:hAnsi="新宋体" w:eastAsia="新宋体" w:cs="Times New Roman"/>
          <w:bCs/>
        </w:rPr>
        <w:t>二、工作要求</w:t>
      </w:r>
      <w:bookmarkEnd w:id="481"/>
      <w:bookmarkEnd w:id="482"/>
      <w:bookmarkEnd w:id="483"/>
      <w:bookmarkEnd w:id="484"/>
    </w:p>
    <w:p w14:paraId="5FEB9477">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（一）清扫和保洁要求 </w:t>
      </w:r>
    </w:p>
    <w:p w14:paraId="121098ED">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1．清扫保洁时间：早上8:00上班，晚21：00下班。</w:t>
      </w:r>
    </w:p>
    <w:p w14:paraId="58AA0398">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2．清扫时满打满扫，包括公共活动区、广场、校园内道路、景观区、道路两旁1米内绿化带、教学楼、办公楼内各走道、卫生间。教学楼、办公楼内各走道、卫生间地面每天至少2次清拖，同时做到随脏随拖。</w:t>
      </w:r>
    </w:p>
    <w:p w14:paraId="4F247EA1">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3．规定路线必须扫完，不能丢道甩段、漏扫、花扫。</w:t>
      </w:r>
    </w:p>
    <w:p w14:paraId="31E2209B">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4．工作时间内，不间断进行巡回保洁清扫。</w:t>
      </w:r>
    </w:p>
    <w:p w14:paraId="14B08348">
      <w:pPr>
        <w:spacing w:line="360" w:lineRule="auto"/>
        <w:ind w:firstLine="420" w:firstLineChars="200"/>
        <w:jc w:val="left"/>
        <w:rPr>
          <w:rFonts w:ascii="新宋体" w:hAnsi="新宋体" w:eastAsia="新宋体" w:cs="Times New Roman"/>
        </w:rPr>
      </w:pPr>
      <w:r>
        <w:rPr>
          <w:rFonts w:ascii="新宋体" w:hAnsi="新宋体" w:eastAsia="新宋体" w:cs="Times New Roman"/>
        </w:rPr>
        <w:t>5.</w:t>
      </w:r>
      <w:r>
        <w:rPr>
          <w:rFonts w:hint="eastAsia" w:ascii="新宋体" w:hAnsi="新宋体" w:eastAsia="新宋体" w:cs="Times New Roman"/>
        </w:rPr>
        <w:t xml:space="preserve">  主干道及人行道、公共广场（场所）、室内走道、果皮、纸屑、≤3处/1000㎡，烟蒂、痰（涕）≤5处/1000㎡，乱弃垃圾（袋）及其它污垢≤2处/1000㎡；次干道路和公用通道道路上果皮、纸屑、塑膜≤4处/ 1000㎡，烟蒂、纸痰（涕）≤5处（条）/1000㎡，乱弃垃圾（袋）及其它污垢≤4处（条）/1000㎡；   </w:t>
      </w:r>
    </w:p>
    <w:p w14:paraId="13FFEC97">
      <w:pPr>
        <w:spacing w:line="360" w:lineRule="auto"/>
        <w:ind w:firstLine="420" w:firstLineChars="200"/>
        <w:jc w:val="left"/>
        <w:rPr>
          <w:rFonts w:ascii="新宋体" w:hAnsi="新宋体" w:eastAsia="新宋体" w:cs="Times New Roman"/>
        </w:rPr>
      </w:pPr>
      <w:r>
        <w:rPr>
          <w:rFonts w:ascii="新宋体" w:hAnsi="新宋体" w:eastAsia="新宋体" w:cs="Times New Roman"/>
        </w:rPr>
        <w:t>6</w:t>
      </w:r>
      <w:r>
        <w:rPr>
          <w:rFonts w:hint="eastAsia" w:ascii="新宋体" w:hAnsi="新宋体" w:eastAsia="新宋体" w:cs="Times New Roman"/>
        </w:rPr>
        <w:t>．清扫的垃圾应及时清理，不得久堆不清（</w:t>
      </w:r>
      <w:r>
        <w:rPr>
          <w:rFonts w:hint="eastAsia" w:ascii="新宋体" w:hAnsi="新宋体" w:eastAsia="新宋体" w:cs="Times New Roman"/>
          <w:lang w:val="en-US" w:eastAsia="zh-CN"/>
        </w:rPr>
        <w:t>30</w:t>
      </w:r>
      <w:r>
        <w:rPr>
          <w:rFonts w:hint="eastAsia" w:ascii="新宋体" w:hAnsi="新宋体" w:eastAsia="新宋体" w:cs="Times New Roman"/>
        </w:rPr>
        <w:t xml:space="preserve">分钟内）。 </w:t>
      </w:r>
    </w:p>
    <w:p w14:paraId="48A8E551">
      <w:pPr>
        <w:spacing w:line="360" w:lineRule="auto"/>
        <w:ind w:firstLine="420" w:firstLineChars="200"/>
        <w:jc w:val="left"/>
        <w:rPr>
          <w:rFonts w:ascii="新宋体" w:hAnsi="新宋体" w:eastAsia="新宋体" w:cs="Times New Roman"/>
        </w:rPr>
      </w:pPr>
      <w:r>
        <w:rPr>
          <w:rFonts w:ascii="新宋体" w:hAnsi="新宋体" w:eastAsia="新宋体" w:cs="Times New Roman"/>
        </w:rPr>
        <w:t>7</w:t>
      </w:r>
      <w:r>
        <w:rPr>
          <w:rFonts w:hint="eastAsia" w:ascii="新宋体" w:hAnsi="新宋体" w:eastAsia="新宋体" w:cs="Times New Roman"/>
        </w:rPr>
        <w:t xml:space="preserve">．各下水道应保持畅通，表面无堵塞。 </w:t>
      </w:r>
    </w:p>
    <w:p w14:paraId="506700FF">
      <w:pPr>
        <w:spacing w:line="360" w:lineRule="auto"/>
        <w:ind w:firstLine="420" w:firstLineChars="200"/>
        <w:jc w:val="left"/>
        <w:rPr>
          <w:rFonts w:ascii="新宋体" w:hAnsi="新宋体" w:eastAsia="新宋体" w:cs="Times New Roman"/>
        </w:rPr>
      </w:pPr>
      <w:r>
        <w:rPr>
          <w:rFonts w:ascii="新宋体" w:hAnsi="新宋体" w:eastAsia="新宋体" w:cs="Times New Roman"/>
        </w:rPr>
        <w:t>8</w:t>
      </w:r>
      <w:r>
        <w:rPr>
          <w:rFonts w:hint="eastAsia" w:ascii="新宋体" w:hAnsi="新宋体" w:eastAsia="新宋体" w:cs="Times New Roman"/>
        </w:rPr>
        <w:t xml:space="preserve">．垃圾倾倒在指定的收集点或垃圾房，不得倾倒和扫入窨井、绿地内；不得焚烧垃圾、树叶。  </w:t>
      </w:r>
    </w:p>
    <w:p w14:paraId="37D8F95F">
      <w:pPr>
        <w:spacing w:line="360" w:lineRule="auto"/>
        <w:ind w:firstLine="420" w:firstLineChars="200"/>
        <w:jc w:val="left"/>
        <w:rPr>
          <w:rFonts w:ascii="新宋体" w:hAnsi="新宋体" w:eastAsia="新宋体" w:cs="Times New Roman"/>
        </w:rPr>
      </w:pPr>
      <w:r>
        <w:rPr>
          <w:rFonts w:ascii="新宋体" w:hAnsi="新宋体" w:eastAsia="新宋体" w:cs="Times New Roman"/>
        </w:rPr>
        <w:t>9</w:t>
      </w:r>
      <w:r>
        <w:rPr>
          <w:rFonts w:hint="eastAsia" w:ascii="新宋体" w:hAnsi="新宋体" w:eastAsia="新宋体" w:cs="Times New Roman"/>
        </w:rPr>
        <w:t>.被严重污染的路面，应及时进行清扫、清洗，恢复原貌。</w:t>
      </w:r>
    </w:p>
    <w:p w14:paraId="75FAA7EA">
      <w:pPr>
        <w:spacing w:line="360" w:lineRule="auto"/>
        <w:ind w:firstLine="420" w:firstLineChars="200"/>
        <w:jc w:val="left"/>
        <w:rPr>
          <w:rFonts w:ascii="新宋体" w:hAnsi="新宋体" w:eastAsia="新宋体" w:cs="Times New Roman"/>
        </w:rPr>
      </w:pPr>
      <w:r>
        <w:rPr>
          <w:rFonts w:ascii="新宋体" w:hAnsi="新宋体" w:eastAsia="新宋体" w:cs="Times New Roman"/>
        </w:rPr>
        <w:t>10</w:t>
      </w:r>
      <w:r>
        <w:rPr>
          <w:rFonts w:hint="eastAsia" w:ascii="新宋体" w:hAnsi="新宋体" w:eastAsia="新宋体" w:cs="Times New Roman"/>
        </w:rPr>
        <w:t>.校园内果皮纸屑箱、垃圾桶应保持完好率在98%以上。</w:t>
      </w:r>
    </w:p>
    <w:p w14:paraId="4BE5E5D6">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1</w:t>
      </w:r>
      <w:r>
        <w:rPr>
          <w:rFonts w:ascii="新宋体" w:hAnsi="新宋体" w:eastAsia="新宋体" w:cs="Times New Roman"/>
        </w:rPr>
        <w:t>1</w:t>
      </w:r>
      <w:r>
        <w:rPr>
          <w:rFonts w:hint="eastAsia" w:ascii="新宋体" w:hAnsi="新宋体" w:eastAsia="新宋体" w:cs="Times New Roman"/>
        </w:rPr>
        <w:t xml:space="preserve">.每周对道路护拦、路灯杆擦洗一次，做到无灰尘、无污垢。 </w:t>
      </w:r>
    </w:p>
    <w:p w14:paraId="4A4CCB0C">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1</w:t>
      </w:r>
      <w:r>
        <w:rPr>
          <w:rFonts w:ascii="新宋体" w:hAnsi="新宋体" w:eastAsia="新宋体" w:cs="Times New Roman"/>
        </w:rPr>
        <w:t>2</w:t>
      </w:r>
      <w:r>
        <w:rPr>
          <w:rFonts w:hint="eastAsia" w:ascii="新宋体" w:hAnsi="新宋体" w:eastAsia="新宋体" w:cs="Times New Roman"/>
        </w:rPr>
        <w:t>.每年</w:t>
      </w:r>
      <w:r>
        <w:rPr>
          <w:rFonts w:ascii="新宋体" w:hAnsi="新宋体" w:eastAsia="新宋体" w:cs="Times New Roman"/>
        </w:rPr>
        <w:t>6</w:t>
      </w:r>
      <w:r>
        <w:rPr>
          <w:rFonts w:hint="eastAsia" w:ascii="新宋体" w:hAnsi="新宋体" w:eastAsia="新宋体" w:cs="Times New Roman"/>
        </w:rPr>
        <w:t>月20日、12月20日前安全有序组织2次建筑物玻璃幕墙内外、玻璃屋顶清洗工作。</w:t>
      </w:r>
    </w:p>
    <w:p w14:paraId="46B312D6">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（二）果皮纸屑箱（清掏、擦洗）、垃圾桶（擦洗） </w:t>
      </w:r>
    </w:p>
    <w:p w14:paraId="68FEC4CF">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 1．每天对果皮纸屑箱（清掏、擦洗）、垃圾桶（擦洗）1次；做到无痰（涕）迹、无灰尘、无污垢；清洗完后应摆放整齐，盖好盖子，对损坏的果皮纸屑箱必须在一个工作日内上报以及更换。  </w:t>
      </w:r>
    </w:p>
    <w:p w14:paraId="50594785">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2．果皮纸屑箱内的垃圾应及时清除，清掏要彻底，无垃圾残留、满溢和散落，箱体周围地面应无抛撒、存留垃圾。  </w:t>
      </w:r>
    </w:p>
    <w:p w14:paraId="36CD53F8">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3．每年5月1日至10月31日期间，对分布在校区的垃圾桶（柜）、果皮纸屑箱、垃圾房，定时消毒、药物灭蚊蝇，安全操作，文明作业，消杀彻底，可视范围内，苍蝇≤3只/次/处。</w:t>
      </w:r>
    </w:p>
    <w:p w14:paraId="08DB613F">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（三）规范作业要求 </w:t>
      </w:r>
    </w:p>
    <w:p w14:paraId="2BC35485">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 1．上班时穿（戴）环卫工作服（帽）和上岗证，衣着干净，规范着装。</w:t>
      </w:r>
    </w:p>
    <w:p w14:paraId="2ED4DE2E">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 2．如使用环卫专用三轮车(含电瓶车)应保持车容车貌整洁，无乱堆乱挂。作业工具及车辆摆放规范、隐蔽，不得影响交通和有碍校园整体环境。  </w:t>
      </w:r>
    </w:p>
    <w:p w14:paraId="61A2DF8B">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3．工作期间，无串岗、离岗、久坐、闲聊等现象；不拾捡废品；不做与工作无关的事。  </w:t>
      </w:r>
    </w:p>
    <w:p w14:paraId="21A018E8">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4．文明作业，对恶意破坏环境卫生的行为，清扫人员应耐心劝阻，不骂人打人。</w:t>
      </w:r>
    </w:p>
    <w:p w14:paraId="29256F27">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（四）垃圾收集和清运  </w:t>
      </w:r>
    </w:p>
    <w:p w14:paraId="3FFB8811">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1．垃圾收集桶定位设置，便于使用和清运，不妨碍交通，不影响校容，无残缺、破损，封闭性好，外体干净，摆放整齐。   </w:t>
      </w:r>
    </w:p>
    <w:p w14:paraId="4BD94042">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2．各道路、学生公寓、教学楼等桶点垃圾每日早上7：30，收集作业完成后，应及时清理场地，并将垃圾桶复位，盖上桶盖，不得有地面零散垃圾，收集点及周围2-3m内应整洁，无散落、存留垃圾。  </w:t>
      </w:r>
    </w:p>
    <w:p w14:paraId="7A0844D4">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3.校园内垃圾清运至垃圾房时，应加盖密闭运输，遮盖严实，不得沿路洒落，不得抛、冒、滴、漏，垃圾必须倾倒在指定的垃圾房（桶），不得乱倾乱倒。   </w:t>
      </w:r>
    </w:p>
    <w:p w14:paraId="7A4A6D9E">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4.上岗时必须穿（戴）工作服（帽）和上岗证。不得随意和无证操作车辆和车载设备、机具，不得丢甩垃圾桶。</w:t>
      </w:r>
    </w:p>
    <w:p w14:paraId="2B04819A">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5.使用的车具容貌整洁，无污物、灰垢，无乱堆乱挂，乱停乱放，并按规定停放在指定位置。</w:t>
      </w:r>
    </w:p>
    <w:p w14:paraId="3FBFFEE4">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（五）卫生间清扫保洁要求 </w:t>
      </w:r>
    </w:p>
    <w:p w14:paraId="3EB8DC07">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1.卫生间四周3-5m以内环境整洁、干净，无乱堆乱放；绿化带内无烟头、纸屑、白色垃圾；阴沟、下水口、粪便管道畅通。  </w:t>
      </w:r>
    </w:p>
    <w:p w14:paraId="6E0D9932">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2.卫生间内外墙面、天花板、窗台整洁，门窗和隔板无乱贴乱画、无蛛网、尘埃、污迹≤2处/口。  </w:t>
      </w:r>
    </w:p>
    <w:p w14:paraId="1DCD8DF4">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3.卫生间内地面应光洁，无纸屑、积水、污迹、果屑、烟头等垃圾。  </w:t>
      </w:r>
    </w:p>
    <w:p w14:paraId="185B1CEF">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4.便池畅通，槽内无积粪，小便槽(斗)无尿垢、杂物，沟眼、管道畅通，管道无破损。  </w:t>
      </w:r>
    </w:p>
    <w:p w14:paraId="248BCF54">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5.卫生间内用水通畅。照明及各种配套设施齐全、完好，无积灰、污垢。清洁工具按规定摆放整齐，无乱牵乱挂、乱搭乱放。  </w:t>
      </w:r>
    </w:p>
    <w:p w14:paraId="355E9EEA">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6.定时喷洒灭蚊蝇药物和蚊（檀）香，无蝇≤3只/口，无臭。  </w:t>
      </w:r>
    </w:p>
    <w:p w14:paraId="2EC3CCCE">
      <w:pPr>
        <w:spacing w:line="360" w:lineRule="auto"/>
        <w:ind w:firstLine="420" w:firstLineChars="200"/>
        <w:jc w:val="left"/>
        <w:rPr>
          <w:rFonts w:ascii="新宋体" w:hAnsi="新宋体" w:eastAsia="新宋体" w:cs="Times New Roman"/>
          <w:bCs/>
        </w:rPr>
      </w:pPr>
      <w:bookmarkStart w:id="485" w:name="_Toc468376652"/>
      <w:bookmarkStart w:id="486" w:name="_Toc468376549"/>
      <w:bookmarkStart w:id="487" w:name="_Toc468960304"/>
      <w:bookmarkStart w:id="488" w:name="_Toc468376519"/>
      <w:r>
        <w:rPr>
          <w:rFonts w:hint="eastAsia" w:ascii="新宋体" w:hAnsi="新宋体" w:eastAsia="新宋体" w:cs="Times New Roman"/>
          <w:bCs/>
        </w:rPr>
        <w:t>三、重点要求</w:t>
      </w:r>
      <w:bookmarkEnd w:id="485"/>
      <w:bookmarkEnd w:id="486"/>
      <w:bookmarkEnd w:id="487"/>
      <w:bookmarkEnd w:id="488"/>
    </w:p>
    <w:p w14:paraId="4FE57A99">
      <w:pPr>
        <w:spacing w:line="360" w:lineRule="auto"/>
        <w:ind w:firstLine="420" w:firstLineChars="200"/>
        <w:jc w:val="left"/>
        <w:rPr>
          <w:rFonts w:ascii="宋体" w:hAnsi="宋体" w:eastAsia="宋体" w:cs="Times New Roman"/>
        </w:rPr>
      </w:pPr>
      <w:r>
        <w:rPr>
          <w:rFonts w:hint="eastAsia" w:ascii="新宋体" w:hAnsi="新宋体" w:eastAsia="新宋体" w:cs="Times New Roman"/>
        </w:rPr>
        <w:t>服从日常业务的指导和检查；执行学院相关规定；配合各种创建、检查、大型活动的清扫保洁。</w:t>
      </w:r>
    </w:p>
    <w:p w14:paraId="73B8A352">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rPr>
          <w:rFonts w:ascii="宋体" w:hAnsi="宋体" w:eastAsia="宋体" w:cs="Times New Roman"/>
          <w:b/>
        </w:rPr>
      </w:pPr>
      <w:bookmarkStart w:id="489" w:name="_Toc468960305"/>
      <w:bookmarkStart w:id="490" w:name="_Toc468376653"/>
      <w:bookmarkStart w:id="491" w:name="_Toc468376550"/>
      <w:bookmarkStart w:id="492" w:name="_Toc468376520"/>
      <w:r>
        <w:rPr>
          <w:rFonts w:hint="eastAsia" w:ascii="宋体" w:hAnsi="宋体" w:eastAsia="宋体" w:cs="Times New Roman"/>
          <w:b/>
          <w:lang w:val="en-US" w:eastAsia="zh-CN"/>
        </w:rPr>
        <w:t>4.</w:t>
      </w:r>
      <w:r>
        <w:rPr>
          <w:rFonts w:hint="eastAsia" w:ascii="宋体" w:hAnsi="宋体" w:eastAsia="宋体" w:cs="Times New Roman"/>
          <w:b/>
        </w:rPr>
        <w:t>水电气维修员要求</w:t>
      </w:r>
      <w:bookmarkEnd w:id="489"/>
      <w:bookmarkEnd w:id="490"/>
      <w:bookmarkEnd w:id="491"/>
      <w:bookmarkEnd w:id="492"/>
    </w:p>
    <w:p w14:paraId="6D072F7B">
      <w:pPr>
        <w:spacing w:line="360" w:lineRule="auto"/>
        <w:ind w:firstLine="420" w:firstLineChars="200"/>
        <w:jc w:val="left"/>
        <w:rPr>
          <w:rFonts w:ascii="新宋体" w:hAnsi="新宋体" w:eastAsia="新宋体" w:cs="Times New Roman"/>
          <w:bCs/>
        </w:rPr>
      </w:pPr>
      <w:bookmarkStart w:id="493" w:name="_Toc468960306"/>
      <w:bookmarkStart w:id="494" w:name="_Toc468376551"/>
      <w:bookmarkStart w:id="495" w:name="_Toc468376654"/>
      <w:bookmarkStart w:id="496" w:name="_Toc468376521"/>
      <w:r>
        <w:rPr>
          <w:rFonts w:hint="eastAsia" w:ascii="新宋体" w:hAnsi="新宋体" w:eastAsia="新宋体" w:cs="Times New Roman"/>
          <w:bCs/>
        </w:rPr>
        <w:t>一、基本要求</w:t>
      </w:r>
      <w:bookmarkEnd w:id="493"/>
      <w:bookmarkEnd w:id="494"/>
      <w:bookmarkEnd w:id="495"/>
      <w:bookmarkEnd w:id="496"/>
    </w:p>
    <w:p w14:paraId="36270E83">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具备高中及技校以上文化，持有中级以上专业职业资格证书，年龄在35—55周岁之间，身体健康，无精神疾患。掌握给排水、供电、供气方面的专业知识，具备设施设备的修理和操作经验，会设施设备的日常保养及一般维修，能吃苦耐劳，工作有上进心。遵守国家法律、法规，无违法犯罪记录，遵守各项规章制度，服从工作安排，文明服务，态度和蔼，礼貌待人。</w:t>
      </w:r>
      <w:bookmarkStart w:id="497" w:name="_Toc468376655"/>
      <w:bookmarkStart w:id="498" w:name="_Toc468376522"/>
      <w:bookmarkStart w:id="499" w:name="_Toc468960307"/>
      <w:bookmarkStart w:id="500" w:name="_Toc468376552"/>
    </w:p>
    <w:p w14:paraId="1B253801">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bCs/>
        </w:rPr>
        <w:t>二、供电维修岗位业务要求</w:t>
      </w:r>
      <w:bookmarkEnd w:id="497"/>
      <w:bookmarkEnd w:id="498"/>
      <w:bookmarkEnd w:id="499"/>
      <w:bookmarkEnd w:id="500"/>
    </w:p>
    <w:p w14:paraId="3C010727">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（一）全面负责学院供电管理及维修工作，努力提高服务质量，接到报修报告或报修单后</w:t>
      </w:r>
      <w:r>
        <w:rPr>
          <w:rFonts w:ascii="新宋体" w:hAnsi="新宋体" w:eastAsia="新宋体" w:cs="Times New Roman"/>
        </w:rPr>
        <w:t>5</w:t>
      </w:r>
      <w:r>
        <w:rPr>
          <w:rFonts w:hint="eastAsia" w:ascii="新宋体" w:hAnsi="新宋体" w:eastAsia="新宋体" w:cs="Times New Roman"/>
        </w:rPr>
        <w:t>分钟内做出响应，</w:t>
      </w:r>
      <w:r>
        <w:rPr>
          <w:rFonts w:ascii="新宋体" w:hAnsi="新宋体" w:eastAsia="新宋体" w:cs="Times New Roman"/>
        </w:rPr>
        <w:t>10</w:t>
      </w:r>
      <w:r>
        <w:rPr>
          <w:rFonts w:hint="eastAsia" w:ascii="新宋体" w:hAnsi="新宋体" w:eastAsia="新宋体" w:cs="Times New Roman"/>
        </w:rPr>
        <w:t>分钟内到达现场处理，属人为损坏的必须落实有关责任人；供电维修师生满意度投诉率低于1%；</w:t>
      </w:r>
    </w:p>
    <w:p w14:paraId="09276DE0">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（二）负责联系安宁供电部门，及时掌握供停电有关信息，100%向全院发布供停电信息；若发生停电或其他事故，应及时与供电部门取得联系，迅速查明原因，采取应急措施。</w:t>
      </w:r>
    </w:p>
    <w:p w14:paraId="2CF8800F">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（三）负责节电较上年度节约5%目标任务，制定科学合理的节能方案；</w:t>
      </w:r>
    </w:p>
    <w:p w14:paraId="6877A78F">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（四）负责供电日常、周、月、季度、年度检查检修工作，制定工作计划并组织实施；</w:t>
      </w:r>
    </w:p>
    <w:p w14:paraId="0E1E9261">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（五）全面掌握安宁校区用电情况，统计分析用电实际，分类整理用电数据，每月25日前完成有关单位欠费追缴并交后勤基建处；</w:t>
      </w:r>
    </w:p>
    <w:p w14:paraId="62F63578">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（六）负责配电房供电系统的日常检查和维护，每天巡视变配电间、各栋配电间、室外各配电箱1次，观察电压表、电流表、计量表是否正常，认真做好各种运行记录， 发现问题及时处理，每天对变配电间、各栋配电间清扫一次，保持室内设备的整洁和室内卫生清洁，各配电间周边及室内环境卫生达二级标准；</w:t>
      </w:r>
    </w:p>
    <w:p w14:paraId="48436385">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highlight w:val="none"/>
        </w:rPr>
        <w:t xml:space="preserve">（七） </w:t>
      </w:r>
      <w:r>
        <w:rPr>
          <w:rFonts w:hint="eastAsia" w:ascii="新宋体" w:hAnsi="新宋体" w:eastAsia="新宋体" w:cs="Times New Roman"/>
          <w:highlight w:val="none"/>
          <w:lang w:eastAsia="zh-CN"/>
        </w:rPr>
        <w:t>高低压配电室</w:t>
      </w:r>
      <w:r>
        <w:rPr>
          <w:rFonts w:hint="eastAsia" w:ascii="新宋体" w:hAnsi="新宋体" w:eastAsia="新宋体" w:cs="Times New Roman"/>
          <w:highlight w:val="none"/>
        </w:rPr>
        <w:t>实行供电</w:t>
      </w:r>
      <w:r>
        <w:rPr>
          <w:rFonts w:hint="eastAsia" w:ascii="新宋体" w:hAnsi="新宋体" w:eastAsia="新宋体" w:cs="Times New Roman"/>
        </w:rPr>
        <w:t xml:space="preserve">24小时值班制，值班人员必须坚守岗位，不准在岗做与工作无关的事项； </w:t>
      </w:r>
    </w:p>
    <w:p w14:paraId="08EC2987">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 xml:space="preserve">（八） 自觉遵守各项规章制度，严格按安全操作规程及管理制度操作，确保安全生产，杜绝人身和设备事故的发生；  </w:t>
      </w:r>
    </w:p>
    <w:p w14:paraId="29E38387">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（九） 熟悉学院内电梯的构造、性能和使用方法；严格遵守电梯安全操作管理规程保证电梯正常、安全运行；每天对电梯机房的设备、温度、通风状况等巡视检查一遍，及时发现问题并联系电梯维保单位排除各种不正常现象；电梯运行中出现突然故障，应首先救援出被困乘客；</w:t>
      </w:r>
    </w:p>
    <w:p w14:paraId="7165E635">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（十）负责学院内各公共部位配电箱、照明设施的维修保养工作，确保公共部位灯具完好率达98%以上；</w:t>
      </w:r>
    </w:p>
    <w:p w14:paraId="619911B4">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（十一）负责学院内临时用电的安装、跟踪服务，确保用电安全，负责学院内维修、施工、建设等用电的监管，计量设备的安装和费用统计及催缴工作；</w:t>
      </w:r>
    </w:p>
    <w:p w14:paraId="4A35FF5D">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（十二）按时完成学院或主管部门交办的各项任务。</w:t>
      </w:r>
    </w:p>
    <w:p w14:paraId="0DD86B93">
      <w:pPr>
        <w:spacing w:line="360" w:lineRule="auto"/>
        <w:ind w:firstLine="420" w:firstLineChars="200"/>
        <w:jc w:val="left"/>
        <w:rPr>
          <w:rFonts w:ascii="新宋体" w:hAnsi="新宋体" w:eastAsia="新宋体" w:cs="Times New Roman"/>
          <w:bCs/>
        </w:rPr>
      </w:pPr>
      <w:bookmarkStart w:id="501" w:name="_Toc468376656"/>
      <w:bookmarkStart w:id="502" w:name="_Toc468376523"/>
      <w:bookmarkStart w:id="503" w:name="_Toc468960308"/>
      <w:bookmarkStart w:id="504" w:name="_Toc468376553"/>
      <w:r>
        <w:rPr>
          <w:rFonts w:hint="eastAsia" w:ascii="新宋体" w:hAnsi="新宋体" w:eastAsia="新宋体" w:cs="Times New Roman"/>
          <w:bCs/>
        </w:rPr>
        <w:t>三、给排水及供气业务要求</w:t>
      </w:r>
      <w:bookmarkEnd w:id="501"/>
      <w:bookmarkEnd w:id="502"/>
      <w:bookmarkEnd w:id="503"/>
      <w:bookmarkEnd w:id="504"/>
    </w:p>
    <w:p w14:paraId="6E15DF35">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一）全面负责学院给排水管理及维修工作，努力提高服务质量，接到报修报告或报修单后5分钟内做出响应，10分钟内到达现场处理故障，属人为损坏的必须落实有关责任人；给排水维修师生满意度投诉率低于1%；</w:t>
      </w:r>
    </w:p>
    <w:p w14:paraId="0338A13A">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（二）负责联系安宁供水部门，及时</w:t>
      </w:r>
      <w:r>
        <w:rPr>
          <w:rFonts w:hint="eastAsia" w:ascii="新宋体" w:hAnsi="新宋体" w:eastAsia="新宋体" w:cs="Times New Roman"/>
          <w:color w:val="auto"/>
        </w:rPr>
        <w:t>掌</w:t>
      </w:r>
      <w:r>
        <w:rPr>
          <w:rFonts w:hint="eastAsia" w:ascii="新宋体" w:hAnsi="新宋体" w:eastAsia="新宋体" w:cs="Times New Roman"/>
        </w:rPr>
        <w:t>握供停水有关信息，100%向全院发布供停水信息，迅速查明停水原因，采取应急措施。</w:t>
      </w:r>
    </w:p>
    <w:p w14:paraId="61ACD17A">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（三）负责节水较上年度节约5%目标任务，制定科学合理的节能方案；</w:t>
      </w:r>
    </w:p>
    <w:p w14:paraId="7AC9AE88">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（四）负责给排水日常、周、月、季度、年度检查检修工作，制定工作计划并组织实施，对给排水故障100%组织维修；</w:t>
      </w:r>
    </w:p>
    <w:p w14:paraId="6D82B5A1">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（五）每月定期检查安宁校区用水情况，统计分析用水实际，分类整理用水数据交后勤基建处；每月25日前前完成有关单位欠费追缴并上交后勤基建处；</w:t>
      </w:r>
    </w:p>
    <w:p w14:paraId="55EE3774">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（六）负责水泵房的日常检查和维护，负责水泵房日常卫生工作，卫生达二级标准；负责每年2次水池清洗的组织和管理（水池清洗和证照办理费用由学院支付）；</w:t>
      </w:r>
    </w:p>
    <w:p w14:paraId="6837E94F">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（七）负责中水处理系统的日常管理，确保中水100%达标排放；</w:t>
      </w:r>
    </w:p>
    <w:p w14:paraId="7F205D3B">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（八）组织开展每年3月22-28日节水周工作，有计划、有组织、有实施、有总结；</w:t>
      </w:r>
    </w:p>
    <w:p w14:paraId="1555B25D">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(九）严格遵守有关安全操作规程，杜绝人身、设备设施安全事故；</w:t>
      </w:r>
    </w:p>
    <w:p w14:paraId="2B1B0F12">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(十)负责浴室日常管理，设施设备日常检查维护，确保资产完好率达98%以上；</w:t>
      </w:r>
    </w:p>
    <w:p w14:paraId="58F31D33">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(十一)负责浴室日常开放管理，环境卫生达二级标准，师生满意度投诉低于1%；</w:t>
      </w:r>
    </w:p>
    <w:p w14:paraId="789A80B9">
      <w:pPr>
        <w:spacing w:line="360" w:lineRule="auto"/>
        <w:ind w:firstLine="420" w:firstLineChars="200"/>
        <w:jc w:val="left"/>
        <w:rPr>
          <w:rFonts w:ascii="新宋体" w:hAnsi="新宋体" w:eastAsia="新宋体" w:cs="Times New Roman"/>
        </w:rPr>
      </w:pPr>
      <w:r>
        <w:rPr>
          <w:rFonts w:hint="eastAsia" w:ascii="新宋体" w:hAnsi="新宋体" w:eastAsia="新宋体" w:cs="Times New Roman"/>
        </w:rPr>
        <w:t>（十二）负责监督检查用气单位设施设备安全，定期检查表房运行情况，配合煤气公司做好调压站环境建设，及时汇报安全隐患 ；及时与煤气公司联系，掌握供停气动态，通知主管部门和用气单位；</w:t>
      </w:r>
    </w:p>
    <w:p w14:paraId="022F5969">
      <w:pPr>
        <w:spacing w:line="360" w:lineRule="auto"/>
        <w:ind w:firstLine="420" w:firstLineChars="200"/>
        <w:jc w:val="left"/>
        <w:rPr>
          <w:rFonts w:hint="eastAsia" w:ascii="新宋体" w:hAnsi="新宋体" w:eastAsia="新宋体" w:cs="Times New Roman"/>
        </w:rPr>
      </w:pPr>
      <w:r>
        <w:rPr>
          <w:rFonts w:hint="eastAsia" w:ascii="新宋体" w:hAnsi="新宋体" w:eastAsia="新宋体" w:cs="Times New Roman"/>
        </w:rPr>
        <w:t>（</w:t>
      </w:r>
      <w:r>
        <w:rPr>
          <w:rFonts w:ascii="新宋体" w:hAnsi="新宋体" w:eastAsia="新宋体" w:cs="Times New Roman"/>
        </w:rPr>
        <w:t>十三）负责</w:t>
      </w:r>
      <w:r>
        <w:rPr>
          <w:rFonts w:hint="eastAsia" w:ascii="新宋体" w:hAnsi="新宋体" w:eastAsia="新宋体" w:cs="Times New Roman"/>
        </w:rPr>
        <w:t>水</w:t>
      </w:r>
      <w:r>
        <w:rPr>
          <w:rFonts w:ascii="新宋体" w:hAnsi="新宋体" w:eastAsia="新宋体" w:cs="Times New Roman"/>
        </w:rPr>
        <w:t>泵房</w:t>
      </w:r>
      <w:r>
        <w:rPr>
          <w:rFonts w:hint="eastAsia" w:ascii="新宋体" w:hAnsi="新宋体" w:eastAsia="新宋体" w:cs="Times New Roman"/>
        </w:rPr>
        <w:t>24小</w:t>
      </w:r>
      <w:r>
        <w:rPr>
          <w:rFonts w:ascii="新宋体" w:hAnsi="新宋体" w:eastAsia="新宋体" w:cs="Times New Roman"/>
        </w:rPr>
        <w:t>时值班制管理，负责校园排水设施日常维护、疏通及管理</w:t>
      </w:r>
      <w:r>
        <w:rPr>
          <w:rFonts w:hint="eastAsia" w:ascii="新宋体" w:hAnsi="新宋体" w:eastAsia="新宋体" w:cs="Times New Roman"/>
        </w:rPr>
        <w:t>；</w:t>
      </w:r>
    </w:p>
    <w:p w14:paraId="0B22BB8C">
      <w:pPr>
        <w:spacing w:line="360" w:lineRule="auto"/>
        <w:ind w:firstLine="420" w:firstLineChars="200"/>
        <w:jc w:val="left"/>
        <w:rPr>
          <w:rFonts w:hint="eastAsia" w:ascii="新宋体" w:hAnsi="新宋体" w:eastAsia="新宋体" w:cs="Times New Roman"/>
        </w:rPr>
      </w:pPr>
      <w:r>
        <w:rPr>
          <w:rFonts w:hint="eastAsia" w:ascii="新宋体" w:hAnsi="新宋体" w:eastAsia="新宋体" w:cs="Times New Roman"/>
        </w:rPr>
        <w:t xml:space="preserve"> (十四)按时完成学院或业务主管部门交办的各项任务。</w:t>
      </w:r>
    </w:p>
    <w:p w14:paraId="400A63EC">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ind w:firstLine="420" w:firstLineChars="200"/>
        <w:jc w:val="center"/>
        <w:textAlignment w:val="auto"/>
        <w:rPr>
          <w:rFonts w:hint="eastAsia" w:ascii="宋体" w:hAnsi="宋体" w:eastAsia="宋体" w:cs="Times New Roman"/>
          <w:b/>
        </w:rPr>
      </w:pPr>
      <w:r>
        <w:rPr>
          <w:rFonts w:hint="eastAsia" w:ascii="宋体" w:hAnsi="宋体" w:eastAsia="宋体" w:cs="Times New Roman"/>
          <w:b/>
          <w:lang w:val="en-US" w:eastAsia="zh-CN"/>
        </w:rPr>
        <w:t>5.</w:t>
      </w:r>
      <w:r>
        <w:rPr>
          <w:rFonts w:hint="eastAsia" w:ascii="宋体" w:hAnsi="宋体" w:eastAsia="宋体" w:cs="Times New Roman"/>
          <w:b/>
        </w:rPr>
        <w:t>电梯管理员岗位要求</w:t>
      </w:r>
    </w:p>
    <w:p w14:paraId="2982B814">
      <w:pPr>
        <w:spacing w:line="360" w:lineRule="auto"/>
        <w:ind w:firstLine="420" w:firstLineChars="200"/>
        <w:jc w:val="left"/>
        <w:rPr>
          <w:rFonts w:ascii="新宋体" w:hAnsi="新宋体" w:eastAsia="新宋体" w:cs="Times New Roman"/>
          <w:bCs/>
        </w:rPr>
      </w:pPr>
      <w:r>
        <w:rPr>
          <w:rFonts w:hint="eastAsia" w:ascii="新宋体" w:hAnsi="新宋体" w:eastAsia="新宋体" w:cs="Times New Roman"/>
          <w:bCs/>
        </w:rPr>
        <w:t>一、基本要求</w:t>
      </w:r>
    </w:p>
    <w:p w14:paraId="56CA4541">
      <w:pPr>
        <w:spacing w:line="360" w:lineRule="auto"/>
        <w:ind w:firstLine="420" w:firstLineChars="200"/>
        <w:jc w:val="left"/>
        <w:rPr>
          <w:rFonts w:hint="eastAsia" w:ascii="新宋体" w:hAnsi="新宋体" w:eastAsia="新宋体" w:cs="Times New Roman"/>
        </w:rPr>
      </w:pPr>
      <w:r>
        <w:rPr>
          <w:rFonts w:hint="eastAsia" w:ascii="新宋体" w:hAnsi="新宋体" w:eastAsia="新宋体" w:cs="Times New Roman"/>
        </w:rPr>
        <w:t>具备高中及技校以上文化，持有特种设备作业</w:t>
      </w:r>
      <w:r>
        <w:rPr>
          <w:rFonts w:ascii="新宋体" w:hAnsi="新宋体" w:eastAsia="新宋体" w:cs="Times New Roman"/>
        </w:rPr>
        <w:t>人员</w:t>
      </w:r>
      <w:r>
        <w:rPr>
          <w:rFonts w:hint="eastAsia" w:ascii="新宋体" w:hAnsi="新宋体" w:eastAsia="新宋体" w:cs="Times New Roman"/>
        </w:rPr>
        <w:t>资格证书，身体健康，无精神疾患。能吃苦耐劳，工作有上进心。遵守国家法律、法规，无违法犯罪记录，遵守各项规章制度，服从工作安排，文明服务，态度和蔼，礼貌待人。</w:t>
      </w:r>
    </w:p>
    <w:p w14:paraId="2D7C770B">
      <w:pPr>
        <w:spacing w:line="360" w:lineRule="auto"/>
        <w:ind w:firstLine="420" w:firstLineChars="200"/>
        <w:jc w:val="left"/>
        <w:rPr>
          <w:rFonts w:hint="eastAsia" w:ascii="新宋体" w:hAnsi="新宋体" w:eastAsia="新宋体" w:cs="Times New Roman"/>
          <w:b/>
        </w:rPr>
      </w:pPr>
      <w:r>
        <w:rPr>
          <w:rFonts w:hint="eastAsia" w:ascii="新宋体" w:hAnsi="新宋体" w:eastAsia="新宋体" w:cs="Times New Roman"/>
          <w:b/>
        </w:rPr>
        <w:t>二</w:t>
      </w:r>
      <w:r>
        <w:rPr>
          <w:rFonts w:ascii="新宋体" w:hAnsi="新宋体" w:eastAsia="新宋体" w:cs="Times New Roman"/>
          <w:b/>
        </w:rPr>
        <w:t>、</w:t>
      </w:r>
      <w:r>
        <w:rPr>
          <w:rFonts w:hint="eastAsia" w:ascii="新宋体" w:hAnsi="新宋体" w:eastAsia="新宋体" w:cs="Times New Roman"/>
          <w:b/>
        </w:rPr>
        <w:t>工作要求</w:t>
      </w:r>
    </w:p>
    <w:p w14:paraId="0F8E9C36">
      <w:pPr>
        <w:numPr>
          <w:ilvl w:val="3"/>
          <w:numId w:val="12"/>
        </w:numPr>
        <w:spacing w:line="360" w:lineRule="auto"/>
        <w:ind w:left="0" w:firstLine="420" w:firstLineChars="200"/>
        <w:jc w:val="left"/>
        <w:rPr>
          <w:rFonts w:hint="eastAsia" w:ascii="新宋体" w:hAnsi="新宋体" w:eastAsia="新宋体" w:cs="Times New Roman"/>
        </w:rPr>
      </w:pPr>
      <w:r>
        <w:rPr>
          <w:rFonts w:hint="eastAsia" w:ascii="新宋体" w:hAnsi="新宋体" w:eastAsia="新宋体" w:cs="Times New Roman"/>
        </w:rPr>
        <w:t>熟悉住宅区内电梯的构造、分布性能和使用方法。</w:t>
      </w:r>
    </w:p>
    <w:p w14:paraId="091C1B2A">
      <w:pPr>
        <w:numPr>
          <w:ilvl w:val="3"/>
          <w:numId w:val="12"/>
        </w:numPr>
        <w:spacing w:line="360" w:lineRule="auto"/>
        <w:ind w:left="0" w:firstLine="420" w:firstLineChars="200"/>
        <w:jc w:val="left"/>
        <w:rPr>
          <w:rFonts w:hint="eastAsia" w:ascii="新宋体" w:hAnsi="新宋体" w:eastAsia="新宋体" w:cs="Times New Roman"/>
        </w:rPr>
      </w:pPr>
      <w:r>
        <w:rPr>
          <w:rFonts w:hint="eastAsia" w:ascii="新宋体" w:hAnsi="新宋体" w:eastAsia="新宋体" w:cs="Times New Roman"/>
        </w:rPr>
        <w:t>严格遵守电梯安全操作管理规程。</w:t>
      </w:r>
    </w:p>
    <w:p w14:paraId="44A4F757">
      <w:pPr>
        <w:numPr>
          <w:ilvl w:val="3"/>
          <w:numId w:val="12"/>
        </w:numPr>
        <w:spacing w:line="360" w:lineRule="auto"/>
        <w:ind w:left="0" w:firstLine="420" w:firstLineChars="200"/>
        <w:jc w:val="left"/>
        <w:rPr>
          <w:rFonts w:hint="eastAsia" w:ascii="新宋体" w:hAnsi="新宋体" w:eastAsia="新宋体" w:cs="Times New Roman"/>
        </w:rPr>
      </w:pPr>
      <w:r>
        <w:rPr>
          <w:rFonts w:hint="eastAsia" w:ascii="新宋体" w:hAnsi="新宋体" w:eastAsia="新宋体" w:cs="Times New Roman"/>
        </w:rPr>
        <w:t>参加小区电梯验收和接管工作。工作应一丝不苟，严把现场质量关，杜绝任何隐患，为保证业主安全尽职尽责。</w:t>
      </w:r>
    </w:p>
    <w:p w14:paraId="02D1C279">
      <w:pPr>
        <w:numPr>
          <w:ilvl w:val="3"/>
          <w:numId w:val="12"/>
        </w:numPr>
        <w:spacing w:line="360" w:lineRule="auto"/>
        <w:ind w:left="0" w:firstLine="420" w:firstLineChars="200"/>
        <w:jc w:val="left"/>
        <w:rPr>
          <w:rFonts w:hint="eastAsia" w:ascii="新宋体" w:hAnsi="新宋体" w:eastAsia="新宋体" w:cs="Times New Roman"/>
        </w:rPr>
      </w:pPr>
      <w:r>
        <w:rPr>
          <w:rFonts w:hint="eastAsia" w:ascii="新宋体" w:hAnsi="新宋体" w:eastAsia="新宋体" w:cs="Times New Roman"/>
        </w:rPr>
        <w:t>每天对电梯机房的设备、温度、通风状况等巡视检查一遍，及时发现和排除各种不正常的现象。</w:t>
      </w:r>
    </w:p>
    <w:p w14:paraId="361AF77A">
      <w:pPr>
        <w:numPr>
          <w:ilvl w:val="3"/>
          <w:numId w:val="12"/>
        </w:numPr>
        <w:spacing w:line="360" w:lineRule="auto"/>
        <w:ind w:left="0" w:firstLine="420" w:firstLineChars="200"/>
        <w:jc w:val="left"/>
        <w:rPr>
          <w:rFonts w:hint="eastAsia" w:ascii="新宋体" w:hAnsi="新宋体" w:eastAsia="新宋体" w:cs="Times New Roman"/>
        </w:rPr>
      </w:pPr>
      <w:r>
        <w:rPr>
          <w:rFonts w:hint="eastAsia" w:ascii="新宋体" w:hAnsi="新宋体" w:eastAsia="新宋体" w:cs="Times New Roman"/>
        </w:rPr>
        <w:t>每天对电梯进行检查，观察电梯运行时有无震荡、摩擦声，底坑有无积水，井道、底坑、轿箱内照明、求救警铃风扇和通讯电话是否正常等，发现问题应立即处理，并将每次检查结果详细记录备案。</w:t>
      </w:r>
    </w:p>
    <w:p w14:paraId="7FCD2102">
      <w:pPr>
        <w:numPr>
          <w:ilvl w:val="3"/>
          <w:numId w:val="12"/>
        </w:numPr>
        <w:spacing w:line="360" w:lineRule="auto"/>
        <w:ind w:left="0" w:firstLine="420" w:firstLineChars="200"/>
        <w:jc w:val="left"/>
        <w:rPr>
          <w:rFonts w:hint="eastAsia" w:ascii="新宋体" w:hAnsi="新宋体" w:eastAsia="新宋体" w:cs="Times New Roman"/>
        </w:rPr>
      </w:pPr>
      <w:r>
        <w:rPr>
          <w:rFonts w:hint="eastAsia" w:ascii="新宋体" w:hAnsi="新宋体" w:eastAsia="新宋体" w:cs="Times New Roman"/>
        </w:rPr>
        <w:t>电梯出现紧急情况，接到通知后30分钟内赶到现场，分析故障原因，了解损失程度并及时采取对策措施，对解决不了的技术问题应及时向主管领导汇报。</w:t>
      </w:r>
    </w:p>
    <w:p w14:paraId="4D89129D">
      <w:pPr>
        <w:numPr>
          <w:ilvl w:val="3"/>
          <w:numId w:val="12"/>
        </w:numPr>
        <w:spacing w:line="360" w:lineRule="auto"/>
        <w:ind w:left="0" w:firstLine="420" w:firstLineChars="200"/>
        <w:jc w:val="left"/>
        <w:rPr>
          <w:rFonts w:hint="eastAsia" w:ascii="新宋体" w:hAnsi="新宋体" w:eastAsia="新宋体" w:cs="Times New Roman"/>
        </w:rPr>
      </w:pPr>
      <w:r>
        <w:rPr>
          <w:rFonts w:hint="eastAsia" w:ascii="新宋体" w:hAnsi="新宋体" w:eastAsia="新宋体" w:cs="Times New Roman"/>
        </w:rPr>
        <w:t>保持轿箱与门厅的清洁卫生，保持门系统的正常开合。</w:t>
      </w:r>
    </w:p>
    <w:p w14:paraId="2EB7AE4C">
      <w:pPr>
        <w:numPr>
          <w:ilvl w:val="3"/>
          <w:numId w:val="12"/>
        </w:numPr>
        <w:spacing w:line="360" w:lineRule="auto"/>
        <w:ind w:left="0" w:firstLine="420" w:firstLineChars="200"/>
        <w:jc w:val="left"/>
        <w:rPr>
          <w:rFonts w:hint="eastAsia" w:ascii="新宋体" w:hAnsi="新宋体" w:eastAsia="新宋体" w:cs="Times New Roman"/>
        </w:rPr>
      </w:pPr>
      <w:r>
        <w:rPr>
          <w:rFonts w:hint="eastAsia" w:ascii="新宋体" w:hAnsi="新宋体" w:eastAsia="新宋体" w:cs="Times New Roman"/>
        </w:rPr>
        <w:t>电梯运行中出现突然故障，应首先救援出被困乘客，及时报告有关人员进行维修。</w:t>
      </w:r>
    </w:p>
    <w:p w14:paraId="06F92683">
      <w:pPr>
        <w:numPr>
          <w:ilvl w:val="3"/>
          <w:numId w:val="12"/>
        </w:numPr>
        <w:spacing w:line="360" w:lineRule="auto"/>
        <w:ind w:left="0" w:firstLine="420" w:firstLineChars="200"/>
        <w:jc w:val="left"/>
        <w:rPr>
          <w:rFonts w:hint="eastAsia" w:ascii="新宋体" w:hAnsi="新宋体" w:eastAsia="新宋体" w:cs="Times New Roman"/>
        </w:rPr>
      </w:pPr>
      <w:r>
        <w:rPr>
          <w:rFonts w:hint="eastAsia" w:ascii="新宋体" w:hAnsi="新宋体" w:eastAsia="新宋体" w:cs="Times New Roman"/>
        </w:rPr>
        <w:t>严格遵守电梯值班员的值班和机电设备的巡视检查制度。</w:t>
      </w:r>
    </w:p>
    <w:p w14:paraId="499A107D">
      <w:pPr>
        <w:numPr>
          <w:ilvl w:val="3"/>
          <w:numId w:val="12"/>
        </w:numPr>
        <w:spacing w:line="360" w:lineRule="auto"/>
        <w:ind w:left="0" w:firstLine="420" w:firstLineChars="200"/>
        <w:jc w:val="left"/>
        <w:rPr>
          <w:rFonts w:hint="eastAsia" w:ascii="新宋体" w:hAnsi="新宋体" w:eastAsia="新宋体" w:cs="Times New Roman"/>
        </w:rPr>
      </w:pPr>
      <w:r>
        <w:rPr>
          <w:rFonts w:hint="eastAsia" w:ascii="新宋体" w:hAnsi="新宋体" w:eastAsia="新宋体" w:cs="Times New Roman"/>
        </w:rPr>
        <w:t>积极参加技术培训活动，努力提高技术水平。</w:t>
      </w:r>
    </w:p>
    <w:p w14:paraId="7F80EBDB">
      <w:pPr>
        <w:numPr>
          <w:ilvl w:val="3"/>
          <w:numId w:val="12"/>
        </w:numPr>
        <w:spacing w:line="360" w:lineRule="auto"/>
        <w:ind w:left="0" w:firstLine="420" w:firstLineChars="200"/>
        <w:jc w:val="left"/>
        <w:rPr>
          <w:rFonts w:ascii="新宋体" w:hAnsi="新宋体" w:eastAsia="新宋体" w:cs="Times New Roman"/>
          <w:b/>
          <w:szCs w:val="21"/>
        </w:rPr>
      </w:pPr>
      <w:r>
        <w:rPr>
          <w:rFonts w:hint="eastAsia" w:ascii="新宋体" w:hAnsi="新宋体" w:eastAsia="新宋体" w:cs="Times New Roman"/>
        </w:rPr>
        <w:t>完成上级交办的其他任务。</w:t>
      </w:r>
    </w:p>
    <w:p w14:paraId="06924FA8">
      <w:pPr>
        <w:keepNext w:val="0"/>
        <w:keepLines w:val="0"/>
        <w:pageBreakBefore w:val="0"/>
        <w:widowControl w:val="0"/>
        <w:kinsoku/>
        <w:wordWrap/>
        <w:overflowPunct/>
        <w:topLinePunct w:val="0"/>
        <w:autoSpaceDE/>
        <w:autoSpaceDN/>
        <w:bidi w:val="0"/>
        <w:adjustRightInd/>
        <w:snapToGrid/>
        <w:spacing w:before="313" w:beforeLines="100" w:after="313" w:afterLines="100"/>
        <w:jc w:val="center"/>
        <w:textAlignment w:val="auto"/>
        <w:rPr>
          <w:rFonts w:hint="eastAsia" w:ascii="新宋体" w:hAnsi="新宋体" w:eastAsia="新宋体" w:cs="Times New Roman"/>
          <w:szCs w:val="21"/>
        </w:rPr>
      </w:pPr>
      <w:r>
        <w:rPr>
          <w:rFonts w:hint="eastAsia" w:ascii="新宋体" w:hAnsi="新宋体" w:eastAsia="新宋体" w:cs="Times New Roman"/>
          <w:b/>
          <w:szCs w:val="21"/>
          <w:lang w:val="en-US" w:eastAsia="zh-CN"/>
        </w:rPr>
        <w:t>6.</w:t>
      </w:r>
      <w:r>
        <w:rPr>
          <w:rFonts w:hint="eastAsia" w:ascii="新宋体" w:hAnsi="新宋体" w:eastAsia="新宋体" w:cs="Times New Roman"/>
          <w:b/>
          <w:szCs w:val="21"/>
        </w:rPr>
        <w:t>水电充值管理员工</w:t>
      </w:r>
      <w:r>
        <w:rPr>
          <w:rFonts w:ascii="新宋体" w:hAnsi="新宋体" w:eastAsia="新宋体" w:cs="Times New Roman"/>
          <w:b/>
          <w:szCs w:val="21"/>
        </w:rPr>
        <w:t>作</w:t>
      </w:r>
      <w:r>
        <w:rPr>
          <w:rFonts w:hint="eastAsia" w:ascii="新宋体" w:hAnsi="新宋体" w:eastAsia="新宋体" w:cs="Times New Roman"/>
          <w:b/>
          <w:szCs w:val="21"/>
        </w:rPr>
        <w:t xml:space="preserve">要求 </w:t>
      </w:r>
    </w:p>
    <w:p w14:paraId="505ED3FE">
      <w:pPr>
        <w:keepNext w:val="0"/>
        <w:keepLines w:val="0"/>
        <w:pageBreakBefore w:val="0"/>
        <w:widowControl w:val="0"/>
        <w:kinsoku/>
        <w:wordWrap/>
        <w:overflowPunct/>
        <w:topLinePunct w:val="0"/>
        <w:autoSpaceDE/>
        <w:autoSpaceDN/>
        <w:bidi w:val="0"/>
        <w:adjustRightInd/>
        <w:snapToGrid/>
        <w:spacing w:line="360" w:lineRule="auto"/>
        <w:ind w:left="420" w:right="0" w:rightChars="0" w:firstLine="420" w:firstLineChars="200"/>
        <w:jc w:val="both"/>
        <w:textAlignment w:val="auto"/>
        <w:outlineLvl w:val="9"/>
        <w:rPr>
          <w:rFonts w:hint="eastAsia" w:ascii="新宋体" w:hAnsi="新宋体" w:eastAsia="新宋体" w:cs="Times New Roman"/>
          <w:szCs w:val="21"/>
        </w:rPr>
      </w:pPr>
      <w:r>
        <w:rPr>
          <w:rFonts w:hint="eastAsia" w:ascii="新宋体" w:hAnsi="新宋体" w:eastAsia="新宋体" w:cs="Times New Roman"/>
          <w:szCs w:val="21"/>
        </w:rPr>
        <w:t>一、每学期开学之前，按照学院规定对学生宿舍进行定额水电充值；</w:t>
      </w:r>
    </w:p>
    <w:p w14:paraId="5EB711E4">
      <w:pPr>
        <w:keepNext w:val="0"/>
        <w:keepLines w:val="0"/>
        <w:pageBreakBefore w:val="0"/>
        <w:widowControl w:val="0"/>
        <w:kinsoku/>
        <w:wordWrap/>
        <w:overflowPunct/>
        <w:topLinePunct w:val="0"/>
        <w:autoSpaceDE/>
        <w:autoSpaceDN/>
        <w:bidi w:val="0"/>
        <w:adjustRightInd/>
        <w:snapToGrid/>
        <w:spacing w:line="360" w:lineRule="auto"/>
        <w:ind w:left="420" w:right="0" w:rightChars="0" w:firstLine="420" w:firstLineChars="200"/>
        <w:jc w:val="both"/>
        <w:textAlignment w:val="auto"/>
        <w:outlineLvl w:val="9"/>
        <w:rPr>
          <w:rFonts w:hint="eastAsia" w:ascii="新宋体" w:hAnsi="新宋体" w:eastAsia="新宋体" w:cs="Times New Roman"/>
          <w:szCs w:val="21"/>
        </w:rPr>
      </w:pPr>
      <w:r>
        <w:rPr>
          <w:rFonts w:hint="eastAsia" w:ascii="新宋体" w:hAnsi="新宋体" w:eastAsia="新宋体" w:cs="Times New Roman"/>
          <w:szCs w:val="21"/>
        </w:rPr>
        <w:t>二、及时完成日常水电充值、临时水电充值工作并做好记录，定期报送用水用电充值月报表、季报表，做到账目清楚，所收费用及时上缴；</w:t>
      </w:r>
    </w:p>
    <w:p w14:paraId="19EE8F80">
      <w:pPr>
        <w:keepNext w:val="0"/>
        <w:keepLines w:val="0"/>
        <w:pageBreakBefore w:val="0"/>
        <w:widowControl w:val="0"/>
        <w:kinsoku/>
        <w:wordWrap/>
        <w:overflowPunct/>
        <w:topLinePunct w:val="0"/>
        <w:autoSpaceDE/>
        <w:autoSpaceDN/>
        <w:bidi w:val="0"/>
        <w:adjustRightInd/>
        <w:snapToGrid/>
        <w:spacing w:line="360" w:lineRule="auto"/>
        <w:ind w:left="420" w:right="0" w:rightChars="0" w:firstLine="420" w:firstLineChars="200"/>
        <w:jc w:val="both"/>
        <w:textAlignment w:val="auto"/>
        <w:outlineLvl w:val="9"/>
        <w:rPr>
          <w:rFonts w:hint="eastAsia" w:ascii="新宋体" w:hAnsi="新宋体" w:eastAsia="新宋体" w:cs="Times New Roman"/>
          <w:szCs w:val="21"/>
        </w:rPr>
      </w:pPr>
      <w:r>
        <w:rPr>
          <w:rFonts w:hint="eastAsia" w:ascii="新宋体" w:hAnsi="新宋体" w:eastAsia="新宋体" w:cs="Times New Roman"/>
          <w:szCs w:val="21"/>
        </w:rPr>
        <w:t>三、遵守学院规章制度，努力学习专业知识，不断提高服务质量，坚持以服务师生为宗旨，以服务育人为己任。</w:t>
      </w:r>
    </w:p>
    <w:p w14:paraId="5EF0A1B9">
      <w:pPr>
        <w:keepNext w:val="0"/>
        <w:keepLines w:val="0"/>
        <w:pageBreakBefore w:val="0"/>
        <w:widowControl w:val="0"/>
        <w:kinsoku/>
        <w:wordWrap/>
        <w:overflowPunct/>
        <w:topLinePunct w:val="0"/>
        <w:autoSpaceDE/>
        <w:autoSpaceDN/>
        <w:bidi w:val="0"/>
        <w:adjustRightInd/>
        <w:snapToGrid/>
        <w:spacing w:line="360" w:lineRule="auto"/>
        <w:ind w:left="420" w:right="0" w:rightChars="0" w:firstLine="420" w:firstLineChars="200"/>
        <w:jc w:val="both"/>
        <w:textAlignment w:val="auto"/>
        <w:outlineLvl w:val="9"/>
        <w:rPr>
          <w:rFonts w:hint="eastAsia" w:ascii="新宋体" w:hAnsi="新宋体" w:eastAsia="新宋体" w:cs="Times New Roman"/>
          <w:szCs w:val="21"/>
        </w:rPr>
      </w:pPr>
      <w:r>
        <w:rPr>
          <w:rFonts w:hint="eastAsia" w:ascii="新宋体" w:hAnsi="新宋体" w:eastAsia="新宋体" w:cs="Times New Roman"/>
          <w:szCs w:val="21"/>
        </w:rPr>
        <w:t>四、管好用好水电充值计算机及设备,及时做好数据备份,保障数据安全和设备安全；</w:t>
      </w:r>
    </w:p>
    <w:p w14:paraId="2E722715">
      <w:pPr>
        <w:keepNext w:val="0"/>
        <w:keepLines w:val="0"/>
        <w:pageBreakBefore w:val="0"/>
        <w:widowControl w:val="0"/>
        <w:kinsoku/>
        <w:wordWrap/>
        <w:overflowPunct/>
        <w:topLinePunct w:val="0"/>
        <w:autoSpaceDE/>
        <w:autoSpaceDN/>
        <w:bidi w:val="0"/>
        <w:adjustRightInd/>
        <w:snapToGrid/>
        <w:spacing w:line="360" w:lineRule="auto"/>
        <w:ind w:left="420" w:right="0" w:rightChars="0" w:firstLine="420" w:firstLineChars="200"/>
        <w:jc w:val="both"/>
        <w:textAlignment w:val="auto"/>
        <w:outlineLvl w:val="9"/>
        <w:rPr>
          <w:rFonts w:hint="eastAsia" w:ascii="新宋体" w:hAnsi="新宋体" w:eastAsia="新宋体" w:cs="Times New Roman"/>
          <w:szCs w:val="21"/>
        </w:rPr>
      </w:pPr>
      <w:r>
        <w:rPr>
          <w:rFonts w:hint="eastAsia" w:ascii="新宋体" w:hAnsi="新宋体" w:eastAsia="新宋体" w:cs="Times New Roman"/>
          <w:szCs w:val="21"/>
        </w:rPr>
        <w:t>五、定期对水电充值数据进行分析，及时向水电工提供异常用水用电客户信息；</w:t>
      </w:r>
    </w:p>
    <w:p w14:paraId="6194A7B5">
      <w:pPr>
        <w:keepNext w:val="0"/>
        <w:keepLines w:val="0"/>
        <w:pageBreakBefore w:val="0"/>
        <w:widowControl w:val="0"/>
        <w:kinsoku/>
        <w:wordWrap/>
        <w:overflowPunct/>
        <w:topLinePunct w:val="0"/>
        <w:autoSpaceDE/>
        <w:autoSpaceDN/>
        <w:bidi w:val="0"/>
        <w:adjustRightInd/>
        <w:snapToGrid/>
        <w:spacing w:line="360" w:lineRule="auto"/>
        <w:ind w:right="0" w:rightChars="0" w:firstLine="840" w:firstLineChars="400"/>
        <w:jc w:val="both"/>
        <w:textAlignment w:val="auto"/>
        <w:outlineLvl w:val="9"/>
        <w:rPr>
          <w:rFonts w:ascii="新宋体" w:hAnsi="新宋体" w:eastAsia="新宋体" w:cs="Times New Roman"/>
          <w:b/>
          <w:szCs w:val="21"/>
        </w:rPr>
      </w:pPr>
      <w:r>
        <w:rPr>
          <w:rFonts w:hint="eastAsia" w:ascii="新宋体" w:hAnsi="新宋体" w:eastAsia="新宋体" w:cs="Times New Roman"/>
          <w:szCs w:val="21"/>
        </w:rPr>
        <w:t>六、按时、按质、按量完成领导交办的各项任务</w:t>
      </w:r>
    </w:p>
    <w:p w14:paraId="6B541552">
      <w:pPr>
        <w:pStyle w:val="64"/>
        <w:keepNext w:val="0"/>
        <w:keepLines w:val="0"/>
        <w:pageBreakBefore w:val="0"/>
        <w:widowControl/>
        <w:shd w:val="clear" w:color="auto" w:fill="auto"/>
        <w:kinsoku/>
        <w:wordWrap/>
        <w:overflowPunct/>
        <w:topLinePunct w:val="0"/>
        <w:autoSpaceDE/>
        <w:autoSpaceDN/>
        <w:bidi w:val="0"/>
        <w:adjustRightInd/>
        <w:snapToGrid/>
        <w:spacing w:before="313" w:beforeLines="100" w:beforeAutospacing="0" w:after="313" w:afterLines="100" w:afterAutospacing="0" w:line="360" w:lineRule="auto"/>
        <w:jc w:val="center"/>
        <w:textAlignment w:val="auto"/>
        <w:rPr>
          <w:rFonts w:hint="eastAsia" w:ascii="新宋体" w:hAnsi="新宋体" w:eastAsia="新宋体"/>
          <w:b/>
          <w:bCs/>
          <w:spacing w:val="2"/>
          <w:sz w:val="21"/>
          <w:szCs w:val="21"/>
        </w:rPr>
      </w:pPr>
      <w:r>
        <w:rPr>
          <w:rFonts w:hint="eastAsia" w:ascii="新宋体" w:hAnsi="新宋体" w:eastAsia="新宋体"/>
          <w:b/>
          <w:sz w:val="21"/>
          <w:szCs w:val="21"/>
          <w:lang w:val="en-US" w:eastAsia="zh-CN"/>
        </w:rPr>
        <w:t>7.</w:t>
      </w:r>
      <w:r>
        <w:rPr>
          <w:rFonts w:hint="eastAsia" w:ascii="新宋体" w:hAnsi="新宋体" w:eastAsia="新宋体"/>
          <w:b/>
          <w:sz w:val="21"/>
          <w:szCs w:val="21"/>
        </w:rPr>
        <w:t>仓库保管员工作职责</w:t>
      </w:r>
    </w:p>
    <w:p w14:paraId="091F8C88">
      <w:pPr>
        <w:pStyle w:val="65"/>
        <w:shd w:val="clear" w:color="auto" w:fill="auto"/>
        <w:spacing w:before="0" w:beforeAutospacing="0" w:after="0" w:afterAutospacing="0" w:line="360" w:lineRule="auto"/>
        <w:ind w:left="0" w:firstLine="420" w:firstLineChars="200"/>
        <w:rPr>
          <w:rFonts w:hint="eastAsia" w:ascii="新宋体" w:hAnsi="新宋体" w:eastAsia="新宋体"/>
          <w:spacing w:val="-7"/>
          <w:sz w:val="21"/>
          <w:szCs w:val="21"/>
        </w:rPr>
      </w:pPr>
      <w:r>
        <w:rPr>
          <w:rFonts w:hint="eastAsia" w:ascii="新宋体" w:hAnsi="新宋体" w:eastAsia="新宋体" w:cs="Times New Roman"/>
          <w:sz w:val="21"/>
          <w:szCs w:val="21"/>
        </w:rPr>
        <w:t>一、</w:t>
      </w:r>
      <w:r>
        <w:rPr>
          <w:rFonts w:hint="eastAsia" w:ascii="新宋体" w:hAnsi="新宋体" w:eastAsia="新宋体"/>
          <w:sz w:val="21"/>
          <w:szCs w:val="21"/>
        </w:rPr>
        <w:t>认真执行学院财产保管和分发物品的各项制度、规定，坚持原则，保证供应，努力做好本职工作；</w:t>
      </w:r>
    </w:p>
    <w:p w14:paraId="5F60ECB5">
      <w:pPr>
        <w:pStyle w:val="65"/>
        <w:shd w:val="clear" w:color="auto" w:fill="auto"/>
        <w:spacing w:before="0" w:beforeAutospacing="0" w:after="0" w:afterAutospacing="0" w:line="360" w:lineRule="auto"/>
        <w:ind w:left="0" w:firstLine="420" w:firstLineChars="200"/>
        <w:rPr>
          <w:rFonts w:hint="eastAsia" w:ascii="新宋体" w:hAnsi="新宋体" w:eastAsia="新宋体"/>
          <w:spacing w:val="-6"/>
          <w:sz w:val="21"/>
          <w:szCs w:val="21"/>
        </w:rPr>
      </w:pPr>
      <w:r>
        <w:rPr>
          <w:rFonts w:hint="eastAsia" w:ascii="新宋体" w:hAnsi="新宋体" w:eastAsia="新宋体" w:cs="Times New Roman"/>
          <w:sz w:val="21"/>
          <w:szCs w:val="21"/>
        </w:rPr>
        <w:t>二、</w:t>
      </w:r>
      <w:r>
        <w:rPr>
          <w:rFonts w:hint="eastAsia" w:ascii="新宋体" w:hAnsi="新宋体" w:eastAsia="新宋体"/>
          <w:sz w:val="21"/>
          <w:szCs w:val="21"/>
        </w:rPr>
        <w:t>物资购进入库，认真验收数量、质量，并分别做好入库手续，做到账物相符，防止差错；</w:t>
      </w:r>
    </w:p>
    <w:p w14:paraId="3C412A56">
      <w:pPr>
        <w:pStyle w:val="65"/>
        <w:shd w:val="clear" w:color="auto" w:fill="auto"/>
        <w:spacing w:before="0" w:beforeAutospacing="0" w:after="0" w:afterAutospacing="0" w:line="360" w:lineRule="auto"/>
        <w:ind w:left="0" w:firstLine="420" w:firstLineChars="200"/>
        <w:rPr>
          <w:rFonts w:hint="eastAsia" w:ascii="新宋体" w:hAnsi="新宋体" w:eastAsia="新宋体"/>
          <w:spacing w:val="-6"/>
          <w:sz w:val="21"/>
          <w:szCs w:val="21"/>
        </w:rPr>
      </w:pPr>
      <w:r>
        <w:rPr>
          <w:rFonts w:hint="eastAsia" w:ascii="新宋体" w:hAnsi="新宋体" w:eastAsia="新宋体" w:cs="Times New Roman"/>
          <w:sz w:val="21"/>
          <w:szCs w:val="21"/>
        </w:rPr>
        <w:t>三、</w:t>
      </w:r>
      <w:r>
        <w:rPr>
          <w:rFonts w:hint="eastAsia" w:ascii="新宋体" w:hAnsi="新宋体" w:eastAsia="新宋体"/>
          <w:sz w:val="21"/>
          <w:szCs w:val="21"/>
        </w:rPr>
        <w:t>添置各种物品应先做好计划经领导批准后方可执行；在确保有一定库存数量，又要防止积压变质；</w:t>
      </w:r>
    </w:p>
    <w:p w14:paraId="771B9EC3">
      <w:pPr>
        <w:pStyle w:val="65"/>
        <w:shd w:val="clear" w:color="auto" w:fill="auto"/>
        <w:spacing w:before="0" w:beforeAutospacing="0" w:after="0" w:afterAutospacing="0" w:line="360" w:lineRule="auto"/>
        <w:ind w:left="0" w:firstLine="420" w:firstLineChars="200"/>
        <w:rPr>
          <w:rFonts w:hint="eastAsia" w:ascii="新宋体" w:hAnsi="新宋体" w:eastAsia="新宋体"/>
          <w:spacing w:val="-5"/>
          <w:sz w:val="21"/>
          <w:szCs w:val="21"/>
        </w:rPr>
      </w:pPr>
      <w:r>
        <w:rPr>
          <w:rFonts w:hint="eastAsia" w:ascii="新宋体" w:hAnsi="新宋体" w:eastAsia="新宋体" w:cs="Times New Roman"/>
          <w:sz w:val="21"/>
          <w:szCs w:val="21"/>
        </w:rPr>
        <w:t>四</w:t>
      </w:r>
      <w:r>
        <w:rPr>
          <w:rFonts w:hint="eastAsia" w:ascii="新宋体" w:hAnsi="新宋体" w:eastAsia="新宋体"/>
          <w:sz w:val="21"/>
          <w:szCs w:val="21"/>
        </w:rPr>
        <w:t>、保管好各类物品，做到分类存放，整齐干净。注意仓库的通风卫生，防止物品的霉变和丢失；</w:t>
      </w:r>
    </w:p>
    <w:p w14:paraId="51ADF1C9">
      <w:pPr>
        <w:pStyle w:val="65"/>
        <w:shd w:val="clear" w:color="auto" w:fill="auto"/>
        <w:spacing w:before="0" w:beforeAutospacing="0" w:after="0" w:afterAutospacing="0" w:line="360" w:lineRule="auto"/>
        <w:ind w:left="0" w:firstLine="420" w:firstLineChars="200"/>
        <w:rPr>
          <w:rFonts w:hint="eastAsia" w:ascii="新宋体" w:hAnsi="新宋体" w:eastAsia="新宋体"/>
          <w:spacing w:val="-7"/>
          <w:sz w:val="21"/>
          <w:szCs w:val="21"/>
        </w:rPr>
      </w:pPr>
      <w:r>
        <w:rPr>
          <w:rFonts w:hint="eastAsia" w:ascii="新宋体" w:hAnsi="新宋体" w:eastAsia="新宋体" w:cs="Times New Roman"/>
          <w:sz w:val="21"/>
          <w:szCs w:val="21"/>
        </w:rPr>
        <w:t>五</w:t>
      </w:r>
      <w:r>
        <w:rPr>
          <w:rFonts w:hint="eastAsia" w:ascii="新宋体" w:hAnsi="新宋体" w:eastAsia="新宋体"/>
          <w:sz w:val="21"/>
          <w:szCs w:val="21"/>
        </w:rPr>
        <w:t>、发放各部门的必用物品必须按学院有关规定办理好领用手续，做到账目清楚，有据可查。所有物品要经领导批准后方可领用；</w:t>
      </w:r>
    </w:p>
    <w:p w14:paraId="2EF2516A">
      <w:pPr>
        <w:pStyle w:val="65"/>
        <w:shd w:val="clear" w:color="auto" w:fill="auto"/>
        <w:spacing w:before="0" w:beforeAutospacing="0" w:after="0" w:afterAutospacing="0" w:line="360" w:lineRule="auto"/>
        <w:ind w:left="0" w:firstLine="420" w:firstLineChars="200"/>
        <w:rPr>
          <w:rFonts w:hint="eastAsia" w:ascii="新宋体" w:hAnsi="新宋体" w:eastAsia="新宋体"/>
          <w:sz w:val="21"/>
          <w:szCs w:val="21"/>
        </w:rPr>
      </w:pPr>
      <w:r>
        <w:rPr>
          <w:rFonts w:hint="eastAsia" w:ascii="新宋体" w:hAnsi="新宋体" w:eastAsia="新宋体" w:cs="Times New Roman"/>
          <w:sz w:val="21"/>
          <w:szCs w:val="21"/>
        </w:rPr>
        <w:t>六</w:t>
      </w:r>
      <w:r>
        <w:rPr>
          <w:rFonts w:hint="eastAsia" w:ascii="新宋体" w:hAnsi="新宋体" w:eastAsia="新宋体"/>
          <w:sz w:val="21"/>
          <w:szCs w:val="21"/>
        </w:rPr>
        <w:t>、定期盘点，并及时向领导汇报盘点结果；</w:t>
      </w:r>
    </w:p>
    <w:p w14:paraId="4F880ADE">
      <w:pPr>
        <w:pStyle w:val="65"/>
        <w:shd w:val="clear" w:color="auto" w:fill="auto"/>
        <w:spacing w:before="0" w:beforeAutospacing="0" w:after="0" w:afterAutospacing="0" w:line="360" w:lineRule="auto"/>
        <w:ind w:left="0" w:firstLine="420" w:firstLineChars="200"/>
        <w:rPr>
          <w:rFonts w:hint="eastAsia" w:ascii="新宋体" w:hAnsi="新宋体" w:eastAsia="新宋体" w:cs="Times New Roman"/>
          <w:color w:val="FF0000"/>
          <w:sz w:val="21"/>
          <w:szCs w:val="21"/>
        </w:rPr>
      </w:pPr>
      <w:r>
        <w:rPr>
          <w:rFonts w:hint="eastAsia" w:ascii="新宋体" w:hAnsi="新宋体" w:eastAsia="新宋体"/>
          <w:sz w:val="21"/>
          <w:szCs w:val="21"/>
        </w:rPr>
        <w:t>七</w:t>
      </w:r>
      <w:r>
        <w:rPr>
          <w:rFonts w:hint="eastAsia" w:ascii="新宋体" w:hAnsi="新宋体" w:eastAsia="新宋体"/>
          <w:spacing w:val="-5"/>
          <w:sz w:val="21"/>
          <w:szCs w:val="21"/>
        </w:rPr>
        <w:t>、完成领导交办的其他工作。</w:t>
      </w:r>
    </w:p>
    <w:p w14:paraId="464F114A">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rPr>
          <w:rFonts w:ascii="宋体" w:hAnsi="宋体" w:eastAsia="宋体" w:cs="Times New Roman"/>
          <w:b/>
        </w:rPr>
      </w:pPr>
      <w:r>
        <w:rPr>
          <w:rFonts w:hint="eastAsia" w:ascii="宋体" w:hAnsi="宋体" w:eastAsia="宋体" w:cs="Times New Roman"/>
          <w:b/>
          <w:lang w:val="en-US" w:eastAsia="zh-CN"/>
        </w:rPr>
        <w:t>8.</w:t>
      </w:r>
      <w:r>
        <w:rPr>
          <w:rFonts w:hint="eastAsia" w:ascii="宋体" w:hAnsi="宋体" w:eastAsia="宋体" w:cs="Times New Roman"/>
          <w:b/>
        </w:rPr>
        <w:t>中水处理管理员岗位要求</w:t>
      </w:r>
    </w:p>
    <w:p w14:paraId="1D48C29A">
      <w:pPr>
        <w:spacing w:line="360" w:lineRule="auto"/>
        <w:ind w:firstLine="420" w:firstLineChars="200"/>
        <w:jc w:val="left"/>
        <w:rPr>
          <w:rFonts w:ascii="新宋体" w:hAnsi="新宋体" w:eastAsia="新宋体" w:cs="Times New Roman"/>
          <w:szCs w:val="21"/>
        </w:rPr>
      </w:pPr>
      <w:r>
        <w:rPr>
          <w:rFonts w:hint="eastAsia" w:ascii="新宋体" w:hAnsi="新宋体" w:eastAsia="新宋体" w:cs="Times New Roman"/>
          <w:szCs w:val="21"/>
        </w:rPr>
        <w:t>一、基本要求</w:t>
      </w:r>
    </w:p>
    <w:p w14:paraId="6EAFD454">
      <w:pPr>
        <w:spacing w:line="360" w:lineRule="auto"/>
        <w:ind w:firstLine="420" w:firstLineChars="200"/>
        <w:jc w:val="left"/>
        <w:rPr>
          <w:rFonts w:ascii="新宋体" w:hAnsi="新宋体" w:eastAsia="新宋体" w:cs="Times New Roman"/>
          <w:szCs w:val="21"/>
        </w:rPr>
      </w:pPr>
      <w:r>
        <w:rPr>
          <w:rFonts w:hint="eastAsia" w:ascii="新宋体" w:hAnsi="新宋体" w:eastAsia="新宋体" w:cs="Times New Roman"/>
          <w:szCs w:val="21"/>
        </w:rPr>
        <w:t>具备高中以上文化，具有</w:t>
      </w:r>
      <w:r>
        <w:rPr>
          <w:rFonts w:ascii="新宋体" w:hAnsi="新宋体" w:eastAsia="新宋体" w:cs="Times New Roman"/>
          <w:szCs w:val="21"/>
        </w:rPr>
        <w:t>污水处理相关</w:t>
      </w:r>
      <w:r>
        <w:rPr>
          <w:rFonts w:hint="eastAsia" w:ascii="新宋体" w:hAnsi="新宋体" w:eastAsia="新宋体" w:cs="Times New Roman"/>
          <w:szCs w:val="21"/>
        </w:rPr>
        <w:t>知识</w:t>
      </w:r>
      <w:r>
        <w:rPr>
          <w:rFonts w:ascii="新宋体" w:hAnsi="新宋体" w:eastAsia="新宋体" w:cs="Times New Roman"/>
          <w:szCs w:val="21"/>
        </w:rPr>
        <w:t>及工作经验</w:t>
      </w:r>
      <w:r>
        <w:rPr>
          <w:rFonts w:hint="eastAsia" w:ascii="新宋体" w:hAnsi="新宋体" w:eastAsia="新宋体" w:cs="Times New Roman"/>
          <w:szCs w:val="21"/>
        </w:rPr>
        <w:t>，身体健康，无精神疾患，能够进行报表制作和数据统计，遵守财经纪律，服从工作安排，遵守国家法律、法规，无违法犯罪记录，文明服务，态度和蔼，礼貌待人。</w:t>
      </w:r>
    </w:p>
    <w:p w14:paraId="24FCBE23">
      <w:pPr>
        <w:spacing w:line="360" w:lineRule="auto"/>
        <w:ind w:firstLine="420" w:firstLineChars="200"/>
        <w:jc w:val="left"/>
        <w:rPr>
          <w:rFonts w:hint="eastAsia" w:ascii="新宋体" w:hAnsi="新宋体" w:eastAsia="新宋体" w:cs="Times New Roman"/>
          <w:szCs w:val="21"/>
        </w:rPr>
      </w:pPr>
      <w:r>
        <w:rPr>
          <w:rFonts w:hint="eastAsia" w:ascii="新宋体" w:hAnsi="新宋体" w:eastAsia="新宋体" w:cs="Times New Roman"/>
          <w:szCs w:val="21"/>
        </w:rPr>
        <w:t>二、业务要求</w:t>
      </w:r>
    </w:p>
    <w:p w14:paraId="4C57C04D">
      <w:pPr>
        <w:spacing w:line="360" w:lineRule="auto"/>
        <w:ind w:firstLine="420" w:firstLineChars="200"/>
        <w:rPr>
          <w:rFonts w:hint="eastAsia" w:ascii="新宋体" w:hAnsi="新宋体" w:eastAsia="新宋体" w:cs="Times New Roman"/>
          <w:szCs w:val="21"/>
        </w:rPr>
      </w:pPr>
      <w:r>
        <w:rPr>
          <w:rFonts w:hint="eastAsia" w:ascii="新宋体" w:hAnsi="新宋体" w:eastAsia="新宋体" w:cs="Times New Roman"/>
          <w:szCs w:val="21"/>
        </w:rPr>
        <w:t xml:space="preserve">1.贯彻国家（环保法）和本公司规定的管理标准，坚守工作岗位，热爱本职工作，增强工作责任心。 </w:t>
      </w:r>
    </w:p>
    <w:p w14:paraId="2630A649">
      <w:pPr>
        <w:spacing w:line="360" w:lineRule="auto"/>
        <w:ind w:firstLine="420" w:firstLineChars="200"/>
        <w:rPr>
          <w:rFonts w:hint="eastAsia" w:ascii="新宋体" w:hAnsi="新宋体" w:eastAsia="新宋体" w:cs="Times New Roman"/>
          <w:szCs w:val="21"/>
        </w:rPr>
      </w:pPr>
      <w:r>
        <w:rPr>
          <w:rFonts w:hint="eastAsia" w:ascii="新宋体" w:hAnsi="新宋体" w:eastAsia="新宋体" w:cs="Times New Roman"/>
          <w:szCs w:val="21"/>
        </w:rPr>
        <w:t xml:space="preserve">2.熟悉设备性能和操作程序，定期保养好处理设备，密切注意水质，气压高低，确保设备安全运行。 </w:t>
      </w:r>
    </w:p>
    <w:p w14:paraId="5041A6E1">
      <w:pPr>
        <w:spacing w:line="360" w:lineRule="auto"/>
        <w:ind w:firstLine="420" w:firstLineChars="200"/>
        <w:rPr>
          <w:rFonts w:hint="eastAsia" w:ascii="新宋体" w:hAnsi="新宋体" w:eastAsia="新宋体" w:cs="Times New Roman"/>
          <w:szCs w:val="21"/>
        </w:rPr>
      </w:pPr>
      <w:r>
        <w:rPr>
          <w:rFonts w:hint="eastAsia" w:ascii="新宋体" w:hAnsi="新宋体" w:eastAsia="新宋体" w:cs="Times New Roman"/>
          <w:szCs w:val="21"/>
        </w:rPr>
        <w:t>3.掌握好处理药剂，污水流量和气压的比例，经常分析处理污水效果，做到未处理的污水不排放，不达到标准不排放，排放的污水必须达到国家和其他上级环保部门有关规定的排放标准。</w:t>
      </w:r>
    </w:p>
    <w:p w14:paraId="5C6A251D">
      <w:pPr>
        <w:spacing w:line="360" w:lineRule="auto"/>
        <w:ind w:firstLine="420" w:firstLineChars="200"/>
        <w:rPr>
          <w:rFonts w:hint="eastAsia" w:ascii="新宋体" w:hAnsi="新宋体" w:eastAsia="新宋体" w:cs="Times New Roman"/>
          <w:szCs w:val="21"/>
        </w:rPr>
      </w:pPr>
      <w:r>
        <w:rPr>
          <w:rFonts w:hint="eastAsia" w:ascii="新宋体" w:hAnsi="新宋体" w:eastAsia="新宋体" w:cs="Times New Roman"/>
          <w:szCs w:val="21"/>
        </w:rPr>
        <w:t>4.保持处理房内的环境清洁卫生，负责废渣、废泥的清理装运工作，且不得乱倒。</w:t>
      </w:r>
    </w:p>
    <w:p w14:paraId="2BC2F7FC">
      <w:pPr>
        <w:spacing w:line="360" w:lineRule="auto"/>
        <w:ind w:firstLine="420" w:firstLineChars="200"/>
        <w:rPr>
          <w:rFonts w:hint="eastAsia" w:ascii="新宋体" w:hAnsi="新宋体" w:eastAsia="新宋体" w:cs="Times New Roman"/>
          <w:color w:val="FF0000"/>
          <w:szCs w:val="21"/>
        </w:rPr>
      </w:pPr>
      <w:r>
        <w:rPr>
          <w:rFonts w:hint="eastAsia" w:ascii="新宋体" w:hAnsi="新宋体" w:eastAsia="新宋体" w:cs="Times New Roman"/>
          <w:szCs w:val="21"/>
        </w:rPr>
        <w:t>5.污水处理人员应做到“四懂”，“四会”。即懂污水处理基本知识、懂厂内构筑物的作用和管理方法、懂校</w:t>
      </w:r>
      <w:r>
        <w:rPr>
          <w:rFonts w:ascii="新宋体" w:hAnsi="新宋体" w:eastAsia="新宋体" w:cs="Times New Roman"/>
          <w:szCs w:val="21"/>
        </w:rPr>
        <w:t>内及污水处理</w:t>
      </w:r>
      <w:r>
        <w:rPr>
          <w:rFonts w:hint="eastAsia" w:ascii="新宋体" w:hAnsi="新宋体" w:eastAsia="新宋体" w:cs="Times New Roman"/>
          <w:szCs w:val="21"/>
        </w:rPr>
        <w:t>站管道分布和使用方法；懂技术经济指标的含义和计算方法；会合理配水，配药，会合理调节空气量，会正确控制排放剩余污泥量；会排除操作中的故障。</w:t>
      </w:r>
    </w:p>
    <w:p w14:paraId="258F8E74">
      <w:pPr>
        <w:spacing w:line="360" w:lineRule="auto"/>
        <w:ind w:firstLine="420" w:firstLineChars="200"/>
        <w:rPr>
          <w:rFonts w:hint="eastAsia" w:ascii="新宋体" w:hAnsi="新宋体" w:eastAsia="新宋体" w:cs="Times New Roman"/>
          <w:szCs w:val="21"/>
        </w:rPr>
      </w:pPr>
      <w:r>
        <w:rPr>
          <w:rFonts w:hint="eastAsia" w:ascii="新宋体" w:hAnsi="新宋体" w:eastAsia="新宋体" w:cs="Times New Roman"/>
          <w:szCs w:val="21"/>
        </w:rPr>
        <w:t xml:space="preserve">6.处理人员应严守劳动纪律，不迟到，不早退，不无帮旷工，坚守工作岗位，除必须的工作联系外，不得擅自离岗闲谈，。 </w:t>
      </w:r>
    </w:p>
    <w:p w14:paraId="128A9F90">
      <w:pPr>
        <w:spacing w:line="360" w:lineRule="auto"/>
        <w:ind w:firstLine="420" w:firstLineChars="200"/>
        <w:rPr>
          <w:rFonts w:hint="eastAsia" w:ascii="新宋体" w:hAnsi="新宋体" w:eastAsia="新宋体" w:cs="Times New Roman"/>
          <w:szCs w:val="21"/>
        </w:rPr>
      </w:pPr>
      <w:r>
        <w:rPr>
          <w:rFonts w:hint="eastAsia" w:ascii="新宋体" w:hAnsi="新宋体" w:eastAsia="新宋体" w:cs="Times New Roman"/>
          <w:szCs w:val="21"/>
        </w:rPr>
        <w:t xml:space="preserve">7.为了确保运行正常，水质达到标准，每二小时巡视一次，确认每个处理环节的设备运行状态。 </w:t>
      </w:r>
    </w:p>
    <w:p w14:paraId="08F78200">
      <w:pPr>
        <w:spacing w:line="360" w:lineRule="auto"/>
        <w:ind w:firstLine="420" w:firstLineChars="200"/>
        <w:rPr>
          <w:rFonts w:hint="eastAsia" w:ascii="新宋体" w:hAnsi="新宋体" w:eastAsia="新宋体" w:cs="Times New Roman"/>
          <w:szCs w:val="21"/>
        </w:rPr>
      </w:pPr>
      <w:r>
        <w:rPr>
          <w:rFonts w:hint="eastAsia" w:ascii="新宋体" w:hAnsi="新宋体" w:eastAsia="新宋体" w:cs="Times New Roman"/>
          <w:szCs w:val="21"/>
        </w:rPr>
        <w:t>8.做好交接班工作，</w:t>
      </w:r>
    </w:p>
    <w:p w14:paraId="18BE54BF">
      <w:pPr>
        <w:spacing w:line="360" w:lineRule="auto"/>
        <w:ind w:firstLine="420" w:firstLineChars="200"/>
        <w:rPr>
          <w:rFonts w:hint="eastAsia" w:ascii="新宋体" w:hAnsi="新宋体" w:eastAsia="新宋体" w:cs="Times New Roman"/>
          <w:szCs w:val="21"/>
        </w:rPr>
      </w:pPr>
      <w:r>
        <w:rPr>
          <w:rFonts w:hint="eastAsia" w:ascii="新宋体" w:hAnsi="新宋体" w:eastAsia="新宋体" w:cs="Times New Roman"/>
          <w:szCs w:val="21"/>
        </w:rPr>
        <w:t>⑴接班人员必须十分钟前到岗，做好各项准备工作和交班人员共同到现场全面巡视一次。</w:t>
      </w:r>
    </w:p>
    <w:p w14:paraId="201F9D70">
      <w:pPr>
        <w:spacing w:line="360" w:lineRule="auto"/>
        <w:ind w:firstLine="420" w:firstLineChars="200"/>
        <w:rPr>
          <w:rFonts w:hint="eastAsia" w:ascii="新宋体" w:hAnsi="新宋体" w:eastAsia="新宋体" w:cs="Times New Roman"/>
          <w:szCs w:val="21"/>
        </w:rPr>
      </w:pPr>
      <w:r>
        <w:rPr>
          <w:rFonts w:hint="eastAsia" w:ascii="新宋体" w:hAnsi="新宋体" w:eastAsia="新宋体" w:cs="Times New Roman"/>
          <w:szCs w:val="21"/>
        </w:rPr>
        <w:t>⑵交班应做到“三清</w:t>
      </w:r>
      <w:r>
        <w:rPr>
          <w:rFonts w:ascii="新宋体" w:hAnsi="新宋体" w:eastAsia="新宋体" w:cs="Times New Roman"/>
          <w:szCs w:val="21"/>
        </w:rPr>
        <w:t>”</w:t>
      </w:r>
      <w:r>
        <w:rPr>
          <w:rFonts w:hint="eastAsia" w:ascii="新宋体" w:hAnsi="新宋体" w:eastAsia="新宋体" w:cs="Times New Roman"/>
          <w:szCs w:val="21"/>
        </w:rPr>
        <w:t xml:space="preserve">。即交清水质，水量，气量及处理效果，交清运行记录和及具体工作内容。交清安全设施，工具物品，设备情况。如发现交班不清，可拒绝接班，由交班人完成后再接班。 </w:t>
      </w:r>
    </w:p>
    <w:p w14:paraId="4C2D8D8E">
      <w:pPr>
        <w:spacing w:line="360" w:lineRule="auto"/>
        <w:ind w:firstLine="420" w:firstLineChars="200"/>
        <w:rPr>
          <w:rFonts w:hint="eastAsia" w:ascii="新宋体" w:hAnsi="新宋体" w:eastAsia="新宋体" w:cs="Times New Roman"/>
          <w:szCs w:val="21"/>
        </w:rPr>
      </w:pPr>
      <w:r>
        <w:rPr>
          <w:rFonts w:hint="eastAsia" w:ascii="新宋体" w:hAnsi="新宋体" w:eastAsia="新宋体" w:cs="Times New Roman"/>
          <w:szCs w:val="21"/>
        </w:rPr>
        <w:t>⑶接班人员未到，交班人员不准，并及时向上级主管汇报经同意后方可离岗。</w:t>
      </w:r>
    </w:p>
    <w:p w14:paraId="2A4322E1">
      <w:pPr>
        <w:spacing w:line="360" w:lineRule="auto"/>
        <w:ind w:firstLine="420" w:firstLineChars="200"/>
        <w:rPr>
          <w:rFonts w:hint="eastAsia" w:ascii="新宋体" w:hAnsi="新宋体" w:eastAsia="新宋体" w:cs="Times New Roman"/>
          <w:szCs w:val="21"/>
        </w:rPr>
      </w:pPr>
      <w:r>
        <w:rPr>
          <w:rFonts w:hint="eastAsia" w:ascii="新宋体" w:hAnsi="新宋体" w:eastAsia="新宋体" w:cs="Times New Roman"/>
          <w:szCs w:val="21"/>
        </w:rPr>
        <w:t xml:space="preserve">9.认直执行安全操作规程，做好生产运转记录，根据记录表的要求，全面、准确、完整、及时、清晰地做好各项记录。做到帐目规范化，数据准确化。 </w:t>
      </w:r>
    </w:p>
    <w:p w14:paraId="70E4AD4F">
      <w:pPr>
        <w:spacing w:line="360" w:lineRule="auto"/>
        <w:ind w:firstLine="420" w:firstLineChars="200"/>
        <w:rPr>
          <w:rFonts w:hint="eastAsia" w:ascii="新宋体" w:hAnsi="新宋体" w:eastAsia="新宋体" w:cs="Times New Roman"/>
          <w:szCs w:val="21"/>
        </w:rPr>
      </w:pPr>
      <w:r>
        <w:rPr>
          <w:rFonts w:hint="eastAsia" w:ascii="新宋体" w:hAnsi="新宋体" w:eastAsia="新宋体" w:cs="Times New Roman"/>
          <w:szCs w:val="21"/>
        </w:rPr>
        <w:t>10.认真做好设备日常维护和保养工作，保证设备的清洁、整齐、润滑、安全、运行正常。</w:t>
      </w:r>
    </w:p>
    <w:p w14:paraId="3B2A461E">
      <w:pPr>
        <w:spacing w:line="360" w:lineRule="auto"/>
        <w:ind w:firstLine="420" w:firstLineChars="200"/>
        <w:rPr>
          <w:rFonts w:ascii="宋体" w:hAnsi="宋体" w:eastAsia="宋体" w:cs="Times New Roman"/>
        </w:rPr>
      </w:pPr>
      <w:r>
        <w:rPr>
          <w:rFonts w:hint="eastAsia" w:ascii="新宋体" w:hAnsi="新宋体" w:eastAsia="新宋体" w:cs="Times New Roman"/>
          <w:szCs w:val="21"/>
        </w:rPr>
        <w:t>11.及时编报上级规定的各类统计报表，注意收集与环保有关的资料，便于存档查阅。</w:t>
      </w:r>
    </w:p>
    <w:p w14:paraId="18545156">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ind w:firstLine="420" w:firstLineChars="200"/>
        <w:jc w:val="center"/>
        <w:textAlignment w:val="auto"/>
        <w:rPr>
          <w:rFonts w:hint="eastAsia" w:ascii="宋体" w:hAnsi="宋体" w:eastAsia="宋体" w:cs="Times New Roman"/>
          <w:b/>
          <w:color w:val="auto"/>
          <w:highlight w:val="none"/>
        </w:rPr>
      </w:pPr>
      <w:r>
        <w:rPr>
          <w:rFonts w:hint="eastAsia" w:ascii="宋体" w:hAnsi="宋体" w:eastAsia="宋体" w:cs="Times New Roman"/>
          <w:b/>
          <w:color w:val="auto"/>
          <w:highlight w:val="none"/>
          <w:lang w:val="en-US" w:eastAsia="zh-CN"/>
        </w:rPr>
        <w:t>9.</w:t>
      </w:r>
      <w:r>
        <w:rPr>
          <w:rFonts w:hint="eastAsia" w:ascii="宋体" w:hAnsi="宋体" w:eastAsia="宋体" w:cs="Times New Roman"/>
          <w:b/>
          <w:color w:val="auto"/>
          <w:highlight w:val="none"/>
        </w:rPr>
        <w:t>电瓶车驾驶员岗位</w:t>
      </w:r>
      <w:r>
        <w:rPr>
          <w:rFonts w:hint="eastAsia" w:ascii="宋体" w:hAnsi="宋体" w:eastAsia="宋体" w:cs="Times New Roman"/>
          <w:b/>
          <w:color w:val="auto"/>
          <w:highlight w:val="none"/>
          <w:lang w:eastAsia="zh-CN"/>
        </w:rPr>
        <w:t>要求</w:t>
      </w:r>
    </w:p>
    <w:p w14:paraId="6A72724E">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1.严格行公司的各项规章制度，按规定统一着装，挂牌上岗；</w:t>
      </w:r>
    </w:p>
    <w:p w14:paraId="76C4574C">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2.出车前，认真清扫车辆做到车内外清洁，并对车辆进行全面检查，达到车辆性能正常，方可出车；</w:t>
      </w:r>
    </w:p>
    <w:p w14:paraId="057FDFAF">
      <w:pPr>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3.电瓶车应由专人驾驶。严禁未经许可私自将车辆交（借）他入驾驶，如因违规使用导致发生任何损失的，由违规使用人与借出人员连带承担责任</w:t>
      </w:r>
    </w:p>
    <w:p w14:paraId="3FF0DE2A">
      <w:pPr>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4.电瓶车驾驶员原则上需持其本人有效汽车驾驶证驾驶车辆，如特殊情况（驾驶人员无汽车驾驶证）但工作所需其驾驶电动车的，相关资格需由经</w:t>
      </w:r>
    </w:p>
    <w:p w14:paraId="6F0A1DCE">
      <w:pPr>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营部经理审核报经理批准后并备案；</w:t>
      </w:r>
    </w:p>
    <w:p w14:paraId="5CEF8BDA">
      <w:pPr>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5.电瓶车非工作用途，禁止私自动用，违者承担因私用所产生的全部责任；</w:t>
      </w:r>
    </w:p>
    <w:p w14:paraId="03E03F7F">
      <w:pPr>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6.驾驶员须严格遵守交通法规，严禁驾车逆行、超速行驶及其他违反交通法规的行驶行为，违者由驾驶员承担全部责任；</w:t>
      </w:r>
    </w:p>
    <w:p w14:paraId="71409EB4">
      <w:pPr>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7.严禁酒后驾驶电瓶车，违者承担因酒后驾车所产生的全部责任。</w:t>
      </w:r>
    </w:p>
    <w:p w14:paraId="1A445D5C">
      <w:pPr>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8.运营过程中，未经同意不得收取现金，一经发现，给予严肃处理并处罚金500元；</w:t>
      </w:r>
    </w:p>
    <w:p w14:paraId="2A65E1A6">
      <w:pPr>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9.电瓶车需按定标准载人，不得超员搭载，拾到钱物主动归还失主，如找不到失主，应及时上报主管领导。</w:t>
      </w:r>
    </w:p>
    <w:p w14:paraId="591CB88F">
      <w:pPr>
        <w:spacing w:line="360" w:lineRule="auto"/>
        <w:jc w:val="left"/>
        <w:rPr>
          <w:rFonts w:ascii="宋体" w:hAnsi="宋体" w:eastAsia="宋体" w:cs="仿宋_GB2312"/>
          <w:b/>
          <w:sz w:val="28"/>
          <w:szCs w:val="28"/>
        </w:rPr>
      </w:pPr>
      <w:r>
        <w:rPr>
          <w:rFonts w:hint="eastAsia" w:ascii="宋体" w:hAnsi="宋体" w:eastAsia="宋体" w:cs="仿宋_GB2312"/>
          <w:b/>
          <w:bCs/>
          <w:sz w:val="28"/>
          <w:szCs w:val="28"/>
        </w:rPr>
        <w:br w:type="page"/>
      </w:r>
      <w:r>
        <w:rPr>
          <w:rFonts w:hint="eastAsia" w:ascii="宋体" w:hAnsi="宋体" w:eastAsia="宋体" w:cs="仿宋_GB2312"/>
          <w:b/>
          <w:bCs/>
          <w:sz w:val="28"/>
          <w:szCs w:val="28"/>
        </w:rPr>
        <w:t>附件2</w:t>
      </w:r>
    </w:p>
    <w:p w14:paraId="61EFC587">
      <w:pPr>
        <w:pageBreakBefore w:val="0"/>
        <w:widowControl w:val="0"/>
        <w:kinsoku/>
        <w:wordWrap/>
        <w:overflowPunct/>
        <w:topLinePunct w:val="0"/>
        <w:autoSpaceDE/>
        <w:autoSpaceDN/>
        <w:bidi w:val="0"/>
        <w:spacing w:before="156" w:beforeLines="50" w:after="0" w:afterLines="0" w:line="360" w:lineRule="exact"/>
        <w:jc w:val="center"/>
        <w:textAlignment w:val="auto"/>
        <w:rPr>
          <w:rFonts w:hint="eastAsia" w:ascii="宋体" w:hAnsi="宋体" w:eastAsia="宋体" w:cs="仿宋_GB2312"/>
          <w:b/>
          <w:bCs/>
          <w:sz w:val="28"/>
          <w:szCs w:val="28"/>
        </w:rPr>
      </w:pPr>
      <w:r>
        <w:rPr>
          <w:rFonts w:hint="eastAsia" w:ascii="宋体" w:hAnsi="宋体" w:eastAsia="宋体" w:cs="仿宋_GB2312"/>
          <w:b/>
          <w:sz w:val="32"/>
          <w:szCs w:val="32"/>
          <w:lang w:eastAsia="zh-CN"/>
        </w:rPr>
        <w:t>云南技师学院物业考核办法</w:t>
      </w:r>
    </w:p>
    <w:p w14:paraId="2A1BDF6D">
      <w:pPr>
        <w:keepNext w:val="0"/>
        <w:keepLines w:val="0"/>
        <w:pageBreakBefore w:val="0"/>
        <w:widowControl w:val="0"/>
        <w:kinsoku/>
        <w:wordWrap/>
        <w:overflowPunct/>
        <w:topLinePunct w:val="0"/>
        <w:autoSpaceDE/>
        <w:autoSpaceDN/>
        <w:bidi w:val="0"/>
        <w:adjustRightInd/>
        <w:snapToGrid/>
        <w:spacing w:before="313" w:beforeLines="100" w:line="360" w:lineRule="auto"/>
        <w:jc w:val="center"/>
        <w:textAlignment w:val="auto"/>
        <w:rPr>
          <w:rFonts w:hint="eastAsia" w:ascii="Times New Roman" w:hAnsi="Times New Roman" w:eastAsia="宋体" w:cs="Times New Roman"/>
          <w:lang w:val="en-US" w:eastAsia="zh-CN"/>
        </w:rPr>
      </w:pPr>
      <w:r>
        <w:rPr>
          <w:rFonts w:hint="eastAsia" w:ascii="黑体" w:hAnsi="黑体" w:eastAsia="黑体" w:cs="Times New Roman"/>
          <w:b/>
          <w:bCs/>
          <w:color w:val="auto"/>
          <w:sz w:val="32"/>
          <w:szCs w:val="32"/>
          <w:lang w:val="en-US" w:eastAsia="zh-CN"/>
        </w:rPr>
        <w:t>室内</w:t>
      </w:r>
      <w:r>
        <w:rPr>
          <w:rFonts w:hint="eastAsia" w:ascii="黑体" w:hAnsi="黑体" w:eastAsia="黑体" w:cs="Times New Roman"/>
          <w:b/>
          <w:bCs/>
          <w:color w:val="auto"/>
          <w:sz w:val="32"/>
          <w:szCs w:val="32"/>
        </w:rPr>
        <w:t>卫生质量考核表</w:t>
      </w:r>
    </w:p>
    <w:tbl>
      <w:tblPr>
        <w:tblStyle w:val="33"/>
        <w:tblW w:w="10413" w:type="dxa"/>
        <w:jc w:val="center"/>
        <w:tblLayout w:type="autofit"/>
        <w:tblCellMar>
          <w:top w:w="0" w:type="dxa"/>
          <w:left w:w="30" w:type="dxa"/>
          <w:bottom w:w="0" w:type="dxa"/>
          <w:right w:w="30" w:type="dxa"/>
        </w:tblCellMar>
      </w:tblPr>
      <w:tblGrid>
        <w:gridCol w:w="333"/>
        <w:gridCol w:w="2008"/>
        <w:gridCol w:w="288"/>
        <w:gridCol w:w="3143"/>
        <w:gridCol w:w="3101"/>
        <w:gridCol w:w="501"/>
        <w:gridCol w:w="611"/>
        <w:gridCol w:w="428"/>
      </w:tblGrid>
      <w:tr w14:paraId="27AFBC1F">
        <w:tblPrEx>
          <w:tblCellMar>
            <w:top w:w="0" w:type="dxa"/>
            <w:left w:w="30" w:type="dxa"/>
            <w:bottom w:w="0" w:type="dxa"/>
            <w:right w:w="30" w:type="dxa"/>
          </w:tblCellMar>
        </w:tblPrEx>
        <w:trPr>
          <w:trHeight w:val="0" w:hRule="atLeast"/>
          <w:tblHeader/>
          <w:jc w:val="center"/>
        </w:trPr>
        <w:tc>
          <w:tcPr>
            <w:tcW w:w="333" w:type="dxa"/>
            <w:tcBorders>
              <w:top w:val="single" w:color="auto" w:sz="6" w:space="0"/>
              <w:left w:val="single" w:color="auto" w:sz="6" w:space="0"/>
              <w:bottom w:val="single" w:color="auto" w:sz="6" w:space="0"/>
              <w:right w:val="single" w:color="auto" w:sz="6" w:space="0"/>
            </w:tcBorders>
            <w:noWrap w:val="0"/>
            <w:vAlign w:val="center"/>
          </w:tcPr>
          <w:p w14:paraId="2CCF2796">
            <w:pPr>
              <w:snapToGrid w:val="0"/>
              <w:spacing w:line="240" w:lineRule="auto"/>
              <w:ind w:left="0" w:leftChars="0" w:right="0" w:rightChars="0" w:firstLine="0" w:firstLineChars="0"/>
              <w:jc w:val="center"/>
              <w:rPr>
                <w:rFonts w:ascii="宋体" w:hAnsi="宋体" w:eastAsia="宋体" w:cs="Times New Roman"/>
                <w:b/>
                <w:color w:val="auto"/>
                <w:szCs w:val="21"/>
              </w:rPr>
            </w:pPr>
            <w:r>
              <w:rPr>
                <w:rFonts w:hint="eastAsia" w:ascii="宋体" w:hAnsi="宋体" w:eastAsia="宋体" w:cs="Times New Roman"/>
                <w:b/>
                <w:color w:val="auto"/>
                <w:szCs w:val="21"/>
              </w:rPr>
              <w:t>序号</w:t>
            </w:r>
          </w:p>
        </w:tc>
        <w:tc>
          <w:tcPr>
            <w:tcW w:w="2296" w:type="dxa"/>
            <w:gridSpan w:val="2"/>
            <w:tcBorders>
              <w:top w:val="single" w:color="auto" w:sz="6" w:space="0"/>
              <w:left w:val="single" w:color="auto" w:sz="6" w:space="0"/>
              <w:bottom w:val="single" w:color="auto" w:sz="4" w:space="0"/>
              <w:right w:val="single" w:color="auto" w:sz="6" w:space="0"/>
            </w:tcBorders>
            <w:noWrap w:val="0"/>
            <w:vAlign w:val="center"/>
          </w:tcPr>
          <w:p w14:paraId="6461BEE2">
            <w:pPr>
              <w:snapToGrid w:val="0"/>
              <w:spacing w:line="240" w:lineRule="auto"/>
              <w:ind w:left="0" w:leftChars="0" w:right="0" w:rightChars="0" w:firstLine="0" w:firstLineChars="0"/>
              <w:jc w:val="center"/>
              <w:rPr>
                <w:rFonts w:ascii="宋体" w:hAnsi="宋体" w:eastAsia="宋体" w:cs="Times New Roman"/>
                <w:b/>
                <w:color w:val="auto"/>
                <w:szCs w:val="21"/>
              </w:rPr>
            </w:pPr>
            <w:r>
              <w:rPr>
                <w:rFonts w:hint="eastAsia" w:ascii="宋体" w:hAnsi="宋体" w:eastAsia="宋体" w:cs="Times New Roman"/>
                <w:b/>
                <w:color w:val="auto"/>
                <w:szCs w:val="21"/>
              </w:rPr>
              <w:t>项目</w:t>
            </w:r>
          </w:p>
        </w:tc>
        <w:tc>
          <w:tcPr>
            <w:tcW w:w="3143" w:type="dxa"/>
            <w:tcBorders>
              <w:top w:val="single" w:color="auto" w:sz="6" w:space="0"/>
              <w:left w:val="single" w:color="auto" w:sz="6" w:space="0"/>
              <w:bottom w:val="single" w:color="auto" w:sz="6" w:space="0"/>
              <w:right w:val="single" w:color="auto" w:sz="6" w:space="0"/>
            </w:tcBorders>
            <w:noWrap w:val="0"/>
            <w:vAlign w:val="center"/>
          </w:tcPr>
          <w:p w14:paraId="2E2C2F7D">
            <w:pPr>
              <w:snapToGrid w:val="0"/>
              <w:spacing w:line="240" w:lineRule="auto"/>
              <w:ind w:left="0" w:leftChars="0" w:right="0" w:rightChars="0" w:firstLine="0" w:firstLineChars="0"/>
              <w:jc w:val="center"/>
              <w:rPr>
                <w:rFonts w:ascii="宋体" w:hAnsi="宋体" w:eastAsia="宋体" w:cs="Times New Roman"/>
                <w:b/>
                <w:color w:val="auto"/>
                <w:szCs w:val="21"/>
              </w:rPr>
            </w:pPr>
            <w:r>
              <w:rPr>
                <w:rFonts w:hint="eastAsia" w:ascii="宋体" w:hAnsi="宋体" w:eastAsia="宋体" w:cs="Times New Roman"/>
                <w:b/>
                <w:color w:val="auto"/>
                <w:szCs w:val="21"/>
              </w:rPr>
              <w:t>作业要求</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40363E37">
            <w:pPr>
              <w:snapToGrid w:val="0"/>
              <w:spacing w:line="240" w:lineRule="auto"/>
              <w:ind w:left="0" w:leftChars="0" w:right="0" w:rightChars="0" w:firstLine="0" w:firstLineChars="0"/>
              <w:jc w:val="center"/>
              <w:rPr>
                <w:rFonts w:ascii="宋体" w:hAnsi="宋体" w:eastAsia="宋体" w:cs="Times New Roman"/>
                <w:b/>
                <w:color w:val="auto"/>
                <w:szCs w:val="21"/>
              </w:rPr>
            </w:pPr>
            <w:r>
              <w:rPr>
                <w:rFonts w:hint="eastAsia" w:ascii="宋体" w:hAnsi="宋体" w:eastAsia="宋体" w:cs="Times New Roman"/>
                <w:b/>
                <w:color w:val="auto"/>
                <w:szCs w:val="21"/>
              </w:rPr>
              <w:t>考核标准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3A40A3B5">
            <w:pPr>
              <w:snapToGrid w:val="0"/>
              <w:spacing w:line="240" w:lineRule="auto"/>
              <w:ind w:left="0" w:leftChars="0" w:right="0" w:rightChars="0" w:firstLine="0" w:firstLineChars="0"/>
              <w:jc w:val="center"/>
              <w:rPr>
                <w:rFonts w:ascii="宋体" w:hAnsi="宋体" w:eastAsia="宋体" w:cs="Times New Roman"/>
                <w:b/>
                <w:color w:val="auto"/>
                <w:szCs w:val="21"/>
              </w:rPr>
            </w:pPr>
            <w:r>
              <w:rPr>
                <w:rFonts w:hint="eastAsia" w:ascii="宋体" w:hAnsi="宋体" w:eastAsia="宋体" w:cs="Times New Roman"/>
                <w:b/>
                <w:color w:val="auto"/>
                <w:szCs w:val="21"/>
              </w:rPr>
              <w:t>核定分值</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19D742B4">
            <w:pPr>
              <w:snapToGrid w:val="0"/>
              <w:spacing w:line="240" w:lineRule="auto"/>
              <w:ind w:left="0" w:leftChars="0" w:right="0" w:rightChars="0" w:firstLine="0" w:firstLineChars="0"/>
              <w:jc w:val="center"/>
              <w:rPr>
                <w:rFonts w:ascii="宋体" w:hAnsi="宋体" w:eastAsia="宋体" w:cs="Times New Roman"/>
                <w:b/>
                <w:color w:val="auto"/>
                <w:szCs w:val="21"/>
              </w:rPr>
            </w:pPr>
            <w:r>
              <w:rPr>
                <w:rFonts w:hint="eastAsia" w:ascii="宋体" w:hAnsi="宋体" w:eastAsia="宋体" w:cs="Times New Roman"/>
                <w:b/>
                <w:color w:val="auto"/>
                <w:szCs w:val="21"/>
              </w:rPr>
              <w:t>抽检得分</w:t>
            </w:r>
          </w:p>
        </w:tc>
        <w:tc>
          <w:tcPr>
            <w:tcW w:w="428" w:type="dxa"/>
            <w:tcBorders>
              <w:top w:val="single" w:color="auto" w:sz="6" w:space="0"/>
              <w:left w:val="single" w:color="auto" w:sz="6" w:space="0"/>
              <w:bottom w:val="single" w:color="auto" w:sz="6" w:space="0"/>
              <w:right w:val="single" w:color="auto" w:sz="6" w:space="0"/>
            </w:tcBorders>
            <w:noWrap w:val="0"/>
            <w:vAlign w:val="center"/>
          </w:tcPr>
          <w:p w14:paraId="5E42EA5F">
            <w:pPr>
              <w:snapToGrid w:val="0"/>
              <w:spacing w:line="240" w:lineRule="auto"/>
              <w:ind w:left="0" w:leftChars="0" w:right="0" w:rightChars="0" w:firstLine="0" w:firstLineChars="0"/>
              <w:jc w:val="center"/>
              <w:rPr>
                <w:rFonts w:ascii="宋体" w:hAnsi="宋体" w:eastAsia="宋体" w:cs="Times New Roman"/>
                <w:b/>
                <w:color w:val="auto"/>
                <w:szCs w:val="21"/>
              </w:rPr>
            </w:pPr>
            <w:r>
              <w:rPr>
                <w:rFonts w:hint="eastAsia" w:ascii="宋体" w:hAnsi="宋体" w:eastAsia="宋体" w:cs="Times New Roman"/>
                <w:b/>
                <w:color w:val="auto"/>
                <w:szCs w:val="21"/>
              </w:rPr>
              <w:t>备注</w:t>
            </w:r>
          </w:p>
        </w:tc>
      </w:tr>
      <w:tr w14:paraId="73A6C1DF">
        <w:tblPrEx>
          <w:tblCellMar>
            <w:top w:w="0" w:type="dxa"/>
            <w:left w:w="30" w:type="dxa"/>
            <w:bottom w:w="0" w:type="dxa"/>
            <w:right w:w="30" w:type="dxa"/>
          </w:tblCellMar>
        </w:tblPrEx>
        <w:trPr>
          <w:trHeight w:val="0" w:hRule="atLeast"/>
          <w:jc w:val="center"/>
        </w:trPr>
        <w:tc>
          <w:tcPr>
            <w:tcW w:w="333" w:type="dxa"/>
            <w:vMerge w:val="restart"/>
            <w:tcBorders>
              <w:top w:val="single" w:color="auto" w:sz="6" w:space="0"/>
              <w:left w:val="single" w:color="auto" w:sz="6" w:space="0"/>
              <w:right w:val="single" w:color="auto" w:sz="4" w:space="0"/>
            </w:tcBorders>
            <w:noWrap w:val="0"/>
            <w:vAlign w:val="center"/>
          </w:tcPr>
          <w:p w14:paraId="507E2F50">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w:t>
            </w: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0627F97F">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组织结构</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1386791A">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有领班、有人员档案。</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4A91DAB3">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健全。缺一项扣1分。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3AA00352">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5FF2D42E">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669EF07F">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4D5DFDA">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right w:val="single" w:color="auto" w:sz="4" w:space="0"/>
            </w:tcBorders>
            <w:noWrap w:val="0"/>
            <w:vAlign w:val="center"/>
          </w:tcPr>
          <w:p w14:paraId="631058DE">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5A743CFE">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着装</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396EBC3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服装统一、佩戴统一标识。</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7DA0128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整齐、统一。发现一次扣1分。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17815AFB">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5AA637FE">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63892DBB">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324D4FA">
        <w:trPr>
          <w:trHeight w:val="0" w:hRule="atLeast"/>
          <w:jc w:val="center"/>
        </w:trPr>
        <w:tc>
          <w:tcPr>
            <w:tcW w:w="333" w:type="dxa"/>
            <w:vMerge w:val="continue"/>
            <w:tcBorders>
              <w:left w:val="single" w:color="auto" w:sz="6" w:space="0"/>
              <w:bottom w:val="single" w:color="auto" w:sz="6" w:space="0"/>
              <w:right w:val="single" w:color="auto" w:sz="4" w:space="0"/>
            </w:tcBorders>
            <w:noWrap w:val="0"/>
            <w:vAlign w:val="center"/>
          </w:tcPr>
          <w:p w14:paraId="7EE32160">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706312E3">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文明礼貌</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7229995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爱护公物、举止文明。</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6E16BC3C">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无损坏公物现象、文明用语、不拉帮结派、工作时段不做与工作无关的事情。发现一次扣1分。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4ADB36E3">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6B16132A">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2EFFF8B4">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81A8423">
        <w:tblPrEx>
          <w:tblCellMar>
            <w:top w:w="0" w:type="dxa"/>
            <w:left w:w="30" w:type="dxa"/>
            <w:bottom w:w="0" w:type="dxa"/>
            <w:right w:w="30" w:type="dxa"/>
          </w:tblCellMar>
        </w:tblPrEx>
        <w:trPr>
          <w:trHeight w:val="0" w:hRule="atLeast"/>
          <w:jc w:val="center"/>
        </w:trPr>
        <w:tc>
          <w:tcPr>
            <w:tcW w:w="333" w:type="dxa"/>
            <w:vMerge w:val="restart"/>
            <w:tcBorders>
              <w:top w:val="single" w:color="auto" w:sz="6" w:space="0"/>
              <w:left w:val="single" w:color="auto" w:sz="6" w:space="0"/>
              <w:right w:val="single" w:color="auto" w:sz="4" w:space="0"/>
            </w:tcBorders>
            <w:noWrap w:val="0"/>
            <w:vAlign w:val="center"/>
          </w:tcPr>
          <w:p w14:paraId="74884349">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2</w:t>
            </w: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46C78EA3">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日常保洁工作时间</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784F9AF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7</w:t>
            </w:r>
            <w:r>
              <w:rPr>
                <w:rFonts w:ascii="宋体" w:hAnsi="宋体" w:eastAsia="宋体" w:cs="Times New Roman"/>
                <w:color w:val="auto"/>
                <w:szCs w:val="21"/>
              </w:rPr>
              <w:t>:</w:t>
            </w:r>
            <w:r>
              <w:rPr>
                <w:rFonts w:hint="eastAsia" w:ascii="宋体" w:hAnsi="宋体" w:eastAsia="宋体" w:cs="Times New Roman"/>
                <w:color w:val="auto"/>
                <w:szCs w:val="21"/>
              </w:rPr>
              <w:t>3</w:t>
            </w:r>
            <w:r>
              <w:rPr>
                <w:rFonts w:ascii="宋体" w:hAnsi="宋体" w:eastAsia="宋体" w:cs="Times New Roman"/>
                <w:color w:val="auto"/>
                <w:szCs w:val="21"/>
              </w:rPr>
              <w:t>0-</w:t>
            </w:r>
            <w:r>
              <w:rPr>
                <w:rFonts w:hint="eastAsia" w:ascii="宋体" w:hAnsi="宋体" w:eastAsia="宋体" w:cs="Times New Roman"/>
                <w:color w:val="auto"/>
                <w:szCs w:val="21"/>
              </w:rPr>
              <w:t>21</w:t>
            </w:r>
            <w:r>
              <w:rPr>
                <w:rFonts w:ascii="宋体" w:hAnsi="宋体" w:eastAsia="宋体" w:cs="Times New Roman"/>
                <w:color w:val="auto"/>
                <w:szCs w:val="21"/>
              </w:rPr>
              <w:t>:</w:t>
            </w:r>
            <w:r>
              <w:rPr>
                <w:rFonts w:hint="eastAsia" w:ascii="宋体" w:hAnsi="宋体" w:eastAsia="宋体" w:cs="Times New Roman"/>
                <w:color w:val="auto"/>
                <w:szCs w:val="21"/>
              </w:rPr>
              <w:t>00。</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42C6E06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在岗、无迟到、早退。发现缺岗、迟到、早退一人次扣2分。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5D2E6C87">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6BDCEC73">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3E5E1A07">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19FDBF0A">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bottom w:val="single" w:color="auto" w:sz="6" w:space="0"/>
              <w:right w:val="single" w:color="auto" w:sz="4" w:space="0"/>
            </w:tcBorders>
            <w:noWrap w:val="0"/>
            <w:vAlign w:val="center"/>
          </w:tcPr>
          <w:p w14:paraId="78537C93">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2691BC4B">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特殊情况保洁工作时间</w:t>
            </w:r>
          </w:p>
        </w:tc>
        <w:tc>
          <w:tcPr>
            <w:tcW w:w="3143" w:type="dxa"/>
            <w:tcBorders>
              <w:top w:val="single" w:color="auto" w:sz="6" w:space="0"/>
              <w:left w:val="single" w:color="auto" w:sz="6" w:space="0"/>
              <w:bottom w:val="single" w:color="auto" w:sz="6" w:space="0"/>
              <w:right w:val="single" w:color="auto" w:sz="6" w:space="0"/>
            </w:tcBorders>
            <w:noWrap w:val="0"/>
            <w:vAlign w:val="center"/>
          </w:tcPr>
          <w:p w14:paraId="0380345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根据情况保洁。</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2295790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服从学院管理部门安排,推诿一次扣2分。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2A2E3CBE">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13279B49">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28297AA0">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C6B341B">
        <w:tblPrEx>
          <w:tblCellMar>
            <w:top w:w="0" w:type="dxa"/>
            <w:left w:w="30" w:type="dxa"/>
            <w:bottom w:w="0" w:type="dxa"/>
            <w:right w:w="30" w:type="dxa"/>
          </w:tblCellMar>
        </w:tblPrEx>
        <w:trPr>
          <w:trHeight w:val="0" w:hRule="atLeast"/>
          <w:jc w:val="center"/>
        </w:trPr>
        <w:tc>
          <w:tcPr>
            <w:tcW w:w="333" w:type="dxa"/>
            <w:tcBorders>
              <w:top w:val="single" w:color="auto" w:sz="6" w:space="0"/>
              <w:left w:val="single" w:color="auto" w:sz="6" w:space="0"/>
              <w:bottom w:val="single" w:color="auto" w:sz="6" w:space="0"/>
              <w:right w:val="single" w:color="auto" w:sz="6" w:space="0"/>
            </w:tcBorders>
            <w:noWrap w:val="0"/>
            <w:vAlign w:val="center"/>
          </w:tcPr>
          <w:p w14:paraId="4AB28093">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3</w:t>
            </w:r>
          </w:p>
        </w:tc>
        <w:tc>
          <w:tcPr>
            <w:tcW w:w="2296" w:type="dxa"/>
            <w:gridSpan w:val="2"/>
            <w:tcBorders>
              <w:top w:val="single" w:color="auto" w:sz="4" w:space="0"/>
              <w:left w:val="single" w:color="auto" w:sz="6" w:space="0"/>
              <w:bottom w:val="single" w:color="auto" w:sz="4" w:space="0"/>
              <w:right w:val="single" w:color="auto" w:sz="6" w:space="0"/>
            </w:tcBorders>
            <w:noWrap w:val="0"/>
            <w:vAlign w:val="center"/>
          </w:tcPr>
          <w:p w14:paraId="224B852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领导视察、创建文明单位（或其他创建活动）、学院大型活动保洁</w:t>
            </w:r>
          </w:p>
        </w:tc>
        <w:tc>
          <w:tcPr>
            <w:tcW w:w="3143" w:type="dxa"/>
            <w:tcBorders>
              <w:top w:val="single" w:color="auto" w:sz="6" w:space="0"/>
              <w:left w:val="single" w:color="auto" w:sz="6" w:space="0"/>
              <w:bottom w:val="single" w:color="auto" w:sz="6" w:space="0"/>
              <w:right w:val="single" w:color="auto" w:sz="6" w:space="0"/>
            </w:tcBorders>
            <w:noWrap w:val="0"/>
            <w:vAlign w:val="center"/>
          </w:tcPr>
          <w:p w14:paraId="3C07FDF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窗明几净、地砖光亮、公共场所地面达一级标准。</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3767239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达一级标准。降一档扣2分。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25A0D9D1">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4</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43917492">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12A886C0">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799ED8A2">
        <w:tblPrEx>
          <w:tblCellMar>
            <w:top w:w="0" w:type="dxa"/>
            <w:left w:w="30" w:type="dxa"/>
            <w:bottom w:w="0" w:type="dxa"/>
            <w:right w:w="30" w:type="dxa"/>
          </w:tblCellMar>
        </w:tblPrEx>
        <w:trPr>
          <w:trHeight w:val="0" w:hRule="atLeast"/>
          <w:jc w:val="center"/>
        </w:trPr>
        <w:tc>
          <w:tcPr>
            <w:tcW w:w="333" w:type="dxa"/>
            <w:vMerge w:val="restart"/>
            <w:tcBorders>
              <w:top w:val="single" w:color="auto" w:sz="6" w:space="0"/>
              <w:left w:val="single" w:color="auto" w:sz="6" w:space="0"/>
              <w:right w:val="single" w:color="auto" w:sz="4" w:space="0"/>
            </w:tcBorders>
            <w:noWrap w:val="0"/>
            <w:vAlign w:val="center"/>
          </w:tcPr>
          <w:p w14:paraId="6C928970">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4</w:t>
            </w: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010654E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玻璃门、窗</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2007F8BA">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每周清除门窗周边卫生死角；每月用中性清洁剂清擦</w:t>
            </w:r>
            <w:r>
              <w:rPr>
                <w:rFonts w:ascii="宋体" w:hAnsi="宋体" w:eastAsia="宋体" w:cs="Times New Roman"/>
                <w:color w:val="auto"/>
                <w:szCs w:val="21"/>
              </w:rPr>
              <w:t>2</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7CFCEDAF">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无卫生死角，光亮无水痕。发现一处卫生死角扣1分。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67765D6F">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2</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6003BB9B">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3EA794BD">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3CD31808">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right w:val="single" w:color="auto" w:sz="4" w:space="0"/>
            </w:tcBorders>
            <w:noWrap w:val="0"/>
            <w:vAlign w:val="center"/>
          </w:tcPr>
          <w:p w14:paraId="286291F4">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3A305FC3">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平台、梯阶</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36A60A1C">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每天清洁拖地一次，保持清洁。</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5E744248">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清洁、无污物。检查不清洁一次扣1分。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56758500">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2</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1B61F213">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386C9F89">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2422A3EF">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bottom w:val="single" w:color="000000" w:sz="2" w:space="0"/>
              <w:right w:val="single" w:color="auto" w:sz="4" w:space="0"/>
            </w:tcBorders>
            <w:noWrap w:val="0"/>
            <w:vAlign w:val="center"/>
          </w:tcPr>
          <w:p w14:paraId="69D31906">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56FF2C66">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信箱、消防栓、警铃、电源开关、指示牌、按钮等</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04E605C9">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随时保洁，每周清除门窗周边卫生死角</w:t>
            </w:r>
            <w:r>
              <w:rPr>
                <w:rFonts w:ascii="宋体" w:hAnsi="宋体" w:eastAsia="宋体" w:cs="Times New Roman"/>
                <w:color w:val="auto"/>
                <w:szCs w:val="21"/>
              </w:rPr>
              <w:t>1</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396D580E">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清洁、无污物。检查发现卫生死角1处扣1分。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7773BC29">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2</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655CC8D2">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46CFDFE4">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554A1388">
        <w:tblPrEx>
          <w:tblCellMar>
            <w:top w:w="0" w:type="dxa"/>
            <w:left w:w="30" w:type="dxa"/>
            <w:bottom w:w="0" w:type="dxa"/>
            <w:right w:w="30" w:type="dxa"/>
          </w:tblCellMar>
        </w:tblPrEx>
        <w:trPr>
          <w:trHeight w:val="0" w:hRule="atLeast"/>
          <w:jc w:val="center"/>
        </w:trPr>
        <w:tc>
          <w:tcPr>
            <w:tcW w:w="333" w:type="dxa"/>
            <w:vMerge w:val="restart"/>
            <w:tcBorders>
              <w:top w:val="single" w:color="000000" w:sz="2" w:space="0"/>
              <w:left w:val="single" w:color="auto" w:sz="6" w:space="0"/>
              <w:right w:val="single" w:color="auto" w:sz="4" w:space="0"/>
            </w:tcBorders>
            <w:noWrap w:val="0"/>
            <w:vAlign w:val="center"/>
          </w:tcPr>
          <w:p w14:paraId="26E0A45F">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5</w:t>
            </w: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106D83F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楼梯扶手</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1C190B0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随时保洁，每周清擦</w:t>
            </w:r>
            <w:r>
              <w:rPr>
                <w:rFonts w:ascii="宋体" w:hAnsi="宋体" w:eastAsia="宋体" w:cs="Times New Roman"/>
                <w:color w:val="auto"/>
                <w:szCs w:val="21"/>
              </w:rPr>
              <w:t>2</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13E336C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清洁、无污物。检查发现有灰尘一处扣1分。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40343FF9">
            <w:pPr>
              <w:snapToGrid w:val="0"/>
              <w:spacing w:line="240" w:lineRule="auto"/>
              <w:ind w:left="0" w:leftChars="0" w:right="0" w:rightChars="0" w:firstLine="0" w:firstLineChars="0"/>
              <w:jc w:val="righ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70330BD0">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62F10CA8">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7D51A0B9">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right w:val="single" w:color="auto" w:sz="4" w:space="0"/>
            </w:tcBorders>
            <w:noWrap w:val="0"/>
            <w:vAlign w:val="center"/>
          </w:tcPr>
          <w:p w14:paraId="6C56C910">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06B5D6C6">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楼梯地面</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51A6C17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每天清扫并拖</w:t>
            </w:r>
            <w:r>
              <w:rPr>
                <w:rFonts w:ascii="宋体" w:hAnsi="宋体" w:eastAsia="宋体" w:cs="Times New Roman"/>
                <w:color w:val="auto"/>
                <w:szCs w:val="21"/>
              </w:rPr>
              <w:t>1</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6C2A104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清洁、无污物、无脚印、无烟头。检查有明显脚印或不清洁扣1分。（按楼栋计）</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401C2CA4">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43031697">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5CE1F44D">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7764279D">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right w:val="single" w:color="auto" w:sz="4" w:space="0"/>
            </w:tcBorders>
            <w:noWrap w:val="0"/>
            <w:vAlign w:val="center"/>
          </w:tcPr>
          <w:p w14:paraId="757D28F4">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39E5FAEA">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所有护栏</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6CD41016">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随时保洁，每周清擦</w:t>
            </w:r>
            <w:r>
              <w:rPr>
                <w:rFonts w:ascii="宋体" w:hAnsi="宋体" w:eastAsia="宋体" w:cs="Times New Roman"/>
                <w:color w:val="auto"/>
                <w:szCs w:val="21"/>
              </w:rPr>
              <w:t>2</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23FAF81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清洁、无污物、无灰尘。检查时发现不清洁，1栋楼扣1分。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2B282A49">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178F7636">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3DDAF75B">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460BBFA0">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right w:val="single" w:color="auto" w:sz="4" w:space="0"/>
            </w:tcBorders>
            <w:noWrap w:val="0"/>
            <w:vAlign w:val="center"/>
          </w:tcPr>
          <w:p w14:paraId="38965033">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7AABCDB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涂料墙面、地脚线磁砖、天花板</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3C8FB3E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每周保洁</w:t>
            </w:r>
            <w:r>
              <w:rPr>
                <w:rFonts w:ascii="宋体" w:hAnsi="宋体" w:eastAsia="宋体" w:cs="Times New Roman"/>
                <w:color w:val="auto"/>
                <w:szCs w:val="21"/>
              </w:rPr>
              <w:t>1</w:t>
            </w:r>
            <w:r>
              <w:rPr>
                <w:rFonts w:hint="eastAsia" w:ascii="宋体" w:hAnsi="宋体" w:eastAsia="宋体" w:cs="Times New Roman"/>
                <w:color w:val="auto"/>
                <w:szCs w:val="21"/>
              </w:rPr>
              <w:t>次，每月清扫灰尘及蛛丝网</w:t>
            </w:r>
            <w:r>
              <w:rPr>
                <w:rFonts w:ascii="宋体" w:hAnsi="宋体" w:eastAsia="宋体" w:cs="Times New Roman"/>
                <w:color w:val="auto"/>
                <w:szCs w:val="21"/>
              </w:rPr>
              <w:t>1</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3D457E9A">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干净无灰尘、无蜘蛛网。检查时发现不清洁，1栋楼扣1分。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28A2CF7D">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51F8BA5B">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609D9DFA">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6253AA44">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right w:val="single" w:color="auto" w:sz="4" w:space="0"/>
            </w:tcBorders>
            <w:noWrap w:val="0"/>
            <w:vAlign w:val="center"/>
          </w:tcPr>
          <w:p w14:paraId="5088EBD1">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4CDFE4A2">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消防设备</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695996A3">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每天保洁</w:t>
            </w:r>
            <w:r>
              <w:rPr>
                <w:rFonts w:ascii="宋体" w:hAnsi="宋体" w:eastAsia="宋体" w:cs="Times New Roman"/>
                <w:color w:val="auto"/>
                <w:szCs w:val="21"/>
              </w:rPr>
              <w:t>1</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65C552AB">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清洁、无尘。检查时发现不清洁，1栋楼扣1分。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4B6E6E02">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45C1A968">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6965FC6C">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463BB7E5">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right w:val="single" w:color="auto" w:sz="4" w:space="0"/>
            </w:tcBorders>
            <w:noWrap w:val="0"/>
            <w:vAlign w:val="center"/>
          </w:tcPr>
          <w:p w14:paraId="4B7FBDDB">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528475BF">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凸台、窗台、消防器、开关</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46F30156">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每天清洁</w:t>
            </w:r>
            <w:r>
              <w:rPr>
                <w:rFonts w:ascii="宋体" w:hAnsi="宋体" w:eastAsia="宋体" w:cs="Times New Roman"/>
                <w:color w:val="auto"/>
                <w:szCs w:val="21"/>
              </w:rPr>
              <w:t>1</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598435A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清洁、无尘。检查时发现不清洁，1栋楼扣1分。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6B7982B3">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5D09F8FB">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0C85BC0A">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7BB4794A">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right w:val="single" w:color="auto" w:sz="4" w:space="0"/>
            </w:tcBorders>
            <w:noWrap w:val="0"/>
            <w:vAlign w:val="center"/>
          </w:tcPr>
          <w:p w14:paraId="255B0153">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6B717DDF">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标识标志</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75A76BE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每周清洁</w:t>
            </w:r>
            <w:r>
              <w:rPr>
                <w:rFonts w:ascii="宋体" w:hAnsi="宋体" w:eastAsia="宋体" w:cs="Times New Roman"/>
                <w:color w:val="auto"/>
                <w:szCs w:val="21"/>
              </w:rPr>
              <w:t>1</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0A86DC78">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清洁、无尘。检查时发现不清洁，1栋楼扣1分。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282CB939">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66C58751">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1483AC2B">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3B8F7EE3">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bottom w:val="single" w:color="auto" w:sz="6" w:space="0"/>
              <w:right w:val="single" w:color="auto" w:sz="4" w:space="0"/>
            </w:tcBorders>
            <w:noWrap w:val="0"/>
            <w:vAlign w:val="center"/>
          </w:tcPr>
          <w:p w14:paraId="0D9C87E6">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1807A5AF">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灯饰</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374C1215">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每月清擦</w:t>
            </w:r>
            <w:r>
              <w:rPr>
                <w:rFonts w:ascii="宋体" w:hAnsi="宋体" w:eastAsia="宋体" w:cs="Times New Roman"/>
                <w:color w:val="auto"/>
                <w:szCs w:val="21"/>
              </w:rPr>
              <w:t>1</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270221BE">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清洁、无灰尘检查时发现不清洁，1栋楼扣1分。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290CB236">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33DA77C7">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4C388DAC">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1697FEC7">
        <w:trPr>
          <w:trHeight w:val="0" w:hRule="atLeast"/>
          <w:jc w:val="center"/>
        </w:trPr>
        <w:tc>
          <w:tcPr>
            <w:tcW w:w="333" w:type="dxa"/>
            <w:vMerge w:val="restart"/>
            <w:tcBorders>
              <w:top w:val="single" w:color="auto" w:sz="6" w:space="0"/>
              <w:left w:val="single" w:color="auto" w:sz="6" w:space="0"/>
              <w:right w:val="single" w:color="auto" w:sz="4" w:space="0"/>
            </w:tcBorders>
            <w:noWrap w:val="0"/>
            <w:vAlign w:val="center"/>
          </w:tcPr>
          <w:p w14:paraId="5D3F8E80">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6</w:t>
            </w: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73CACD1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洗手间门窗</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6F641A59">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每周清擦</w:t>
            </w:r>
            <w:r>
              <w:rPr>
                <w:rFonts w:ascii="宋体" w:hAnsi="宋体" w:eastAsia="宋体" w:cs="Times New Roman"/>
                <w:color w:val="auto"/>
                <w:szCs w:val="21"/>
              </w:rPr>
              <w:t>1</w:t>
            </w:r>
            <w:r>
              <w:rPr>
                <w:rFonts w:hint="eastAsia" w:ascii="宋体" w:hAnsi="宋体" w:eastAsia="宋体" w:cs="Times New Roman"/>
                <w:color w:val="auto"/>
                <w:szCs w:val="21"/>
              </w:rPr>
              <w:t>次，每月用杀菌清毒剂大清扫</w:t>
            </w:r>
            <w:r>
              <w:rPr>
                <w:rFonts w:ascii="宋体" w:hAnsi="宋体" w:eastAsia="宋体" w:cs="Times New Roman"/>
                <w:color w:val="auto"/>
                <w:szCs w:val="21"/>
              </w:rPr>
              <w:t>1</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2239092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清洁、光亮、无水痕。检查时发现不清洁，1个卫生间扣1分。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52E0C647">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1B349BEA">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0EE939AD">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D63965F">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right w:val="single" w:color="auto" w:sz="4" w:space="0"/>
            </w:tcBorders>
            <w:noWrap w:val="0"/>
            <w:vAlign w:val="center"/>
          </w:tcPr>
          <w:p w14:paraId="5EC94809">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2D1B0036">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洗手地面</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605DFFE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每天随时保洁，用清洁剂大清洁</w:t>
            </w:r>
            <w:r>
              <w:rPr>
                <w:rFonts w:ascii="宋体" w:hAnsi="宋体" w:eastAsia="宋体" w:cs="Times New Roman"/>
                <w:color w:val="auto"/>
                <w:szCs w:val="21"/>
              </w:rPr>
              <w:t>1</w:t>
            </w:r>
            <w:r>
              <w:rPr>
                <w:rFonts w:hint="eastAsia" w:ascii="宋体" w:hAnsi="宋体" w:eastAsia="宋体" w:cs="Times New Roman"/>
                <w:color w:val="auto"/>
                <w:szCs w:val="21"/>
              </w:rPr>
              <w:t>次，每月重点大清洁</w:t>
            </w:r>
            <w:r>
              <w:rPr>
                <w:rFonts w:ascii="宋体" w:hAnsi="宋体" w:eastAsia="宋体" w:cs="Times New Roman"/>
                <w:color w:val="auto"/>
                <w:szCs w:val="21"/>
              </w:rPr>
              <w:t>1</w:t>
            </w:r>
            <w:r>
              <w:rPr>
                <w:rFonts w:hint="eastAsia" w:ascii="宋体" w:hAnsi="宋体" w:eastAsia="宋体" w:cs="Times New Roman"/>
                <w:color w:val="auto"/>
                <w:szCs w:val="21"/>
              </w:rPr>
              <w:t>次。（全年达二级标准）</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6924A522">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清洁且无污迹、无垃圾、无烟头。检查时发现不清洁有污迹、有垃圾、有烟头，1个卫生间扣1分。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0AEC482D">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0CF58CBF">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3FD4CA20">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7B7EEE41">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right w:val="single" w:color="auto" w:sz="4" w:space="0"/>
            </w:tcBorders>
            <w:noWrap w:val="0"/>
            <w:vAlign w:val="center"/>
          </w:tcPr>
          <w:p w14:paraId="1599DBDE">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01799B9D">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大小便器</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6A7C832F">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每天用洁厕灵清洗</w:t>
            </w:r>
            <w:r>
              <w:rPr>
                <w:rFonts w:ascii="宋体" w:hAnsi="宋体" w:eastAsia="宋体" w:cs="Times New Roman"/>
                <w:color w:val="auto"/>
                <w:szCs w:val="21"/>
              </w:rPr>
              <w:t>1</w:t>
            </w:r>
            <w:r>
              <w:rPr>
                <w:rFonts w:hint="eastAsia" w:ascii="宋体" w:hAnsi="宋体" w:eastAsia="宋体" w:cs="Times New Roman"/>
                <w:color w:val="auto"/>
                <w:szCs w:val="21"/>
              </w:rPr>
              <w:t>次，补充小便池卫生球、喷清新剂</w:t>
            </w:r>
            <w:r>
              <w:rPr>
                <w:rFonts w:ascii="宋体" w:hAnsi="宋体" w:eastAsia="宋体" w:cs="Times New Roman"/>
                <w:color w:val="auto"/>
                <w:szCs w:val="21"/>
              </w:rPr>
              <w:t>1</w:t>
            </w:r>
            <w:r>
              <w:rPr>
                <w:rFonts w:hint="eastAsia" w:ascii="宋体" w:hAnsi="宋体" w:eastAsia="宋体" w:cs="Times New Roman"/>
                <w:color w:val="auto"/>
                <w:szCs w:val="21"/>
              </w:rPr>
              <w:t>次；每月用消毒剂大清洁</w:t>
            </w:r>
            <w:r>
              <w:rPr>
                <w:rFonts w:ascii="宋体" w:hAnsi="宋体" w:eastAsia="宋体" w:cs="Times New Roman"/>
                <w:color w:val="auto"/>
                <w:szCs w:val="21"/>
              </w:rPr>
              <w:t>1</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40048832">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清洁，无尿碱、水垢。检查时发现不清洁，1个卫生间扣1分。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74D05DD7">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07E19843">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6D9B233F">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2305FA84">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right w:val="single" w:color="auto" w:sz="4" w:space="0"/>
            </w:tcBorders>
            <w:noWrap w:val="0"/>
            <w:vAlign w:val="center"/>
          </w:tcPr>
          <w:p w14:paraId="122327FE">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439B14B8">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水龙头、洗手盆</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5891D613">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每天用清洁剂清洗保洁</w:t>
            </w:r>
            <w:r>
              <w:rPr>
                <w:rFonts w:ascii="宋体" w:hAnsi="宋体" w:eastAsia="宋体" w:cs="Times New Roman"/>
                <w:color w:val="auto"/>
                <w:szCs w:val="21"/>
              </w:rPr>
              <w:t>1</w:t>
            </w:r>
            <w:r>
              <w:rPr>
                <w:rFonts w:hint="eastAsia" w:ascii="宋体" w:hAnsi="宋体" w:eastAsia="宋体" w:cs="Times New Roman"/>
                <w:color w:val="auto"/>
                <w:szCs w:val="21"/>
              </w:rPr>
              <w:t>次，每周用杀菌清洁剂清洁</w:t>
            </w:r>
            <w:r>
              <w:rPr>
                <w:rFonts w:ascii="宋体" w:hAnsi="宋体" w:eastAsia="宋体" w:cs="Times New Roman"/>
                <w:color w:val="auto"/>
                <w:szCs w:val="21"/>
              </w:rPr>
              <w:t>2</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2772A3BE">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清洁、无污物。检查时发现不清洁，1个卫生间扣1分。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534C3CCB">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4708D881">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1E603599">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65424E66">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right w:val="single" w:color="auto" w:sz="4" w:space="0"/>
            </w:tcBorders>
            <w:noWrap w:val="0"/>
            <w:vAlign w:val="center"/>
          </w:tcPr>
          <w:p w14:paraId="64BCD610">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20D29E76">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lang w:val="en-US" w:eastAsia="zh-CN"/>
              </w:rPr>
              <w:t>卫生间</w:t>
            </w:r>
            <w:r>
              <w:rPr>
                <w:rFonts w:hint="eastAsia" w:ascii="宋体" w:hAnsi="宋体" w:eastAsia="宋体" w:cs="Times New Roman"/>
                <w:color w:val="auto"/>
                <w:szCs w:val="21"/>
              </w:rPr>
              <w:t>玻璃镜</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4536E10F">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每天保洁</w:t>
            </w:r>
            <w:r>
              <w:rPr>
                <w:rFonts w:ascii="宋体" w:hAnsi="宋体" w:eastAsia="宋体" w:cs="Times New Roman"/>
                <w:color w:val="auto"/>
                <w:szCs w:val="21"/>
              </w:rPr>
              <w:t>1</w:t>
            </w:r>
            <w:r>
              <w:rPr>
                <w:rFonts w:hint="eastAsia" w:ascii="宋体" w:hAnsi="宋体" w:eastAsia="宋体" w:cs="Times New Roman"/>
                <w:color w:val="auto"/>
                <w:szCs w:val="21"/>
              </w:rPr>
              <w:t>次；每月用消毒剂清擦</w:t>
            </w:r>
            <w:r>
              <w:rPr>
                <w:rFonts w:ascii="宋体" w:hAnsi="宋体" w:eastAsia="宋体" w:cs="Times New Roman"/>
                <w:color w:val="auto"/>
                <w:szCs w:val="21"/>
              </w:rPr>
              <w:t>2</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5F2781B6">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光亮、洁净。检查时发现不清洁，1个卫生间扣1分。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71CF5C40">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7B0A98C0">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7ABFF3DD">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4F808CD2">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right w:val="single" w:color="auto" w:sz="4" w:space="0"/>
            </w:tcBorders>
            <w:noWrap w:val="0"/>
            <w:vAlign w:val="center"/>
          </w:tcPr>
          <w:p w14:paraId="1406B26F">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46893B21">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隔板和门</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6CB24596">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每天清擦</w:t>
            </w:r>
            <w:r>
              <w:rPr>
                <w:rFonts w:ascii="宋体" w:hAnsi="宋体" w:eastAsia="宋体" w:cs="Times New Roman"/>
                <w:color w:val="auto"/>
                <w:szCs w:val="21"/>
              </w:rPr>
              <w:t>1</w:t>
            </w:r>
            <w:r>
              <w:rPr>
                <w:rFonts w:hint="eastAsia" w:ascii="宋体" w:hAnsi="宋体" w:eastAsia="宋体" w:cs="Times New Roman"/>
                <w:color w:val="auto"/>
                <w:szCs w:val="21"/>
              </w:rPr>
              <w:t>次；每月用消毒剂清洁</w:t>
            </w:r>
            <w:r>
              <w:rPr>
                <w:rFonts w:ascii="宋体" w:hAnsi="宋体" w:eastAsia="宋体" w:cs="Times New Roman"/>
                <w:color w:val="auto"/>
                <w:szCs w:val="21"/>
              </w:rPr>
              <w:t>1</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15E3025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清洁、无污痕。检查时发现不清洁，1个卫生间扣1分。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1BB2243D">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2863E83B">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4A6FC9D5">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37F1DFDA">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right w:val="single" w:color="auto" w:sz="4" w:space="0"/>
            </w:tcBorders>
            <w:noWrap w:val="0"/>
            <w:vAlign w:val="center"/>
          </w:tcPr>
          <w:p w14:paraId="5E021D36">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40BDC91B">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lang w:val="en-US" w:eastAsia="zh-CN"/>
              </w:rPr>
              <w:t>卫生间</w:t>
            </w:r>
            <w:r>
              <w:rPr>
                <w:rFonts w:hint="eastAsia" w:ascii="宋体" w:hAnsi="宋体" w:eastAsia="宋体" w:cs="Times New Roman"/>
                <w:color w:val="auto"/>
                <w:szCs w:val="21"/>
              </w:rPr>
              <w:t>墙身</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1F4BD8BF">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每周用消毒剂冲洗；每月大清洁</w:t>
            </w:r>
            <w:r>
              <w:rPr>
                <w:rFonts w:ascii="宋体" w:hAnsi="宋体" w:eastAsia="宋体" w:cs="Times New Roman"/>
                <w:color w:val="auto"/>
                <w:szCs w:val="21"/>
              </w:rPr>
              <w:t>1</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768630A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无乱张贴、无积尘。检查时发现不清洁，1个卫生间扣1分。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103C03C0">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445C9DBE">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5AC6D82A">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770F3462">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bottom w:val="single" w:color="auto" w:sz="6" w:space="0"/>
              <w:right w:val="single" w:color="auto" w:sz="4" w:space="0"/>
            </w:tcBorders>
            <w:noWrap w:val="0"/>
            <w:vAlign w:val="center"/>
          </w:tcPr>
          <w:p w14:paraId="71B96498">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615D19CE">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卫生间垃圾</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68AF4C0D">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每天清理，更换污物袋，将垃圾密封运送到垃圾房（桶）。</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7115E46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定时清理。检查时发现未清理，一处扣1分。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34677B5F">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1A2BB38F">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3FF838F3">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2DCE1918">
        <w:tblPrEx>
          <w:tblCellMar>
            <w:top w:w="0" w:type="dxa"/>
            <w:left w:w="30" w:type="dxa"/>
            <w:bottom w:w="0" w:type="dxa"/>
            <w:right w:w="30" w:type="dxa"/>
          </w:tblCellMar>
        </w:tblPrEx>
        <w:trPr>
          <w:trHeight w:val="0" w:hRule="atLeast"/>
          <w:jc w:val="center"/>
        </w:trPr>
        <w:tc>
          <w:tcPr>
            <w:tcW w:w="333" w:type="dxa"/>
            <w:tcBorders>
              <w:top w:val="single" w:color="auto" w:sz="6" w:space="0"/>
              <w:left w:val="single" w:color="auto" w:sz="6" w:space="0"/>
              <w:right w:val="single" w:color="auto" w:sz="6" w:space="0"/>
            </w:tcBorders>
            <w:noWrap w:val="0"/>
            <w:vAlign w:val="center"/>
          </w:tcPr>
          <w:p w14:paraId="3F31C2BB">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7</w:t>
            </w:r>
          </w:p>
        </w:tc>
        <w:tc>
          <w:tcPr>
            <w:tcW w:w="2296" w:type="dxa"/>
            <w:gridSpan w:val="2"/>
            <w:tcBorders>
              <w:top w:val="single" w:color="auto" w:sz="4" w:space="0"/>
              <w:left w:val="single" w:color="auto" w:sz="6" w:space="0"/>
              <w:right w:val="single" w:color="auto" w:sz="6" w:space="0"/>
            </w:tcBorders>
            <w:noWrap w:val="0"/>
            <w:vAlign w:val="center"/>
          </w:tcPr>
          <w:p w14:paraId="7DB66698">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楼内公共玻璃</w:t>
            </w:r>
          </w:p>
        </w:tc>
        <w:tc>
          <w:tcPr>
            <w:tcW w:w="3143" w:type="dxa"/>
            <w:tcBorders>
              <w:top w:val="single" w:color="auto" w:sz="6" w:space="0"/>
              <w:left w:val="single" w:color="auto" w:sz="6" w:space="0"/>
              <w:bottom w:val="single" w:color="auto" w:sz="6" w:space="0"/>
              <w:right w:val="single" w:color="auto" w:sz="6" w:space="0"/>
            </w:tcBorders>
            <w:noWrap w:val="0"/>
            <w:vAlign w:val="center"/>
          </w:tcPr>
          <w:p w14:paraId="5F4E1FE1">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每天保洁；每周清洗</w:t>
            </w:r>
            <w:r>
              <w:rPr>
                <w:rFonts w:ascii="宋体" w:hAnsi="宋体" w:eastAsia="宋体" w:cs="Times New Roman"/>
                <w:color w:val="auto"/>
                <w:szCs w:val="21"/>
              </w:rPr>
              <w:t>1</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7DBFEA7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光亮、洁净、无水痕。有明显灰尘，1处扣1分。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685B00DB">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0431406C">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5AC50F5A">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7D68B0C1">
        <w:tblPrEx>
          <w:tblCellMar>
            <w:top w:w="0" w:type="dxa"/>
            <w:left w:w="30" w:type="dxa"/>
            <w:bottom w:w="0" w:type="dxa"/>
            <w:right w:w="30" w:type="dxa"/>
          </w:tblCellMar>
        </w:tblPrEx>
        <w:trPr>
          <w:trHeight w:val="0" w:hRule="atLeast"/>
          <w:jc w:val="center"/>
        </w:trPr>
        <w:tc>
          <w:tcPr>
            <w:tcW w:w="333" w:type="dxa"/>
            <w:tcBorders>
              <w:top w:val="single" w:color="auto" w:sz="6" w:space="0"/>
              <w:left w:val="single" w:color="auto" w:sz="6" w:space="0"/>
              <w:bottom w:val="single" w:color="auto" w:sz="6" w:space="0"/>
              <w:right w:val="single" w:color="auto" w:sz="6" w:space="0"/>
            </w:tcBorders>
            <w:noWrap w:val="0"/>
            <w:vAlign w:val="center"/>
          </w:tcPr>
          <w:p w14:paraId="06004F33">
            <w:pPr>
              <w:snapToGrid w:val="0"/>
              <w:spacing w:line="240" w:lineRule="auto"/>
              <w:ind w:left="0" w:leftChars="0" w:right="0" w:rightChars="0" w:firstLine="0" w:firstLineChars="0"/>
              <w:jc w:val="center"/>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8</w:t>
            </w:r>
          </w:p>
        </w:tc>
        <w:tc>
          <w:tcPr>
            <w:tcW w:w="2296" w:type="dxa"/>
            <w:gridSpan w:val="2"/>
            <w:tcBorders>
              <w:top w:val="single" w:color="auto" w:sz="6" w:space="0"/>
              <w:left w:val="single" w:color="auto" w:sz="6" w:space="0"/>
              <w:bottom w:val="single" w:color="auto" w:sz="4" w:space="0"/>
              <w:right w:val="single" w:color="auto" w:sz="6" w:space="0"/>
            </w:tcBorders>
            <w:noWrap w:val="0"/>
            <w:vAlign w:val="center"/>
          </w:tcPr>
          <w:p w14:paraId="514DE6C8">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公共设施、设备房</w:t>
            </w:r>
          </w:p>
          <w:p w14:paraId="69305FF6">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设施、门窗及场地</w:t>
            </w:r>
          </w:p>
        </w:tc>
        <w:tc>
          <w:tcPr>
            <w:tcW w:w="3143" w:type="dxa"/>
            <w:tcBorders>
              <w:top w:val="single" w:color="auto" w:sz="6" w:space="0"/>
              <w:left w:val="single" w:color="auto" w:sz="6" w:space="0"/>
              <w:bottom w:val="single" w:color="auto" w:sz="6" w:space="0"/>
              <w:right w:val="single" w:color="auto" w:sz="6" w:space="0"/>
            </w:tcBorders>
            <w:noWrap w:val="0"/>
            <w:vAlign w:val="center"/>
          </w:tcPr>
          <w:p w14:paraId="1A752CE6">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每周进行</w:t>
            </w:r>
            <w:r>
              <w:rPr>
                <w:rFonts w:ascii="宋体" w:hAnsi="宋体" w:eastAsia="宋体" w:cs="Times New Roman"/>
                <w:color w:val="auto"/>
                <w:szCs w:val="21"/>
              </w:rPr>
              <w:t>1</w:t>
            </w:r>
            <w:r>
              <w:rPr>
                <w:rFonts w:hint="eastAsia" w:ascii="宋体" w:hAnsi="宋体" w:eastAsia="宋体" w:cs="Times New Roman"/>
                <w:color w:val="auto"/>
                <w:szCs w:val="21"/>
              </w:rPr>
              <w:t>次清扫和除尘。</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5D0672CE">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无灰尘堆积、窗户明亮。每发现一间不合格扣1分。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46E9693C">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6124EEB2">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71609474">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67FEA4BF">
        <w:tblPrEx>
          <w:tblCellMar>
            <w:top w:w="0" w:type="dxa"/>
            <w:left w:w="30" w:type="dxa"/>
            <w:bottom w:w="0" w:type="dxa"/>
            <w:right w:w="30" w:type="dxa"/>
          </w:tblCellMar>
        </w:tblPrEx>
        <w:trPr>
          <w:trHeight w:val="0" w:hRule="atLeast"/>
          <w:jc w:val="center"/>
        </w:trPr>
        <w:tc>
          <w:tcPr>
            <w:tcW w:w="333" w:type="dxa"/>
            <w:vMerge w:val="restart"/>
            <w:tcBorders>
              <w:top w:val="single" w:color="auto" w:sz="6" w:space="0"/>
              <w:left w:val="single" w:color="auto" w:sz="6" w:space="0"/>
              <w:right w:val="single" w:color="auto" w:sz="4" w:space="0"/>
            </w:tcBorders>
            <w:noWrap w:val="0"/>
            <w:vAlign w:val="center"/>
          </w:tcPr>
          <w:p w14:paraId="75389C06">
            <w:pPr>
              <w:snapToGrid w:val="0"/>
              <w:spacing w:line="240" w:lineRule="auto"/>
              <w:ind w:left="0" w:leftChars="0" w:right="0" w:rightChars="0" w:firstLine="0" w:firstLineChars="0"/>
              <w:jc w:val="center"/>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9</w:t>
            </w: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42D6A335">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电梯</w:t>
            </w:r>
            <w:r>
              <w:rPr>
                <w:rFonts w:hint="eastAsia" w:ascii="宋体" w:hAnsi="宋体" w:eastAsia="宋体" w:cs="Times New Roman"/>
                <w:color w:val="auto"/>
                <w:szCs w:val="21"/>
                <w:lang w:val="en-US" w:eastAsia="zh-CN"/>
              </w:rPr>
              <w:t>轿厢</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3B7B9ED8">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每天清洁</w:t>
            </w:r>
            <w:r>
              <w:rPr>
                <w:rFonts w:ascii="宋体" w:hAnsi="宋体" w:eastAsia="宋体" w:cs="Times New Roman"/>
                <w:color w:val="auto"/>
                <w:szCs w:val="21"/>
              </w:rPr>
              <w:t>1</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3ED12DF9">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清洁、无污迹、无手印。不清洁扣1分。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0DB15B5D">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0E3CC7BF">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15E97AB4">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4A8E6918">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right w:val="single" w:color="auto" w:sz="4" w:space="0"/>
            </w:tcBorders>
            <w:noWrap w:val="0"/>
            <w:vAlign w:val="center"/>
          </w:tcPr>
          <w:p w14:paraId="5388D384">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68CD9A5C">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地垫</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561869AA">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每天更换</w:t>
            </w:r>
            <w:r>
              <w:rPr>
                <w:rFonts w:ascii="宋体" w:hAnsi="宋体" w:eastAsia="宋体" w:cs="Times New Roman"/>
                <w:color w:val="auto"/>
                <w:szCs w:val="21"/>
              </w:rPr>
              <w:t>1</w:t>
            </w:r>
            <w:r>
              <w:rPr>
                <w:rFonts w:hint="eastAsia" w:ascii="宋体" w:hAnsi="宋体" w:eastAsia="宋体" w:cs="Times New Roman"/>
                <w:color w:val="auto"/>
                <w:szCs w:val="21"/>
              </w:rPr>
              <w:t>次，并清洗干净备用。</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170ED1CD">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w:t>
            </w:r>
            <w:r>
              <w:rPr>
                <w:rFonts w:ascii="宋体" w:hAnsi="宋体" w:eastAsia="宋体" w:cs="Times New Roman"/>
                <w:color w:val="auto"/>
                <w:szCs w:val="21"/>
              </w:rPr>
              <w:t>8:</w:t>
            </w:r>
            <w:r>
              <w:rPr>
                <w:rFonts w:hint="eastAsia" w:ascii="宋体" w:hAnsi="宋体" w:eastAsia="宋体" w:cs="Times New Roman"/>
                <w:color w:val="auto"/>
                <w:szCs w:val="21"/>
              </w:rPr>
              <w:t>1</w:t>
            </w:r>
            <w:r>
              <w:rPr>
                <w:rFonts w:ascii="宋体" w:hAnsi="宋体" w:eastAsia="宋体" w:cs="Times New Roman"/>
                <w:color w:val="auto"/>
                <w:szCs w:val="21"/>
              </w:rPr>
              <w:t>0</w:t>
            </w:r>
            <w:r>
              <w:rPr>
                <w:rFonts w:hint="eastAsia" w:ascii="宋体" w:hAnsi="宋体" w:eastAsia="宋体" w:cs="Times New Roman"/>
                <w:color w:val="auto"/>
                <w:szCs w:val="21"/>
              </w:rPr>
              <w:t>前更换、保持电梯内清洁。未更换一次扣1分。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2C7668BD">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2600EF40">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302DAF56">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5B150983">
        <w:tblPrEx>
          <w:tblCellMar>
            <w:top w:w="0" w:type="dxa"/>
            <w:left w:w="30" w:type="dxa"/>
            <w:bottom w:w="0" w:type="dxa"/>
            <w:right w:w="30" w:type="dxa"/>
          </w:tblCellMar>
        </w:tblPrEx>
        <w:trPr>
          <w:trHeight w:val="0" w:hRule="atLeast"/>
          <w:jc w:val="center"/>
        </w:trPr>
        <w:tc>
          <w:tcPr>
            <w:tcW w:w="333" w:type="dxa"/>
            <w:vMerge w:val="continue"/>
            <w:tcBorders>
              <w:left w:val="single" w:color="auto" w:sz="6" w:space="0"/>
              <w:bottom w:val="single" w:color="auto" w:sz="6" w:space="0"/>
              <w:right w:val="single" w:color="auto" w:sz="4" w:space="0"/>
            </w:tcBorders>
            <w:noWrap w:val="0"/>
            <w:vAlign w:val="center"/>
          </w:tcPr>
          <w:p w14:paraId="3ADFA35A">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296" w:type="dxa"/>
            <w:gridSpan w:val="2"/>
            <w:tcBorders>
              <w:top w:val="single" w:color="auto" w:sz="4" w:space="0"/>
              <w:left w:val="single" w:color="auto" w:sz="4" w:space="0"/>
              <w:bottom w:val="single" w:color="auto" w:sz="4" w:space="0"/>
              <w:right w:val="single" w:color="auto" w:sz="4" w:space="0"/>
            </w:tcBorders>
            <w:noWrap w:val="0"/>
            <w:vAlign w:val="center"/>
          </w:tcPr>
          <w:p w14:paraId="6946A54D">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宣传画</w:t>
            </w:r>
          </w:p>
        </w:tc>
        <w:tc>
          <w:tcPr>
            <w:tcW w:w="3143" w:type="dxa"/>
            <w:tcBorders>
              <w:top w:val="single" w:color="auto" w:sz="6" w:space="0"/>
              <w:left w:val="single" w:color="auto" w:sz="4" w:space="0"/>
              <w:bottom w:val="single" w:color="auto" w:sz="6" w:space="0"/>
              <w:right w:val="single" w:color="auto" w:sz="6" w:space="0"/>
            </w:tcBorders>
            <w:noWrap w:val="0"/>
            <w:vAlign w:val="center"/>
          </w:tcPr>
          <w:p w14:paraId="1E65BAF2">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每天清洁</w:t>
            </w:r>
            <w:r>
              <w:rPr>
                <w:rFonts w:ascii="宋体" w:hAnsi="宋体" w:eastAsia="宋体" w:cs="Times New Roman"/>
                <w:color w:val="auto"/>
                <w:szCs w:val="21"/>
              </w:rPr>
              <w:t>1</w:t>
            </w:r>
            <w:r>
              <w:rPr>
                <w:rFonts w:hint="eastAsia" w:ascii="宋体" w:hAnsi="宋体" w:eastAsia="宋体" w:cs="Times New Roman"/>
                <w:color w:val="auto"/>
                <w:szCs w:val="21"/>
              </w:rPr>
              <w:t>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4BCBA0C9">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无灰尘。不清洁扣1分。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117189FE">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27DEB521">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65D580C1">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3C31BF1C">
        <w:tblPrEx>
          <w:tblCellMar>
            <w:top w:w="0" w:type="dxa"/>
            <w:left w:w="30" w:type="dxa"/>
            <w:bottom w:w="0" w:type="dxa"/>
            <w:right w:w="30" w:type="dxa"/>
          </w:tblCellMar>
        </w:tblPrEx>
        <w:trPr>
          <w:trHeight w:val="0" w:hRule="atLeast"/>
          <w:jc w:val="center"/>
        </w:trPr>
        <w:tc>
          <w:tcPr>
            <w:tcW w:w="333" w:type="dxa"/>
            <w:tcBorders>
              <w:top w:val="single" w:color="auto" w:sz="6" w:space="0"/>
              <w:left w:val="single" w:color="auto" w:sz="6" w:space="0"/>
              <w:bottom w:val="single" w:color="auto" w:sz="6" w:space="0"/>
              <w:right w:val="single" w:color="auto" w:sz="6" w:space="0"/>
            </w:tcBorders>
            <w:noWrap w:val="0"/>
            <w:vAlign w:val="center"/>
          </w:tcPr>
          <w:p w14:paraId="4084303A">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10</w:t>
            </w:r>
          </w:p>
        </w:tc>
        <w:tc>
          <w:tcPr>
            <w:tcW w:w="2296" w:type="dxa"/>
            <w:gridSpan w:val="2"/>
            <w:tcBorders>
              <w:top w:val="single" w:color="auto" w:sz="6" w:space="0"/>
              <w:left w:val="single" w:color="auto" w:sz="6" w:space="0"/>
              <w:bottom w:val="single" w:color="auto" w:sz="6" w:space="0"/>
              <w:right w:val="single" w:color="auto" w:sz="6" w:space="0"/>
            </w:tcBorders>
            <w:noWrap w:val="0"/>
            <w:vAlign w:val="center"/>
          </w:tcPr>
          <w:p w14:paraId="04257941">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卫生工具摆放</w:t>
            </w:r>
          </w:p>
        </w:tc>
        <w:tc>
          <w:tcPr>
            <w:tcW w:w="3143" w:type="dxa"/>
            <w:tcBorders>
              <w:top w:val="single" w:color="auto" w:sz="6" w:space="0"/>
              <w:left w:val="single" w:color="auto" w:sz="6" w:space="0"/>
              <w:bottom w:val="single" w:color="auto" w:sz="6" w:space="0"/>
              <w:right w:val="single" w:color="auto" w:sz="6" w:space="0"/>
            </w:tcBorders>
            <w:noWrap w:val="0"/>
            <w:vAlign w:val="center"/>
          </w:tcPr>
          <w:p w14:paraId="3999A0F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整齐有序，合理布置。</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63DCD31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无乱丢乱放现象。发现乱丢乱放，一次扣1分。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0394D8D5">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3B112AA0">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5DF52BEC">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46D57736">
        <w:tblPrEx>
          <w:tblCellMar>
            <w:top w:w="0" w:type="dxa"/>
            <w:left w:w="30" w:type="dxa"/>
            <w:bottom w:w="0" w:type="dxa"/>
            <w:right w:w="30" w:type="dxa"/>
          </w:tblCellMar>
        </w:tblPrEx>
        <w:trPr>
          <w:trHeight w:val="0" w:hRule="atLeast"/>
          <w:jc w:val="center"/>
        </w:trPr>
        <w:tc>
          <w:tcPr>
            <w:tcW w:w="333" w:type="dxa"/>
            <w:tcBorders>
              <w:top w:val="single" w:color="auto" w:sz="6" w:space="0"/>
              <w:left w:val="single" w:color="auto" w:sz="6" w:space="0"/>
              <w:bottom w:val="single" w:color="auto" w:sz="6" w:space="0"/>
              <w:right w:val="single" w:color="auto" w:sz="6" w:space="0"/>
            </w:tcBorders>
            <w:noWrap w:val="0"/>
            <w:vAlign w:val="center"/>
          </w:tcPr>
          <w:p w14:paraId="49C6E615">
            <w:pPr>
              <w:snapToGrid w:val="0"/>
              <w:spacing w:line="240" w:lineRule="auto"/>
              <w:ind w:left="0" w:leftChars="0" w:right="0" w:rightChars="0" w:firstLine="0" w:firstLineChars="0"/>
              <w:jc w:val="center"/>
              <w:rPr>
                <w:rFonts w:hint="eastAsia" w:ascii="宋体" w:hAnsi="宋体" w:eastAsia="宋体" w:cs="Times New Roman"/>
                <w:color w:val="auto"/>
                <w:szCs w:val="21"/>
                <w:lang w:val="en-US" w:eastAsia="zh-CN"/>
              </w:rPr>
            </w:pPr>
            <w:r>
              <w:rPr>
                <w:rFonts w:ascii="宋体" w:hAnsi="宋体" w:eastAsia="宋体" w:cs="Times New Roman"/>
                <w:color w:val="auto"/>
                <w:szCs w:val="21"/>
              </w:rPr>
              <w:t>1</w:t>
            </w:r>
            <w:r>
              <w:rPr>
                <w:rFonts w:hint="eastAsia" w:ascii="宋体" w:hAnsi="宋体" w:eastAsia="宋体" w:cs="Times New Roman"/>
                <w:color w:val="auto"/>
                <w:szCs w:val="21"/>
                <w:lang w:val="en-US" w:eastAsia="zh-CN"/>
              </w:rPr>
              <w:t>1</w:t>
            </w:r>
          </w:p>
        </w:tc>
        <w:tc>
          <w:tcPr>
            <w:tcW w:w="2296" w:type="dxa"/>
            <w:gridSpan w:val="2"/>
            <w:tcBorders>
              <w:top w:val="single" w:color="auto" w:sz="6" w:space="0"/>
              <w:left w:val="single" w:color="auto" w:sz="6" w:space="0"/>
              <w:bottom w:val="single" w:color="auto" w:sz="6" w:space="0"/>
              <w:right w:val="single" w:color="auto" w:sz="6" w:space="0"/>
            </w:tcBorders>
            <w:noWrap w:val="0"/>
            <w:vAlign w:val="center"/>
          </w:tcPr>
          <w:p w14:paraId="026A4303">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人身安全、设施设备安全</w:t>
            </w:r>
          </w:p>
        </w:tc>
        <w:tc>
          <w:tcPr>
            <w:tcW w:w="3143" w:type="dxa"/>
            <w:tcBorders>
              <w:top w:val="single" w:color="auto" w:sz="6" w:space="0"/>
              <w:left w:val="single" w:color="auto" w:sz="6" w:space="0"/>
              <w:bottom w:val="single" w:color="auto" w:sz="6" w:space="0"/>
              <w:right w:val="single" w:color="auto" w:sz="6" w:space="0"/>
            </w:tcBorders>
            <w:noWrap w:val="0"/>
            <w:vAlign w:val="center"/>
          </w:tcPr>
          <w:p w14:paraId="7B610B7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杜绝人身安全事故，爱护公共设施，避免出理设施设备损坏，工具丢失等现象。</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28962E45">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无安全事故、无公共设施损坏（指工作时的对象），无工具丢失。发生一起安全事故扣3分。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34A15000">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75362788">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55A42A46">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6F2750E3">
        <w:tblPrEx>
          <w:tblCellMar>
            <w:top w:w="0" w:type="dxa"/>
            <w:left w:w="30" w:type="dxa"/>
            <w:bottom w:w="0" w:type="dxa"/>
            <w:right w:w="30" w:type="dxa"/>
          </w:tblCellMar>
        </w:tblPrEx>
        <w:trPr>
          <w:trHeight w:val="0" w:hRule="atLeast"/>
          <w:jc w:val="center"/>
        </w:trPr>
        <w:tc>
          <w:tcPr>
            <w:tcW w:w="333" w:type="dxa"/>
            <w:tcBorders>
              <w:top w:val="single" w:color="auto" w:sz="6" w:space="0"/>
              <w:left w:val="single" w:color="auto" w:sz="6" w:space="0"/>
              <w:bottom w:val="single" w:color="auto" w:sz="6" w:space="0"/>
              <w:right w:val="single" w:color="auto" w:sz="6" w:space="0"/>
            </w:tcBorders>
            <w:noWrap w:val="0"/>
            <w:vAlign w:val="center"/>
          </w:tcPr>
          <w:p w14:paraId="4CC8A6DC">
            <w:pPr>
              <w:snapToGrid w:val="0"/>
              <w:spacing w:line="240" w:lineRule="auto"/>
              <w:ind w:left="0" w:leftChars="0" w:right="0" w:rightChars="0" w:firstLine="0" w:firstLineChars="0"/>
              <w:jc w:val="center"/>
              <w:rPr>
                <w:rFonts w:hint="eastAsia" w:ascii="宋体" w:hAnsi="宋体" w:eastAsia="宋体" w:cs="Times New Roman"/>
                <w:color w:val="auto"/>
                <w:szCs w:val="21"/>
                <w:lang w:val="en-US" w:eastAsia="zh-CN"/>
              </w:rPr>
            </w:pPr>
            <w:r>
              <w:rPr>
                <w:rFonts w:ascii="宋体" w:hAnsi="宋体" w:eastAsia="宋体" w:cs="Times New Roman"/>
                <w:color w:val="auto"/>
                <w:szCs w:val="21"/>
              </w:rPr>
              <w:t>1</w:t>
            </w:r>
            <w:r>
              <w:rPr>
                <w:rFonts w:hint="eastAsia" w:ascii="宋体" w:hAnsi="宋体" w:eastAsia="宋体" w:cs="Times New Roman"/>
                <w:color w:val="auto"/>
                <w:szCs w:val="21"/>
                <w:lang w:val="en-US" w:eastAsia="zh-CN"/>
              </w:rPr>
              <w:t>2</w:t>
            </w:r>
          </w:p>
        </w:tc>
        <w:tc>
          <w:tcPr>
            <w:tcW w:w="2296" w:type="dxa"/>
            <w:gridSpan w:val="2"/>
            <w:tcBorders>
              <w:top w:val="single" w:color="auto" w:sz="6" w:space="0"/>
              <w:left w:val="single" w:color="auto" w:sz="6" w:space="0"/>
              <w:bottom w:val="single" w:color="auto" w:sz="6" w:space="0"/>
              <w:right w:val="single" w:color="auto" w:sz="6" w:space="0"/>
            </w:tcBorders>
            <w:noWrap w:val="0"/>
            <w:vAlign w:val="center"/>
          </w:tcPr>
          <w:p w14:paraId="2612E01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卫生宣传</w:t>
            </w:r>
          </w:p>
        </w:tc>
        <w:tc>
          <w:tcPr>
            <w:tcW w:w="3143" w:type="dxa"/>
            <w:tcBorders>
              <w:top w:val="single" w:color="auto" w:sz="6" w:space="0"/>
              <w:left w:val="single" w:color="auto" w:sz="6" w:space="0"/>
              <w:bottom w:val="single" w:color="auto" w:sz="6" w:space="0"/>
              <w:right w:val="single" w:color="auto" w:sz="6" w:space="0"/>
            </w:tcBorders>
            <w:noWrap w:val="0"/>
            <w:vAlign w:val="center"/>
          </w:tcPr>
          <w:p w14:paraId="0CD63C1E">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按学院管理部门要求张贴。</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282E9FF8">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按要求张贴，及时清理小广告。未经同意张贴1次扣2分。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2A560858">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339B2CAB">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1766388D">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7BCF311">
        <w:tblPrEx>
          <w:tblCellMar>
            <w:top w:w="0" w:type="dxa"/>
            <w:left w:w="30" w:type="dxa"/>
            <w:bottom w:w="0" w:type="dxa"/>
            <w:right w:w="30" w:type="dxa"/>
          </w:tblCellMar>
        </w:tblPrEx>
        <w:trPr>
          <w:trHeight w:val="0" w:hRule="atLeast"/>
          <w:jc w:val="center"/>
        </w:trPr>
        <w:tc>
          <w:tcPr>
            <w:tcW w:w="333" w:type="dxa"/>
            <w:tcBorders>
              <w:top w:val="single" w:color="auto" w:sz="6" w:space="0"/>
              <w:left w:val="single" w:color="auto" w:sz="6" w:space="0"/>
              <w:bottom w:val="single" w:color="auto" w:sz="6" w:space="0"/>
              <w:right w:val="single" w:color="auto" w:sz="6" w:space="0"/>
            </w:tcBorders>
            <w:noWrap w:val="0"/>
            <w:vAlign w:val="center"/>
          </w:tcPr>
          <w:p w14:paraId="222F4B16">
            <w:pPr>
              <w:snapToGrid w:val="0"/>
              <w:spacing w:line="240" w:lineRule="auto"/>
              <w:ind w:left="0" w:leftChars="0" w:right="0" w:rightChars="0" w:firstLine="0" w:firstLineChars="0"/>
              <w:jc w:val="center"/>
              <w:rPr>
                <w:rFonts w:hint="eastAsia" w:ascii="宋体" w:hAnsi="宋体" w:eastAsia="宋体" w:cs="Times New Roman"/>
                <w:color w:val="auto"/>
                <w:szCs w:val="21"/>
                <w:lang w:val="en-US" w:eastAsia="zh-CN"/>
              </w:rPr>
            </w:pPr>
            <w:r>
              <w:rPr>
                <w:rFonts w:ascii="宋体" w:hAnsi="宋体" w:eastAsia="宋体" w:cs="Times New Roman"/>
                <w:color w:val="auto"/>
                <w:szCs w:val="21"/>
              </w:rPr>
              <w:t>1</w:t>
            </w:r>
            <w:r>
              <w:rPr>
                <w:rFonts w:hint="eastAsia" w:ascii="宋体" w:hAnsi="宋体" w:eastAsia="宋体" w:cs="Times New Roman"/>
                <w:color w:val="auto"/>
                <w:szCs w:val="21"/>
                <w:lang w:val="en-US" w:eastAsia="zh-CN"/>
              </w:rPr>
              <w:t>3</w:t>
            </w:r>
          </w:p>
        </w:tc>
        <w:tc>
          <w:tcPr>
            <w:tcW w:w="2296" w:type="dxa"/>
            <w:gridSpan w:val="2"/>
            <w:tcBorders>
              <w:top w:val="single" w:color="auto" w:sz="6" w:space="0"/>
              <w:left w:val="single" w:color="auto" w:sz="6" w:space="0"/>
              <w:bottom w:val="single" w:color="auto" w:sz="6" w:space="0"/>
              <w:right w:val="single" w:color="auto" w:sz="6" w:space="0"/>
            </w:tcBorders>
            <w:noWrap w:val="0"/>
            <w:vAlign w:val="center"/>
          </w:tcPr>
          <w:p w14:paraId="788D6AFB">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临时任务或突击任务</w:t>
            </w:r>
          </w:p>
        </w:tc>
        <w:tc>
          <w:tcPr>
            <w:tcW w:w="3143" w:type="dxa"/>
            <w:tcBorders>
              <w:top w:val="single" w:color="auto" w:sz="6" w:space="0"/>
              <w:left w:val="single" w:color="auto" w:sz="6" w:space="0"/>
              <w:bottom w:val="single" w:color="auto" w:sz="6" w:space="0"/>
              <w:right w:val="single" w:color="auto" w:sz="6" w:space="0"/>
            </w:tcBorders>
            <w:noWrap w:val="0"/>
            <w:vAlign w:val="center"/>
          </w:tcPr>
          <w:p w14:paraId="2F2A403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服从调配，保质保量完成。</w:t>
            </w:r>
          </w:p>
        </w:tc>
        <w:tc>
          <w:tcPr>
            <w:tcW w:w="3101" w:type="dxa"/>
            <w:tcBorders>
              <w:top w:val="single" w:color="auto" w:sz="6" w:space="0"/>
              <w:left w:val="single" w:color="auto" w:sz="6" w:space="0"/>
              <w:bottom w:val="single" w:color="auto" w:sz="6" w:space="0"/>
              <w:right w:val="single" w:color="auto" w:sz="6" w:space="0"/>
            </w:tcBorders>
            <w:noWrap w:val="0"/>
            <w:vAlign w:val="center"/>
          </w:tcPr>
          <w:p w14:paraId="41A64B3F">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服从学院管理部门安排。不服从一次扣3分。</w:t>
            </w:r>
          </w:p>
        </w:tc>
        <w:tc>
          <w:tcPr>
            <w:tcW w:w="501" w:type="dxa"/>
            <w:tcBorders>
              <w:top w:val="single" w:color="auto" w:sz="6" w:space="0"/>
              <w:left w:val="single" w:color="auto" w:sz="6" w:space="0"/>
              <w:bottom w:val="single" w:color="auto" w:sz="6" w:space="0"/>
              <w:right w:val="single" w:color="auto" w:sz="6" w:space="0"/>
            </w:tcBorders>
            <w:noWrap w:val="0"/>
            <w:vAlign w:val="center"/>
          </w:tcPr>
          <w:p w14:paraId="1717C03D">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3</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1D79AB68">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5C5BE7F7">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8F58948">
        <w:trPr>
          <w:trHeight w:val="0" w:hRule="atLeast"/>
          <w:jc w:val="center"/>
        </w:trPr>
        <w:tc>
          <w:tcPr>
            <w:tcW w:w="333" w:type="dxa"/>
            <w:tcBorders>
              <w:top w:val="single" w:color="auto" w:sz="6" w:space="0"/>
              <w:left w:val="single" w:color="auto" w:sz="6" w:space="0"/>
              <w:bottom w:val="single" w:color="auto" w:sz="6" w:space="0"/>
              <w:right w:val="single" w:color="auto" w:sz="6" w:space="0"/>
            </w:tcBorders>
            <w:noWrap w:val="0"/>
            <w:vAlign w:val="center"/>
          </w:tcPr>
          <w:p w14:paraId="7DE9667F">
            <w:pPr>
              <w:snapToGrid w:val="0"/>
              <w:spacing w:line="240" w:lineRule="auto"/>
              <w:ind w:left="0" w:leftChars="0" w:right="0" w:rightChars="0" w:firstLine="0" w:firstLineChars="0"/>
              <w:jc w:val="center"/>
              <w:rPr>
                <w:rFonts w:ascii="宋体" w:hAnsi="宋体" w:eastAsia="宋体" w:cs="Times New Roman"/>
                <w:b/>
                <w:color w:val="auto"/>
                <w:szCs w:val="21"/>
              </w:rPr>
            </w:pPr>
          </w:p>
        </w:tc>
        <w:tc>
          <w:tcPr>
            <w:tcW w:w="2008" w:type="dxa"/>
            <w:tcBorders>
              <w:top w:val="single" w:color="auto" w:sz="6" w:space="0"/>
              <w:left w:val="single" w:color="auto" w:sz="6" w:space="0"/>
              <w:bottom w:val="single" w:color="auto" w:sz="6" w:space="0"/>
              <w:right w:val="single" w:color="auto" w:sz="6" w:space="0"/>
            </w:tcBorders>
            <w:noWrap w:val="0"/>
            <w:vAlign w:val="center"/>
          </w:tcPr>
          <w:p w14:paraId="3A6EE3E4">
            <w:pPr>
              <w:snapToGrid w:val="0"/>
              <w:spacing w:line="240" w:lineRule="auto"/>
              <w:ind w:left="0" w:leftChars="0" w:right="0" w:rightChars="0" w:firstLine="0" w:firstLineChars="0"/>
              <w:jc w:val="left"/>
              <w:rPr>
                <w:rFonts w:ascii="宋体" w:hAnsi="宋体" w:eastAsia="宋体" w:cs="Times New Roman"/>
                <w:b/>
                <w:color w:val="auto"/>
                <w:szCs w:val="21"/>
              </w:rPr>
            </w:pPr>
            <w:r>
              <w:rPr>
                <w:rFonts w:hint="eastAsia" w:ascii="宋体" w:hAnsi="宋体" w:eastAsia="宋体" w:cs="Times New Roman"/>
                <w:b/>
                <w:color w:val="auto"/>
                <w:szCs w:val="21"/>
              </w:rPr>
              <w:t>合计</w:t>
            </w:r>
          </w:p>
        </w:tc>
        <w:tc>
          <w:tcPr>
            <w:tcW w:w="288" w:type="dxa"/>
            <w:tcBorders>
              <w:top w:val="single" w:color="auto" w:sz="6" w:space="0"/>
              <w:left w:val="single" w:color="auto" w:sz="6" w:space="0"/>
              <w:bottom w:val="single" w:color="auto" w:sz="6" w:space="0"/>
              <w:right w:val="single" w:color="auto" w:sz="6" w:space="0"/>
            </w:tcBorders>
            <w:noWrap w:val="0"/>
            <w:vAlign w:val="center"/>
          </w:tcPr>
          <w:p w14:paraId="7A32FF7F">
            <w:pPr>
              <w:snapToGrid w:val="0"/>
              <w:spacing w:line="240" w:lineRule="auto"/>
              <w:ind w:left="0" w:leftChars="0" w:right="0" w:rightChars="0" w:firstLine="0" w:firstLineChars="0"/>
              <w:jc w:val="left"/>
              <w:rPr>
                <w:rFonts w:ascii="宋体" w:hAnsi="宋体" w:eastAsia="宋体" w:cs="Times New Roman"/>
                <w:b/>
                <w:color w:val="auto"/>
                <w:szCs w:val="21"/>
              </w:rPr>
            </w:pPr>
          </w:p>
        </w:tc>
        <w:tc>
          <w:tcPr>
            <w:tcW w:w="3143" w:type="dxa"/>
            <w:tcBorders>
              <w:top w:val="single" w:color="auto" w:sz="6" w:space="0"/>
              <w:left w:val="single" w:color="auto" w:sz="6" w:space="0"/>
              <w:bottom w:val="single" w:color="auto" w:sz="6" w:space="0"/>
              <w:right w:val="single" w:color="auto" w:sz="6" w:space="0"/>
            </w:tcBorders>
            <w:noWrap w:val="0"/>
            <w:vAlign w:val="center"/>
          </w:tcPr>
          <w:p w14:paraId="5CE9028F">
            <w:pPr>
              <w:snapToGrid w:val="0"/>
              <w:spacing w:line="240" w:lineRule="auto"/>
              <w:ind w:left="0" w:leftChars="0" w:right="0" w:rightChars="0" w:firstLine="0" w:firstLineChars="0"/>
              <w:jc w:val="left"/>
              <w:rPr>
                <w:rFonts w:ascii="宋体" w:hAnsi="宋体" w:eastAsia="宋体" w:cs="Times New Roman"/>
                <w:b/>
                <w:color w:val="auto"/>
                <w:szCs w:val="21"/>
              </w:rPr>
            </w:pPr>
          </w:p>
        </w:tc>
        <w:tc>
          <w:tcPr>
            <w:tcW w:w="3101" w:type="dxa"/>
            <w:tcBorders>
              <w:top w:val="single" w:color="auto" w:sz="6" w:space="0"/>
              <w:left w:val="single" w:color="auto" w:sz="6" w:space="0"/>
              <w:bottom w:val="single" w:color="auto" w:sz="6" w:space="0"/>
              <w:right w:val="single" w:color="auto" w:sz="6" w:space="0"/>
            </w:tcBorders>
            <w:noWrap w:val="0"/>
            <w:vAlign w:val="center"/>
          </w:tcPr>
          <w:p w14:paraId="2E96AD5E">
            <w:pPr>
              <w:snapToGrid w:val="0"/>
              <w:spacing w:line="240" w:lineRule="auto"/>
              <w:ind w:left="0" w:leftChars="0" w:right="0" w:rightChars="0" w:firstLine="0" w:firstLineChars="0"/>
              <w:jc w:val="left"/>
              <w:rPr>
                <w:rFonts w:ascii="宋体" w:hAnsi="宋体" w:eastAsia="宋体" w:cs="Times New Roman"/>
                <w:b/>
                <w:color w:val="auto"/>
                <w:szCs w:val="21"/>
              </w:rPr>
            </w:pPr>
          </w:p>
        </w:tc>
        <w:tc>
          <w:tcPr>
            <w:tcW w:w="501" w:type="dxa"/>
            <w:tcBorders>
              <w:top w:val="single" w:color="auto" w:sz="6" w:space="0"/>
              <w:left w:val="single" w:color="auto" w:sz="6" w:space="0"/>
              <w:bottom w:val="single" w:color="auto" w:sz="6" w:space="0"/>
              <w:right w:val="single" w:color="auto" w:sz="6" w:space="0"/>
            </w:tcBorders>
            <w:noWrap w:val="0"/>
            <w:vAlign w:val="center"/>
          </w:tcPr>
          <w:p w14:paraId="5CC8AE99">
            <w:pPr>
              <w:snapToGrid w:val="0"/>
              <w:spacing w:line="240" w:lineRule="auto"/>
              <w:ind w:left="0" w:leftChars="0" w:right="0" w:rightChars="0" w:firstLine="0" w:firstLineChars="0"/>
              <w:jc w:val="right"/>
              <w:rPr>
                <w:rFonts w:ascii="宋体" w:hAnsi="宋体" w:eastAsia="宋体" w:cs="Times New Roman"/>
                <w:b/>
                <w:color w:val="auto"/>
                <w:szCs w:val="21"/>
              </w:rPr>
            </w:pPr>
            <w:r>
              <w:rPr>
                <w:rFonts w:ascii="宋体" w:hAnsi="宋体" w:eastAsia="宋体" w:cs="Times New Roman"/>
                <w:b/>
                <w:color w:val="auto"/>
                <w:szCs w:val="21"/>
              </w:rPr>
              <w:t>1</w:t>
            </w:r>
            <w:r>
              <w:rPr>
                <w:rFonts w:hint="eastAsia" w:ascii="宋体" w:hAnsi="宋体" w:eastAsia="宋体" w:cs="Times New Roman"/>
                <w:b/>
                <w:color w:val="auto"/>
                <w:szCs w:val="21"/>
              </w:rPr>
              <w:t>0</w:t>
            </w:r>
            <w:r>
              <w:rPr>
                <w:rFonts w:ascii="宋体" w:hAnsi="宋体" w:eastAsia="宋体" w:cs="Times New Roman"/>
                <w:b/>
                <w:color w:val="auto"/>
                <w:szCs w:val="21"/>
              </w:rPr>
              <w:t>0</w:t>
            </w:r>
          </w:p>
        </w:tc>
        <w:tc>
          <w:tcPr>
            <w:tcW w:w="611" w:type="dxa"/>
            <w:tcBorders>
              <w:top w:val="single" w:color="auto" w:sz="6" w:space="0"/>
              <w:left w:val="single" w:color="auto" w:sz="6" w:space="0"/>
              <w:bottom w:val="single" w:color="auto" w:sz="6" w:space="0"/>
              <w:right w:val="single" w:color="auto" w:sz="6" w:space="0"/>
            </w:tcBorders>
            <w:noWrap w:val="0"/>
            <w:vAlign w:val="center"/>
          </w:tcPr>
          <w:p w14:paraId="681C5F86">
            <w:pPr>
              <w:snapToGrid w:val="0"/>
              <w:spacing w:line="240" w:lineRule="auto"/>
              <w:ind w:left="0" w:leftChars="0" w:right="0" w:rightChars="0" w:firstLine="0" w:firstLineChars="0"/>
              <w:jc w:val="center"/>
              <w:rPr>
                <w:rFonts w:hint="default" w:ascii="宋体" w:hAnsi="宋体" w:eastAsia="宋体" w:cs="Times New Roman"/>
                <w:b/>
                <w:color w:val="auto"/>
                <w:szCs w:val="21"/>
                <w:lang w:val="en-US" w:eastAsia="zh-CN"/>
              </w:rPr>
            </w:pPr>
          </w:p>
        </w:tc>
        <w:tc>
          <w:tcPr>
            <w:tcW w:w="428" w:type="dxa"/>
            <w:tcBorders>
              <w:top w:val="single" w:color="auto" w:sz="6" w:space="0"/>
              <w:left w:val="single" w:color="auto" w:sz="6" w:space="0"/>
              <w:bottom w:val="single" w:color="auto" w:sz="6" w:space="0"/>
              <w:right w:val="single" w:color="auto" w:sz="6" w:space="0"/>
            </w:tcBorders>
            <w:noWrap w:val="0"/>
            <w:vAlign w:val="center"/>
          </w:tcPr>
          <w:p w14:paraId="7AF111B6">
            <w:pPr>
              <w:snapToGrid w:val="0"/>
              <w:spacing w:line="240" w:lineRule="auto"/>
              <w:ind w:left="0" w:leftChars="0" w:right="0" w:rightChars="0" w:firstLine="0" w:firstLineChars="0"/>
              <w:jc w:val="center"/>
              <w:rPr>
                <w:rFonts w:ascii="宋体" w:hAnsi="宋体" w:eastAsia="宋体" w:cs="Times New Roman"/>
                <w:b/>
                <w:color w:val="auto"/>
                <w:szCs w:val="21"/>
              </w:rPr>
            </w:pPr>
          </w:p>
        </w:tc>
      </w:tr>
      <w:tr w14:paraId="1F6A4B76">
        <w:tblPrEx>
          <w:tblCellMar>
            <w:top w:w="0" w:type="dxa"/>
            <w:left w:w="30" w:type="dxa"/>
            <w:bottom w:w="0" w:type="dxa"/>
            <w:right w:w="30" w:type="dxa"/>
          </w:tblCellMar>
        </w:tblPrEx>
        <w:trPr>
          <w:trHeight w:val="0" w:hRule="atLeast"/>
          <w:jc w:val="center"/>
        </w:trPr>
        <w:tc>
          <w:tcPr>
            <w:tcW w:w="10413" w:type="dxa"/>
            <w:gridSpan w:val="8"/>
            <w:tcBorders>
              <w:top w:val="single" w:color="auto" w:sz="6" w:space="0"/>
              <w:left w:val="single" w:color="auto" w:sz="6" w:space="0"/>
              <w:bottom w:val="single" w:color="auto" w:sz="6" w:space="0"/>
              <w:right w:val="single" w:color="auto" w:sz="6" w:space="0"/>
            </w:tcBorders>
            <w:noWrap w:val="0"/>
            <w:vAlign w:val="center"/>
          </w:tcPr>
          <w:p w14:paraId="4B3CC60C">
            <w:pPr>
              <w:snapToGrid w:val="0"/>
              <w:spacing w:line="240" w:lineRule="auto"/>
              <w:ind w:left="0" w:leftChars="0" w:right="0" w:rightChars="0" w:firstLine="0" w:firstLineChars="0"/>
              <w:jc w:val="center"/>
              <w:rPr>
                <w:rFonts w:ascii="宋体" w:hAnsi="宋体" w:eastAsia="宋体" w:cs="Times New Roman"/>
                <w:color w:val="auto"/>
                <w:szCs w:val="21"/>
              </w:rPr>
            </w:pPr>
            <w:r>
              <w:rPr>
                <w:rFonts w:hint="eastAsia" w:ascii="宋体" w:hAnsi="宋体" w:eastAsia="宋体" w:cs="Times New Roman"/>
                <w:color w:val="auto"/>
                <w:szCs w:val="21"/>
              </w:rPr>
              <w:t>考核说明：该项目考核分共</w:t>
            </w:r>
            <w:r>
              <w:rPr>
                <w:rFonts w:ascii="宋体" w:hAnsi="宋体" w:eastAsia="宋体" w:cs="Times New Roman"/>
                <w:color w:val="auto"/>
                <w:szCs w:val="21"/>
              </w:rPr>
              <w:t>1</w:t>
            </w:r>
            <w:r>
              <w:rPr>
                <w:rFonts w:hint="eastAsia" w:ascii="宋体" w:hAnsi="宋体" w:eastAsia="宋体" w:cs="Times New Roman"/>
                <w:color w:val="auto"/>
                <w:szCs w:val="21"/>
              </w:rPr>
              <w:t>0</w:t>
            </w:r>
            <w:r>
              <w:rPr>
                <w:rFonts w:ascii="宋体" w:hAnsi="宋体" w:eastAsia="宋体" w:cs="Times New Roman"/>
                <w:color w:val="auto"/>
                <w:szCs w:val="21"/>
              </w:rPr>
              <w:t>0</w:t>
            </w:r>
            <w:r>
              <w:rPr>
                <w:rFonts w:hint="eastAsia" w:ascii="宋体" w:hAnsi="宋体" w:eastAsia="宋体" w:cs="Times New Roman"/>
                <w:color w:val="auto"/>
                <w:szCs w:val="21"/>
              </w:rPr>
              <w:t>分，由学院管理部门在每天工作时间段内随机抽查考核，若当月同一考核项目连续不达标，则扣分项不受分值限制，直到扣完100分为止。学院按实际扣除分数扣减服务费（即被扣分数</w:t>
            </w:r>
            <w:r>
              <w:rPr>
                <w:rFonts w:ascii="宋体" w:hAnsi="宋体" w:eastAsia="宋体" w:cs="Arial"/>
                <w:color w:val="auto"/>
                <w:szCs w:val="21"/>
              </w:rPr>
              <w:t>×</w:t>
            </w:r>
            <w:r>
              <w:rPr>
                <w:rFonts w:hint="eastAsia" w:ascii="宋体" w:hAnsi="宋体" w:eastAsia="宋体" w:cs="宋体"/>
                <w:color w:val="auto"/>
                <w:szCs w:val="21"/>
              </w:rPr>
              <w:t>分值）</w:t>
            </w:r>
            <w:r>
              <w:rPr>
                <w:rFonts w:hint="eastAsia" w:ascii="宋体" w:hAnsi="宋体" w:eastAsia="宋体" w:cs="Times New Roman"/>
                <w:color w:val="auto"/>
                <w:szCs w:val="21"/>
              </w:rPr>
              <w:t>。</w:t>
            </w:r>
          </w:p>
        </w:tc>
      </w:tr>
      <w:tr w14:paraId="47C148E3">
        <w:tblPrEx>
          <w:tblCellMar>
            <w:top w:w="0" w:type="dxa"/>
            <w:left w:w="30" w:type="dxa"/>
            <w:bottom w:w="0" w:type="dxa"/>
            <w:right w:w="30" w:type="dxa"/>
          </w:tblCellMar>
        </w:tblPrEx>
        <w:trPr>
          <w:trHeight w:val="0" w:hRule="atLeast"/>
          <w:jc w:val="center"/>
        </w:trPr>
        <w:tc>
          <w:tcPr>
            <w:tcW w:w="10413" w:type="dxa"/>
            <w:gridSpan w:val="8"/>
            <w:tcBorders>
              <w:top w:val="single" w:color="auto" w:sz="6" w:space="0"/>
              <w:left w:val="single" w:color="auto" w:sz="6" w:space="0"/>
              <w:bottom w:val="single" w:color="auto" w:sz="6" w:space="0"/>
              <w:right w:val="single" w:color="auto" w:sz="6" w:space="0"/>
            </w:tcBorders>
            <w:noWrap w:val="0"/>
            <w:vAlign w:val="center"/>
          </w:tcPr>
          <w:p w14:paraId="1D6976E9">
            <w:pPr>
              <w:snapToGrid w:val="0"/>
              <w:spacing w:line="240" w:lineRule="auto"/>
              <w:ind w:left="0" w:leftChars="0" w:right="0" w:rightChars="0" w:firstLine="0" w:firstLineChars="0"/>
              <w:jc w:val="center"/>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eastAsia="zh-CN"/>
              </w:rPr>
              <w:t>考核人：</w:t>
            </w:r>
            <w:r>
              <w:rPr>
                <w:rFonts w:hint="eastAsia" w:ascii="宋体" w:hAnsi="宋体" w:eastAsia="宋体" w:cs="Times New Roman"/>
                <w:color w:val="auto"/>
                <w:szCs w:val="21"/>
                <w:lang w:val="en-US" w:eastAsia="zh-CN"/>
              </w:rPr>
              <w:t xml:space="preserve">            责任人：           制表人:</w:t>
            </w:r>
          </w:p>
        </w:tc>
      </w:tr>
    </w:tbl>
    <w:p w14:paraId="1A842E78">
      <w:pPr>
        <w:spacing w:line="360" w:lineRule="auto"/>
        <w:jc w:val="center"/>
        <w:rPr>
          <w:rFonts w:hint="eastAsia" w:ascii="黑体" w:hAnsi="黑体" w:eastAsia="黑体" w:cs="Times New Roman"/>
          <w:b/>
          <w:bCs/>
          <w:color w:val="auto"/>
          <w:sz w:val="32"/>
          <w:szCs w:val="32"/>
        </w:rPr>
      </w:pPr>
    </w:p>
    <w:p w14:paraId="5D94CD08">
      <w:pPr>
        <w:spacing w:line="360" w:lineRule="auto"/>
        <w:jc w:val="center"/>
        <w:rPr>
          <w:rFonts w:hint="eastAsia" w:ascii="黑体" w:hAnsi="黑体" w:eastAsia="黑体" w:cs="Times New Roman"/>
          <w:b/>
          <w:bCs/>
          <w:color w:val="auto"/>
          <w:sz w:val="32"/>
          <w:szCs w:val="32"/>
        </w:rPr>
      </w:pPr>
    </w:p>
    <w:p w14:paraId="1DE34395">
      <w:pPr>
        <w:spacing w:line="360" w:lineRule="auto"/>
        <w:jc w:val="center"/>
        <w:rPr>
          <w:rFonts w:hint="eastAsia" w:ascii="黑体" w:hAnsi="黑体" w:eastAsia="黑体" w:cs="Times New Roman"/>
          <w:b/>
          <w:bCs/>
          <w:color w:val="auto"/>
          <w:sz w:val="32"/>
          <w:szCs w:val="32"/>
        </w:rPr>
      </w:pPr>
    </w:p>
    <w:p w14:paraId="459682DF">
      <w:pPr>
        <w:spacing w:line="360" w:lineRule="auto"/>
        <w:jc w:val="center"/>
        <w:rPr>
          <w:rFonts w:hint="eastAsia" w:ascii="黑体" w:hAnsi="黑体" w:eastAsia="黑体" w:cs="Times New Roman"/>
          <w:b/>
          <w:bCs/>
          <w:color w:val="auto"/>
          <w:sz w:val="32"/>
          <w:szCs w:val="32"/>
        </w:rPr>
      </w:pPr>
    </w:p>
    <w:p w14:paraId="5D3AFA2E">
      <w:pPr>
        <w:snapToGrid w:val="0"/>
        <w:spacing w:line="360" w:lineRule="auto"/>
        <w:jc w:val="center"/>
        <w:rPr>
          <w:rFonts w:hint="eastAsia" w:ascii="黑体" w:hAnsi="黑体" w:eastAsia="黑体" w:cs="Times New Roman"/>
          <w:b/>
          <w:bCs/>
          <w:color w:val="auto"/>
          <w:sz w:val="32"/>
          <w:szCs w:val="32"/>
        </w:rPr>
      </w:pPr>
      <w:r>
        <w:rPr>
          <w:rFonts w:hint="eastAsia" w:ascii="黑体" w:hAnsi="黑体" w:eastAsia="黑体" w:cs="Times New Roman"/>
          <w:b/>
          <w:bCs/>
          <w:color w:val="auto"/>
          <w:sz w:val="32"/>
          <w:szCs w:val="32"/>
        </w:rPr>
        <w:br w:type="page"/>
      </w:r>
      <w:r>
        <w:rPr>
          <w:rFonts w:hint="eastAsia" w:ascii="黑体" w:hAnsi="黑体" w:eastAsia="黑体" w:cs="Times New Roman"/>
          <w:b/>
          <w:bCs/>
          <w:color w:val="auto"/>
          <w:sz w:val="32"/>
          <w:szCs w:val="32"/>
          <w:lang w:val="en-US" w:eastAsia="zh-CN"/>
        </w:rPr>
        <w:t>室外</w:t>
      </w:r>
      <w:r>
        <w:rPr>
          <w:rFonts w:hint="eastAsia" w:ascii="黑体" w:hAnsi="黑体" w:eastAsia="黑体" w:cs="Times New Roman"/>
          <w:b/>
          <w:bCs/>
          <w:color w:val="auto"/>
          <w:sz w:val="32"/>
          <w:szCs w:val="32"/>
        </w:rPr>
        <w:t>卫生质量考核表</w:t>
      </w:r>
    </w:p>
    <w:tbl>
      <w:tblPr>
        <w:tblStyle w:val="33"/>
        <w:tblW w:w="10403" w:type="dxa"/>
        <w:jc w:val="center"/>
        <w:tblLayout w:type="autofit"/>
        <w:tblCellMar>
          <w:top w:w="0" w:type="dxa"/>
          <w:left w:w="30" w:type="dxa"/>
          <w:bottom w:w="0" w:type="dxa"/>
          <w:right w:w="30" w:type="dxa"/>
        </w:tblCellMar>
      </w:tblPr>
      <w:tblGrid>
        <w:gridCol w:w="330"/>
        <w:gridCol w:w="2046"/>
        <w:gridCol w:w="295"/>
        <w:gridCol w:w="3056"/>
        <w:gridCol w:w="3088"/>
        <w:gridCol w:w="538"/>
        <w:gridCol w:w="546"/>
        <w:gridCol w:w="504"/>
      </w:tblGrid>
      <w:tr w14:paraId="4951F866">
        <w:tblPrEx>
          <w:tblCellMar>
            <w:top w:w="0" w:type="dxa"/>
            <w:left w:w="30" w:type="dxa"/>
            <w:bottom w:w="0" w:type="dxa"/>
            <w:right w:w="30" w:type="dxa"/>
          </w:tblCellMar>
        </w:tblPrEx>
        <w:trPr>
          <w:trHeight w:val="0" w:hRule="atLeast"/>
          <w:tblHeader/>
          <w:jc w:val="center"/>
        </w:trPr>
        <w:tc>
          <w:tcPr>
            <w:tcW w:w="330" w:type="dxa"/>
            <w:tcBorders>
              <w:top w:val="single" w:color="auto" w:sz="6" w:space="0"/>
              <w:left w:val="single" w:color="auto" w:sz="6" w:space="0"/>
              <w:bottom w:val="single" w:color="auto" w:sz="6" w:space="0"/>
              <w:right w:val="single" w:color="auto" w:sz="6" w:space="0"/>
            </w:tcBorders>
            <w:noWrap w:val="0"/>
            <w:vAlign w:val="center"/>
          </w:tcPr>
          <w:p w14:paraId="3A236E22">
            <w:pPr>
              <w:snapToGrid w:val="0"/>
              <w:spacing w:line="240" w:lineRule="auto"/>
              <w:ind w:left="0" w:leftChars="0" w:right="0" w:rightChars="0" w:firstLine="0" w:firstLineChars="0"/>
              <w:jc w:val="center"/>
              <w:rPr>
                <w:rFonts w:ascii="宋体" w:hAnsi="宋体" w:eastAsia="宋体" w:cs="Times New Roman"/>
                <w:b/>
                <w:color w:val="auto"/>
                <w:szCs w:val="21"/>
              </w:rPr>
            </w:pPr>
            <w:r>
              <w:rPr>
                <w:rFonts w:hint="eastAsia" w:ascii="宋体" w:hAnsi="宋体" w:eastAsia="宋体" w:cs="Times New Roman"/>
                <w:b/>
                <w:color w:val="auto"/>
                <w:szCs w:val="21"/>
              </w:rPr>
              <w:t>序号</w:t>
            </w:r>
          </w:p>
        </w:tc>
        <w:tc>
          <w:tcPr>
            <w:tcW w:w="2341" w:type="dxa"/>
            <w:gridSpan w:val="2"/>
            <w:tcBorders>
              <w:top w:val="single" w:color="auto" w:sz="6" w:space="0"/>
              <w:left w:val="single" w:color="auto" w:sz="6" w:space="0"/>
              <w:bottom w:val="single" w:color="auto" w:sz="4" w:space="0"/>
              <w:right w:val="single" w:color="auto" w:sz="6" w:space="0"/>
            </w:tcBorders>
            <w:noWrap w:val="0"/>
            <w:vAlign w:val="center"/>
          </w:tcPr>
          <w:p w14:paraId="4E3F2816">
            <w:pPr>
              <w:snapToGrid w:val="0"/>
              <w:spacing w:line="240" w:lineRule="auto"/>
              <w:ind w:left="0" w:leftChars="0" w:right="0" w:rightChars="0" w:firstLine="0" w:firstLineChars="0"/>
              <w:jc w:val="center"/>
              <w:rPr>
                <w:rFonts w:ascii="宋体" w:hAnsi="宋体" w:eastAsia="宋体" w:cs="Times New Roman"/>
                <w:b/>
                <w:color w:val="auto"/>
                <w:szCs w:val="21"/>
              </w:rPr>
            </w:pPr>
            <w:r>
              <w:rPr>
                <w:rFonts w:hint="eastAsia" w:ascii="宋体" w:hAnsi="宋体" w:eastAsia="宋体" w:cs="Times New Roman"/>
                <w:b/>
                <w:color w:val="auto"/>
                <w:szCs w:val="21"/>
              </w:rPr>
              <w:t>项目</w:t>
            </w:r>
          </w:p>
        </w:tc>
        <w:tc>
          <w:tcPr>
            <w:tcW w:w="3056" w:type="dxa"/>
            <w:tcBorders>
              <w:top w:val="single" w:color="auto" w:sz="6" w:space="0"/>
              <w:left w:val="single" w:color="auto" w:sz="6" w:space="0"/>
              <w:bottom w:val="single" w:color="auto" w:sz="6" w:space="0"/>
              <w:right w:val="single" w:color="auto" w:sz="6" w:space="0"/>
            </w:tcBorders>
            <w:noWrap w:val="0"/>
            <w:vAlign w:val="center"/>
          </w:tcPr>
          <w:p w14:paraId="2EEA2C8A">
            <w:pPr>
              <w:snapToGrid w:val="0"/>
              <w:spacing w:line="240" w:lineRule="auto"/>
              <w:ind w:left="0" w:leftChars="0" w:right="0" w:rightChars="0" w:firstLine="0" w:firstLineChars="0"/>
              <w:jc w:val="center"/>
              <w:rPr>
                <w:rFonts w:ascii="宋体" w:hAnsi="宋体" w:eastAsia="宋体" w:cs="Times New Roman"/>
                <w:b/>
                <w:color w:val="auto"/>
                <w:szCs w:val="21"/>
              </w:rPr>
            </w:pPr>
            <w:r>
              <w:rPr>
                <w:rFonts w:hint="eastAsia" w:ascii="宋体" w:hAnsi="宋体" w:eastAsia="宋体" w:cs="Times New Roman"/>
                <w:b/>
                <w:color w:val="auto"/>
                <w:szCs w:val="21"/>
              </w:rPr>
              <w:t>作业要求</w:t>
            </w:r>
          </w:p>
        </w:tc>
        <w:tc>
          <w:tcPr>
            <w:tcW w:w="3088" w:type="dxa"/>
            <w:tcBorders>
              <w:top w:val="single" w:color="auto" w:sz="6" w:space="0"/>
              <w:left w:val="single" w:color="auto" w:sz="6" w:space="0"/>
              <w:bottom w:val="single" w:color="auto" w:sz="6" w:space="0"/>
              <w:right w:val="single" w:color="auto" w:sz="6" w:space="0"/>
            </w:tcBorders>
            <w:noWrap w:val="0"/>
            <w:vAlign w:val="center"/>
          </w:tcPr>
          <w:p w14:paraId="707C94C4">
            <w:pPr>
              <w:snapToGrid w:val="0"/>
              <w:spacing w:line="240" w:lineRule="auto"/>
              <w:ind w:left="0" w:leftChars="0" w:right="0" w:rightChars="0" w:firstLine="0" w:firstLineChars="0"/>
              <w:jc w:val="center"/>
              <w:rPr>
                <w:rFonts w:ascii="宋体" w:hAnsi="宋体" w:eastAsia="宋体" w:cs="Times New Roman"/>
                <w:b/>
                <w:color w:val="auto"/>
                <w:szCs w:val="21"/>
              </w:rPr>
            </w:pPr>
            <w:r>
              <w:rPr>
                <w:rFonts w:hint="eastAsia" w:ascii="宋体" w:hAnsi="宋体" w:eastAsia="宋体" w:cs="Times New Roman"/>
                <w:b/>
                <w:color w:val="auto"/>
                <w:szCs w:val="21"/>
              </w:rPr>
              <w:t>考核标准</w:t>
            </w:r>
          </w:p>
        </w:tc>
        <w:tc>
          <w:tcPr>
            <w:tcW w:w="538" w:type="dxa"/>
            <w:tcBorders>
              <w:top w:val="single" w:color="auto" w:sz="6" w:space="0"/>
              <w:left w:val="single" w:color="auto" w:sz="6" w:space="0"/>
              <w:bottom w:val="single" w:color="auto" w:sz="6" w:space="0"/>
              <w:right w:val="single" w:color="auto" w:sz="6" w:space="0"/>
            </w:tcBorders>
            <w:noWrap w:val="0"/>
            <w:vAlign w:val="center"/>
          </w:tcPr>
          <w:p w14:paraId="718188B9">
            <w:pPr>
              <w:snapToGrid w:val="0"/>
              <w:spacing w:line="240" w:lineRule="auto"/>
              <w:ind w:left="0" w:leftChars="0" w:right="0" w:rightChars="0" w:firstLine="0" w:firstLineChars="0"/>
              <w:jc w:val="center"/>
              <w:rPr>
                <w:rFonts w:ascii="宋体" w:hAnsi="宋体" w:eastAsia="宋体" w:cs="Times New Roman"/>
                <w:b/>
                <w:color w:val="auto"/>
                <w:szCs w:val="21"/>
              </w:rPr>
            </w:pPr>
            <w:r>
              <w:rPr>
                <w:rFonts w:hint="eastAsia" w:ascii="宋体" w:hAnsi="宋体" w:eastAsia="宋体" w:cs="Times New Roman"/>
                <w:b/>
                <w:color w:val="auto"/>
                <w:szCs w:val="21"/>
              </w:rPr>
              <w:t>核定分值</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05E5D76C">
            <w:pPr>
              <w:snapToGrid w:val="0"/>
              <w:spacing w:line="240" w:lineRule="auto"/>
              <w:ind w:left="0" w:leftChars="0" w:right="0" w:rightChars="0" w:firstLine="0" w:firstLineChars="0"/>
              <w:jc w:val="center"/>
              <w:rPr>
                <w:rFonts w:ascii="宋体" w:hAnsi="宋体" w:eastAsia="宋体" w:cs="Times New Roman"/>
                <w:b/>
                <w:color w:val="auto"/>
                <w:szCs w:val="21"/>
              </w:rPr>
            </w:pPr>
            <w:r>
              <w:rPr>
                <w:rFonts w:hint="eastAsia" w:ascii="宋体" w:hAnsi="宋体" w:eastAsia="宋体" w:cs="Times New Roman"/>
                <w:b/>
                <w:color w:val="auto"/>
                <w:szCs w:val="21"/>
              </w:rPr>
              <w:t>抽检得分</w:t>
            </w:r>
          </w:p>
        </w:tc>
        <w:tc>
          <w:tcPr>
            <w:tcW w:w="504" w:type="dxa"/>
            <w:tcBorders>
              <w:top w:val="single" w:color="auto" w:sz="6" w:space="0"/>
              <w:left w:val="single" w:color="auto" w:sz="6" w:space="0"/>
              <w:bottom w:val="single" w:color="auto" w:sz="6" w:space="0"/>
              <w:right w:val="single" w:color="auto" w:sz="6" w:space="0"/>
            </w:tcBorders>
            <w:noWrap w:val="0"/>
            <w:vAlign w:val="center"/>
          </w:tcPr>
          <w:p w14:paraId="3AF0222B">
            <w:pPr>
              <w:snapToGrid w:val="0"/>
              <w:spacing w:line="240" w:lineRule="auto"/>
              <w:ind w:left="0" w:leftChars="0" w:right="0" w:rightChars="0" w:firstLine="0" w:firstLineChars="0"/>
              <w:jc w:val="center"/>
              <w:rPr>
                <w:rFonts w:ascii="宋体" w:hAnsi="宋体" w:eastAsia="宋体" w:cs="Times New Roman"/>
                <w:b/>
                <w:color w:val="auto"/>
                <w:szCs w:val="21"/>
              </w:rPr>
            </w:pPr>
            <w:r>
              <w:rPr>
                <w:rFonts w:hint="eastAsia" w:ascii="宋体" w:hAnsi="宋体" w:eastAsia="宋体" w:cs="Times New Roman"/>
                <w:b/>
                <w:color w:val="auto"/>
                <w:szCs w:val="21"/>
              </w:rPr>
              <w:t>备注</w:t>
            </w:r>
          </w:p>
        </w:tc>
      </w:tr>
      <w:tr w14:paraId="0AF95EB9">
        <w:tblPrEx>
          <w:tblCellMar>
            <w:top w:w="0" w:type="dxa"/>
            <w:left w:w="30" w:type="dxa"/>
            <w:bottom w:w="0" w:type="dxa"/>
            <w:right w:w="30" w:type="dxa"/>
          </w:tblCellMar>
        </w:tblPrEx>
        <w:trPr>
          <w:trHeight w:val="0" w:hRule="atLeast"/>
          <w:jc w:val="center"/>
        </w:trPr>
        <w:tc>
          <w:tcPr>
            <w:tcW w:w="330" w:type="dxa"/>
            <w:vMerge w:val="restart"/>
            <w:tcBorders>
              <w:top w:val="single" w:color="auto" w:sz="6" w:space="0"/>
              <w:left w:val="single" w:color="auto" w:sz="6" w:space="0"/>
              <w:right w:val="single" w:color="auto" w:sz="4" w:space="0"/>
            </w:tcBorders>
            <w:noWrap w:val="0"/>
            <w:vAlign w:val="center"/>
          </w:tcPr>
          <w:p w14:paraId="7CC51AEC">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w:t>
            </w:r>
          </w:p>
        </w:tc>
        <w:tc>
          <w:tcPr>
            <w:tcW w:w="2341" w:type="dxa"/>
            <w:gridSpan w:val="2"/>
            <w:tcBorders>
              <w:top w:val="single" w:color="auto" w:sz="4" w:space="0"/>
              <w:left w:val="single" w:color="auto" w:sz="4" w:space="0"/>
              <w:bottom w:val="single" w:color="auto" w:sz="4" w:space="0"/>
              <w:right w:val="single" w:color="auto" w:sz="4" w:space="0"/>
            </w:tcBorders>
            <w:noWrap w:val="0"/>
            <w:vAlign w:val="center"/>
          </w:tcPr>
          <w:p w14:paraId="3F2D876F">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组织结构</w:t>
            </w:r>
          </w:p>
        </w:tc>
        <w:tc>
          <w:tcPr>
            <w:tcW w:w="3056" w:type="dxa"/>
            <w:tcBorders>
              <w:top w:val="single" w:color="auto" w:sz="6" w:space="0"/>
              <w:left w:val="single" w:color="auto" w:sz="4" w:space="0"/>
              <w:bottom w:val="single" w:color="auto" w:sz="6" w:space="0"/>
              <w:right w:val="single" w:color="auto" w:sz="6" w:space="0"/>
            </w:tcBorders>
            <w:noWrap w:val="0"/>
            <w:vAlign w:val="center"/>
          </w:tcPr>
          <w:p w14:paraId="2CCD7A1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有领班、有人员档案。</w:t>
            </w:r>
          </w:p>
        </w:tc>
        <w:tc>
          <w:tcPr>
            <w:tcW w:w="3088" w:type="dxa"/>
            <w:tcBorders>
              <w:top w:val="single" w:color="auto" w:sz="6" w:space="0"/>
              <w:left w:val="single" w:color="auto" w:sz="6" w:space="0"/>
              <w:bottom w:val="single" w:color="auto" w:sz="6" w:space="0"/>
              <w:right w:val="single" w:color="auto" w:sz="6" w:space="0"/>
            </w:tcBorders>
            <w:noWrap w:val="0"/>
            <w:vAlign w:val="center"/>
          </w:tcPr>
          <w:p w14:paraId="5603AC9E">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健全。缺一项扣1分。</w:t>
            </w:r>
          </w:p>
        </w:tc>
        <w:tc>
          <w:tcPr>
            <w:tcW w:w="538" w:type="dxa"/>
            <w:tcBorders>
              <w:top w:val="single" w:color="auto" w:sz="6" w:space="0"/>
              <w:left w:val="single" w:color="auto" w:sz="6" w:space="0"/>
              <w:bottom w:val="single" w:color="auto" w:sz="6" w:space="0"/>
              <w:right w:val="single" w:color="auto" w:sz="6" w:space="0"/>
            </w:tcBorders>
            <w:noWrap w:val="0"/>
            <w:vAlign w:val="center"/>
          </w:tcPr>
          <w:p w14:paraId="31AA53E7">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11BFA599">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04" w:type="dxa"/>
            <w:tcBorders>
              <w:top w:val="single" w:color="auto" w:sz="6" w:space="0"/>
              <w:left w:val="single" w:color="auto" w:sz="6" w:space="0"/>
              <w:bottom w:val="single" w:color="auto" w:sz="6" w:space="0"/>
              <w:right w:val="single" w:color="auto" w:sz="6" w:space="0"/>
            </w:tcBorders>
            <w:noWrap w:val="0"/>
            <w:vAlign w:val="center"/>
          </w:tcPr>
          <w:p w14:paraId="7047704A">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12630EE5">
        <w:tblPrEx>
          <w:tblCellMar>
            <w:top w:w="0" w:type="dxa"/>
            <w:left w:w="30" w:type="dxa"/>
            <w:bottom w:w="0" w:type="dxa"/>
            <w:right w:w="30" w:type="dxa"/>
          </w:tblCellMar>
        </w:tblPrEx>
        <w:trPr>
          <w:trHeight w:val="0" w:hRule="atLeast"/>
          <w:jc w:val="center"/>
        </w:trPr>
        <w:tc>
          <w:tcPr>
            <w:tcW w:w="330" w:type="dxa"/>
            <w:vMerge w:val="continue"/>
            <w:tcBorders>
              <w:left w:val="single" w:color="auto" w:sz="6" w:space="0"/>
              <w:right w:val="single" w:color="auto" w:sz="4" w:space="0"/>
            </w:tcBorders>
            <w:noWrap w:val="0"/>
            <w:vAlign w:val="center"/>
          </w:tcPr>
          <w:p w14:paraId="479D93CD">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341" w:type="dxa"/>
            <w:gridSpan w:val="2"/>
            <w:tcBorders>
              <w:top w:val="single" w:color="auto" w:sz="4" w:space="0"/>
              <w:left w:val="single" w:color="auto" w:sz="4" w:space="0"/>
              <w:bottom w:val="single" w:color="auto" w:sz="4" w:space="0"/>
              <w:right w:val="single" w:color="auto" w:sz="4" w:space="0"/>
            </w:tcBorders>
            <w:noWrap w:val="0"/>
            <w:vAlign w:val="center"/>
          </w:tcPr>
          <w:p w14:paraId="134C532C">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着装</w:t>
            </w:r>
          </w:p>
        </w:tc>
        <w:tc>
          <w:tcPr>
            <w:tcW w:w="3056" w:type="dxa"/>
            <w:tcBorders>
              <w:top w:val="single" w:color="auto" w:sz="6" w:space="0"/>
              <w:left w:val="single" w:color="auto" w:sz="4" w:space="0"/>
              <w:bottom w:val="single" w:color="auto" w:sz="6" w:space="0"/>
              <w:right w:val="single" w:color="auto" w:sz="6" w:space="0"/>
            </w:tcBorders>
            <w:noWrap w:val="0"/>
            <w:vAlign w:val="center"/>
          </w:tcPr>
          <w:p w14:paraId="3C90F77C">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服装统一、佩戴统一标识。</w:t>
            </w:r>
          </w:p>
        </w:tc>
        <w:tc>
          <w:tcPr>
            <w:tcW w:w="3088" w:type="dxa"/>
            <w:tcBorders>
              <w:top w:val="single" w:color="auto" w:sz="6" w:space="0"/>
              <w:left w:val="single" w:color="auto" w:sz="6" w:space="0"/>
              <w:bottom w:val="single" w:color="auto" w:sz="6" w:space="0"/>
              <w:right w:val="single" w:color="auto" w:sz="6" w:space="0"/>
            </w:tcBorders>
            <w:noWrap w:val="0"/>
            <w:vAlign w:val="center"/>
          </w:tcPr>
          <w:p w14:paraId="0F4F751B">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整齐、统一。发现一次扣1分。</w:t>
            </w:r>
          </w:p>
        </w:tc>
        <w:tc>
          <w:tcPr>
            <w:tcW w:w="538" w:type="dxa"/>
            <w:tcBorders>
              <w:top w:val="single" w:color="auto" w:sz="6" w:space="0"/>
              <w:left w:val="single" w:color="auto" w:sz="6" w:space="0"/>
              <w:bottom w:val="single" w:color="auto" w:sz="6" w:space="0"/>
              <w:right w:val="single" w:color="auto" w:sz="6" w:space="0"/>
            </w:tcBorders>
            <w:noWrap w:val="0"/>
            <w:vAlign w:val="center"/>
          </w:tcPr>
          <w:p w14:paraId="5A2F1EA5">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17ACBF50">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04" w:type="dxa"/>
            <w:tcBorders>
              <w:top w:val="single" w:color="auto" w:sz="6" w:space="0"/>
              <w:left w:val="single" w:color="auto" w:sz="6" w:space="0"/>
              <w:bottom w:val="single" w:color="auto" w:sz="6" w:space="0"/>
              <w:right w:val="single" w:color="auto" w:sz="6" w:space="0"/>
            </w:tcBorders>
            <w:noWrap w:val="0"/>
            <w:vAlign w:val="center"/>
          </w:tcPr>
          <w:p w14:paraId="4139E9FB">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A598E20">
        <w:tblPrEx>
          <w:tblCellMar>
            <w:top w:w="0" w:type="dxa"/>
            <w:left w:w="30" w:type="dxa"/>
            <w:bottom w:w="0" w:type="dxa"/>
            <w:right w:w="30" w:type="dxa"/>
          </w:tblCellMar>
        </w:tblPrEx>
        <w:trPr>
          <w:trHeight w:val="0" w:hRule="atLeast"/>
          <w:jc w:val="center"/>
        </w:trPr>
        <w:tc>
          <w:tcPr>
            <w:tcW w:w="330" w:type="dxa"/>
            <w:vMerge w:val="continue"/>
            <w:tcBorders>
              <w:left w:val="single" w:color="auto" w:sz="6" w:space="0"/>
              <w:bottom w:val="single" w:color="auto" w:sz="6" w:space="0"/>
              <w:right w:val="single" w:color="auto" w:sz="4" w:space="0"/>
            </w:tcBorders>
            <w:noWrap w:val="0"/>
            <w:vAlign w:val="center"/>
          </w:tcPr>
          <w:p w14:paraId="315416E0">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341" w:type="dxa"/>
            <w:gridSpan w:val="2"/>
            <w:tcBorders>
              <w:top w:val="single" w:color="auto" w:sz="4" w:space="0"/>
              <w:left w:val="single" w:color="auto" w:sz="4" w:space="0"/>
              <w:bottom w:val="single" w:color="auto" w:sz="4" w:space="0"/>
              <w:right w:val="single" w:color="auto" w:sz="4" w:space="0"/>
            </w:tcBorders>
            <w:noWrap w:val="0"/>
            <w:vAlign w:val="center"/>
          </w:tcPr>
          <w:p w14:paraId="45396BFE">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文明礼貌</w:t>
            </w:r>
          </w:p>
        </w:tc>
        <w:tc>
          <w:tcPr>
            <w:tcW w:w="3056" w:type="dxa"/>
            <w:tcBorders>
              <w:top w:val="single" w:color="auto" w:sz="6" w:space="0"/>
              <w:left w:val="single" w:color="auto" w:sz="4" w:space="0"/>
              <w:bottom w:val="single" w:color="auto" w:sz="6" w:space="0"/>
              <w:right w:val="single" w:color="auto" w:sz="6" w:space="0"/>
            </w:tcBorders>
            <w:noWrap w:val="0"/>
            <w:vAlign w:val="center"/>
          </w:tcPr>
          <w:p w14:paraId="6D6C3292">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爱护公物、举止文明。</w:t>
            </w:r>
          </w:p>
        </w:tc>
        <w:tc>
          <w:tcPr>
            <w:tcW w:w="3088" w:type="dxa"/>
            <w:tcBorders>
              <w:top w:val="single" w:color="auto" w:sz="6" w:space="0"/>
              <w:left w:val="single" w:color="auto" w:sz="6" w:space="0"/>
              <w:bottom w:val="single" w:color="auto" w:sz="6" w:space="0"/>
              <w:right w:val="single" w:color="auto" w:sz="6" w:space="0"/>
            </w:tcBorders>
            <w:noWrap w:val="0"/>
            <w:vAlign w:val="center"/>
          </w:tcPr>
          <w:p w14:paraId="4706BC0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无损坏公物现象、文明用语、不拉帮结派、工作时段不做与工作无关的事情。发现一次扣1分。</w:t>
            </w:r>
          </w:p>
        </w:tc>
        <w:tc>
          <w:tcPr>
            <w:tcW w:w="538" w:type="dxa"/>
            <w:tcBorders>
              <w:top w:val="single" w:color="auto" w:sz="6" w:space="0"/>
              <w:left w:val="single" w:color="auto" w:sz="6" w:space="0"/>
              <w:bottom w:val="single" w:color="auto" w:sz="6" w:space="0"/>
              <w:right w:val="single" w:color="auto" w:sz="6" w:space="0"/>
            </w:tcBorders>
            <w:noWrap w:val="0"/>
            <w:vAlign w:val="center"/>
          </w:tcPr>
          <w:p w14:paraId="4D7154F7">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62F4A6AD">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04" w:type="dxa"/>
            <w:tcBorders>
              <w:top w:val="single" w:color="auto" w:sz="6" w:space="0"/>
              <w:left w:val="single" w:color="auto" w:sz="6" w:space="0"/>
              <w:bottom w:val="single" w:color="auto" w:sz="6" w:space="0"/>
              <w:right w:val="single" w:color="auto" w:sz="6" w:space="0"/>
            </w:tcBorders>
            <w:noWrap w:val="0"/>
            <w:vAlign w:val="center"/>
          </w:tcPr>
          <w:p w14:paraId="69A4C583">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E32FFAD">
        <w:tblPrEx>
          <w:tblCellMar>
            <w:top w:w="0" w:type="dxa"/>
            <w:left w:w="30" w:type="dxa"/>
            <w:bottom w:w="0" w:type="dxa"/>
            <w:right w:w="30" w:type="dxa"/>
          </w:tblCellMar>
        </w:tblPrEx>
        <w:trPr>
          <w:trHeight w:val="0" w:hRule="atLeast"/>
          <w:jc w:val="center"/>
        </w:trPr>
        <w:tc>
          <w:tcPr>
            <w:tcW w:w="330" w:type="dxa"/>
            <w:vMerge w:val="restart"/>
            <w:tcBorders>
              <w:top w:val="single" w:color="auto" w:sz="6" w:space="0"/>
              <w:left w:val="single" w:color="auto" w:sz="6" w:space="0"/>
              <w:right w:val="single" w:color="auto" w:sz="4" w:space="0"/>
            </w:tcBorders>
            <w:noWrap w:val="0"/>
            <w:vAlign w:val="center"/>
          </w:tcPr>
          <w:p w14:paraId="3DAB5162">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2</w:t>
            </w:r>
          </w:p>
        </w:tc>
        <w:tc>
          <w:tcPr>
            <w:tcW w:w="2341" w:type="dxa"/>
            <w:gridSpan w:val="2"/>
            <w:tcBorders>
              <w:top w:val="single" w:color="auto" w:sz="4" w:space="0"/>
              <w:left w:val="single" w:color="auto" w:sz="4" w:space="0"/>
              <w:bottom w:val="single" w:color="auto" w:sz="4" w:space="0"/>
              <w:right w:val="single" w:color="auto" w:sz="4" w:space="0"/>
            </w:tcBorders>
            <w:noWrap w:val="0"/>
            <w:vAlign w:val="center"/>
          </w:tcPr>
          <w:p w14:paraId="3F0004E2">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日常保洁工作时间</w:t>
            </w:r>
          </w:p>
        </w:tc>
        <w:tc>
          <w:tcPr>
            <w:tcW w:w="3056" w:type="dxa"/>
            <w:tcBorders>
              <w:top w:val="single" w:color="auto" w:sz="6" w:space="0"/>
              <w:left w:val="single" w:color="auto" w:sz="4" w:space="0"/>
              <w:bottom w:val="single" w:color="auto" w:sz="6" w:space="0"/>
              <w:right w:val="single" w:color="auto" w:sz="6" w:space="0"/>
            </w:tcBorders>
            <w:noWrap w:val="0"/>
            <w:vAlign w:val="center"/>
          </w:tcPr>
          <w:p w14:paraId="1F089DBF">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7</w:t>
            </w:r>
            <w:r>
              <w:rPr>
                <w:rFonts w:ascii="宋体" w:hAnsi="宋体" w:eastAsia="宋体" w:cs="Times New Roman"/>
                <w:color w:val="auto"/>
                <w:szCs w:val="21"/>
              </w:rPr>
              <w:t>:</w:t>
            </w:r>
            <w:r>
              <w:rPr>
                <w:rFonts w:hint="eastAsia" w:ascii="宋体" w:hAnsi="宋体" w:eastAsia="宋体" w:cs="Times New Roman"/>
                <w:color w:val="auto"/>
                <w:szCs w:val="21"/>
              </w:rPr>
              <w:t>3</w:t>
            </w:r>
            <w:r>
              <w:rPr>
                <w:rFonts w:ascii="宋体" w:hAnsi="宋体" w:eastAsia="宋体" w:cs="Times New Roman"/>
                <w:color w:val="auto"/>
                <w:szCs w:val="21"/>
              </w:rPr>
              <w:t>0-</w:t>
            </w:r>
            <w:r>
              <w:rPr>
                <w:rFonts w:hint="eastAsia" w:ascii="宋体" w:hAnsi="宋体" w:eastAsia="宋体" w:cs="Times New Roman"/>
                <w:color w:val="auto"/>
                <w:szCs w:val="21"/>
              </w:rPr>
              <w:t>21</w:t>
            </w:r>
            <w:r>
              <w:rPr>
                <w:rFonts w:ascii="宋体" w:hAnsi="宋体" w:eastAsia="宋体" w:cs="Times New Roman"/>
                <w:color w:val="auto"/>
                <w:szCs w:val="21"/>
              </w:rPr>
              <w:t>:</w:t>
            </w:r>
            <w:r>
              <w:rPr>
                <w:rFonts w:hint="eastAsia" w:ascii="宋体" w:hAnsi="宋体" w:eastAsia="宋体" w:cs="Times New Roman"/>
                <w:color w:val="auto"/>
                <w:szCs w:val="21"/>
              </w:rPr>
              <w:t>00。</w:t>
            </w:r>
          </w:p>
        </w:tc>
        <w:tc>
          <w:tcPr>
            <w:tcW w:w="3088" w:type="dxa"/>
            <w:tcBorders>
              <w:top w:val="single" w:color="auto" w:sz="6" w:space="0"/>
              <w:left w:val="single" w:color="auto" w:sz="6" w:space="0"/>
              <w:bottom w:val="single" w:color="auto" w:sz="6" w:space="0"/>
              <w:right w:val="single" w:color="auto" w:sz="6" w:space="0"/>
            </w:tcBorders>
            <w:noWrap w:val="0"/>
            <w:vAlign w:val="center"/>
          </w:tcPr>
          <w:p w14:paraId="0ED2922B">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在岗、无迟到、早退。发现缺岗、迟到、早退一人次扣2分。</w:t>
            </w:r>
          </w:p>
        </w:tc>
        <w:tc>
          <w:tcPr>
            <w:tcW w:w="538" w:type="dxa"/>
            <w:tcBorders>
              <w:top w:val="single" w:color="auto" w:sz="6" w:space="0"/>
              <w:left w:val="single" w:color="auto" w:sz="6" w:space="0"/>
              <w:bottom w:val="single" w:color="auto" w:sz="6" w:space="0"/>
              <w:right w:val="single" w:color="auto" w:sz="6" w:space="0"/>
            </w:tcBorders>
            <w:noWrap w:val="0"/>
            <w:vAlign w:val="center"/>
          </w:tcPr>
          <w:p w14:paraId="2D5CE945">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782E419F">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504" w:type="dxa"/>
            <w:tcBorders>
              <w:top w:val="single" w:color="auto" w:sz="6" w:space="0"/>
              <w:left w:val="single" w:color="auto" w:sz="6" w:space="0"/>
              <w:bottom w:val="single" w:color="auto" w:sz="6" w:space="0"/>
              <w:right w:val="single" w:color="auto" w:sz="6" w:space="0"/>
            </w:tcBorders>
            <w:noWrap w:val="0"/>
            <w:vAlign w:val="center"/>
          </w:tcPr>
          <w:p w14:paraId="1DB33226">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1362043C">
        <w:tblPrEx>
          <w:tblCellMar>
            <w:top w:w="0" w:type="dxa"/>
            <w:left w:w="30" w:type="dxa"/>
            <w:bottom w:w="0" w:type="dxa"/>
            <w:right w:w="30" w:type="dxa"/>
          </w:tblCellMar>
        </w:tblPrEx>
        <w:trPr>
          <w:trHeight w:val="0" w:hRule="atLeast"/>
          <w:jc w:val="center"/>
        </w:trPr>
        <w:tc>
          <w:tcPr>
            <w:tcW w:w="330" w:type="dxa"/>
            <w:vMerge w:val="continue"/>
            <w:tcBorders>
              <w:left w:val="single" w:color="auto" w:sz="6" w:space="0"/>
              <w:bottom w:val="single" w:color="auto" w:sz="6" w:space="0"/>
              <w:right w:val="single" w:color="auto" w:sz="4" w:space="0"/>
            </w:tcBorders>
            <w:noWrap w:val="0"/>
            <w:vAlign w:val="center"/>
          </w:tcPr>
          <w:p w14:paraId="41D049E4">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341" w:type="dxa"/>
            <w:gridSpan w:val="2"/>
            <w:tcBorders>
              <w:top w:val="single" w:color="auto" w:sz="4" w:space="0"/>
              <w:left w:val="single" w:color="auto" w:sz="4" w:space="0"/>
              <w:bottom w:val="single" w:color="auto" w:sz="4" w:space="0"/>
              <w:right w:val="single" w:color="auto" w:sz="4" w:space="0"/>
            </w:tcBorders>
            <w:noWrap w:val="0"/>
            <w:vAlign w:val="center"/>
          </w:tcPr>
          <w:p w14:paraId="65C3104D">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特殊情况保洁工作时间</w:t>
            </w:r>
          </w:p>
        </w:tc>
        <w:tc>
          <w:tcPr>
            <w:tcW w:w="3056" w:type="dxa"/>
            <w:tcBorders>
              <w:top w:val="single" w:color="auto" w:sz="6" w:space="0"/>
              <w:left w:val="single" w:color="auto" w:sz="4" w:space="0"/>
              <w:bottom w:val="single" w:color="auto" w:sz="6" w:space="0"/>
              <w:right w:val="single" w:color="auto" w:sz="6" w:space="0"/>
            </w:tcBorders>
            <w:noWrap w:val="0"/>
            <w:vAlign w:val="center"/>
          </w:tcPr>
          <w:p w14:paraId="1FFBC06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根据情况保洁。</w:t>
            </w:r>
          </w:p>
        </w:tc>
        <w:tc>
          <w:tcPr>
            <w:tcW w:w="3088" w:type="dxa"/>
            <w:tcBorders>
              <w:top w:val="single" w:color="auto" w:sz="6" w:space="0"/>
              <w:left w:val="single" w:color="auto" w:sz="6" w:space="0"/>
              <w:bottom w:val="single" w:color="auto" w:sz="6" w:space="0"/>
              <w:right w:val="single" w:color="auto" w:sz="6" w:space="0"/>
            </w:tcBorders>
            <w:noWrap w:val="0"/>
            <w:vAlign w:val="center"/>
          </w:tcPr>
          <w:p w14:paraId="4EBB628A">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服从学院管理部门安排,推诿一次扣2分。</w:t>
            </w:r>
          </w:p>
        </w:tc>
        <w:tc>
          <w:tcPr>
            <w:tcW w:w="538" w:type="dxa"/>
            <w:tcBorders>
              <w:top w:val="single" w:color="auto" w:sz="6" w:space="0"/>
              <w:left w:val="single" w:color="auto" w:sz="6" w:space="0"/>
              <w:bottom w:val="single" w:color="auto" w:sz="6" w:space="0"/>
              <w:right w:val="single" w:color="auto" w:sz="6" w:space="0"/>
            </w:tcBorders>
            <w:noWrap w:val="0"/>
            <w:vAlign w:val="center"/>
          </w:tcPr>
          <w:p w14:paraId="6FB965D3">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1CE440BE">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04" w:type="dxa"/>
            <w:tcBorders>
              <w:top w:val="single" w:color="auto" w:sz="6" w:space="0"/>
              <w:left w:val="single" w:color="auto" w:sz="6" w:space="0"/>
              <w:bottom w:val="single" w:color="auto" w:sz="6" w:space="0"/>
              <w:right w:val="single" w:color="auto" w:sz="6" w:space="0"/>
            </w:tcBorders>
            <w:noWrap w:val="0"/>
            <w:vAlign w:val="center"/>
          </w:tcPr>
          <w:p w14:paraId="65A048AF">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39BBFA7E">
        <w:tblPrEx>
          <w:tblCellMar>
            <w:top w:w="0" w:type="dxa"/>
            <w:left w:w="30" w:type="dxa"/>
            <w:bottom w:w="0" w:type="dxa"/>
            <w:right w:w="30" w:type="dxa"/>
          </w:tblCellMar>
        </w:tblPrEx>
        <w:trPr>
          <w:trHeight w:val="0" w:hRule="atLeast"/>
          <w:jc w:val="center"/>
        </w:trPr>
        <w:tc>
          <w:tcPr>
            <w:tcW w:w="330" w:type="dxa"/>
            <w:tcBorders>
              <w:top w:val="single" w:color="auto" w:sz="6" w:space="0"/>
              <w:left w:val="single" w:color="auto" w:sz="6" w:space="0"/>
              <w:bottom w:val="single" w:color="auto" w:sz="6" w:space="0"/>
              <w:right w:val="single" w:color="auto" w:sz="6" w:space="0"/>
            </w:tcBorders>
            <w:noWrap w:val="0"/>
            <w:vAlign w:val="center"/>
          </w:tcPr>
          <w:p w14:paraId="7BDE43F7">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3</w:t>
            </w:r>
          </w:p>
        </w:tc>
        <w:tc>
          <w:tcPr>
            <w:tcW w:w="2341" w:type="dxa"/>
            <w:gridSpan w:val="2"/>
            <w:tcBorders>
              <w:top w:val="single" w:color="auto" w:sz="4" w:space="0"/>
              <w:left w:val="single" w:color="auto" w:sz="6" w:space="0"/>
              <w:bottom w:val="single" w:color="auto" w:sz="6" w:space="0"/>
              <w:right w:val="single" w:color="auto" w:sz="6" w:space="0"/>
            </w:tcBorders>
            <w:noWrap w:val="0"/>
            <w:vAlign w:val="center"/>
          </w:tcPr>
          <w:p w14:paraId="3534FD0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领导视察、创建文明单位（或其他创建活动）、学院大型活动保洁</w:t>
            </w:r>
          </w:p>
        </w:tc>
        <w:tc>
          <w:tcPr>
            <w:tcW w:w="3056" w:type="dxa"/>
            <w:tcBorders>
              <w:top w:val="single" w:color="auto" w:sz="6" w:space="0"/>
              <w:left w:val="single" w:color="auto" w:sz="6" w:space="0"/>
              <w:bottom w:val="single" w:color="auto" w:sz="6" w:space="0"/>
              <w:right w:val="single" w:color="auto" w:sz="6" w:space="0"/>
            </w:tcBorders>
            <w:noWrap w:val="0"/>
            <w:vAlign w:val="center"/>
          </w:tcPr>
          <w:p w14:paraId="06FAD8F1">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窗明几净、地砖光亮、公共场所地面达一级标准。</w:t>
            </w:r>
          </w:p>
        </w:tc>
        <w:tc>
          <w:tcPr>
            <w:tcW w:w="3088" w:type="dxa"/>
            <w:tcBorders>
              <w:top w:val="single" w:color="auto" w:sz="6" w:space="0"/>
              <w:left w:val="single" w:color="auto" w:sz="6" w:space="0"/>
              <w:bottom w:val="single" w:color="auto" w:sz="6" w:space="0"/>
              <w:right w:val="single" w:color="auto" w:sz="6" w:space="0"/>
            </w:tcBorders>
            <w:noWrap w:val="0"/>
            <w:vAlign w:val="center"/>
          </w:tcPr>
          <w:p w14:paraId="35F532D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达一级标准。降一档扣2分。</w:t>
            </w:r>
          </w:p>
        </w:tc>
        <w:tc>
          <w:tcPr>
            <w:tcW w:w="538" w:type="dxa"/>
            <w:tcBorders>
              <w:top w:val="single" w:color="auto" w:sz="6" w:space="0"/>
              <w:left w:val="single" w:color="auto" w:sz="6" w:space="0"/>
              <w:bottom w:val="single" w:color="auto" w:sz="6" w:space="0"/>
              <w:right w:val="single" w:color="auto" w:sz="6" w:space="0"/>
            </w:tcBorders>
            <w:noWrap w:val="0"/>
            <w:vAlign w:val="center"/>
          </w:tcPr>
          <w:p w14:paraId="51C90196">
            <w:pPr>
              <w:snapToGrid w:val="0"/>
              <w:spacing w:line="240" w:lineRule="auto"/>
              <w:ind w:left="0" w:leftChars="0" w:right="0" w:rightChars="0" w:firstLine="0" w:firstLineChars="0"/>
              <w:jc w:val="righ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4</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577D28B0">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504" w:type="dxa"/>
            <w:tcBorders>
              <w:top w:val="single" w:color="auto" w:sz="6" w:space="0"/>
              <w:left w:val="single" w:color="auto" w:sz="6" w:space="0"/>
              <w:bottom w:val="single" w:color="auto" w:sz="6" w:space="0"/>
              <w:right w:val="single" w:color="auto" w:sz="6" w:space="0"/>
            </w:tcBorders>
            <w:noWrap w:val="0"/>
            <w:vAlign w:val="center"/>
          </w:tcPr>
          <w:p w14:paraId="37B16ED7">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503375F9">
        <w:tblPrEx>
          <w:tblCellMar>
            <w:top w:w="0" w:type="dxa"/>
            <w:left w:w="30" w:type="dxa"/>
            <w:bottom w:w="0" w:type="dxa"/>
            <w:right w:w="30" w:type="dxa"/>
          </w:tblCellMar>
        </w:tblPrEx>
        <w:trPr>
          <w:trHeight w:val="0" w:hRule="atLeast"/>
          <w:jc w:val="center"/>
        </w:trPr>
        <w:tc>
          <w:tcPr>
            <w:tcW w:w="330" w:type="dxa"/>
            <w:tcBorders>
              <w:left w:val="single" w:color="auto" w:sz="6" w:space="0"/>
              <w:bottom w:val="single" w:color="auto" w:sz="6" w:space="0"/>
              <w:right w:val="single" w:color="auto" w:sz="6" w:space="0"/>
            </w:tcBorders>
            <w:noWrap w:val="0"/>
            <w:vAlign w:val="center"/>
          </w:tcPr>
          <w:p w14:paraId="49B27698">
            <w:pPr>
              <w:snapToGrid w:val="0"/>
              <w:spacing w:line="240" w:lineRule="auto"/>
              <w:ind w:left="0" w:leftChars="0" w:right="0" w:rightChars="0" w:firstLine="0" w:firstLineChars="0"/>
              <w:jc w:val="center"/>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4</w:t>
            </w:r>
          </w:p>
        </w:tc>
        <w:tc>
          <w:tcPr>
            <w:tcW w:w="2341" w:type="dxa"/>
            <w:gridSpan w:val="2"/>
            <w:tcBorders>
              <w:left w:val="single" w:color="auto" w:sz="6" w:space="0"/>
              <w:bottom w:val="single" w:color="auto" w:sz="6" w:space="0"/>
              <w:right w:val="single" w:color="auto" w:sz="6" w:space="0"/>
            </w:tcBorders>
            <w:noWrap w:val="0"/>
            <w:vAlign w:val="center"/>
          </w:tcPr>
          <w:p w14:paraId="7F905EB0">
            <w:pPr>
              <w:snapToGrid w:val="0"/>
              <w:spacing w:line="240" w:lineRule="auto"/>
              <w:ind w:left="0" w:leftChars="0" w:right="0" w:rightChars="0" w:firstLine="0" w:firstLineChars="0"/>
              <w:jc w:val="left"/>
              <w:rPr>
                <w:rFonts w:hint="eastAsia" w:ascii="宋体" w:hAnsi="宋体" w:eastAsia="宋体" w:cs="Times New Roman"/>
                <w:color w:val="auto"/>
                <w:szCs w:val="21"/>
                <w:lang w:val="en-US" w:eastAsia="zh-CN"/>
              </w:rPr>
            </w:pPr>
            <w:r>
              <w:rPr>
                <w:rFonts w:hint="eastAsia" w:ascii="宋体" w:hAnsi="宋体" w:eastAsia="宋体" w:cs="Times New Roman"/>
                <w:color w:val="auto"/>
                <w:szCs w:val="21"/>
              </w:rPr>
              <w:t>楼外</w:t>
            </w:r>
            <w:r>
              <w:rPr>
                <w:rFonts w:hint="eastAsia" w:ascii="宋体" w:hAnsi="宋体" w:eastAsia="宋体" w:cs="Times New Roman"/>
                <w:color w:val="auto"/>
                <w:szCs w:val="21"/>
                <w:lang w:val="en-US" w:eastAsia="zh-CN"/>
              </w:rPr>
              <w:t>公共玻璃</w:t>
            </w:r>
          </w:p>
        </w:tc>
        <w:tc>
          <w:tcPr>
            <w:tcW w:w="3056" w:type="dxa"/>
            <w:tcBorders>
              <w:top w:val="single" w:color="auto" w:sz="6" w:space="0"/>
              <w:left w:val="single" w:color="auto" w:sz="6" w:space="0"/>
              <w:bottom w:val="single" w:color="auto" w:sz="6" w:space="0"/>
              <w:right w:val="single" w:color="auto" w:sz="6" w:space="0"/>
            </w:tcBorders>
            <w:noWrap w:val="0"/>
            <w:vAlign w:val="center"/>
          </w:tcPr>
          <w:p w14:paraId="74003B56">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每天保洁；每周清洗</w:t>
            </w:r>
            <w:r>
              <w:rPr>
                <w:rFonts w:ascii="宋体" w:hAnsi="宋体" w:eastAsia="宋体" w:cs="Times New Roman"/>
                <w:color w:val="auto"/>
                <w:szCs w:val="21"/>
              </w:rPr>
              <w:t>1</w:t>
            </w:r>
            <w:r>
              <w:rPr>
                <w:rFonts w:hint="eastAsia" w:ascii="宋体" w:hAnsi="宋体" w:eastAsia="宋体" w:cs="Times New Roman"/>
                <w:color w:val="auto"/>
                <w:szCs w:val="21"/>
              </w:rPr>
              <w:t>次；</w:t>
            </w:r>
          </w:p>
        </w:tc>
        <w:tc>
          <w:tcPr>
            <w:tcW w:w="3088" w:type="dxa"/>
            <w:tcBorders>
              <w:top w:val="single" w:color="auto" w:sz="6" w:space="0"/>
              <w:left w:val="single" w:color="auto" w:sz="6" w:space="0"/>
              <w:bottom w:val="single" w:color="auto" w:sz="6" w:space="0"/>
              <w:right w:val="single" w:color="auto" w:sz="6" w:space="0"/>
            </w:tcBorders>
            <w:noWrap w:val="0"/>
            <w:vAlign w:val="center"/>
          </w:tcPr>
          <w:p w14:paraId="085DA229">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光亮、洁净、无水痕。有明显污物，一处扣1分。</w:t>
            </w:r>
          </w:p>
        </w:tc>
        <w:tc>
          <w:tcPr>
            <w:tcW w:w="538" w:type="dxa"/>
            <w:tcBorders>
              <w:top w:val="single" w:color="auto" w:sz="6" w:space="0"/>
              <w:left w:val="single" w:color="auto" w:sz="6" w:space="0"/>
              <w:bottom w:val="single" w:color="auto" w:sz="6" w:space="0"/>
              <w:right w:val="single" w:color="auto" w:sz="6" w:space="0"/>
            </w:tcBorders>
            <w:noWrap w:val="0"/>
            <w:vAlign w:val="center"/>
          </w:tcPr>
          <w:p w14:paraId="4A69D0EC">
            <w:pPr>
              <w:snapToGrid w:val="0"/>
              <w:spacing w:line="240" w:lineRule="auto"/>
              <w:ind w:left="0" w:leftChars="0" w:right="0" w:rightChars="0" w:firstLine="0" w:firstLineChars="0"/>
              <w:jc w:val="righ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2E1F68B5">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504" w:type="dxa"/>
            <w:tcBorders>
              <w:top w:val="single" w:color="auto" w:sz="6" w:space="0"/>
              <w:left w:val="single" w:color="auto" w:sz="6" w:space="0"/>
              <w:bottom w:val="single" w:color="auto" w:sz="6" w:space="0"/>
              <w:right w:val="single" w:color="auto" w:sz="6" w:space="0"/>
            </w:tcBorders>
            <w:noWrap w:val="0"/>
            <w:vAlign w:val="center"/>
          </w:tcPr>
          <w:p w14:paraId="2C362AFF">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219755C4">
        <w:tblPrEx>
          <w:tblCellMar>
            <w:top w:w="0" w:type="dxa"/>
            <w:left w:w="30" w:type="dxa"/>
            <w:bottom w:w="0" w:type="dxa"/>
            <w:right w:w="30" w:type="dxa"/>
          </w:tblCellMar>
        </w:tblPrEx>
        <w:trPr>
          <w:trHeight w:val="0" w:hRule="atLeast"/>
          <w:jc w:val="center"/>
        </w:trPr>
        <w:tc>
          <w:tcPr>
            <w:tcW w:w="330" w:type="dxa"/>
            <w:vMerge w:val="restart"/>
            <w:tcBorders>
              <w:top w:val="single" w:color="auto" w:sz="6" w:space="0"/>
              <w:left w:val="single" w:color="auto" w:sz="6" w:space="0"/>
              <w:right w:val="single" w:color="auto" w:sz="6" w:space="0"/>
            </w:tcBorders>
            <w:noWrap w:val="0"/>
            <w:vAlign w:val="center"/>
          </w:tcPr>
          <w:p w14:paraId="7B481E3F">
            <w:pPr>
              <w:snapToGrid w:val="0"/>
              <w:spacing w:line="240" w:lineRule="auto"/>
              <w:ind w:left="0" w:leftChars="0" w:right="0" w:rightChars="0" w:firstLine="0" w:firstLineChars="0"/>
              <w:jc w:val="center"/>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5</w:t>
            </w:r>
          </w:p>
        </w:tc>
        <w:tc>
          <w:tcPr>
            <w:tcW w:w="2341" w:type="dxa"/>
            <w:gridSpan w:val="2"/>
            <w:tcBorders>
              <w:top w:val="single" w:color="auto" w:sz="6" w:space="0"/>
              <w:left w:val="single" w:color="auto" w:sz="6" w:space="0"/>
              <w:right w:val="single" w:color="auto" w:sz="6" w:space="0"/>
            </w:tcBorders>
            <w:noWrap w:val="0"/>
            <w:vAlign w:val="center"/>
          </w:tcPr>
          <w:p w14:paraId="78EE50B1">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硬化路面</w:t>
            </w:r>
          </w:p>
        </w:tc>
        <w:tc>
          <w:tcPr>
            <w:tcW w:w="3056" w:type="dxa"/>
            <w:tcBorders>
              <w:top w:val="single" w:color="auto" w:sz="6" w:space="0"/>
              <w:left w:val="single" w:color="auto" w:sz="6" w:space="0"/>
              <w:bottom w:val="single" w:color="auto" w:sz="6" w:space="0"/>
              <w:right w:val="single" w:color="auto" w:sz="6" w:space="0"/>
            </w:tcBorders>
            <w:noWrap w:val="0"/>
            <w:vAlign w:val="center"/>
          </w:tcPr>
          <w:p w14:paraId="579FB76A">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每天清扫</w:t>
            </w:r>
            <w:r>
              <w:rPr>
                <w:rFonts w:ascii="宋体" w:hAnsi="宋体" w:eastAsia="宋体" w:cs="Times New Roman"/>
                <w:color w:val="auto"/>
                <w:szCs w:val="21"/>
              </w:rPr>
              <w:t>1</w:t>
            </w:r>
            <w:r>
              <w:rPr>
                <w:rFonts w:hint="eastAsia" w:ascii="宋体" w:hAnsi="宋体" w:eastAsia="宋体" w:cs="Times New Roman"/>
                <w:color w:val="auto"/>
                <w:szCs w:val="21"/>
              </w:rPr>
              <w:t>次，全天保洁；每月机具清洗</w:t>
            </w:r>
            <w:r>
              <w:rPr>
                <w:rFonts w:ascii="宋体" w:hAnsi="宋体" w:eastAsia="宋体" w:cs="Times New Roman"/>
                <w:color w:val="auto"/>
                <w:szCs w:val="21"/>
              </w:rPr>
              <w:t>2</w:t>
            </w:r>
            <w:r>
              <w:rPr>
                <w:rFonts w:hint="eastAsia" w:ascii="宋体" w:hAnsi="宋体" w:eastAsia="宋体" w:cs="Times New Roman"/>
                <w:color w:val="auto"/>
                <w:szCs w:val="21"/>
              </w:rPr>
              <w:t>次。</w:t>
            </w:r>
          </w:p>
        </w:tc>
        <w:tc>
          <w:tcPr>
            <w:tcW w:w="3088" w:type="dxa"/>
            <w:tcBorders>
              <w:top w:val="single" w:color="auto" w:sz="6" w:space="0"/>
              <w:left w:val="single" w:color="auto" w:sz="6" w:space="0"/>
              <w:bottom w:val="single" w:color="auto" w:sz="6" w:space="0"/>
              <w:right w:val="single" w:color="auto" w:sz="6" w:space="0"/>
            </w:tcBorders>
            <w:noWrap w:val="0"/>
            <w:vAlign w:val="center"/>
          </w:tcPr>
          <w:p w14:paraId="3A2BD85B">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每天清扫保洁，路沿无积土、无杂物、无垃圾、无杂草、无烟头。每发现一项不合格，扣1分。</w:t>
            </w:r>
          </w:p>
        </w:tc>
        <w:tc>
          <w:tcPr>
            <w:tcW w:w="538" w:type="dxa"/>
            <w:tcBorders>
              <w:top w:val="single" w:color="auto" w:sz="6" w:space="0"/>
              <w:left w:val="single" w:color="auto" w:sz="6" w:space="0"/>
              <w:bottom w:val="single" w:color="auto" w:sz="6" w:space="0"/>
              <w:right w:val="single" w:color="auto" w:sz="6" w:space="0"/>
            </w:tcBorders>
            <w:noWrap w:val="0"/>
            <w:vAlign w:val="center"/>
          </w:tcPr>
          <w:p w14:paraId="5661041A">
            <w:pPr>
              <w:snapToGrid w:val="0"/>
              <w:spacing w:line="240" w:lineRule="auto"/>
              <w:ind w:left="0" w:leftChars="0" w:right="0" w:rightChars="0" w:firstLine="0" w:firstLineChars="0"/>
              <w:jc w:val="right"/>
              <w:rPr>
                <w:rFonts w:ascii="宋体" w:hAnsi="宋体" w:eastAsia="宋体" w:cs="Times New Roman"/>
                <w:color w:val="auto"/>
                <w:szCs w:val="21"/>
              </w:rPr>
            </w:pPr>
            <w:r>
              <w:rPr>
                <w:rFonts w:hint="eastAsia" w:ascii="宋体" w:hAnsi="宋体" w:eastAsia="宋体" w:cs="Times New Roman"/>
                <w:color w:val="auto"/>
                <w:szCs w:val="21"/>
              </w:rPr>
              <w:t>3</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005BE161">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504" w:type="dxa"/>
            <w:tcBorders>
              <w:top w:val="single" w:color="auto" w:sz="6" w:space="0"/>
              <w:left w:val="single" w:color="auto" w:sz="6" w:space="0"/>
              <w:bottom w:val="single" w:color="auto" w:sz="6" w:space="0"/>
              <w:right w:val="single" w:color="auto" w:sz="6" w:space="0"/>
            </w:tcBorders>
            <w:noWrap w:val="0"/>
            <w:vAlign w:val="center"/>
          </w:tcPr>
          <w:p w14:paraId="6EBFEC14">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4059BBD">
        <w:tblPrEx>
          <w:tblCellMar>
            <w:top w:w="0" w:type="dxa"/>
            <w:left w:w="30" w:type="dxa"/>
            <w:bottom w:w="0" w:type="dxa"/>
            <w:right w:w="30" w:type="dxa"/>
          </w:tblCellMar>
        </w:tblPrEx>
        <w:trPr>
          <w:trHeight w:val="0" w:hRule="atLeast"/>
          <w:jc w:val="center"/>
        </w:trPr>
        <w:tc>
          <w:tcPr>
            <w:tcW w:w="330" w:type="dxa"/>
            <w:vMerge w:val="continue"/>
            <w:tcBorders>
              <w:left w:val="single" w:color="auto" w:sz="6" w:space="0"/>
              <w:right w:val="single" w:color="auto" w:sz="6" w:space="0"/>
            </w:tcBorders>
            <w:noWrap w:val="0"/>
            <w:vAlign w:val="center"/>
          </w:tcPr>
          <w:p w14:paraId="25ECC5C2">
            <w:pPr>
              <w:snapToGrid w:val="0"/>
              <w:spacing w:line="240" w:lineRule="auto"/>
              <w:ind w:left="0" w:leftChars="0" w:right="0" w:rightChars="0" w:firstLine="0" w:firstLineChars="0"/>
              <w:jc w:val="center"/>
              <w:rPr>
                <w:rFonts w:hint="eastAsia" w:ascii="宋体" w:hAnsi="宋体" w:eastAsia="宋体" w:cs="Times New Roman"/>
                <w:color w:val="auto"/>
                <w:szCs w:val="21"/>
                <w:lang w:val="en-US" w:eastAsia="zh-CN"/>
              </w:rPr>
            </w:pPr>
          </w:p>
        </w:tc>
        <w:tc>
          <w:tcPr>
            <w:tcW w:w="2341" w:type="dxa"/>
            <w:gridSpan w:val="2"/>
            <w:tcBorders>
              <w:top w:val="single" w:color="auto" w:sz="6" w:space="0"/>
              <w:left w:val="single" w:color="auto" w:sz="6" w:space="0"/>
              <w:bottom w:val="single" w:color="auto" w:sz="4" w:space="0"/>
              <w:right w:val="single" w:color="auto" w:sz="6" w:space="0"/>
            </w:tcBorders>
            <w:noWrap w:val="0"/>
            <w:vAlign w:val="center"/>
          </w:tcPr>
          <w:p w14:paraId="282E3207">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楼梯踏步</w:t>
            </w:r>
          </w:p>
        </w:tc>
        <w:tc>
          <w:tcPr>
            <w:tcW w:w="3056" w:type="dxa"/>
            <w:tcBorders>
              <w:top w:val="single" w:color="auto" w:sz="6" w:space="0"/>
              <w:left w:val="single" w:color="auto" w:sz="6" w:space="0"/>
              <w:bottom w:val="single" w:color="auto" w:sz="6" w:space="0"/>
              <w:right w:val="single" w:color="auto" w:sz="6" w:space="0"/>
            </w:tcBorders>
            <w:noWrap w:val="0"/>
            <w:vAlign w:val="center"/>
          </w:tcPr>
          <w:p w14:paraId="1A99020D">
            <w:pPr>
              <w:snapToGrid w:val="0"/>
              <w:spacing w:line="240" w:lineRule="auto"/>
              <w:ind w:left="0" w:leftChars="0" w:right="0" w:rightChars="0" w:firstLine="0" w:firstLineChars="0"/>
              <w:jc w:val="left"/>
              <w:rPr>
                <w:rFonts w:hint="eastAsia" w:ascii="宋体" w:hAnsi="宋体" w:eastAsia="宋体" w:cs="Times New Roman"/>
                <w:color w:val="auto"/>
                <w:szCs w:val="21"/>
              </w:rPr>
            </w:pPr>
            <w:r>
              <w:rPr>
                <w:rFonts w:hint="eastAsia" w:ascii="宋体" w:hAnsi="宋体" w:eastAsia="宋体" w:cs="Times New Roman"/>
                <w:color w:val="auto"/>
                <w:szCs w:val="21"/>
              </w:rPr>
              <w:t>每天清扫</w:t>
            </w:r>
            <w:r>
              <w:rPr>
                <w:rFonts w:ascii="宋体" w:hAnsi="宋体" w:eastAsia="宋体" w:cs="Times New Roman"/>
                <w:color w:val="auto"/>
                <w:szCs w:val="21"/>
              </w:rPr>
              <w:t>1</w:t>
            </w:r>
            <w:r>
              <w:rPr>
                <w:rFonts w:hint="eastAsia" w:ascii="宋体" w:hAnsi="宋体" w:eastAsia="宋体" w:cs="Times New Roman"/>
                <w:color w:val="auto"/>
                <w:szCs w:val="21"/>
              </w:rPr>
              <w:t>次，全天保洁；每月机具清洗</w:t>
            </w:r>
            <w:r>
              <w:rPr>
                <w:rFonts w:ascii="宋体" w:hAnsi="宋体" w:eastAsia="宋体" w:cs="Times New Roman"/>
                <w:color w:val="auto"/>
                <w:szCs w:val="21"/>
              </w:rPr>
              <w:t>2</w:t>
            </w:r>
            <w:r>
              <w:rPr>
                <w:rFonts w:hint="eastAsia" w:ascii="宋体" w:hAnsi="宋体" w:eastAsia="宋体" w:cs="Times New Roman"/>
                <w:color w:val="auto"/>
                <w:szCs w:val="21"/>
              </w:rPr>
              <w:t>次。</w:t>
            </w:r>
          </w:p>
        </w:tc>
        <w:tc>
          <w:tcPr>
            <w:tcW w:w="3088" w:type="dxa"/>
            <w:tcBorders>
              <w:top w:val="single" w:color="auto" w:sz="6" w:space="0"/>
              <w:left w:val="single" w:color="auto" w:sz="6" w:space="0"/>
              <w:bottom w:val="single" w:color="auto" w:sz="6" w:space="0"/>
              <w:right w:val="single" w:color="auto" w:sz="6" w:space="0"/>
            </w:tcBorders>
            <w:noWrap w:val="0"/>
            <w:vAlign w:val="center"/>
          </w:tcPr>
          <w:p w14:paraId="73F0F15A">
            <w:pPr>
              <w:snapToGrid w:val="0"/>
              <w:spacing w:line="240" w:lineRule="auto"/>
              <w:ind w:left="0" w:leftChars="0" w:right="0" w:rightChars="0" w:firstLine="0" w:firstLineChars="0"/>
              <w:jc w:val="left"/>
              <w:rPr>
                <w:rFonts w:hint="eastAsia" w:ascii="宋体" w:hAnsi="宋体" w:eastAsia="宋体" w:cs="Times New Roman"/>
                <w:color w:val="auto"/>
                <w:szCs w:val="21"/>
              </w:rPr>
            </w:pPr>
            <w:r>
              <w:rPr>
                <w:rFonts w:hint="eastAsia" w:ascii="宋体" w:hAnsi="宋体" w:eastAsia="宋体" w:cs="Times New Roman"/>
                <w:color w:val="auto"/>
                <w:szCs w:val="21"/>
              </w:rPr>
              <w:t>每天清扫保洁，路沿无积土、无杂物、无垃圾、无杂草、无烟头。每发现一项不合格，扣1分。</w:t>
            </w:r>
          </w:p>
        </w:tc>
        <w:tc>
          <w:tcPr>
            <w:tcW w:w="538" w:type="dxa"/>
            <w:tcBorders>
              <w:top w:val="single" w:color="auto" w:sz="6" w:space="0"/>
              <w:left w:val="single" w:color="auto" w:sz="6" w:space="0"/>
              <w:bottom w:val="single" w:color="auto" w:sz="6" w:space="0"/>
              <w:right w:val="single" w:color="auto" w:sz="6" w:space="0"/>
            </w:tcBorders>
            <w:noWrap w:val="0"/>
            <w:vAlign w:val="center"/>
          </w:tcPr>
          <w:p w14:paraId="116E6371">
            <w:pPr>
              <w:snapToGrid w:val="0"/>
              <w:spacing w:line="240" w:lineRule="auto"/>
              <w:ind w:left="0" w:leftChars="0" w:right="0" w:rightChars="0" w:firstLine="0" w:firstLineChars="0"/>
              <w:jc w:val="righ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1ECD7673">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504" w:type="dxa"/>
            <w:tcBorders>
              <w:top w:val="single" w:color="auto" w:sz="6" w:space="0"/>
              <w:left w:val="single" w:color="auto" w:sz="6" w:space="0"/>
              <w:bottom w:val="single" w:color="auto" w:sz="6" w:space="0"/>
              <w:right w:val="single" w:color="auto" w:sz="6" w:space="0"/>
            </w:tcBorders>
            <w:noWrap w:val="0"/>
            <w:vAlign w:val="center"/>
          </w:tcPr>
          <w:p w14:paraId="2BD8EE3D">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43361AAE">
        <w:tblPrEx>
          <w:tblCellMar>
            <w:top w:w="0" w:type="dxa"/>
            <w:left w:w="30" w:type="dxa"/>
            <w:bottom w:w="0" w:type="dxa"/>
            <w:right w:w="30" w:type="dxa"/>
          </w:tblCellMar>
        </w:tblPrEx>
        <w:trPr>
          <w:trHeight w:val="0" w:hRule="atLeast"/>
          <w:jc w:val="center"/>
        </w:trPr>
        <w:tc>
          <w:tcPr>
            <w:tcW w:w="330" w:type="dxa"/>
            <w:tcBorders>
              <w:top w:val="single" w:color="auto" w:sz="6" w:space="0"/>
              <w:left w:val="single" w:color="auto" w:sz="6" w:space="0"/>
              <w:right w:val="single" w:color="auto" w:sz="6" w:space="0"/>
            </w:tcBorders>
            <w:noWrap w:val="0"/>
            <w:vAlign w:val="center"/>
          </w:tcPr>
          <w:p w14:paraId="000599B5">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6</w:t>
            </w:r>
          </w:p>
        </w:tc>
        <w:tc>
          <w:tcPr>
            <w:tcW w:w="2341" w:type="dxa"/>
            <w:gridSpan w:val="2"/>
            <w:tcBorders>
              <w:top w:val="single" w:color="auto" w:sz="6" w:space="0"/>
              <w:left w:val="single" w:color="auto" w:sz="6" w:space="0"/>
              <w:bottom w:val="single" w:color="auto" w:sz="4" w:space="0"/>
              <w:right w:val="single" w:color="auto" w:sz="6" w:space="0"/>
            </w:tcBorders>
            <w:noWrap w:val="0"/>
            <w:vAlign w:val="center"/>
          </w:tcPr>
          <w:p w14:paraId="26E2FF32">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景观水池</w:t>
            </w:r>
          </w:p>
        </w:tc>
        <w:tc>
          <w:tcPr>
            <w:tcW w:w="3056" w:type="dxa"/>
            <w:tcBorders>
              <w:top w:val="single" w:color="auto" w:sz="6" w:space="0"/>
              <w:left w:val="single" w:color="auto" w:sz="6" w:space="0"/>
              <w:bottom w:val="single" w:color="auto" w:sz="6" w:space="0"/>
              <w:right w:val="single" w:color="auto" w:sz="6" w:space="0"/>
            </w:tcBorders>
            <w:noWrap w:val="0"/>
            <w:vAlign w:val="center"/>
          </w:tcPr>
          <w:p w14:paraId="0528A0B8">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定期清洗及打捞漂浮物。</w:t>
            </w:r>
          </w:p>
        </w:tc>
        <w:tc>
          <w:tcPr>
            <w:tcW w:w="3088" w:type="dxa"/>
            <w:tcBorders>
              <w:top w:val="single" w:color="auto" w:sz="6" w:space="0"/>
              <w:left w:val="single" w:color="auto" w:sz="6" w:space="0"/>
              <w:bottom w:val="single" w:color="auto" w:sz="6" w:space="0"/>
              <w:right w:val="single" w:color="auto" w:sz="6" w:space="0"/>
            </w:tcBorders>
            <w:noWrap w:val="0"/>
            <w:vAlign w:val="center"/>
          </w:tcPr>
          <w:p w14:paraId="70445FA9">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rPr>
              <w:t>无</w:t>
            </w:r>
            <w:r>
              <w:rPr>
                <w:rFonts w:hint="eastAsia" w:ascii="宋体" w:hAnsi="宋体" w:eastAsia="宋体" w:cs="Times New Roman"/>
                <w:color w:val="auto"/>
                <w:szCs w:val="21"/>
                <w:lang w:val="en-US" w:eastAsia="zh-CN"/>
              </w:rPr>
              <w:t>白色</w:t>
            </w:r>
            <w:r>
              <w:rPr>
                <w:rFonts w:hint="eastAsia" w:ascii="宋体" w:hAnsi="宋体" w:eastAsia="宋体" w:cs="Times New Roman"/>
                <w:color w:val="auto"/>
                <w:szCs w:val="21"/>
              </w:rPr>
              <w:t>垃圾、无落叶</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lang w:val="en-US" w:eastAsia="zh-CN"/>
              </w:rPr>
              <w:t>水质清澈。</w:t>
            </w:r>
          </w:p>
        </w:tc>
        <w:tc>
          <w:tcPr>
            <w:tcW w:w="538" w:type="dxa"/>
            <w:tcBorders>
              <w:top w:val="single" w:color="auto" w:sz="6" w:space="0"/>
              <w:left w:val="single" w:color="auto" w:sz="6" w:space="0"/>
              <w:bottom w:val="single" w:color="auto" w:sz="6" w:space="0"/>
              <w:right w:val="single" w:color="auto" w:sz="6" w:space="0"/>
            </w:tcBorders>
            <w:noWrap w:val="0"/>
            <w:vAlign w:val="center"/>
          </w:tcPr>
          <w:p w14:paraId="4E7E5DCD">
            <w:pPr>
              <w:snapToGrid w:val="0"/>
              <w:spacing w:line="240" w:lineRule="auto"/>
              <w:ind w:left="0" w:leftChars="0" w:right="0" w:rightChars="0" w:firstLine="0" w:firstLineChars="0"/>
              <w:jc w:val="righ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6</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09576573">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04" w:type="dxa"/>
            <w:tcBorders>
              <w:top w:val="single" w:color="auto" w:sz="6" w:space="0"/>
              <w:left w:val="single" w:color="auto" w:sz="6" w:space="0"/>
              <w:bottom w:val="single" w:color="auto" w:sz="6" w:space="0"/>
              <w:right w:val="single" w:color="auto" w:sz="6" w:space="0"/>
            </w:tcBorders>
            <w:noWrap w:val="0"/>
            <w:vAlign w:val="center"/>
          </w:tcPr>
          <w:p w14:paraId="655F6FF5">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C7382C7">
        <w:tblPrEx>
          <w:tblCellMar>
            <w:top w:w="0" w:type="dxa"/>
            <w:left w:w="30" w:type="dxa"/>
            <w:bottom w:w="0" w:type="dxa"/>
            <w:right w:w="30" w:type="dxa"/>
          </w:tblCellMar>
        </w:tblPrEx>
        <w:trPr>
          <w:trHeight w:val="0" w:hRule="atLeast"/>
          <w:jc w:val="center"/>
        </w:trPr>
        <w:tc>
          <w:tcPr>
            <w:tcW w:w="330" w:type="dxa"/>
            <w:tcBorders>
              <w:top w:val="single" w:color="auto" w:sz="6" w:space="0"/>
              <w:left w:val="single" w:color="auto" w:sz="6" w:space="0"/>
              <w:right w:val="single" w:color="auto" w:sz="6" w:space="0"/>
            </w:tcBorders>
            <w:noWrap w:val="0"/>
            <w:vAlign w:val="center"/>
          </w:tcPr>
          <w:p w14:paraId="4479144C">
            <w:pPr>
              <w:snapToGrid w:val="0"/>
              <w:spacing w:line="240" w:lineRule="auto"/>
              <w:ind w:left="0" w:leftChars="0" w:right="0" w:rightChars="0" w:firstLine="0" w:firstLineChars="0"/>
              <w:jc w:val="center"/>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7</w:t>
            </w:r>
          </w:p>
        </w:tc>
        <w:tc>
          <w:tcPr>
            <w:tcW w:w="2341" w:type="dxa"/>
            <w:gridSpan w:val="2"/>
            <w:tcBorders>
              <w:top w:val="single" w:color="auto" w:sz="6" w:space="0"/>
              <w:left w:val="single" w:color="auto" w:sz="6" w:space="0"/>
              <w:bottom w:val="single" w:color="auto" w:sz="4" w:space="0"/>
              <w:right w:val="single" w:color="auto" w:sz="6" w:space="0"/>
            </w:tcBorders>
            <w:noWrap w:val="0"/>
            <w:vAlign w:val="center"/>
          </w:tcPr>
          <w:p w14:paraId="5BA0DF50">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绿化带内</w:t>
            </w:r>
          </w:p>
        </w:tc>
        <w:tc>
          <w:tcPr>
            <w:tcW w:w="3056" w:type="dxa"/>
            <w:tcBorders>
              <w:top w:val="single" w:color="auto" w:sz="6" w:space="0"/>
              <w:left w:val="single" w:color="auto" w:sz="6" w:space="0"/>
              <w:bottom w:val="single" w:color="auto" w:sz="6" w:space="0"/>
              <w:right w:val="single" w:color="auto" w:sz="6" w:space="0"/>
            </w:tcBorders>
            <w:noWrap w:val="0"/>
            <w:vAlign w:val="center"/>
          </w:tcPr>
          <w:p w14:paraId="6815F472">
            <w:pPr>
              <w:snapToGrid w:val="0"/>
              <w:spacing w:line="240" w:lineRule="auto"/>
              <w:ind w:left="0" w:leftChars="0" w:right="0" w:rightChars="0" w:firstLine="0" w:firstLineChars="0"/>
              <w:jc w:val="left"/>
              <w:rPr>
                <w:rFonts w:hint="eastAsia" w:ascii="宋体" w:hAnsi="宋体" w:eastAsia="宋体" w:cs="Times New Roman"/>
                <w:color w:val="auto"/>
                <w:szCs w:val="21"/>
              </w:rPr>
            </w:pPr>
            <w:r>
              <w:rPr>
                <w:rFonts w:hint="eastAsia" w:ascii="宋体" w:hAnsi="宋体" w:eastAsia="宋体" w:cs="Times New Roman"/>
                <w:color w:val="auto"/>
                <w:szCs w:val="21"/>
              </w:rPr>
              <w:t>每天清扫</w:t>
            </w:r>
            <w:r>
              <w:rPr>
                <w:rFonts w:ascii="宋体" w:hAnsi="宋体" w:eastAsia="宋体" w:cs="Times New Roman"/>
                <w:color w:val="auto"/>
                <w:szCs w:val="21"/>
              </w:rPr>
              <w:t>1</w:t>
            </w:r>
            <w:r>
              <w:rPr>
                <w:rFonts w:hint="eastAsia" w:ascii="宋体" w:hAnsi="宋体" w:eastAsia="宋体" w:cs="Times New Roman"/>
                <w:color w:val="auto"/>
                <w:szCs w:val="21"/>
              </w:rPr>
              <w:t>次，全天保洁</w:t>
            </w:r>
          </w:p>
        </w:tc>
        <w:tc>
          <w:tcPr>
            <w:tcW w:w="3088" w:type="dxa"/>
            <w:tcBorders>
              <w:top w:val="single" w:color="auto" w:sz="6" w:space="0"/>
              <w:left w:val="single" w:color="auto" w:sz="6" w:space="0"/>
              <w:bottom w:val="single" w:color="auto" w:sz="6" w:space="0"/>
              <w:right w:val="single" w:color="auto" w:sz="6" w:space="0"/>
            </w:tcBorders>
            <w:noWrap w:val="0"/>
            <w:vAlign w:val="center"/>
          </w:tcPr>
          <w:p w14:paraId="0B82F415">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rPr>
              <w:t>每天清扫保洁</w:t>
            </w:r>
            <w:r>
              <w:rPr>
                <w:rFonts w:hint="eastAsia" w:ascii="宋体" w:hAnsi="宋体" w:eastAsia="宋体" w:cs="Times New Roman"/>
                <w:color w:val="auto"/>
                <w:szCs w:val="21"/>
                <w:lang w:eastAsia="zh-CN"/>
              </w:rPr>
              <w:t>，</w:t>
            </w:r>
            <w:r>
              <w:rPr>
                <w:rFonts w:hint="eastAsia" w:ascii="宋体" w:hAnsi="宋体" w:eastAsia="宋体" w:cs="Times New Roman"/>
                <w:color w:val="auto"/>
                <w:szCs w:val="21"/>
              </w:rPr>
              <w:t>无杂物、无垃圾</w:t>
            </w:r>
            <w:r>
              <w:rPr>
                <w:rFonts w:hint="eastAsia" w:ascii="宋体" w:hAnsi="宋体" w:eastAsia="宋体" w:cs="Times New Roman"/>
                <w:color w:val="auto"/>
                <w:szCs w:val="21"/>
                <w:lang w:val="en-US" w:eastAsia="zh-CN"/>
              </w:rPr>
              <w:t>无烟头，</w:t>
            </w:r>
            <w:r>
              <w:rPr>
                <w:rFonts w:hint="eastAsia" w:ascii="宋体" w:hAnsi="宋体" w:eastAsia="宋体" w:cs="Times New Roman"/>
                <w:color w:val="auto"/>
                <w:szCs w:val="21"/>
              </w:rPr>
              <w:t>每发现一项不合格，扣1分。</w:t>
            </w:r>
          </w:p>
        </w:tc>
        <w:tc>
          <w:tcPr>
            <w:tcW w:w="538" w:type="dxa"/>
            <w:tcBorders>
              <w:top w:val="single" w:color="auto" w:sz="6" w:space="0"/>
              <w:left w:val="single" w:color="auto" w:sz="6" w:space="0"/>
              <w:bottom w:val="single" w:color="auto" w:sz="6" w:space="0"/>
              <w:right w:val="single" w:color="auto" w:sz="6" w:space="0"/>
            </w:tcBorders>
            <w:noWrap w:val="0"/>
            <w:vAlign w:val="center"/>
          </w:tcPr>
          <w:p w14:paraId="3FE618BF">
            <w:pPr>
              <w:snapToGrid w:val="0"/>
              <w:spacing w:line="240" w:lineRule="auto"/>
              <w:ind w:left="0" w:leftChars="0" w:right="0" w:rightChars="0" w:firstLine="0" w:firstLineChars="0"/>
              <w:jc w:val="right"/>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6</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2446A0A8">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504" w:type="dxa"/>
            <w:tcBorders>
              <w:top w:val="single" w:color="auto" w:sz="6" w:space="0"/>
              <w:left w:val="single" w:color="auto" w:sz="6" w:space="0"/>
              <w:bottom w:val="single" w:color="auto" w:sz="6" w:space="0"/>
              <w:right w:val="single" w:color="auto" w:sz="6" w:space="0"/>
            </w:tcBorders>
            <w:noWrap w:val="0"/>
            <w:vAlign w:val="center"/>
          </w:tcPr>
          <w:p w14:paraId="63850972">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4794D052">
        <w:tblPrEx>
          <w:tblCellMar>
            <w:top w:w="0" w:type="dxa"/>
            <w:left w:w="30" w:type="dxa"/>
            <w:bottom w:w="0" w:type="dxa"/>
            <w:right w:w="30" w:type="dxa"/>
          </w:tblCellMar>
        </w:tblPrEx>
        <w:trPr>
          <w:trHeight w:val="0" w:hRule="atLeast"/>
          <w:jc w:val="center"/>
        </w:trPr>
        <w:tc>
          <w:tcPr>
            <w:tcW w:w="330" w:type="dxa"/>
            <w:vMerge w:val="restart"/>
            <w:tcBorders>
              <w:top w:val="single" w:color="auto" w:sz="6" w:space="0"/>
              <w:left w:val="single" w:color="auto" w:sz="6" w:space="0"/>
              <w:right w:val="single" w:color="auto" w:sz="4" w:space="0"/>
            </w:tcBorders>
            <w:noWrap w:val="0"/>
            <w:vAlign w:val="center"/>
          </w:tcPr>
          <w:p w14:paraId="5F0EAF22">
            <w:pPr>
              <w:snapToGrid w:val="0"/>
              <w:spacing w:line="240" w:lineRule="auto"/>
              <w:ind w:left="0" w:leftChars="0" w:right="0" w:rightChars="0" w:firstLine="0" w:firstLineChars="0"/>
              <w:jc w:val="center"/>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8</w:t>
            </w:r>
          </w:p>
        </w:tc>
        <w:tc>
          <w:tcPr>
            <w:tcW w:w="2341" w:type="dxa"/>
            <w:gridSpan w:val="2"/>
            <w:tcBorders>
              <w:top w:val="single" w:color="auto" w:sz="4" w:space="0"/>
              <w:left w:val="single" w:color="auto" w:sz="4" w:space="0"/>
              <w:bottom w:val="single" w:color="auto" w:sz="4" w:space="0"/>
              <w:right w:val="single" w:color="auto" w:sz="4" w:space="0"/>
            </w:tcBorders>
            <w:noWrap w:val="0"/>
            <w:vAlign w:val="center"/>
          </w:tcPr>
          <w:p w14:paraId="5FA93332">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日常消杀</w:t>
            </w:r>
          </w:p>
        </w:tc>
        <w:tc>
          <w:tcPr>
            <w:tcW w:w="3056" w:type="dxa"/>
            <w:tcBorders>
              <w:top w:val="single" w:color="auto" w:sz="6" w:space="0"/>
              <w:left w:val="single" w:color="auto" w:sz="4" w:space="0"/>
              <w:bottom w:val="single" w:color="auto" w:sz="6" w:space="0"/>
              <w:right w:val="single" w:color="auto" w:sz="6" w:space="0"/>
            </w:tcBorders>
            <w:noWrap w:val="0"/>
            <w:vAlign w:val="center"/>
          </w:tcPr>
          <w:p w14:paraId="247D9C6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每周</w:t>
            </w:r>
            <w:r>
              <w:rPr>
                <w:rFonts w:ascii="宋体" w:hAnsi="宋体" w:eastAsia="宋体" w:cs="Times New Roman"/>
                <w:color w:val="auto"/>
                <w:szCs w:val="21"/>
              </w:rPr>
              <w:t>1</w:t>
            </w:r>
            <w:r>
              <w:rPr>
                <w:rFonts w:hint="eastAsia" w:ascii="宋体" w:hAnsi="宋体" w:eastAsia="宋体" w:cs="Times New Roman"/>
                <w:color w:val="auto"/>
                <w:szCs w:val="21"/>
              </w:rPr>
              <w:t>次对学生宿舍走道、垃圾房（桶）周边、公共卫生间进行消杀。</w:t>
            </w:r>
          </w:p>
        </w:tc>
        <w:tc>
          <w:tcPr>
            <w:tcW w:w="3088" w:type="dxa"/>
            <w:tcBorders>
              <w:top w:val="single" w:color="auto" w:sz="6" w:space="0"/>
              <w:left w:val="single" w:color="auto" w:sz="6" w:space="0"/>
              <w:bottom w:val="single" w:color="auto" w:sz="6" w:space="0"/>
              <w:right w:val="single" w:color="auto" w:sz="6" w:space="0"/>
            </w:tcBorders>
            <w:noWrap w:val="0"/>
            <w:vAlign w:val="center"/>
          </w:tcPr>
          <w:p w14:paraId="123948F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有计划、有实施、有台帐、有记录。每缺一项扣1分。</w:t>
            </w:r>
          </w:p>
        </w:tc>
        <w:tc>
          <w:tcPr>
            <w:tcW w:w="538" w:type="dxa"/>
            <w:tcBorders>
              <w:top w:val="single" w:color="auto" w:sz="6" w:space="0"/>
              <w:left w:val="single" w:color="auto" w:sz="6" w:space="0"/>
              <w:bottom w:val="single" w:color="auto" w:sz="6" w:space="0"/>
              <w:right w:val="single" w:color="auto" w:sz="6" w:space="0"/>
            </w:tcBorders>
            <w:noWrap w:val="0"/>
            <w:vAlign w:val="center"/>
          </w:tcPr>
          <w:p w14:paraId="52C23A1A">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6</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0B2D93CB">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504" w:type="dxa"/>
            <w:tcBorders>
              <w:top w:val="single" w:color="auto" w:sz="6" w:space="0"/>
              <w:left w:val="single" w:color="auto" w:sz="6" w:space="0"/>
              <w:bottom w:val="single" w:color="auto" w:sz="6" w:space="0"/>
              <w:right w:val="single" w:color="auto" w:sz="6" w:space="0"/>
            </w:tcBorders>
            <w:noWrap w:val="0"/>
            <w:vAlign w:val="center"/>
          </w:tcPr>
          <w:p w14:paraId="7702AFC2">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2BA31DDF">
        <w:tblPrEx>
          <w:tblCellMar>
            <w:top w:w="0" w:type="dxa"/>
            <w:left w:w="30" w:type="dxa"/>
            <w:bottom w:w="0" w:type="dxa"/>
            <w:right w:w="30" w:type="dxa"/>
          </w:tblCellMar>
        </w:tblPrEx>
        <w:trPr>
          <w:trHeight w:val="0" w:hRule="atLeast"/>
          <w:jc w:val="center"/>
        </w:trPr>
        <w:tc>
          <w:tcPr>
            <w:tcW w:w="330" w:type="dxa"/>
            <w:vMerge w:val="continue"/>
            <w:tcBorders>
              <w:left w:val="single" w:color="auto" w:sz="6" w:space="0"/>
              <w:bottom w:val="single" w:color="auto" w:sz="6" w:space="0"/>
              <w:right w:val="single" w:color="auto" w:sz="4" w:space="0"/>
            </w:tcBorders>
            <w:noWrap w:val="0"/>
            <w:vAlign w:val="center"/>
          </w:tcPr>
          <w:p w14:paraId="72947442">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341" w:type="dxa"/>
            <w:gridSpan w:val="2"/>
            <w:tcBorders>
              <w:top w:val="single" w:color="auto" w:sz="4" w:space="0"/>
              <w:left w:val="single" w:color="auto" w:sz="4" w:space="0"/>
              <w:bottom w:val="single" w:color="auto" w:sz="4" w:space="0"/>
              <w:right w:val="single" w:color="auto" w:sz="4" w:space="0"/>
            </w:tcBorders>
            <w:noWrap w:val="0"/>
            <w:vAlign w:val="center"/>
          </w:tcPr>
          <w:p w14:paraId="7525BB89">
            <w:pPr>
              <w:snapToGrid w:val="0"/>
              <w:spacing w:line="240" w:lineRule="auto"/>
              <w:ind w:left="0" w:leftChars="0" w:right="0" w:rightChars="0" w:firstLine="0" w:firstLineChars="0"/>
              <w:jc w:val="left"/>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鼠药投放</w:t>
            </w:r>
          </w:p>
        </w:tc>
        <w:tc>
          <w:tcPr>
            <w:tcW w:w="3056" w:type="dxa"/>
            <w:tcBorders>
              <w:top w:val="single" w:color="auto" w:sz="6" w:space="0"/>
              <w:left w:val="single" w:color="auto" w:sz="4" w:space="0"/>
              <w:bottom w:val="single" w:color="auto" w:sz="6" w:space="0"/>
              <w:right w:val="single" w:color="auto" w:sz="6" w:space="0"/>
            </w:tcBorders>
            <w:noWrap w:val="0"/>
            <w:vAlign w:val="center"/>
          </w:tcPr>
          <w:p w14:paraId="4ACA7FED">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每月投放两次。</w:t>
            </w:r>
          </w:p>
        </w:tc>
        <w:tc>
          <w:tcPr>
            <w:tcW w:w="3088" w:type="dxa"/>
            <w:tcBorders>
              <w:top w:val="single" w:color="auto" w:sz="6" w:space="0"/>
              <w:left w:val="single" w:color="auto" w:sz="6" w:space="0"/>
              <w:bottom w:val="single" w:color="auto" w:sz="6" w:space="0"/>
              <w:right w:val="single" w:color="auto" w:sz="6" w:space="0"/>
            </w:tcBorders>
            <w:noWrap w:val="0"/>
            <w:vAlign w:val="center"/>
          </w:tcPr>
          <w:p w14:paraId="5E0B97FD">
            <w:pPr>
              <w:snapToGrid w:val="0"/>
              <w:spacing w:line="240" w:lineRule="auto"/>
              <w:ind w:left="0" w:leftChars="0" w:right="0" w:rightChars="0" w:firstLine="0" w:firstLineChars="0"/>
              <w:jc w:val="left"/>
              <w:rPr>
                <w:rFonts w:hint="eastAsia" w:ascii="宋体" w:hAnsi="宋体" w:eastAsia="宋体" w:cs="Times New Roman"/>
                <w:color w:val="auto"/>
                <w:szCs w:val="21"/>
              </w:rPr>
            </w:pPr>
            <w:r>
              <w:rPr>
                <w:rFonts w:hint="eastAsia" w:ascii="宋体" w:hAnsi="宋体" w:eastAsia="宋体" w:cs="Times New Roman"/>
                <w:color w:val="auto"/>
                <w:szCs w:val="21"/>
              </w:rPr>
              <w:t>有计划、有实施、有台帐、有记录。每缺一项扣1分。</w:t>
            </w:r>
          </w:p>
        </w:tc>
        <w:tc>
          <w:tcPr>
            <w:tcW w:w="538" w:type="dxa"/>
            <w:tcBorders>
              <w:top w:val="single" w:color="auto" w:sz="6" w:space="0"/>
              <w:left w:val="single" w:color="auto" w:sz="6" w:space="0"/>
              <w:bottom w:val="single" w:color="auto" w:sz="6" w:space="0"/>
              <w:right w:val="single" w:color="auto" w:sz="6" w:space="0"/>
            </w:tcBorders>
            <w:noWrap w:val="0"/>
            <w:vAlign w:val="center"/>
          </w:tcPr>
          <w:p w14:paraId="28B5683A">
            <w:pPr>
              <w:snapToGrid w:val="0"/>
              <w:spacing w:line="240" w:lineRule="auto"/>
              <w:ind w:left="0" w:leftChars="0" w:right="0" w:rightChars="0" w:firstLine="0" w:firstLineChars="0"/>
              <w:jc w:val="right"/>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6</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55FDC071">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04" w:type="dxa"/>
            <w:tcBorders>
              <w:top w:val="single" w:color="auto" w:sz="6" w:space="0"/>
              <w:left w:val="single" w:color="auto" w:sz="6" w:space="0"/>
              <w:bottom w:val="single" w:color="auto" w:sz="6" w:space="0"/>
              <w:right w:val="single" w:color="auto" w:sz="6" w:space="0"/>
            </w:tcBorders>
            <w:noWrap w:val="0"/>
            <w:vAlign w:val="center"/>
          </w:tcPr>
          <w:p w14:paraId="16BE16C3">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34213A68">
        <w:tblPrEx>
          <w:tblCellMar>
            <w:top w:w="0" w:type="dxa"/>
            <w:left w:w="30" w:type="dxa"/>
            <w:bottom w:w="0" w:type="dxa"/>
            <w:right w:w="30" w:type="dxa"/>
          </w:tblCellMar>
        </w:tblPrEx>
        <w:trPr>
          <w:trHeight w:val="0" w:hRule="atLeast"/>
          <w:jc w:val="center"/>
        </w:trPr>
        <w:tc>
          <w:tcPr>
            <w:tcW w:w="330" w:type="dxa"/>
            <w:vMerge w:val="continue"/>
            <w:tcBorders>
              <w:left w:val="single" w:color="auto" w:sz="6" w:space="0"/>
              <w:bottom w:val="single" w:color="auto" w:sz="6" w:space="0"/>
              <w:right w:val="single" w:color="auto" w:sz="6" w:space="0"/>
            </w:tcBorders>
            <w:noWrap w:val="0"/>
            <w:vAlign w:val="center"/>
          </w:tcPr>
          <w:p w14:paraId="29C11E8F">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341" w:type="dxa"/>
            <w:gridSpan w:val="2"/>
            <w:tcBorders>
              <w:top w:val="single" w:color="auto" w:sz="4" w:space="0"/>
              <w:left w:val="single" w:color="auto" w:sz="6" w:space="0"/>
              <w:bottom w:val="single" w:color="auto" w:sz="6" w:space="0"/>
              <w:right w:val="single" w:color="auto" w:sz="6" w:space="0"/>
            </w:tcBorders>
            <w:noWrap w:val="0"/>
            <w:vAlign w:val="center"/>
          </w:tcPr>
          <w:p w14:paraId="6311B4E8">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重点疫情防控</w:t>
            </w:r>
          </w:p>
        </w:tc>
        <w:tc>
          <w:tcPr>
            <w:tcW w:w="3056" w:type="dxa"/>
            <w:tcBorders>
              <w:top w:val="single" w:color="auto" w:sz="6" w:space="0"/>
              <w:left w:val="single" w:color="auto" w:sz="6" w:space="0"/>
              <w:bottom w:val="single" w:color="auto" w:sz="6" w:space="0"/>
              <w:right w:val="single" w:color="auto" w:sz="6" w:space="0"/>
            </w:tcBorders>
            <w:noWrap w:val="0"/>
            <w:vAlign w:val="center"/>
          </w:tcPr>
          <w:p w14:paraId="0A3F606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w:t>
            </w:r>
            <w:r>
              <w:rPr>
                <w:rFonts w:ascii="宋体" w:hAnsi="宋体" w:eastAsia="宋体" w:cs="Times New Roman"/>
                <w:color w:val="auto"/>
                <w:szCs w:val="21"/>
              </w:rPr>
              <w:t>1</w:t>
            </w:r>
            <w:r>
              <w:rPr>
                <w:rFonts w:hint="eastAsia" w:ascii="宋体" w:hAnsi="宋体" w:eastAsia="宋体" w:cs="Times New Roman"/>
                <w:color w:val="auto"/>
                <w:szCs w:val="21"/>
              </w:rPr>
              <w:t>次对重点区域进行环境卫生消杀。</w:t>
            </w:r>
          </w:p>
        </w:tc>
        <w:tc>
          <w:tcPr>
            <w:tcW w:w="3088" w:type="dxa"/>
            <w:tcBorders>
              <w:top w:val="single" w:color="auto" w:sz="6" w:space="0"/>
              <w:left w:val="single" w:color="auto" w:sz="6" w:space="0"/>
              <w:bottom w:val="single" w:color="auto" w:sz="6" w:space="0"/>
              <w:right w:val="single" w:color="auto" w:sz="6" w:space="0"/>
            </w:tcBorders>
            <w:noWrap w:val="0"/>
            <w:vAlign w:val="center"/>
          </w:tcPr>
          <w:p w14:paraId="6EF3D485">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有计划、有实施、有台帐、有记录。每缺一项，扣1分</w:t>
            </w:r>
          </w:p>
        </w:tc>
        <w:tc>
          <w:tcPr>
            <w:tcW w:w="538" w:type="dxa"/>
            <w:tcBorders>
              <w:top w:val="single" w:color="auto" w:sz="6" w:space="0"/>
              <w:left w:val="single" w:color="auto" w:sz="6" w:space="0"/>
              <w:bottom w:val="single" w:color="auto" w:sz="6" w:space="0"/>
              <w:right w:val="single" w:color="auto" w:sz="6" w:space="0"/>
            </w:tcBorders>
            <w:noWrap w:val="0"/>
            <w:vAlign w:val="center"/>
          </w:tcPr>
          <w:p w14:paraId="58119BFD">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6</w:t>
            </w:r>
          </w:p>
        </w:tc>
        <w:tc>
          <w:tcPr>
            <w:tcW w:w="546" w:type="dxa"/>
            <w:tcBorders>
              <w:top w:val="single" w:color="auto" w:sz="6" w:space="0"/>
              <w:left w:val="single" w:color="auto" w:sz="6" w:space="0"/>
              <w:bottom w:val="single" w:color="auto" w:sz="6" w:space="0"/>
              <w:right w:val="single" w:color="auto" w:sz="6" w:space="0"/>
            </w:tcBorders>
            <w:noWrap w:val="0"/>
            <w:vAlign w:val="center"/>
          </w:tcPr>
          <w:p w14:paraId="6D1DCA3E">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04" w:type="dxa"/>
            <w:tcBorders>
              <w:top w:val="single" w:color="auto" w:sz="6" w:space="0"/>
              <w:left w:val="single" w:color="auto" w:sz="6" w:space="0"/>
              <w:bottom w:val="single" w:color="auto" w:sz="6" w:space="0"/>
              <w:right w:val="single" w:color="auto" w:sz="6" w:space="0"/>
            </w:tcBorders>
            <w:noWrap w:val="0"/>
            <w:vAlign w:val="center"/>
          </w:tcPr>
          <w:p w14:paraId="40874243">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151F7CB9">
        <w:tblPrEx>
          <w:tblCellMar>
            <w:top w:w="0" w:type="dxa"/>
            <w:left w:w="30" w:type="dxa"/>
            <w:bottom w:w="0" w:type="dxa"/>
            <w:right w:w="30" w:type="dxa"/>
          </w:tblCellMar>
        </w:tblPrEx>
        <w:trPr>
          <w:trHeight w:val="0" w:hRule="atLeast"/>
          <w:jc w:val="center"/>
        </w:trPr>
        <w:tc>
          <w:tcPr>
            <w:tcW w:w="330" w:type="dxa"/>
            <w:tcBorders>
              <w:top w:val="single" w:color="auto" w:sz="6" w:space="0"/>
              <w:left w:val="single" w:color="auto" w:sz="6" w:space="0"/>
              <w:bottom w:val="single" w:color="auto" w:sz="4" w:space="0"/>
              <w:right w:val="single" w:color="auto" w:sz="6" w:space="0"/>
            </w:tcBorders>
            <w:noWrap w:val="0"/>
            <w:vAlign w:val="center"/>
          </w:tcPr>
          <w:p w14:paraId="2A4ED842">
            <w:pPr>
              <w:snapToGrid w:val="0"/>
              <w:spacing w:line="240" w:lineRule="auto"/>
              <w:ind w:left="0" w:leftChars="0" w:right="0" w:rightChars="0" w:firstLine="0" w:firstLineChars="0"/>
              <w:jc w:val="center"/>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9</w:t>
            </w:r>
          </w:p>
        </w:tc>
        <w:tc>
          <w:tcPr>
            <w:tcW w:w="2341" w:type="dxa"/>
            <w:gridSpan w:val="2"/>
            <w:tcBorders>
              <w:top w:val="single" w:color="auto" w:sz="6" w:space="0"/>
              <w:left w:val="single" w:color="auto" w:sz="6" w:space="0"/>
              <w:bottom w:val="single" w:color="auto" w:sz="4" w:space="0"/>
              <w:right w:val="single" w:color="auto" w:sz="6" w:space="0"/>
            </w:tcBorders>
            <w:noWrap w:val="0"/>
            <w:vAlign w:val="center"/>
          </w:tcPr>
          <w:p w14:paraId="6CE5617A">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排水沟；排污井；明、暗沟部、楼顶排水设施</w:t>
            </w:r>
          </w:p>
        </w:tc>
        <w:tc>
          <w:tcPr>
            <w:tcW w:w="3056" w:type="dxa"/>
            <w:tcBorders>
              <w:top w:val="single" w:color="auto" w:sz="6" w:space="0"/>
              <w:left w:val="single" w:color="auto" w:sz="6" w:space="0"/>
              <w:bottom w:val="single" w:color="auto" w:sz="4" w:space="0"/>
              <w:right w:val="single" w:color="auto" w:sz="6" w:space="0"/>
            </w:tcBorders>
            <w:noWrap w:val="0"/>
            <w:vAlign w:val="center"/>
          </w:tcPr>
          <w:p w14:paraId="53337AF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每周检查清洁</w:t>
            </w:r>
            <w:r>
              <w:rPr>
                <w:rFonts w:ascii="宋体" w:hAnsi="宋体" w:eastAsia="宋体" w:cs="Times New Roman"/>
                <w:color w:val="auto"/>
                <w:szCs w:val="21"/>
              </w:rPr>
              <w:t>1</w:t>
            </w:r>
            <w:r>
              <w:rPr>
                <w:rFonts w:hint="eastAsia" w:ascii="宋体" w:hAnsi="宋体" w:eastAsia="宋体" w:cs="Times New Roman"/>
                <w:color w:val="auto"/>
                <w:szCs w:val="21"/>
              </w:rPr>
              <w:t>次。</w:t>
            </w:r>
          </w:p>
        </w:tc>
        <w:tc>
          <w:tcPr>
            <w:tcW w:w="3088" w:type="dxa"/>
            <w:tcBorders>
              <w:top w:val="single" w:color="auto" w:sz="6" w:space="0"/>
              <w:left w:val="single" w:color="auto" w:sz="6" w:space="0"/>
              <w:bottom w:val="single" w:color="auto" w:sz="4" w:space="0"/>
              <w:right w:val="single" w:color="auto" w:sz="6" w:space="0"/>
            </w:tcBorders>
            <w:noWrap w:val="0"/>
            <w:vAlign w:val="center"/>
          </w:tcPr>
          <w:p w14:paraId="51F4E61D">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无堵塞、无污水外溢。发现工作人员将垃圾或杂物投入排水设施的，每次扣3分。</w:t>
            </w:r>
          </w:p>
        </w:tc>
        <w:tc>
          <w:tcPr>
            <w:tcW w:w="538" w:type="dxa"/>
            <w:tcBorders>
              <w:top w:val="single" w:color="auto" w:sz="6" w:space="0"/>
              <w:left w:val="single" w:color="auto" w:sz="6" w:space="0"/>
              <w:bottom w:val="single" w:color="auto" w:sz="4" w:space="0"/>
              <w:right w:val="single" w:color="auto" w:sz="6" w:space="0"/>
            </w:tcBorders>
            <w:noWrap w:val="0"/>
            <w:vAlign w:val="center"/>
          </w:tcPr>
          <w:p w14:paraId="0B228DEA">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6</w:t>
            </w:r>
          </w:p>
        </w:tc>
        <w:tc>
          <w:tcPr>
            <w:tcW w:w="546" w:type="dxa"/>
            <w:tcBorders>
              <w:top w:val="single" w:color="auto" w:sz="6" w:space="0"/>
              <w:left w:val="single" w:color="auto" w:sz="6" w:space="0"/>
              <w:bottom w:val="single" w:color="auto" w:sz="4" w:space="0"/>
              <w:right w:val="single" w:color="auto" w:sz="6" w:space="0"/>
            </w:tcBorders>
            <w:noWrap w:val="0"/>
            <w:vAlign w:val="center"/>
          </w:tcPr>
          <w:p w14:paraId="23E9470B">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04" w:type="dxa"/>
            <w:tcBorders>
              <w:top w:val="single" w:color="auto" w:sz="6" w:space="0"/>
              <w:left w:val="single" w:color="auto" w:sz="6" w:space="0"/>
              <w:bottom w:val="single" w:color="auto" w:sz="4" w:space="0"/>
              <w:right w:val="single" w:color="auto" w:sz="6" w:space="0"/>
            </w:tcBorders>
            <w:noWrap w:val="0"/>
            <w:vAlign w:val="center"/>
          </w:tcPr>
          <w:p w14:paraId="0A50E069">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3A3D89F9">
        <w:tblPrEx>
          <w:tblCellMar>
            <w:top w:w="0" w:type="dxa"/>
            <w:left w:w="30" w:type="dxa"/>
            <w:bottom w:w="0" w:type="dxa"/>
            <w:right w:w="30" w:type="dxa"/>
          </w:tblCellMar>
        </w:tblPrEx>
        <w:trPr>
          <w:trHeight w:val="0" w:hRule="atLeast"/>
          <w:jc w:val="center"/>
        </w:trPr>
        <w:tc>
          <w:tcPr>
            <w:tcW w:w="330" w:type="dxa"/>
            <w:vMerge w:val="restart"/>
            <w:tcBorders>
              <w:top w:val="single" w:color="auto" w:sz="4" w:space="0"/>
              <w:left w:val="single" w:color="auto" w:sz="4" w:space="0"/>
              <w:right w:val="single" w:color="auto" w:sz="4" w:space="0"/>
            </w:tcBorders>
            <w:noWrap w:val="0"/>
            <w:vAlign w:val="center"/>
          </w:tcPr>
          <w:p w14:paraId="7CE0698E">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10</w:t>
            </w:r>
          </w:p>
        </w:tc>
        <w:tc>
          <w:tcPr>
            <w:tcW w:w="2341" w:type="dxa"/>
            <w:gridSpan w:val="2"/>
            <w:tcBorders>
              <w:top w:val="single" w:color="auto" w:sz="4" w:space="0"/>
              <w:left w:val="single" w:color="auto" w:sz="4" w:space="0"/>
              <w:bottom w:val="single" w:color="auto" w:sz="4" w:space="0"/>
              <w:right w:val="single" w:color="auto" w:sz="4" w:space="0"/>
            </w:tcBorders>
            <w:noWrap w:val="0"/>
            <w:vAlign w:val="center"/>
          </w:tcPr>
          <w:p w14:paraId="0EAE541E">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垃圾桶</w:t>
            </w:r>
          </w:p>
        </w:tc>
        <w:tc>
          <w:tcPr>
            <w:tcW w:w="3056" w:type="dxa"/>
            <w:tcBorders>
              <w:top w:val="single" w:color="auto" w:sz="4" w:space="0"/>
              <w:left w:val="single" w:color="auto" w:sz="4" w:space="0"/>
              <w:bottom w:val="single" w:color="auto" w:sz="4" w:space="0"/>
              <w:right w:val="single" w:color="auto" w:sz="4" w:space="0"/>
            </w:tcBorders>
            <w:noWrap w:val="0"/>
            <w:vAlign w:val="center"/>
          </w:tcPr>
          <w:p w14:paraId="155721F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每天巡查</w:t>
            </w:r>
            <w:r>
              <w:rPr>
                <w:rFonts w:ascii="宋体" w:hAnsi="宋体" w:eastAsia="宋体" w:cs="Times New Roman"/>
                <w:color w:val="auto"/>
                <w:szCs w:val="21"/>
              </w:rPr>
              <w:t>1</w:t>
            </w:r>
            <w:r>
              <w:rPr>
                <w:rFonts w:hint="eastAsia" w:ascii="宋体" w:hAnsi="宋体" w:eastAsia="宋体" w:cs="Times New Roman"/>
                <w:color w:val="auto"/>
                <w:szCs w:val="21"/>
              </w:rPr>
              <w:t>次，将外溢垃圾清理进垃圾房或桶内。</w:t>
            </w:r>
          </w:p>
        </w:tc>
        <w:tc>
          <w:tcPr>
            <w:tcW w:w="3088" w:type="dxa"/>
            <w:tcBorders>
              <w:top w:val="single" w:color="auto" w:sz="4" w:space="0"/>
              <w:left w:val="single" w:color="auto" w:sz="4" w:space="0"/>
              <w:bottom w:val="single" w:color="auto" w:sz="4" w:space="0"/>
              <w:right w:val="single" w:color="auto" w:sz="4" w:space="0"/>
            </w:tcBorders>
            <w:noWrap w:val="0"/>
            <w:vAlign w:val="center"/>
          </w:tcPr>
          <w:p w14:paraId="2E10F0D5">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无垃圾外溢现象，外墙、门面无污迹。垃圾桶外表干净。不清洁一次扣1分。</w:t>
            </w:r>
          </w:p>
        </w:tc>
        <w:tc>
          <w:tcPr>
            <w:tcW w:w="538" w:type="dxa"/>
            <w:tcBorders>
              <w:top w:val="single" w:color="auto" w:sz="4" w:space="0"/>
              <w:left w:val="single" w:color="auto" w:sz="4" w:space="0"/>
              <w:bottom w:val="single" w:color="auto" w:sz="4" w:space="0"/>
              <w:right w:val="single" w:color="auto" w:sz="4" w:space="0"/>
            </w:tcBorders>
            <w:noWrap w:val="0"/>
            <w:vAlign w:val="center"/>
          </w:tcPr>
          <w:p w14:paraId="57942A2C">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546" w:type="dxa"/>
            <w:tcBorders>
              <w:top w:val="single" w:color="auto" w:sz="4" w:space="0"/>
              <w:left w:val="single" w:color="auto" w:sz="4" w:space="0"/>
              <w:bottom w:val="single" w:color="auto" w:sz="4" w:space="0"/>
              <w:right w:val="single" w:color="auto" w:sz="4" w:space="0"/>
            </w:tcBorders>
            <w:noWrap w:val="0"/>
            <w:vAlign w:val="center"/>
          </w:tcPr>
          <w:p w14:paraId="06E31A85">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504" w:type="dxa"/>
            <w:tcBorders>
              <w:top w:val="single" w:color="auto" w:sz="4" w:space="0"/>
              <w:left w:val="single" w:color="auto" w:sz="4" w:space="0"/>
              <w:bottom w:val="single" w:color="auto" w:sz="4" w:space="0"/>
              <w:right w:val="single" w:color="auto" w:sz="4" w:space="0"/>
            </w:tcBorders>
            <w:noWrap w:val="0"/>
            <w:vAlign w:val="center"/>
          </w:tcPr>
          <w:p w14:paraId="353DFAC0">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398D20A2">
        <w:tblPrEx>
          <w:tblCellMar>
            <w:top w:w="0" w:type="dxa"/>
            <w:left w:w="30" w:type="dxa"/>
            <w:bottom w:w="0" w:type="dxa"/>
            <w:right w:w="30" w:type="dxa"/>
          </w:tblCellMar>
        </w:tblPrEx>
        <w:trPr>
          <w:trHeight w:val="0" w:hRule="atLeast"/>
          <w:jc w:val="center"/>
        </w:trPr>
        <w:tc>
          <w:tcPr>
            <w:tcW w:w="330" w:type="dxa"/>
            <w:vMerge w:val="continue"/>
            <w:tcBorders>
              <w:left w:val="single" w:color="auto" w:sz="4" w:space="0"/>
              <w:bottom w:val="single" w:color="auto" w:sz="4" w:space="0"/>
              <w:right w:val="single" w:color="auto" w:sz="4" w:space="0"/>
            </w:tcBorders>
            <w:noWrap w:val="0"/>
            <w:vAlign w:val="center"/>
          </w:tcPr>
          <w:p w14:paraId="38B4E15C">
            <w:pPr>
              <w:snapToGrid w:val="0"/>
              <w:spacing w:line="240" w:lineRule="auto"/>
              <w:ind w:left="0" w:leftChars="0" w:right="0" w:rightChars="0" w:firstLine="0" w:firstLineChars="0"/>
              <w:jc w:val="center"/>
              <w:rPr>
                <w:rFonts w:hint="eastAsia" w:ascii="宋体" w:hAnsi="宋体" w:eastAsia="宋体" w:cs="Times New Roman"/>
                <w:color w:val="auto"/>
                <w:szCs w:val="21"/>
                <w:lang w:val="en-US" w:eastAsia="zh-CN"/>
              </w:rPr>
            </w:pPr>
          </w:p>
        </w:tc>
        <w:tc>
          <w:tcPr>
            <w:tcW w:w="2341" w:type="dxa"/>
            <w:gridSpan w:val="2"/>
            <w:tcBorders>
              <w:top w:val="single" w:color="auto" w:sz="4" w:space="0"/>
              <w:left w:val="single" w:color="auto" w:sz="4" w:space="0"/>
              <w:bottom w:val="single" w:color="auto" w:sz="4" w:space="0"/>
              <w:right w:val="single" w:color="auto" w:sz="4" w:space="0"/>
            </w:tcBorders>
            <w:noWrap w:val="0"/>
            <w:vAlign w:val="center"/>
          </w:tcPr>
          <w:p w14:paraId="5EC8FA10">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果皮箱</w:t>
            </w:r>
          </w:p>
        </w:tc>
        <w:tc>
          <w:tcPr>
            <w:tcW w:w="3056" w:type="dxa"/>
            <w:tcBorders>
              <w:top w:val="single" w:color="auto" w:sz="4" w:space="0"/>
              <w:left w:val="single" w:color="auto" w:sz="4" w:space="0"/>
              <w:bottom w:val="single" w:color="auto" w:sz="4" w:space="0"/>
              <w:right w:val="single" w:color="auto" w:sz="4" w:space="0"/>
            </w:tcBorders>
            <w:noWrap w:val="0"/>
            <w:vAlign w:val="center"/>
          </w:tcPr>
          <w:p w14:paraId="41FF6FDF">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rPr>
              <w:t>每天巡查</w:t>
            </w:r>
            <w:r>
              <w:rPr>
                <w:rFonts w:ascii="宋体" w:hAnsi="宋体" w:eastAsia="宋体" w:cs="Times New Roman"/>
                <w:color w:val="auto"/>
                <w:szCs w:val="21"/>
              </w:rPr>
              <w:t>1</w:t>
            </w:r>
            <w:r>
              <w:rPr>
                <w:rFonts w:hint="eastAsia" w:ascii="宋体" w:hAnsi="宋体" w:eastAsia="宋体" w:cs="Times New Roman"/>
                <w:color w:val="auto"/>
                <w:szCs w:val="21"/>
              </w:rPr>
              <w:t>次，将外溢垃圾清理进</w:t>
            </w:r>
            <w:r>
              <w:rPr>
                <w:rFonts w:hint="eastAsia" w:ascii="宋体" w:hAnsi="宋体" w:eastAsia="宋体" w:cs="Times New Roman"/>
                <w:color w:val="auto"/>
                <w:szCs w:val="21"/>
                <w:lang w:val="en-US" w:eastAsia="zh-CN"/>
              </w:rPr>
              <w:t>果皮箱内。</w:t>
            </w:r>
          </w:p>
        </w:tc>
        <w:tc>
          <w:tcPr>
            <w:tcW w:w="3088" w:type="dxa"/>
            <w:tcBorders>
              <w:top w:val="single" w:color="auto" w:sz="4" w:space="0"/>
              <w:left w:val="single" w:color="auto" w:sz="4" w:space="0"/>
              <w:bottom w:val="single" w:color="auto" w:sz="4" w:space="0"/>
              <w:right w:val="single" w:color="auto" w:sz="4" w:space="0"/>
            </w:tcBorders>
            <w:noWrap w:val="0"/>
            <w:vAlign w:val="center"/>
          </w:tcPr>
          <w:p w14:paraId="65A6DE2A">
            <w:pPr>
              <w:snapToGrid w:val="0"/>
              <w:spacing w:line="240" w:lineRule="auto"/>
              <w:ind w:left="0" w:leftChars="0" w:right="0" w:rightChars="0" w:firstLine="0" w:firstLineChars="0"/>
              <w:jc w:val="left"/>
              <w:rPr>
                <w:rFonts w:hint="eastAsia" w:ascii="宋体" w:hAnsi="宋体" w:eastAsia="宋体" w:cs="Times New Roman"/>
                <w:color w:val="auto"/>
                <w:szCs w:val="21"/>
                <w:lang w:val="en-US" w:eastAsia="zh-CN"/>
              </w:rPr>
            </w:pPr>
            <w:r>
              <w:rPr>
                <w:rFonts w:hint="eastAsia" w:ascii="宋体" w:hAnsi="宋体" w:eastAsia="宋体" w:cs="Times New Roman"/>
                <w:color w:val="auto"/>
                <w:szCs w:val="21"/>
              </w:rPr>
              <w:t>无垃圾外溢现象，外墙、门面无污迹。垃圾桶外表干净。不清洁一次扣1分。</w:t>
            </w:r>
          </w:p>
        </w:tc>
        <w:tc>
          <w:tcPr>
            <w:tcW w:w="538" w:type="dxa"/>
            <w:tcBorders>
              <w:top w:val="single" w:color="auto" w:sz="4" w:space="0"/>
              <w:left w:val="single" w:color="auto" w:sz="4" w:space="0"/>
              <w:bottom w:val="single" w:color="auto" w:sz="4" w:space="0"/>
              <w:right w:val="single" w:color="auto" w:sz="4" w:space="0"/>
            </w:tcBorders>
            <w:noWrap w:val="0"/>
            <w:vAlign w:val="center"/>
          </w:tcPr>
          <w:p w14:paraId="7513DDA7">
            <w:pPr>
              <w:snapToGrid w:val="0"/>
              <w:spacing w:line="240" w:lineRule="auto"/>
              <w:ind w:left="0" w:leftChars="0" w:right="0" w:rightChars="0" w:firstLine="0" w:firstLineChars="0"/>
              <w:jc w:val="righ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6</w:t>
            </w:r>
          </w:p>
        </w:tc>
        <w:tc>
          <w:tcPr>
            <w:tcW w:w="546" w:type="dxa"/>
            <w:tcBorders>
              <w:top w:val="single" w:color="auto" w:sz="4" w:space="0"/>
              <w:left w:val="single" w:color="auto" w:sz="4" w:space="0"/>
              <w:bottom w:val="single" w:color="auto" w:sz="4" w:space="0"/>
              <w:right w:val="single" w:color="auto" w:sz="4" w:space="0"/>
            </w:tcBorders>
            <w:noWrap w:val="0"/>
            <w:vAlign w:val="center"/>
          </w:tcPr>
          <w:p w14:paraId="7E19C45D">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504" w:type="dxa"/>
            <w:tcBorders>
              <w:top w:val="single" w:color="auto" w:sz="4" w:space="0"/>
              <w:left w:val="single" w:color="auto" w:sz="4" w:space="0"/>
              <w:bottom w:val="single" w:color="auto" w:sz="4" w:space="0"/>
              <w:right w:val="single" w:color="auto" w:sz="4" w:space="0"/>
            </w:tcBorders>
            <w:noWrap w:val="0"/>
            <w:vAlign w:val="center"/>
          </w:tcPr>
          <w:p w14:paraId="34949DC9">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19CEA1AA">
        <w:tblPrEx>
          <w:tblCellMar>
            <w:top w:w="0" w:type="dxa"/>
            <w:left w:w="30" w:type="dxa"/>
            <w:bottom w:w="0" w:type="dxa"/>
            <w:right w:w="30" w:type="dxa"/>
          </w:tblCellMar>
        </w:tblPrEx>
        <w:trPr>
          <w:trHeight w:val="0" w:hRule="atLeast"/>
          <w:jc w:val="center"/>
        </w:trPr>
        <w:tc>
          <w:tcPr>
            <w:tcW w:w="330" w:type="dxa"/>
            <w:vMerge w:val="restart"/>
            <w:tcBorders>
              <w:top w:val="single" w:color="auto" w:sz="4" w:space="0"/>
              <w:left w:val="single" w:color="auto" w:sz="4" w:space="0"/>
              <w:bottom w:val="single" w:color="auto" w:sz="4" w:space="0"/>
              <w:right w:val="single" w:color="auto" w:sz="4" w:space="0"/>
            </w:tcBorders>
            <w:noWrap w:val="0"/>
            <w:vAlign w:val="center"/>
          </w:tcPr>
          <w:p w14:paraId="51203081">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11</w:t>
            </w:r>
          </w:p>
        </w:tc>
        <w:tc>
          <w:tcPr>
            <w:tcW w:w="2341" w:type="dxa"/>
            <w:gridSpan w:val="2"/>
            <w:tcBorders>
              <w:top w:val="single" w:color="auto" w:sz="4" w:space="0"/>
              <w:left w:val="single" w:color="auto" w:sz="4" w:space="0"/>
              <w:bottom w:val="single" w:color="auto" w:sz="4" w:space="0"/>
              <w:right w:val="single" w:color="auto" w:sz="4" w:space="0"/>
            </w:tcBorders>
            <w:noWrap w:val="0"/>
            <w:vAlign w:val="center"/>
          </w:tcPr>
          <w:p w14:paraId="6C3E18E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lang w:val="en-US" w:eastAsia="zh-CN"/>
              </w:rPr>
              <w:t>屋面</w:t>
            </w:r>
            <w:r>
              <w:rPr>
                <w:rFonts w:hint="eastAsia" w:ascii="宋体" w:hAnsi="宋体" w:eastAsia="宋体" w:cs="Times New Roman"/>
                <w:color w:val="auto"/>
                <w:szCs w:val="21"/>
              </w:rPr>
              <w:t>卫生保洁</w:t>
            </w:r>
          </w:p>
        </w:tc>
        <w:tc>
          <w:tcPr>
            <w:tcW w:w="3056" w:type="dxa"/>
            <w:tcBorders>
              <w:top w:val="single" w:color="auto" w:sz="4" w:space="0"/>
              <w:left w:val="single" w:color="auto" w:sz="4" w:space="0"/>
              <w:bottom w:val="single" w:color="auto" w:sz="4" w:space="0"/>
              <w:right w:val="single" w:color="auto" w:sz="4" w:space="0"/>
            </w:tcBorders>
            <w:noWrap w:val="0"/>
            <w:vAlign w:val="center"/>
          </w:tcPr>
          <w:p w14:paraId="1EAC61A8">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每月进行</w:t>
            </w:r>
            <w:r>
              <w:rPr>
                <w:rFonts w:ascii="宋体" w:hAnsi="宋体" w:eastAsia="宋体" w:cs="Times New Roman"/>
                <w:color w:val="auto"/>
                <w:szCs w:val="21"/>
              </w:rPr>
              <w:t>1</w:t>
            </w:r>
            <w:r>
              <w:rPr>
                <w:rFonts w:hint="eastAsia" w:ascii="宋体" w:hAnsi="宋体" w:eastAsia="宋体" w:cs="Times New Roman"/>
                <w:color w:val="auto"/>
                <w:szCs w:val="21"/>
              </w:rPr>
              <w:t>次清扫保洁。</w:t>
            </w:r>
          </w:p>
        </w:tc>
        <w:tc>
          <w:tcPr>
            <w:tcW w:w="3088" w:type="dxa"/>
            <w:tcBorders>
              <w:top w:val="single" w:color="auto" w:sz="4" w:space="0"/>
              <w:left w:val="single" w:color="auto" w:sz="4" w:space="0"/>
              <w:bottom w:val="single" w:color="auto" w:sz="4" w:space="0"/>
              <w:right w:val="single" w:color="auto" w:sz="4" w:space="0"/>
            </w:tcBorders>
            <w:noWrap w:val="0"/>
            <w:vAlign w:val="center"/>
          </w:tcPr>
          <w:p w14:paraId="0FDB710E">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楼顶无垃圾、无落叶。发现楼顶有垃圾堆积或大量落叶，一次扣1分。</w:t>
            </w:r>
          </w:p>
        </w:tc>
        <w:tc>
          <w:tcPr>
            <w:tcW w:w="538" w:type="dxa"/>
            <w:tcBorders>
              <w:top w:val="single" w:color="auto" w:sz="4" w:space="0"/>
              <w:left w:val="single" w:color="auto" w:sz="4" w:space="0"/>
              <w:bottom w:val="single" w:color="auto" w:sz="4" w:space="0"/>
              <w:right w:val="single" w:color="auto" w:sz="4" w:space="0"/>
            </w:tcBorders>
            <w:noWrap w:val="0"/>
            <w:vAlign w:val="center"/>
          </w:tcPr>
          <w:p w14:paraId="13DB0E3D">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5</w:t>
            </w:r>
          </w:p>
        </w:tc>
        <w:tc>
          <w:tcPr>
            <w:tcW w:w="546" w:type="dxa"/>
            <w:tcBorders>
              <w:top w:val="single" w:color="auto" w:sz="4" w:space="0"/>
              <w:left w:val="single" w:color="auto" w:sz="4" w:space="0"/>
              <w:bottom w:val="single" w:color="auto" w:sz="4" w:space="0"/>
              <w:right w:val="single" w:color="auto" w:sz="4" w:space="0"/>
            </w:tcBorders>
            <w:noWrap w:val="0"/>
            <w:vAlign w:val="center"/>
          </w:tcPr>
          <w:p w14:paraId="39B8BF94">
            <w:pPr>
              <w:snapToGrid w:val="0"/>
              <w:spacing w:line="240" w:lineRule="auto"/>
              <w:ind w:left="0" w:leftChars="0" w:right="0" w:rightChars="0" w:firstLine="0" w:firstLineChars="0"/>
              <w:jc w:val="center"/>
              <w:rPr>
                <w:rFonts w:hint="eastAsia" w:ascii="宋体" w:hAnsi="宋体" w:eastAsia="宋体" w:cs="Times New Roman"/>
                <w:color w:val="auto"/>
                <w:szCs w:val="21"/>
                <w:lang w:val="en-US" w:eastAsia="zh-CN"/>
              </w:rPr>
            </w:pPr>
          </w:p>
        </w:tc>
        <w:tc>
          <w:tcPr>
            <w:tcW w:w="504" w:type="dxa"/>
            <w:tcBorders>
              <w:top w:val="single" w:color="auto" w:sz="4" w:space="0"/>
              <w:left w:val="single" w:color="auto" w:sz="4" w:space="0"/>
              <w:bottom w:val="single" w:color="auto" w:sz="4" w:space="0"/>
              <w:right w:val="single" w:color="auto" w:sz="4" w:space="0"/>
            </w:tcBorders>
            <w:noWrap w:val="0"/>
            <w:vAlign w:val="center"/>
          </w:tcPr>
          <w:p w14:paraId="61680398">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4D63043">
        <w:tblPrEx>
          <w:tblCellMar>
            <w:top w:w="0" w:type="dxa"/>
            <w:left w:w="30" w:type="dxa"/>
            <w:bottom w:w="0" w:type="dxa"/>
            <w:right w:w="30" w:type="dxa"/>
          </w:tblCellMar>
        </w:tblPrEx>
        <w:trPr>
          <w:trHeight w:val="0" w:hRule="atLeast"/>
          <w:jc w:val="center"/>
        </w:trPr>
        <w:tc>
          <w:tcPr>
            <w:tcW w:w="330" w:type="dxa"/>
            <w:vMerge w:val="continue"/>
            <w:tcBorders>
              <w:top w:val="single" w:color="auto" w:sz="4" w:space="0"/>
              <w:left w:val="single" w:color="auto" w:sz="4" w:space="0"/>
              <w:bottom w:val="single" w:color="auto" w:sz="4" w:space="0"/>
              <w:right w:val="single" w:color="auto" w:sz="4" w:space="0"/>
            </w:tcBorders>
            <w:noWrap w:val="0"/>
            <w:vAlign w:val="center"/>
          </w:tcPr>
          <w:p w14:paraId="41E4B8F9">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2341" w:type="dxa"/>
            <w:gridSpan w:val="2"/>
            <w:tcBorders>
              <w:top w:val="single" w:color="auto" w:sz="4" w:space="0"/>
              <w:left w:val="single" w:color="auto" w:sz="4" w:space="0"/>
              <w:bottom w:val="single" w:color="auto" w:sz="4" w:space="0"/>
              <w:right w:val="single" w:color="auto" w:sz="4" w:space="0"/>
            </w:tcBorders>
            <w:noWrap w:val="0"/>
            <w:vAlign w:val="center"/>
          </w:tcPr>
          <w:p w14:paraId="1F4A433A">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lang w:val="en-US" w:eastAsia="zh-CN"/>
              </w:rPr>
              <w:t>屋面</w:t>
            </w:r>
            <w:r>
              <w:rPr>
                <w:rFonts w:hint="eastAsia" w:ascii="宋体" w:hAnsi="宋体" w:eastAsia="宋体" w:cs="Times New Roman"/>
                <w:color w:val="auto"/>
                <w:szCs w:val="21"/>
              </w:rPr>
              <w:t>钥匙管理</w:t>
            </w:r>
          </w:p>
        </w:tc>
        <w:tc>
          <w:tcPr>
            <w:tcW w:w="3056" w:type="dxa"/>
            <w:tcBorders>
              <w:top w:val="single" w:color="auto" w:sz="4" w:space="0"/>
              <w:left w:val="single" w:color="auto" w:sz="4" w:space="0"/>
              <w:bottom w:val="single" w:color="auto" w:sz="4" w:space="0"/>
              <w:right w:val="single" w:color="auto" w:sz="4" w:space="0"/>
            </w:tcBorders>
            <w:noWrap w:val="0"/>
            <w:vAlign w:val="center"/>
          </w:tcPr>
          <w:p w14:paraId="1AACCEF5">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负责借出和收回。</w:t>
            </w:r>
          </w:p>
        </w:tc>
        <w:tc>
          <w:tcPr>
            <w:tcW w:w="3088" w:type="dxa"/>
            <w:tcBorders>
              <w:top w:val="single" w:color="auto" w:sz="4" w:space="0"/>
              <w:left w:val="single" w:color="auto" w:sz="4" w:space="0"/>
              <w:bottom w:val="single" w:color="auto" w:sz="4" w:space="0"/>
              <w:right w:val="single" w:color="auto" w:sz="4" w:space="0"/>
            </w:tcBorders>
            <w:noWrap w:val="0"/>
            <w:vAlign w:val="center"/>
          </w:tcPr>
          <w:p w14:paraId="4B686B65">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钥匙保管责任落实到人，能随叫随到。丢失钥匙或打不开门锁一次扣1分。</w:t>
            </w:r>
          </w:p>
        </w:tc>
        <w:tc>
          <w:tcPr>
            <w:tcW w:w="538" w:type="dxa"/>
            <w:tcBorders>
              <w:top w:val="single" w:color="auto" w:sz="4" w:space="0"/>
              <w:left w:val="single" w:color="auto" w:sz="4" w:space="0"/>
              <w:bottom w:val="single" w:color="auto" w:sz="4" w:space="0"/>
              <w:right w:val="single" w:color="auto" w:sz="4" w:space="0"/>
            </w:tcBorders>
            <w:noWrap w:val="0"/>
            <w:vAlign w:val="center"/>
          </w:tcPr>
          <w:p w14:paraId="4D5894AC">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5</w:t>
            </w:r>
          </w:p>
        </w:tc>
        <w:tc>
          <w:tcPr>
            <w:tcW w:w="546" w:type="dxa"/>
            <w:tcBorders>
              <w:top w:val="single" w:color="auto" w:sz="4" w:space="0"/>
              <w:left w:val="single" w:color="auto" w:sz="4" w:space="0"/>
              <w:bottom w:val="single" w:color="auto" w:sz="4" w:space="0"/>
              <w:right w:val="single" w:color="auto" w:sz="4" w:space="0"/>
            </w:tcBorders>
            <w:noWrap w:val="0"/>
            <w:vAlign w:val="center"/>
          </w:tcPr>
          <w:p w14:paraId="6D237749">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04" w:type="dxa"/>
            <w:tcBorders>
              <w:top w:val="single" w:color="auto" w:sz="4" w:space="0"/>
              <w:left w:val="single" w:color="auto" w:sz="4" w:space="0"/>
              <w:bottom w:val="single" w:color="auto" w:sz="4" w:space="0"/>
              <w:right w:val="single" w:color="auto" w:sz="4" w:space="0"/>
            </w:tcBorders>
            <w:noWrap w:val="0"/>
            <w:vAlign w:val="center"/>
          </w:tcPr>
          <w:p w14:paraId="6506E14E">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2C46E796">
        <w:tblPrEx>
          <w:tblCellMar>
            <w:top w:w="0" w:type="dxa"/>
            <w:left w:w="30" w:type="dxa"/>
            <w:bottom w:w="0" w:type="dxa"/>
            <w:right w:w="30" w:type="dxa"/>
          </w:tblCellMar>
        </w:tblPrEx>
        <w:trPr>
          <w:trHeight w:val="0" w:hRule="atLeast"/>
          <w:jc w:val="center"/>
        </w:trPr>
        <w:tc>
          <w:tcPr>
            <w:tcW w:w="330" w:type="dxa"/>
            <w:tcBorders>
              <w:top w:val="single" w:color="auto" w:sz="4" w:space="0"/>
              <w:left w:val="single" w:color="auto" w:sz="4" w:space="0"/>
              <w:bottom w:val="single" w:color="auto" w:sz="4" w:space="0"/>
              <w:right w:val="single" w:color="auto" w:sz="4" w:space="0"/>
            </w:tcBorders>
            <w:noWrap w:val="0"/>
            <w:vAlign w:val="center"/>
          </w:tcPr>
          <w:p w14:paraId="07A6DBFE">
            <w:pPr>
              <w:snapToGrid w:val="0"/>
              <w:spacing w:line="240" w:lineRule="auto"/>
              <w:ind w:left="0" w:leftChars="0" w:right="0" w:rightChars="0" w:firstLine="0" w:firstLineChars="0"/>
              <w:jc w:val="center"/>
              <w:rPr>
                <w:rFonts w:hint="default" w:ascii="宋体" w:hAnsi="宋体" w:eastAsia="宋体" w:cs="Times New Roman"/>
                <w:color w:val="auto"/>
                <w:kern w:val="2"/>
                <w:sz w:val="21"/>
                <w:szCs w:val="21"/>
                <w:lang w:val="en-US" w:eastAsia="zh-CN" w:bidi="ar-SA"/>
              </w:rPr>
            </w:pPr>
            <w:r>
              <w:rPr>
                <w:rFonts w:hint="eastAsia" w:ascii="宋体" w:hAnsi="宋体" w:eastAsia="宋体" w:cs="Times New Roman"/>
                <w:color w:val="auto"/>
                <w:szCs w:val="21"/>
                <w:lang w:val="en-US" w:eastAsia="zh-CN"/>
              </w:rPr>
              <w:t>12</w:t>
            </w:r>
          </w:p>
        </w:tc>
        <w:tc>
          <w:tcPr>
            <w:tcW w:w="2341" w:type="dxa"/>
            <w:gridSpan w:val="2"/>
            <w:tcBorders>
              <w:top w:val="single" w:color="auto" w:sz="4" w:space="0"/>
              <w:left w:val="single" w:color="auto" w:sz="4" w:space="0"/>
              <w:bottom w:val="single" w:color="auto" w:sz="4" w:space="0"/>
              <w:right w:val="single" w:color="auto" w:sz="4" w:space="0"/>
            </w:tcBorders>
            <w:noWrap w:val="0"/>
            <w:vAlign w:val="center"/>
          </w:tcPr>
          <w:p w14:paraId="74D140EB">
            <w:pPr>
              <w:snapToGrid w:val="0"/>
              <w:spacing w:line="240" w:lineRule="auto"/>
              <w:ind w:left="0" w:leftChars="0" w:right="0" w:rightChars="0" w:firstLine="0" w:firstLineChars="0"/>
              <w:jc w:val="left"/>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szCs w:val="21"/>
              </w:rPr>
              <w:t>宣传栏</w:t>
            </w:r>
          </w:p>
        </w:tc>
        <w:tc>
          <w:tcPr>
            <w:tcW w:w="3056" w:type="dxa"/>
            <w:tcBorders>
              <w:top w:val="single" w:color="auto" w:sz="4" w:space="0"/>
              <w:left w:val="single" w:color="auto" w:sz="4" w:space="0"/>
              <w:bottom w:val="single" w:color="auto" w:sz="4" w:space="0"/>
              <w:right w:val="single" w:color="auto" w:sz="4" w:space="0"/>
            </w:tcBorders>
            <w:noWrap w:val="0"/>
            <w:vAlign w:val="center"/>
          </w:tcPr>
          <w:p w14:paraId="4DBEE312">
            <w:pPr>
              <w:snapToGrid w:val="0"/>
              <w:spacing w:line="240" w:lineRule="auto"/>
              <w:ind w:left="0" w:leftChars="0" w:right="0" w:rightChars="0" w:firstLine="0" w:firstLineChars="0"/>
              <w:jc w:val="left"/>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szCs w:val="21"/>
              </w:rPr>
              <w:t>每天清擦</w:t>
            </w:r>
            <w:r>
              <w:rPr>
                <w:rFonts w:ascii="宋体" w:hAnsi="宋体" w:eastAsia="宋体" w:cs="Times New Roman"/>
                <w:color w:val="auto"/>
                <w:szCs w:val="21"/>
              </w:rPr>
              <w:t>1</w:t>
            </w:r>
            <w:r>
              <w:rPr>
                <w:rFonts w:hint="eastAsia" w:ascii="宋体" w:hAnsi="宋体" w:eastAsia="宋体" w:cs="Times New Roman"/>
                <w:color w:val="auto"/>
                <w:szCs w:val="21"/>
              </w:rPr>
              <w:t>次。</w:t>
            </w:r>
          </w:p>
        </w:tc>
        <w:tc>
          <w:tcPr>
            <w:tcW w:w="3088" w:type="dxa"/>
            <w:tcBorders>
              <w:top w:val="single" w:color="auto" w:sz="4" w:space="0"/>
              <w:left w:val="single" w:color="auto" w:sz="4" w:space="0"/>
              <w:bottom w:val="single" w:color="auto" w:sz="4" w:space="0"/>
              <w:right w:val="single" w:color="auto" w:sz="4" w:space="0"/>
            </w:tcBorders>
            <w:noWrap w:val="0"/>
            <w:vAlign w:val="center"/>
          </w:tcPr>
          <w:p w14:paraId="31764418">
            <w:pPr>
              <w:snapToGrid w:val="0"/>
              <w:spacing w:line="240" w:lineRule="auto"/>
              <w:ind w:left="0" w:leftChars="0" w:right="0" w:rightChars="0" w:firstLine="0" w:firstLineChars="0"/>
              <w:jc w:val="left"/>
              <w:rPr>
                <w:rFonts w:ascii="宋体" w:hAnsi="宋体" w:eastAsia="宋体" w:cs="Times New Roman"/>
                <w:color w:val="auto"/>
                <w:kern w:val="2"/>
                <w:sz w:val="21"/>
                <w:szCs w:val="21"/>
                <w:lang w:val="en-US" w:eastAsia="zh-CN" w:bidi="ar-SA"/>
              </w:rPr>
            </w:pPr>
            <w:r>
              <w:rPr>
                <w:rFonts w:hint="eastAsia" w:ascii="宋体" w:hAnsi="宋体" w:eastAsia="宋体" w:cs="Times New Roman"/>
                <w:color w:val="auto"/>
                <w:szCs w:val="21"/>
              </w:rPr>
              <w:t>无灰尘、无污迹。</w:t>
            </w:r>
          </w:p>
        </w:tc>
        <w:tc>
          <w:tcPr>
            <w:tcW w:w="538" w:type="dxa"/>
            <w:tcBorders>
              <w:top w:val="single" w:color="auto" w:sz="4" w:space="0"/>
              <w:left w:val="single" w:color="auto" w:sz="4" w:space="0"/>
              <w:bottom w:val="single" w:color="auto" w:sz="4" w:space="0"/>
              <w:right w:val="single" w:color="auto" w:sz="4" w:space="0"/>
            </w:tcBorders>
            <w:noWrap w:val="0"/>
            <w:vAlign w:val="center"/>
          </w:tcPr>
          <w:p w14:paraId="4231CC53">
            <w:pPr>
              <w:snapToGrid w:val="0"/>
              <w:spacing w:line="240" w:lineRule="auto"/>
              <w:ind w:left="0" w:leftChars="0" w:right="0" w:rightChars="0" w:firstLine="0" w:firstLineChars="0"/>
              <w:jc w:val="righ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szCs w:val="21"/>
                <w:lang w:val="en-US" w:eastAsia="zh-CN"/>
              </w:rPr>
              <w:t>5</w:t>
            </w:r>
          </w:p>
        </w:tc>
        <w:tc>
          <w:tcPr>
            <w:tcW w:w="546" w:type="dxa"/>
            <w:tcBorders>
              <w:top w:val="single" w:color="auto" w:sz="4" w:space="0"/>
              <w:left w:val="single" w:color="auto" w:sz="4" w:space="0"/>
              <w:bottom w:val="single" w:color="auto" w:sz="4" w:space="0"/>
              <w:right w:val="single" w:color="auto" w:sz="4" w:space="0"/>
            </w:tcBorders>
            <w:noWrap w:val="0"/>
            <w:vAlign w:val="center"/>
          </w:tcPr>
          <w:p w14:paraId="455BC816">
            <w:pPr>
              <w:snapToGrid w:val="0"/>
              <w:spacing w:line="240" w:lineRule="auto"/>
              <w:ind w:left="0" w:leftChars="0" w:right="0" w:rightChars="0" w:firstLine="0" w:firstLineChars="0"/>
              <w:jc w:val="center"/>
              <w:rPr>
                <w:rFonts w:hint="default" w:ascii="宋体" w:hAnsi="宋体" w:eastAsia="宋体" w:cs="Times New Roman"/>
                <w:color w:val="auto"/>
                <w:kern w:val="2"/>
                <w:sz w:val="21"/>
                <w:szCs w:val="21"/>
                <w:lang w:val="en-US" w:eastAsia="zh-CN" w:bidi="ar-SA"/>
              </w:rPr>
            </w:pPr>
          </w:p>
        </w:tc>
        <w:tc>
          <w:tcPr>
            <w:tcW w:w="504" w:type="dxa"/>
            <w:tcBorders>
              <w:top w:val="single" w:color="auto" w:sz="4" w:space="0"/>
              <w:left w:val="single" w:color="auto" w:sz="4" w:space="0"/>
              <w:bottom w:val="single" w:color="auto" w:sz="4" w:space="0"/>
              <w:right w:val="single" w:color="auto" w:sz="4" w:space="0"/>
            </w:tcBorders>
            <w:noWrap w:val="0"/>
            <w:vAlign w:val="center"/>
          </w:tcPr>
          <w:p w14:paraId="7643165A">
            <w:pPr>
              <w:snapToGrid w:val="0"/>
              <w:spacing w:line="240" w:lineRule="auto"/>
              <w:ind w:left="0" w:leftChars="0" w:right="0" w:rightChars="0" w:firstLine="0" w:firstLineChars="0"/>
              <w:jc w:val="center"/>
              <w:rPr>
                <w:rFonts w:ascii="宋体" w:hAnsi="宋体" w:eastAsia="宋体" w:cs="Times New Roman"/>
                <w:color w:val="auto"/>
                <w:kern w:val="2"/>
                <w:sz w:val="21"/>
                <w:szCs w:val="21"/>
                <w:lang w:val="en-US" w:eastAsia="zh-CN" w:bidi="ar-SA"/>
              </w:rPr>
            </w:pPr>
          </w:p>
        </w:tc>
      </w:tr>
      <w:tr w14:paraId="71D9447C">
        <w:tblPrEx>
          <w:tblCellMar>
            <w:top w:w="0" w:type="dxa"/>
            <w:left w:w="30" w:type="dxa"/>
            <w:bottom w:w="0" w:type="dxa"/>
            <w:right w:w="30" w:type="dxa"/>
          </w:tblCellMar>
        </w:tblPrEx>
        <w:trPr>
          <w:trHeight w:val="0" w:hRule="atLeast"/>
          <w:jc w:val="center"/>
        </w:trPr>
        <w:tc>
          <w:tcPr>
            <w:tcW w:w="330" w:type="dxa"/>
            <w:tcBorders>
              <w:top w:val="single" w:color="auto" w:sz="4" w:space="0"/>
              <w:left w:val="single" w:color="auto" w:sz="4" w:space="0"/>
              <w:bottom w:val="single" w:color="auto" w:sz="4" w:space="0"/>
              <w:right w:val="single" w:color="auto" w:sz="4" w:space="0"/>
            </w:tcBorders>
            <w:noWrap w:val="0"/>
            <w:vAlign w:val="center"/>
          </w:tcPr>
          <w:p w14:paraId="0CA695E7">
            <w:pPr>
              <w:snapToGrid w:val="0"/>
              <w:spacing w:line="240" w:lineRule="auto"/>
              <w:ind w:left="0" w:leftChars="0" w:right="0" w:rightChars="0" w:firstLine="0" w:firstLineChars="0"/>
              <w:jc w:val="center"/>
              <w:rPr>
                <w:rFonts w:hint="default" w:ascii="宋体" w:hAnsi="宋体" w:eastAsia="宋体" w:cs="Times New Roman"/>
                <w:color w:val="auto"/>
                <w:kern w:val="2"/>
                <w:sz w:val="21"/>
                <w:szCs w:val="21"/>
                <w:lang w:val="en-US" w:eastAsia="zh-CN" w:bidi="ar-SA"/>
              </w:rPr>
            </w:pPr>
            <w:r>
              <w:rPr>
                <w:rFonts w:hint="eastAsia" w:ascii="宋体" w:hAnsi="宋体" w:eastAsia="宋体" w:cs="Times New Roman"/>
                <w:color w:val="auto"/>
                <w:szCs w:val="21"/>
                <w:lang w:val="en-US" w:eastAsia="zh-CN"/>
              </w:rPr>
              <w:t>13</w:t>
            </w:r>
          </w:p>
        </w:tc>
        <w:tc>
          <w:tcPr>
            <w:tcW w:w="2341" w:type="dxa"/>
            <w:gridSpan w:val="2"/>
            <w:tcBorders>
              <w:top w:val="single" w:color="auto" w:sz="4" w:space="0"/>
              <w:left w:val="single" w:color="auto" w:sz="4" w:space="0"/>
              <w:bottom w:val="single" w:color="auto" w:sz="4" w:space="0"/>
              <w:right w:val="single" w:color="auto" w:sz="4" w:space="0"/>
            </w:tcBorders>
            <w:noWrap w:val="0"/>
            <w:vAlign w:val="center"/>
          </w:tcPr>
          <w:p w14:paraId="4F40F92F">
            <w:pPr>
              <w:snapToGrid w:val="0"/>
              <w:spacing w:line="240" w:lineRule="auto"/>
              <w:ind w:left="0" w:leftChars="0" w:right="0" w:rightChars="0" w:firstLine="0" w:firstLineChars="0"/>
              <w:jc w:val="lef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szCs w:val="21"/>
              </w:rPr>
              <w:t>卫生工具摆放</w:t>
            </w:r>
          </w:p>
        </w:tc>
        <w:tc>
          <w:tcPr>
            <w:tcW w:w="3056" w:type="dxa"/>
            <w:tcBorders>
              <w:top w:val="single" w:color="auto" w:sz="4" w:space="0"/>
              <w:left w:val="single" w:color="auto" w:sz="4" w:space="0"/>
              <w:bottom w:val="single" w:color="auto" w:sz="4" w:space="0"/>
              <w:right w:val="single" w:color="auto" w:sz="4" w:space="0"/>
            </w:tcBorders>
            <w:noWrap w:val="0"/>
            <w:vAlign w:val="center"/>
          </w:tcPr>
          <w:p w14:paraId="00647B12">
            <w:pPr>
              <w:snapToGrid w:val="0"/>
              <w:spacing w:line="240" w:lineRule="auto"/>
              <w:ind w:left="0" w:leftChars="0" w:right="0" w:rightChars="0" w:firstLine="0" w:firstLineChars="0"/>
              <w:jc w:val="lef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szCs w:val="21"/>
              </w:rPr>
              <w:t>整齐有序，合理布置。</w:t>
            </w:r>
          </w:p>
        </w:tc>
        <w:tc>
          <w:tcPr>
            <w:tcW w:w="3088" w:type="dxa"/>
            <w:tcBorders>
              <w:top w:val="single" w:color="auto" w:sz="4" w:space="0"/>
              <w:left w:val="single" w:color="auto" w:sz="4" w:space="0"/>
              <w:bottom w:val="single" w:color="auto" w:sz="4" w:space="0"/>
              <w:right w:val="single" w:color="auto" w:sz="4" w:space="0"/>
            </w:tcBorders>
            <w:noWrap w:val="0"/>
            <w:vAlign w:val="center"/>
          </w:tcPr>
          <w:p w14:paraId="4377B6E8">
            <w:pPr>
              <w:snapToGrid w:val="0"/>
              <w:spacing w:line="240" w:lineRule="auto"/>
              <w:ind w:left="0" w:leftChars="0" w:right="0" w:rightChars="0" w:firstLine="0" w:firstLineChars="0"/>
              <w:jc w:val="lef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szCs w:val="21"/>
              </w:rPr>
              <w:t>无乱丢乱放现象。发现乱丢乱放，一次扣1分。</w:t>
            </w:r>
          </w:p>
        </w:tc>
        <w:tc>
          <w:tcPr>
            <w:tcW w:w="538" w:type="dxa"/>
            <w:tcBorders>
              <w:top w:val="single" w:color="auto" w:sz="4" w:space="0"/>
              <w:left w:val="single" w:color="auto" w:sz="4" w:space="0"/>
              <w:bottom w:val="single" w:color="auto" w:sz="4" w:space="0"/>
              <w:right w:val="single" w:color="auto" w:sz="4" w:space="0"/>
            </w:tcBorders>
            <w:noWrap w:val="0"/>
            <w:vAlign w:val="center"/>
          </w:tcPr>
          <w:p w14:paraId="654BF570">
            <w:pPr>
              <w:snapToGrid w:val="0"/>
              <w:spacing w:line="240" w:lineRule="auto"/>
              <w:ind w:left="0" w:leftChars="0" w:right="0" w:rightChars="0" w:firstLine="0" w:firstLineChars="0"/>
              <w:jc w:val="right"/>
              <w:rPr>
                <w:rFonts w:hint="eastAsia" w:ascii="宋体" w:hAnsi="宋体" w:eastAsia="宋体" w:cs="Times New Roman"/>
                <w:color w:val="auto"/>
                <w:kern w:val="2"/>
                <w:sz w:val="21"/>
                <w:szCs w:val="21"/>
                <w:lang w:val="en-US" w:eastAsia="zh-CN" w:bidi="ar-SA"/>
              </w:rPr>
            </w:pPr>
            <w:r>
              <w:rPr>
                <w:rFonts w:hint="eastAsia" w:ascii="宋体" w:hAnsi="宋体" w:eastAsia="宋体" w:cs="Times New Roman"/>
                <w:color w:val="auto"/>
                <w:szCs w:val="21"/>
                <w:lang w:val="en-US" w:eastAsia="zh-CN"/>
              </w:rPr>
              <w:t>3</w:t>
            </w:r>
          </w:p>
        </w:tc>
        <w:tc>
          <w:tcPr>
            <w:tcW w:w="546" w:type="dxa"/>
            <w:tcBorders>
              <w:top w:val="single" w:color="auto" w:sz="4" w:space="0"/>
              <w:left w:val="single" w:color="auto" w:sz="4" w:space="0"/>
              <w:bottom w:val="single" w:color="auto" w:sz="4" w:space="0"/>
              <w:right w:val="single" w:color="auto" w:sz="4" w:space="0"/>
            </w:tcBorders>
            <w:noWrap w:val="0"/>
            <w:vAlign w:val="center"/>
          </w:tcPr>
          <w:p w14:paraId="570645E8">
            <w:pPr>
              <w:snapToGrid w:val="0"/>
              <w:spacing w:line="240" w:lineRule="auto"/>
              <w:ind w:left="0" w:leftChars="0" w:right="0" w:rightChars="0" w:firstLine="0" w:firstLineChars="0"/>
              <w:jc w:val="center"/>
              <w:rPr>
                <w:rFonts w:hint="default" w:ascii="宋体" w:hAnsi="宋体" w:eastAsia="宋体" w:cs="Times New Roman"/>
                <w:color w:val="auto"/>
                <w:kern w:val="2"/>
                <w:sz w:val="21"/>
                <w:szCs w:val="21"/>
                <w:lang w:val="en-US" w:eastAsia="zh-CN" w:bidi="ar-SA"/>
              </w:rPr>
            </w:pPr>
          </w:p>
        </w:tc>
        <w:tc>
          <w:tcPr>
            <w:tcW w:w="504" w:type="dxa"/>
            <w:tcBorders>
              <w:top w:val="single" w:color="auto" w:sz="4" w:space="0"/>
              <w:left w:val="single" w:color="auto" w:sz="4" w:space="0"/>
              <w:bottom w:val="single" w:color="auto" w:sz="4" w:space="0"/>
              <w:right w:val="single" w:color="auto" w:sz="4" w:space="0"/>
            </w:tcBorders>
            <w:noWrap w:val="0"/>
            <w:vAlign w:val="center"/>
          </w:tcPr>
          <w:p w14:paraId="0B49C603">
            <w:pPr>
              <w:snapToGrid w:val="0"/>
              <w:spacing w:line="240" w:lineRule="auto"/>
              <w:ind w:left="0" w:leftChars="0" w:right="0" w:rightChars="0" w:firstLine="0" w:firstLineChars="0"/>
              <w:jc w:val="center"/>
              <w:rPr>
                <w:rFonts w:ascii="宋体" w:hAnsi="宋体" w:eastAsia="宋体" w:cs="Times New Roman"/>
                <w:color w:val="auto"/>
                <w:kern w:val="2"/>
                <w:sz w:val="21"/>
                <w:szCs w:val="21"/>
                <w:lang w:val="en-US" w:eastAsia="zh-CN" w:bidi="ar-SA"/>
              </w:rPr>
            </w:pPr>
          </w:p>
        </w:tc>
      </w:tr>
      <w:tr w14:paraId="0DF1BCD7">
        <w:tblPrEx>
          <w:tblCellMar>
            <w:top w:w="0" w:type="dxa"/>
            <w:left w:w="30" w:type="dxa"/>
            <w:bottom w:w="0" w:type="dxa"/>
            <w:right w:w="30" w:type="dxa"/>
          </w:tblCellMar>
        </w:tblPrEx>
        <w:trPr>
          <w:trHeight w:val="0" w:hRule="atLeast"/>
          <w:jc w:val="center"/>
        </w:trPr>
        <w:tc>
          <w:tcPr>
            <w:tcW w:w="330" w:type="dxa"/>
            <w:tcBorders>
              <w:top w:val="single" w:color="auto" w:sz="4" w:space="0"/>
              <w:left w:val="single" w:color="auto" w:sz="4" w:space="0"/>
              <w:bottom w:val="single" w:color="auto" w:sz="4" w:space="0"/>
              <w:right w:val="single" w:color="auto" w:sz="4" w:space="0"/>
            </w:tcBorders>
            <w:noWrap w:val="0"/>
            <w:vAlign w:val="center"/>
          </w:tcPr>
          <w:p w14:paraId="6CE6C663">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14</w:t>
            </w:r>
          </w:p>
        </w:tc>
        <w:tc>
          <w:tcPr>
            <w:tcW w:w="2341" w:type="dxa"/>
            <w:gridSpan w:val="2"/>
            <w:tcBorders>
              <w:top w:val="single" w:color="auto" w:sz="4" w:space="0"/>
              <w:left w:val="single" w:color="auto" w:sz="4" w:space="0"/>
              <w:bottom w:val="single" w:color="auto" w:sz="4" w:space="0"/>
              <w:right w:val="single" w:color="auto" w:sz="4" w:space="0"/>
            </w:tcBorders>
            <w:noWrap w:val="0"/>
            <w:vAlign w:val="center"/>
          </w:tcPr>
          <w:p w14:paraId="08761A0A">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人身安全、设施设备安全</w:t>
            </w:r>
          </w:p>
        </w:tc>
        <w:tc>
          <w:tcPr>
            <w:tcW w:w="3056" w:type="dxa"/>
            <w:tcBorders>
              <w:top w:val="single" w:color="auto" w:sz="4" w:space="0"/>
              <w:left w:val="single" w:color="auto" w:sz="4" w:space="0"/>
              <w:bottom w:val="single" w:color="auto" w:sz="4" w:space="0"/>
              <w:right w:val="single" w:color="auto" w:sz="4" w:space="0"/>
            </w:tcBorders>
            <w:noWrap w:val="0"/>
            <w:vAlign w:val="center"/>
          </w:tcPr>
          <w:p w14:paraId="469D781E">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杜绝人身安全事故，爱护公共设施，避免出理设施设备损坏，工具丢失等现象。</w:t>
            </w:r>
          </w:p>
        </w:tc>
        <w:tc>
          <w:tcPr>
            <w:tcW w:w="3088" w:type="dxa"/>
            <w:tcBorders>
              <w:top w:val="single" w:color="auto" w:sz="4" w:space="0"/>
              <w:left w:val="single" w:color="auto" w:sz="4" w:space="0"/>
              <w:bottom w:val="single" w:color="auto" w:sz="4" w:space="0"/>
              <w:right w:val="single" w:color="auto" w:sz="4" w:space="0"/>
            </w:tcBorders>
            <w:noWrap w:val="0"/>
            <w:vAlign w:val="center"/>
          </w:tcPr>
          <w:p w14:paraId="01FEE811">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无安全事故、无公共设施损坏（指工作时的对象），无工具丢失。发生一起安全事故扣3分。</w:t>
            </w:r>
          </w:p>
        </w:tc>
        <w:tc>
          <w:tcPr>
            <w:tcW w:w="538" w:type="dxa"/>
            <w:tcBorders>
              <w:top w:val="single" w:color="auto" w:sz="4" w:space="0"/>
              <w:left w:val="single" w:color="auto" w:sz="4" w:space="0"/>
              <w:bottom w:val="single" w:color="auto" w:sz="4" w:space="0"/>
              <w:right w:val="single" w:color="auto" w:sz="4" w:space="0"/>
            </w:tcBorders>
            <w:noWrap w:val="0"/>
            <w:vAlign w:val="center"/>
          </w:tcPr>
          <w:p w14:paraId="74067EFD">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546" w:type="dxa"/>
            <w:tcBorders>
              <w:top w:val="single" w:color="auto" w:sz="4" w:space="0"/>
              <w:left w:val="single" w:color="auto" w:sz="4" w:space="0"/>
              <w:bottom w:val="single" w:color="auto" w:sz="4" w:space="0"/>
              <w:right w:val="single" w:color="auto" w:sz="4" w:space="0"/>
            </w:tcBorders>
            <w:noWrap w:val="0"/>
            <w:vAlign w:val="center"/>
          </w:tcPr>
          <w:p w14:paraId="595EB424">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04" w:type="dxa"/>
            <w:tcBorders>
              <w:top w:val="single" w:color="auto" w:sz="4" w:space="0"/>
              <w:left w:val="single" w:color="auto" w:sz="4" w:space="0"/>
              <w:bottom w:val="single" w:color="auto" w:sz="4" w:space="0"/>
              <w:right w:val="single" w:color="auto" w:sz="4" w:space="0"/>
            </w:tcBorders>
            <w:noWrap w:val="0"/>
            <w:vAlign w:val="center"/>
          </w:tcPr>
          <w:p w14:paraId="788DBF83">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22AC91C">
        <w:tblPrEx>
          <w:tblCellMar>
            <w:top w:w="0" w:type="dxa"/>
            <w:left w:w="30" w:type="dxa"/>
            <w:bottom w:w="0" w:type="dxa"/>
            <w:right w:w="30" w:type="dxa"/>
          </w:tblCellMar>
        </w:tblPrEx>
        <w:trPr>
          <w:trHeight w:val="0" w:hRule="atLeast"/>
          <w:jc w:val="center"/>
        </w:trPr>
        <w:tc>
          <w:tcPr>
            <w:tcW w:w="330" w:type="dxa"/>
            <w:tcBorders>
              <w:top w:val="single" w:color="auto" w:sz="4" w:space="0"/>
              <w:left w:val="single" w:color="auto" w:sz="4" w:space="0"/>
              <w:bottom w:val="single" w:color="auto" w:sz="4" w:space="0"/>
              <w:right w:val="single" w:color="auto" w:sz="4" w:space="0"/>
            </w:tcBorders>
            <w:noWrap w:val="0"/>
            <w:vAlign w:val="center"/>
          </w:tcPr>
          <w:p w14:paraId="59694BCB">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14</w:t>
            </w:r>
          </w:p>
        </w:tc>
        <w:tc>
          <w:tcPr>
            <w:tcW w:w="2341" w:type="dxa"/>
            <w:gridSpan w:val="2"/>
            <w:tcBorders>
              <w:top w:val="single" w:color="auto" w:sz="4" w:space="0"/>
              <w:left w:val="single" w:color="auto" w:sz="4" w:space="0"/>
              <w:bottom w:val="single" w:color="auto" w:sz="4" w:space="0"/>
              <w:right w:val="single" w:color="auto" w:sz="4" w:space="0"/>
            </w:tcBorders>
            <w:noWrap w:val="0"/>
            <w:vAlign w:val="center"/>
          </w:tcPr>
          <w:p w14:paraId="2F6D6F2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卫生宣传</w:t>
            </w:r>
          </w:p>
        </w:tc>
        <w:tc>
          <w:tcPr>
            <w:tcW w:w="3056" w:type="dxa"/>
            <w:tcBorders>
              <w:top w:val="single" w:color="auto" w:sz="4" w:space="0"/>
              <w:left w:val="single" w:color="auto" w:sz="4" w:space="0"/>
              <w:bottom w:val="single" w:color="auto" w:sz="4" w:space="0"/>
              <w:right w:val="single" w:color="auto" w:sz="4" w:space="0"/>
            </w:tcBorders>
            <w:noWrap w:val="0"/>
            <w:vAlign w:val="center"/>
          </w:tcPr>
          <w:p w14:paraId="4848B431">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按学院管理部门要求张贴。</w:t>
            </w:r>
          </w:p>
        </w:tc>
        <w:tc>
          <w:tcPr>
            <w:tcW w:w="3088" w:type="dxa"/>
            <w:tcBorders>
              <w:top w:val="single" w:color="auto" w:sz="4" w:space="0"/>
              <w:left w:val="single" w:color="auto" w:sz="4" w:space="0"/>
              <w:bottom w:val="single" w:color="auto" w:sz="4" w:space="0"/>
              <w:right w:val="single" w:color="auto" w:sz="4" w:space="0"/>
            </w:tcBorders>
            <w:noWrap w:val="0"/>
            <w:vAlign w:val="center"/>
          </w:tcPr>
          <w:p w14:paraId="5BFAB9FB">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按要求张贴，及时清理小广告。未经同意张贴1次扣2分。</w:t>
            </w:r>
          </w:p>
        </w:tc>
        <w:tc>
          <w:tcPr>
            <w:tcW w:w="538" w:type="dxa"/>
            <w:tcBorders>
              <w:top w:val="single" w:color="auto" w:sz="4" w:space="0"/>
              <w:left w:val="single" w:color="auto" w:sz="4" w:space="0"/>
              <w:bottom w:val="single" w:color="auto" w:sz="4" w:space="0"/>
              <w:right w:val="single" w:color="auto" w:sz="4" w:space="0"/>
            </w:tcBorders>
            <w:noWrap w:val="0"/>
            <w:vAlign w:val="center"/>
          </w:tcPr>
          <w:p w14:paraId="3C01DB2B">
            <w:pPr>
              <w:snapToGrid w:val="0"/>
              <w:spacing w:line="240" w:lineRule="auto"/>
              <w:ind w:left="0" w:leftChars="0" w:right="0" w:rightChars="0" w:firstLine="0" w:firstLineChars="0"/>
              <w:jc w:val="right"/>
              <w:rPr>
                <w:rFonts w:hint="eastAsia" w:ascii="宋体" w:hAnsi="宋体" w:eastAsia="宋体" w:cs="Times New Roman"/>
                <w:color w:val="auto"/>
                <w:szCs w:val="21"/>
                <w:lang w:eastAsia="zh-CN"/>
              </w:rPr>
            </w:pPr>
            <w:r>
              <w:rPr>
                <w:rFonts w:hint="eastAsia" w:ascii="宋体" w:hAnsi="宋体" w:eastAsia="宋体" w:cs="Times New Roman"/>
                <w:color w:val="auto"/>
                <w:szCs w:val="21"/>
                <w:lang w:val="en-US" w:eastAsia="zh-CN"/>
              </w:rPr>
              <w:t>3</w:t>
            </w:r>
          </w:p>
        </w:tc>
        <w:tc>
          <w:tcPr>
            <w:tcW w:w="546" w:type="dxa"/>
            <w:tcBorders>
              <w:top w:val="single" w:color="auto" w:sz="4" w:space="0"/>
              <w:left w:val="single" w:color="auto" w:sz="4" w:space="0"/>
              <w:bottom w:val="single" w:color="auto" w:sz="4" w:space="0"/>
              <w:right w:val="single" w:color="auto" w:sz="4" w:space="0"/>
            </w:tcBorders>
            <w:noWrap w:val="0"/>
            <w:vAlign w:val="center"/>
          </w:tcPr>
          <w:p w14:paraId="350892A4">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504" w:type="dxa"/>
            <w:tcBorders>
              <w:top w:val="single" w:color="auto" w:sz="4" w:space="0"/>
              <w:left w:val="single" w:color="auto" w:sz="4" w:space="0"/>
              <w:bottom w:val="single" w:color="auto" w:sz="4" w:space="0"/>
              <w:right w:val="single" w:color="auto" w:sz="4" w:space="0"/>
            </w:tcBorders>
            <w:noWrap w:val="0"/>
            <w:vAlign w:val="center"/>
          </w:tcPr>
          <w:p w14:paraId="00F30133">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7343A06B">
        <w:tblPrEx>
          <w:tblCellMar>
            <w:top w:w="0" w:type="dxa"/>
            <w:left w:w="30" w:type="dxa"/>
            <w:bottom w:w="0" w:type="dxa"/>
            <w:right w:w="30" w:type="dxa"/>
          </w:tblCellMar>
        </w:tblPrEx>
        <w:trPr>
          <w:trHeight w:val="0" w:hRule="atLeast"/>
          <w:jc w:val="center"/>
        </w:trPr>
        <w:tc>
          <w:tcPr>
            <w:tcW w:w="330" w:type="dxa"/>
            <w:tcBorders>
              <w:top w:val="single" w:color="auto" w:sz="4" w:space="0"/>
              <w:left w:val="single" w:color="auto" w:sz="4" w:space="0"/>
              <w:bottom w:val="single" w:color="auto" w:sz="4" w:space="0"/>
              <w:right w:val="single" w:color="auto" w:sz="4" w:space="0"/>
            </w:tcBorders>
            <w:noWrap w:val="0"/>
            <w:vAlign w:val="center"/>
          </w:tcPr>
          <w:p w14:paraId="35F4B5DD">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15</w:t>
            </w:r>
          </w:p>
        </w:tc>
        <w:tc>
          <w:tcPr>
            <w:tcW w:w="2341" w:type="dxa"/>
            <w:gridSpan w:val="2"/>
            <w:tcBorders>
              <w:top w:val="single" w:color="auto" w:sz="4" w:space="0"/>
              <w:left w:val="single" w:color="auto" w:sz="4" w:space="0"/>
              <w:bottom w:val="single" w:color="auto" w:sz="4" w:space="0"/>
              <w:right w:val="single" w:color="auto" w:sz="4" w:space="0"/>
            </w:tcBorders>
            <w:noWrap w:val="0"/>
            <w:vAlign w:val="center"/>
          </w:tcPr>
          <w:p w14:paraId="750D58F1">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临时任务或突击任务</w:t>
            </w:r>
          </w:p>
        </w:tc>
        <w:tc>
          <w:tcPr>
            <w:tcW w:w="3056" w:type="dxa"/>
            <w:tcBorders>
              <w:top w:val="single" w:color="auto" w:sz="4" w:space="0"/>
              <w:left w:val="single" w:color="auto" w:sz="4" w:space="0"/>
              <w:bottom w:val="single" w:color="auto" w:sz="4" w:space="0"/>
              <w:right w:val="single" w:color="auto" w:sz="4" w:space="0"/>
            </w:tcBorders>
            <w:noWrap w:val="0"/>
            <w:vAlign w:val="center"/>
          </w:tcPr>
          <w:p w14:paraId="2B56DD86">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服从调配，保质保量完成。</w:t>
            </w:r>
          </w:p>
        </w:tc>
        <w:tc>
          <w:tcPr>
            <w:tcW w:w="3088" w:type="dxa"/>
            <w:tcBorders>
              <w:top w:val="single" w:color="auto" w:sz="4" w:space="0"/>
              <w:left w:val="single" w:color="auto" w:sz="4" w:space="0"/>
              <w:bottom w:val="single" w:color="auto" w:sz="4" w:space="0"/>
              <w:right w:val="single" w:color="auto" w:sz="4" w:space="0"/>
            </w:tcBorders>
            <w:noWrap w:val="0"/>
            <w:vAlign w:val="center"/>
          </w:tcPr>
          <w:p w14:paraId="28E5DF08">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服从学院管理部门安排。不服从一次扣3分。</w:t>
            </w:r>
          </w:p>
        </w:tc>
        <w:tc>
          <w:tcPr>
            <w:tcW w:w="538" w:type="dxa"/>
            <w:tcBorders>
              <w:top w:val="single" w:color="auto" w:sz="4" w:space="0"/>
              <w:left w:val="single" w:color="auto" w:sz="4" w:space="0"/>
              <w:bottom w:val="single" w:color="auto" w:sz="4" w:space="0"/>
              <w:right w:val="single" w:color="auto" w:sz="4" w:space="0"/>
            </w:tcBorders>
            <w:noWrap w:val="0"/>
            <w:vAlign w:val="center"/>
          </w:tcPr>
          <w:p w14:paraId="2B28BB14">
            <w:pPr>
              <w:snapToGrid w:val="0"/>
              <w:spacing w:line="240" w:lineRule="auto"/>
              <w:ind w:left="0" w:leftChars="0" w:right="0" w:rightChars="0" w:firstLine="0" w:firstLineChars="0"/>
              <w:jc w:val="righ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w:t>
            </w:r>
          </w:p>
        </w:tc>
        <w:tc>
          <w:tcPr>
            <w:tcW w:w="546" w:type="dxa"/>
            <w:tcBorders>
              <w:top w:val="single" w:color="auto" w:sz="4" w:space="0"/>
              <w:left w:val="single" w:color="auto" w:sz="4" w:space="0"/>
              <w:bottom w:val="single" w:color="auto" w:sz="4" w:space="0"/>
              <w:right w:val="single" w:color="auto" w:sz="4" w:space="0"/>
            </w:tcBorders>
            <w:noWrap w:val="0"/>
            <w:vAlign w:val="center"/>
          </w:tcPr>
          <w:p w14:paraId="77E167C6">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04" w:type="dxa"/>
            <w:tcBorders>
              <w:top w:val="single" w:color="auto" w:sz="4" w:space="0"/>
              <w:left w:val="single" w:color="auto" w:sz="4" w:space="0"/>
              <w:bottom w:val="single" w:color="auto" w:sz="4" w:space="0"/>
              <w:right w:val="single" w:color="auto" w:sz="4" w:space="0"/>
            </w:tcBorders>
            <w:noWrap w:val="0"/>
            <w:vAlign w:val="center"/>
          </w:tcPr>
          <w:p w14:paraId="542B8DC0">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318F51F2">
        <w:tblPrEx>
          <w:tblCellMar>
            <w:top w:w="0" w:type="dxa"/>
            <w:left w:w="30" w:type="dxa"/>
            <w:bottom w:w="0" w:type="dxa"/>
            <w:right w:w="30" w:type="dxa"/>
          </w:tblCellMar>
        </w:tblPrEx>
        <w:trPr>
          <w:trHeight w:val="0" w:hRule="atLeast"/>
          <w:jc w:val="center"/>
        </w:trPr>
        <w:tc>
          <w:tcPr>
            <w:tcW w:w="330" w:type="dxa"/>
            <w:tcBorders>
              <w:top w:val="single" w:color="auto" w:sz="4" w:space="0"/>
              <w:left w:val="single" w:color="auto" w:sz="4" w:space="0"/>
              <w:bottom w:val="single" w:color="auto" w:sz="4" w:space="0"/>
              <w:right w:val="single" w:color="auto" w:sz="4" w:space="0"/>
            </w:tcBorders>
            <w:noWrap w:val="0"/>
            <w:vAlign w:val="center"/>
          </w:tcPr>
          <w:p w14:paraId="78096573">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16</w:t>
            </w:r>
          </w:p>
        </w:tc>
        <w:tc>
          <w:tcPr>
            <w:tcW w:w="2341" w:type="dxa"/>
            <w:gridSpan w:val="2"/>
            <w:tcBorders>
              <w:top w:val="single" w:color="auto" w:sz="4" w:space="0"/>
              <w:left w:val="single" w:color="auto" w:sz="4" w:space="0"/>
              <w:bottom w:val="single" w:color="auto" w:sz="4" w:space="0"/>
              <w:right w:val="single" w:color="auto" w:sz="4" w:space="0"/>
            </w:tcBorders>
            <w:noWrap w:val="0"/>
            <w:vAlign w:val="center"/>
          </w:tcPr>
          <w:p w14:paraId="344ABE83">
            <w:pPr>
              <w:snapToGrid w:val="0"/>
              <w:spacing w:line="240" w:lineRule="auto"/>
              <w:ind w:left="0" w:leftChars="0" w:right="0" w:rightChars="0" w:firstLine="0" w:firstLineChars="0"/>
              <w:jc w:val="left"/>
              <w:rPr>
                <w:rFonts w:ascii="宋体" w:hAnsi="宋体" w:eastAsia="宋体" w:cs="Times New Roman"/>
                <w:b/>
                <w:bCs/>
                <w:color w:val="auto"/>
                <w:szCs w:val="21"/>
              </w:rPr>
            </w:pPr>
            <w:r>
              <w:rPr>
                <w:rFonts w:hint="eastAsia" w:ascii="宋体" w:hAnsi="宋体" w:eastAsia="宋体" w:cs="Times New Roman"/>
                <w:b/>
                <w:bCs/>
                <w:color w:val="auto"/>
                <w:szCs w:val="21"/>
              </w:rPr>
              <w:t>每年清洗各建筑物玻璃幕墙2次</w:t>
            </w:r>
          </w:p>
        </w:tc>
        <w:tc>
          <w:tcPr>
            <w:tcW w:w="3056" w:type="dxa"/>
            <w:tcBorders>
              <w:top w:val="single" w:color="auto" w:sz="4" w:space="0"/>
              <w:left w:val="single" w:color="auto" w:sz="4" w:space="0"/>
              <w:bottom w:val="single" w:color="auto" w:sz="4" w:space="0"/>
              <w:right w:val="single" w:color="auto" w:sz="4" w:space="0"/>
            </w:tcBorders>
            <w:noWrap w:val="0"/>
            <w:vAlign w:val="center"/>
          </w:tcPr>
          <w:p w14:paraId="0FD161DC">
            <w:pPr>
              <w:snapToGrid w:val="0"/>
              <w:spacing w:line="240" w:lineRule="auto"/>
              <w:ind w:left="0" w:leftChars="0" w:right="0" w:rightChars="0" w:firstLine="0" w:firstLineChars="0"/>
              <w:jc w:val="left"/>
              <w:rPr>
                <w:rFonts w:ascii="宋体" w:hAnsi="宋体" w:eastAsia="宋体" w:cs="Times New Roman"/>
                <w:b/>
                <w:bCs/>
                <w:color w:val="auto"/>
                <w:szCs w:val="21"/>
              </w:rPr>
            </w:pPr>
            <w:r>
              <w:rPr>
                <w:rFonts w:hint="eastAsia" w:ascii="宋体" w:hAnsi="宋体" w:eastAsia="宋体" w:cs="Times New Roman"/>
                <w:b/>
                <w:bCs/>
                <w:color w:val="auto"/>
                <w:szCs w:val="21"/>
              </w:rPr>
              <w:t>每年6月20日、12月20日前组织专业人员清洗各建筑物玻璃幕墙各1次</w:t>
            </w:r>
          </w:p>
        </w:tc>
        <w:tc>
          <w:tcPr>
            <w:tcW w:w="3088" w:type="dxa"/>
            <w:tcBorders>
              <w:top w:val="single" w:color="auto" w:sz="4" w:space="0"/>
              <w:left w:val="single" w:color="auto" w:sz="4" w:space="0"/>
              <w:bottom w:val="single" w:color="auto" w:sz="4" w:space="0"/>
              <w:right w:val="single" w:color="auto" w:sz="4" w:space="0"/>
            </w:tcBorders>
            <w:noWrap w:val="0"/>
            <w:vAlign w:val="center"/>
          </w:tcPr>
          <w:p w14:paraId="73239C4D">
            <w:pPr>
              <w:snapToGrid w:val="0"/>
              <w:spacing w:line="240" w:lineRule="auto"/>
              <w:ind w:left="0" w:leftChars="0" w:right="0" w:rightChars="0" w:firstLine="0" w:firstLineChars="0"/>
              <w:jc w:val="left"/>
              <w:rPr>
                <w:rFonts w:ascii="宋体" w:hAnsi="宋体" w:eastAsia="宋体" w:cs="Times New Roman"/>
                <w:b/>
                <w:bCs/>
                <w:color w:val="auto"/>
                <w:szCs w:val="21"/>
              </w:rPr>
            </w:pPr>
            <w:r>
              <w:rPr>
                <w:rFonts w:hint="eastAsia" w:ascii="宋体" w:hAnsi="宋体" w:eastAsia="宋体" w:cs="Times New Roman"/>
                <w:b/>
                <w:bCs/>
                <w:color w:val="auto"/>
                <w:szCs w:val="21"/>
              </w:rPr>
              <w:t>未按时间节点完成，扣当年6月考核100分、扣12月考核分100分。</w:t>
            </w:r>
          </w:p>
        </w:tc>
        <w:tc>
          <w:tcPr>
            <w:tcW w:w="538" w:type="dxa"/>
            <w:tcBorders>
              <w:top w:val="single" w:color="auto" w:sz="4" w:space="0"/>
              <w:left w:val="single" w:color="auto" w:sz="4" w:space="0"/>
              <w:bottom w:val="single" w:color="auto" w:sz="4" w:space="0"/>
              <w:right w:val="single" w:color="auto" w:sz="4" w:space="0"/>
            </w:tcBorders>
            <w:noWrap w:val="0"/>
            <w:vAlign w:val="center"/>
          </w:tcPr>
          <w:p w14:paraId="696BDCE8">
            <w:pPr>
              <w:snapToGrid w:val="0"/>
              <w:spacing w:line="240" w:lineRule="auto"/>
              <w:ind w:left="0" w:leftChars="0" w:right="0" w:rightChars="0" w:firstLine="0" w:firstLineChars="0"/>
              <w:jc w:val="right"/>
              <w:rPr>
                <w:rFonts w:ascii="宋体" w:hAnsi="宋体" w:eastAsia="宋体" w:cs="Times New Roman"/>
                <w:color w:val="auto"/>
                <w:szCs w:val="21"/>
              </w:rPr>
            </w:pPr>
          </w:p>
        </w:tc>
        <w:tc>
          <w:tcPr>
            <w:tcW w:w="546" w:type="dxa"/>
            <w:tcBorders>
              <w:top w:val="single" w:color="auto" w:sz="4" w:space="0"/>
              <w:left w:val="single" w:color="auto" w:sz="4" w:space="0"/>
              <w:bottom w:val="single" w:color="auto" w:sz="4" w:space="0"/>
              <w:right w:val="single" w:color="auto" w:sz="4" w:space="0"/>
            </w:tcBorders>
            <w:noWrap w:val="0"/>
            <w:vAlign w:val="center"/>
          </w:tcPr>
          <w:p w14:paraId="47BEC1C0">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504" w:type="dxa"/>
            <w:tcBorders>
              <w:top w:val="single" w:color="auto" w:sz="4" w:space="0"/>
              <w:left w:val="single" w:color="auto" w:sz="4" w:space="0"/>
              <w:bottom w:val="single" w:color="auto" w:sz="4" w:space="0"/>
              <w:right w:val="single" w:color="auto" w:sz="4" w:space="0"/>
            </w:tcBorders>
            <w:noWrap w:val="0"/>
            <w:vAlign w:val="center"/>
          </w:tcPr>
          <w:p w14:paraId="67B325D3">
            <w:pPr>
              <w:snapToGrid w:val="0"/>
              <w:spacing w:line="240" w:lineRule="auto"/>
              <w:ind w:left="0" w:leftChars="0" w:right="0" w:rightChars="0" w:firstLine="0" w:firstLineChars="0"/>
              <w:jc w:val="center"/>
              <w:rPr>
                <w:rFonts w:ascii="宋体" w:hAnsi="宋体" w:eastAsia="宋体" w:cs="Times New Roman"/>
                <w:color w:val="auto"/>
                <w:szCs w:val="21"/>
              </w:rPr>
            </w:pPr>
            <w:r>
              <w:rPr>
                <w:rFonts w:hint="eastAsia" w:ascii="宋体" w:hAnsi="宋体" w:eastAsia="宋体" w:cs="Times New Roman"/>
                <w:color w:val="auto"/>
                <w:szCs w:val="21"/>
              </w:rPr>
              <w:t>专项考核</w:t>
            </w:r>
          </w:p>
        </w:tc>
      </w:tr>
      <w:tr w14:paraId="7D12F7D1">
        <w:tblPrEx>
          <w:tblCellMar>
            <w:top w:w="0" w:type="dxa"/>
            <w:left w:w="30" w:type="dxa"/>
            <w:bottom w:w="0" w:type="dxa"/>
            <w:right w:w="30" w:type="dxa"/>
          </w:tblCellMar>
        </w:tblPrEx>
        <w:trPr>
          <w:trHeight w:val="0" w:hRule="atLeast"/>
          <w:jc w:val="center"/>
        </w:trPr>
        <w:tc>
          <w:tcPr>
            <w:tcW w:w="330" w:type="dxa"/>
            <w:tcBorders>
              <w:top w:val="single" w:color="auto" w:sz="4" w:space="0"/>
              <w:left w:val="single" w:color="auto" w:sz="4" w:space="0"/>
              <w:bottom w:val="single" w:color="auto" w:sz="4" w:space="0"/>
              <w:right w:val="single" w:color="auto" w:sz="4" w:space="0"/>
            </w:tcBorders>
            <w:noWrap w:val="0"/>
            <w:vAlign w:val="center"/>
          </w:tcPr>
          <w:p w14:paraId="06C3CFFC">
            <w:pPr>
              <w:snapToGrid w:val="0"/>
              <w:spacing w:line="240" w:lineRule="auto"/>
              <w:ind w:left="0" w:leftChars="0" w:right="0" w:rightChars="0" w:firstLine="0" w:firstLineChars="0"/>
              <w:jc w:val="center"/>
              <w:rPr>
                <w:rFonts w:ascii="宋体" w:hAnsi="宋体" w:eastAsia="宋体" w:cs="Times New Roman"/>
                <w:b/>
                <w:color w:val="auto"/>
                <w:szCs w:val="21"/>
              </w:rPr>
            </w:pPr>
          </w:p>
        </w:tc>
        <w:tc>
          <w:tcPr>
            <w:tcW w:w="2046" w:type="dxa"/>
            <w:tcBorders>
              <w:top w:val="single" w:color="auto" w:sz="4" w:space="0"/>
              <w:left w:val="single" w:color="auto" w:sz="4" w:space="0"/>
              <w:bottom w:val="single" w:color="auto" w:sz="4" w:space="0"/>
              <w:right w:val="single" w:color="auto" w:sz="4" w:space="0"/>
            </w:tcBorders>
            <w:noWrap w:val="0"/>
            <w:vAlign w:val="center"/>
          </w:tcPr>
          <w:p w14:paraId="4872BB4B">
            <w:pPr>
              <w:snapToGrid w:val="0"/>
              <w:spacing w:line="240" w:lineRule="auto"/>
              <w:ind w:left="0" w:leftChars="0" w:right="0" w:rightChars="0" w:firstLine="0" w:firstLineChars="0"/>
              <w:jc w:val="left"/>
              <w:rPr>
                <w:rFonts w:ascii="宋体" w:hAnsi="宋体" w:eastAsia="宋体" w:cs="Times New Roman"/>
                <w:b/>
                <w:color w:val="auto"/>
                <w:szCs w:val="21"/>
              </w:rPr>
            </w:pPr>
            <w:r>
              <w:rPr>
                <w:rFonts w:hint="eastAsia" w:ascii="宋体" w:hAnsi="宋体" w:eastAsia="宋体" w:cs="Times New Roman"/>
                <w:b/>
                <w:color w:val="auto"/>
                <w:szCs w:val="21"/>
              </w:rPr>
              <w:t>合计</w:t>
            </w:r>
          </w:p>
        </w:tc>
        <w:tc>
          <w:tcPr>
            <w:tcW w:w="295" w:type="dxa"/>
            <w:tcBorders>
              <w:top w:val="single" w:color="auto" w:sz="4" w:space="0"/>
              <w:left w:val="single" w:color="auto" w:sz="4" w:space="0"/>
              <w:bottom w:val="single" w:color="auto" w:sz="4" w:space="0"/>
              <w:right w:val="single" w:color="auto" w:sz="4" w:space="0"/>
            </w:tcBorders>
            <w:noWrap w:val="0"/>
            <w:vAlign w:val="center"/>
          </w:tcPr>
          <w:p w14:paraId="085EC791">
            <w:pPr>
              <w:snapToGrid w:val="0"/>
              <w:spacing w:line="240" w:lineRule="auto"/>
              <w:ind w:left="0" w:leftChars="0" w:right="0" w:rightChars="0" w:firstLine="0" w:firstLineChars="0"/>
              <w:jc w:val="left"/>
              <w:rPr>
                <w:rFonts w:ascii="宋体" w:hAnsi="宋体" w:eastAsia="宋体" w:cs="Times New Roman"/>
                <w:b/>
                <w:color w:val="auto"/>
                <w:szCs w:val="21"/>
              </w:rPr>
            </w:pPr>
          </w:p>
        </w:tc>
        <w:tc>
          <w:tcPr>
            <w:tcW w:w="3056" w:type="dxa"/>
            <w:tcBorders>
              <w:top w:val="single" w:color="auto" w:sz="4" w:space="0"/>
              <w:left w:val="single" w:color="auto" w:sz="4" w:space="0"/>
              <w:bottom w:val="single" w:color="auto" w:sz="4" w:space="0"/>
              <w:right w:val="single" w:color="auto" w:sz="4" w:space="0"/>
            </w:tcBorders>
            <w:noWrap w:val="0"/>
            <w:vAlign w:val="center"/>
          </w:tcPr>
          <w:p w14:paraId="3E9FDC47">
            <w:pPr>
              <w:snapToGrid w:val="0"/>
              <w:spacing w:line="240" w:lineRule="auto"/>
              <w:ind w:left="0" w:leftChars="0" w:right="0" w:rightChars="0" w:firstLine="0" w:firstLineChars="0"/>
              <w:jc w:val="left"/>
              <w:rPr>
                <w:rFonts w:ascii="宋体" w:hAnsi="宋体" w:eastAsia="宋体" w:cs="Times New Roman"/>
                <w:b/>
                <w:color w:val="auto"/>
                <w:szCs w:val="21"/>
              </w:rPr>
            </w:pPr>
          </w:p>
        </w:tc>
        <w:tc>
          <w:tcPr>
            <w:tcW w:w="3088" w:type="dxa"/>
            <w:tcBorders>
              <w:top w:val="single" w:color="auto" w:sz="4" w:space="0"/>
              <w:left w:val="single" w:color="auto" w:sz="4" w:space="0"/>
              <w:bottom w:val="single" w:color="auto" w:sz="4" w:space="0"/>
              <w:right w:val="single" w:color="auto" w:sz="4" w:space="0"/>
            </w:tcBorders>
            <w:noWrap w:val="0"/>
            <w:vAlign w:val="center"/>
          </w:tcPr>
          <w:p w14:paraId="34DB9368">
            <w:pPr>
              <w:snapToGrid w:val="0"/>
              <w:spacing w:line="240" w:lineRule="auto"/>
              <w:ind w:left="0" w:leftChars="0" w:right="0" w:rightChars="0" w:firstLine="0" w:firstLineChars="0"/>
              <w:jc w:val="left"/>
              <w:rPr>
                <w:rFonts w:ascii="宋体" w:hAnsi="宋体" w:eastAsia="宋体" w:cs="Times New Roman"/>
                <w:b/>
                <w:color w:val="auto"/>
                <w:szCs w:val="21"/>
              </w:rPr>
            </w:pPr>
          </w:p>
        </w:tc>
        <w:tc>
          <w:tcPr>
            <w:tcW w:w="538" w:type="dxa"/>
            <w:tcBorders>
              <w:top w:val="single" w:color="auto" w:sz="4" w:space="0"/>
              <w:left w:val="single" w:color="auto" w:sz="4" w:space="0"/>
              <w:bottom w:val="single" w:color="auto" w:sz="4" w:space="0"/>
              <w:right w:val="single" w:color="auto" w:sz="4" w:space="0"/>
            </w:tcBorders>
            <w:noWrap w:val="0"/>
            <w:vAlign w:val="center"/>
          </w:tcPr>
          <w:p w14:paraId="25BC15BD">
            <w:pPr>
              <w:snapToGrid w:val="0"/>
              <w:spacing w:line="240" w:lineRule="auto"/>
              <w:ind w:left="0" w:leftChars="0" w:right="0" w:rightChars="0" w:firstLine="0" w:firstLineChars="0"/>
              <w:jc w:val="right"/>
              <w:rPr>
                <w:rFonts w:ascii="宋体" w:hAnsi="宋体" w:eastAsia="宋体" w:cs="Times New Roman"/>
                <w:b/>
                <w:color w:val="auto"/>
                <w:szCs w:val="21"/>
              </w:rPr>
            </w:pPr>
            <w:r>
              <w:rPr>
                <w:rFonts w:ascii="宋体" w:hAnsi="宋体" w:eastAsia="宋体" w:cs="Times New Roman"/>
                <w:b/>
                <w:color w:val="auto"/>
                <w:szCs w:val="21"/>
              </w:rPr>
              <w:t>1</w:t>
            </w:r>
            <w:r>
              <w:rPr>
                <w:rFonts w:hint="eastAsia" w:ascii="宋体" w:hAnsi="宋体" w:eastAsia="宋体" w:cs="Times New Roman"/>
                <w:b/>
                <w:color w:val="auto"/>
                <w:szCs w:val="21"/>
              </w:rPr>
              <w:t>0</w:t>
            </w:r>
            <w:r>
              <w:rPr>
                <w:rFonts w:ascii="宋体" w:hAnsi="宋体" w:eastAsia="宋体" w:cs="Times New Roman"/>
                <w:b/>
                <w:color w:val="auto"/>
                <w:szCs w:val="21"/>
              </w:rPr>
              <w:t>0</w:t>
            </w:r>
          </w:p>
        </w:tc>
        <w:tc>
          <w:tcPr>
            <w:tcW w:w="546" w:type="dxa"/>
            <w:tcBorders>
              <w:top w:val="single" w:color="auto" w:sz="4" w:space="0"/>
              <w:left w:val="single" w:color="auto" w:sz="4" w:space="0"/>
              <w:bottom w:val="single" w:color="auto" w:sz="4" w:space="0"/>
              <w:right w:val="single" w:color="auto" w:sz="4" w:space="0"/>
            </w:tcBorders>
            <w:noWrap w:val="0"/>
            <w:vAlign w:val="center"/>
          </w:tcPr>
          <w:p w14:paraId="477EE89C">
            <w:pPr>
              <w:snapToGrid w:val="0"/>
              <w:spacing w:line="240" w:lineRule="auto"/>
              <w:ind w:left="0" w:leftChars="0" w:right="0" w:rightChars="0" w:firstLine="0" w:firstLineChars="0"/>
              <w:jc w:val="center"/>
              <w:rPr>
                <w:rFonts w:hint="default" w:ascii="宋体" w:hAnsi="宋体" w:eastAsia="宋体" w:cs="Times New Roman"/>
                <w:b/>
                <w:color w:val="auto"/>
                <w:szCs w:val="21"/>
                <w:lang w:val="en-US" w:eastAsia="zh-CN"/>
              </w:rPr>
            </w:pPr>
          </w:p>
        </w:tc>
        <w:tc>
          <w:tcPr>
            <w:tcW w:w="504" w:type="dxa"/>
            <w:tcBorders>
              <w:top w:val="single" w:color="auto" w:sz="4" w:space="0"/>
              <w:left w:val="single" w:color="auto" w:sz="4" w:space="0"/>
              <w:bottom w:val="single" w:color="auto" w:sz="4" w:space="0"/>
              <w:right w:val="single" w:color="auto" w:sz="4" w:space="0"/>
            </w:tcBorders>
            <w:noWrap w:val="0"/>
            <w:vAlign w:val="center"/>
          </w:tcPr>
          <w:p w14:paraId="6B990D03">
            <w:pPr>
              <w:snapToGrid w:val="0"/>
              <w:spacing w:line="240" w:lineRule="auto"/>
              <w:ind w:left="0" w:leftChars="0" w:right="0" w:rightChars="0" w:firstLine="0" w:firstLineChars="0"/>
              <w:jc w:val="center"/>
              <w:rPr>
                <w:rFonts w:ascii="宋体" w:hAnsi="宋体" w:eastAsia="宋体" w:cs="Times New Roman"/>
                <w:b/>
                <w:color w:val="auto"/>
                <w:szCs w:val="21"/>
              </w:rPr>
            </w:pPr>
          </w:p>
        </w:tc>
      </w:tr>
      <w:tr w14:paraId="549210E9">
        <w:tblPrEx>
          <w:tblCellMar>
            <w:top w:w="0" w:type="dxa"/>
            <w:left w:w="30" w:type="dxa"/>
            <w:bottom w:w="0" w:type="dxa"/>
            <w:right w:w="30" w:type="dxa"/>
          </w:tblCellMar>
        </w:tblPrEx>
        <w:trPr>
          <w:trHeight w:val="0" w:hRule="atLeast"/>
          <w:jc w:val="center"/>
        </w:trPr>
        <w:tc>
          <w:tcPr>
            <w:tcW w:w="10403" w:type="dxa"/>
            <w:gridSpan w:val="8"/>
            <w:tcBorders>
              <w:top w:val="single" w:color="auto" w:sz="4" w:space="0"/>
              <w:left w:val="single" w:color="auto" w:sz="4" w:space="0"/>
              <w:bottom w:val="single" w:color="auto" w:sz="4" w:space="0"/>
              <w:right w:val="single" w:color="auto" w:sz="4" w:space="0"/>
            </w:tcBorders>
            <w:noWrap w:val="0"/>
            <w:vAlign w:val="center"/>
          </w:tcPr>
          <w:p w14:paraId="0EA12A3B">
            <w:pPr>
              <w:snapToGrid w:val="0"/>
              <w:spacing w:line="240" w:lineRule="auto"/>
              <w:ind w:left="0" w:leftChars="0" w:right="0" w:rightChars="0" w:firstLine="0" w:firstLineChars="0"/>
              <w:jc w:val="center"/>
              <w:rPr>
                <w:rFonts w:hint="eastAsia" w:ascii="宋体" w:hAnsi="宋体" w:eastAsia="宋体" w:cs="Times New Roman"/>
                <w:color w:val="auto"/>
                <w:szCs w:val="21"/>
              </w:rPr>
            </w:pPr>
            <w:r>
              <w:rPr>
                <w:rFonts w:hint="eastAsia" w:ascii="宋体" w:hAnsi="宋体" w:eastAsia="宋体" w:cs="Times New Roman"/>
                <w:color w:val="auto"/>
                <w:szCs w:val="21"/>
              </w:rPr>
              <w:t>考核说明：该项目考核分共</w:t>
            </w:r>
            <w:r>
              <w:rPr>
                <w:rFonts w:ascii="宋体" w:hAnsi="宋体" w:eastAsia="宋体" w:cs="Times New Roman"/>
                <w:color w:val="auto"/>
                <w:szCs w:val="21"/>
              </w:rPr>
              <w:t>1</w:t>
            </w:r>
            <w:r>
              <w:rPr>
                <w:rFonts w:hint="eastAsia" w:ascii="宋体" w:hAnsi="宋体" w:eastAsia="宋体" w:cs="Times New Roman"/>
                <w:color w:val="auto"/>
                <w:szCs w:val="21"/>
              </w:rPr>
              <w:t>0</w:t>
            </w:r>
            <w:r>
              <w:rPr>
                <w:rFonts w:ascii="宋体" w:hAnsi="宋体" w:eastAsia="宋体" w:cs="Times New Roman"/>
                <w:color w:val="auto"/>
                <w:szCs w:val="21"/>
              </w:rPr>
              <w:t>0</w:t>
            </w:r>
            <w:r>
              <w:rPr>
                <w:rFonts w:hint="eastAsia" w:ascii="宋体" w:hAnsi="宋体" w:eastAsia="宋体" w:cs="Times New Roman"/>
                <w:color w:val="auto"/>
                <w:szCs w:val="21"/>
              </w:rPr>
              <w:t>分，由学院管理部门在每天工作时间段内随机抽查考核，若当月同一考核项目连续不达标，则扣分项不受分值限制，直到扣完100分为止。学院按实际扣除分数扣减服务费（即被扣分数</w:t>
            </w:r>
            <w:r>
              <w:rPr>
                <w:rFonts w:ascii="宋体" w:hAnsi="宋体" w:eastAsia="宋体" w:cs="Arial"/>
                <w:color w:val="auto"/>
                <w:szCs w:val="21"/>
              </w:rPr>
              <w:t>×</w:t>
            </w:r>
            <w:r>
              <w:rPr>
                <w:rFonts w:hint="eastAsia" w:ascii="宋体" w:hAnsi="宋体" w:eastAsia="宋体" w:cs="宋体"/>
                <w:color w:val="auto"/>
                <w:szCs w:val="21"/>
              </w:rPr>
              <w:t>分值）</w:t>
            </w:r>
            <w:r>
              <w:rPr>
                <w:rFonts w:hint="eastAsia" w:ascii="宋体" w:hAnsi="宋体" w:eastAsia="宋体" w:cs="Times New Roman"/>
                <w:color w:val="auto"/>
                <w:szCs w:val="21"/>
              </w:rPr>
              <w:t>。</w:t>
            </w:r>
          </w:p>
        </w:tc>
      </w:tr>
      <w:tr w14:paraId="31DC6D2C">
        <w:tblPrEx>
          <w:tblCellMar>
            <w:top w:w="0" w:type="dxa"/>
            <w:left w:w="30" w:type="dxa"/>
            <w:bottom w:w="0" w:type="dxa"/>
            <w:right w:w="30" w:type="dxa"/>
          </w:tblCellMar>
        </w:tblPrEx>
        <w:trPr>
          <w:trHeight w:val="0" w:hRule="atLeast"/>
          <w:jc w:val="center"/>
        </w:trPr>
        <w:tc>
          <w:tcPr>
            <w:tcW w:w="10403" w:type="dxa"/>
            <w:gridSpan w:val="8"/>
            <w:tcBorders>
              <w:top w:val="single" w:color="auto" w:sz="4" w:space="0"/>
              <w:left w:val="single" w:color="auto" w:sz="4" w:space="0"/>
              <w:bottom w:val="single" w:color="auto" w:sz="4" w:space="0"/>
              <w:right w:val="single" w:color="auto" w:sz="4" w:space="0"/>
            </w:tcBorders>
            <w:noWrap w:val="0"/>
            <w:vAlign w:val="center"/>
          </w:tcPr>
          <w:p w14:paraId="501484AE">
            <w:pPr>
              <w:snapToGrid w:val="0"/>
              <w:spacing w:line="240" w:lineRule="auto"/>
              <w:ind w:left="0" w:leftChars="0" w:right="0" w:rightChars="0" w:firstLine="0" w:firstLineChars="0"/>
              <w:jc w:val="center"/>
              <w:rPr>
                <w:rFonts w:hint="eastAsia" w:ascii="宋体" w:hAnsi="宋体" w:eastAsia="宋体" w:cs="Times New Roman"/>
                <w:color w:val="auto"/>
                <w:szCs w:val="21"/>
              </w:rPr>
            </w:pPr>
            <w:r>
              <w:rPr>
                <w:rFonts w:hint="eastAsia" w:ascii="宋体" w:hAnsi="宋体" w:eastAsia="宋体" w:cs="Times New Roman"/>
                <w:color w:val="auto"/>
                <w:szCs w:val="21"/>
                <w:lang w:eastAsia="zh-CN"/>
              </w:rPr>
              <w:t>考核人：</w:t>
            </w:r>
            <w:r>
              <w:rPr>
                <w:rFonts w:hint="eastAsia" w:ascii="宋体" w:hAnsi="宋体" w:eastAsia="宋体" w:cs="Times New Roman"/>
                <w:color w:val="auto"/>
                <w:szCs w:val="21"/>
                <w:lang w:val="en-US" w:eastAsia="zh-CN"/>
              </w:rPr>
              <w:t xml:space="preserve">             责任人：             制表人:</w:t>
            </w:r>
          </w:p>
        </w:tc>
      </w:tr>
    </w:tbl>
    <w:p w14:paraId="01212291">
      <w:pPr>
        <w:spacing w:line="360" w:lineRule="auto"/>
        <w:jc w:val="center"/>
        <w:rPr>
          <w:rFonts w:hint="eastAsia" w:ascii="黑体" w:hAnsi="黑体" w:eastAsia="黑体" w:cs="Times New Roman"/>
          <w:b/>
          <w:bCs/>
          <w:color w:val="auto"/>
          <w:sz w:val="32"/>
          <w:szCs w:val="32"/>
        </w:rPr>
      </w:pPr>
    </w:p>
    <w:p w14:paraId="3B34423A">
      <w:pPr>
        <w:spacing w:line="360" w:lineRule="auto"/>
        <w:jc w:val="center"/>
        <w:rPr>
          <w:rFonts w:hint="eastAsia" w:ascii="黑体" w:hAnsi="黑体" w:eastAsia="黑体" w:cs="Times New Roman"/>
          <w:b/>
          <w:bCs/>
          <w:color w:val="auto"/>
          <w:sz w:val="32"/>
          <w:szCs w:val="32"/>
        </w:rPr>
      </w:pPr>
    </w:p>
    <w:p w14:paraId="3DD9A940">
      <w:pPr>
        <w:spacing w:line="360" w:lineRule="auto"/>
        <w:jc w:val="center"/>
        <w:rPr>
          <w:rFonts w:hint="eastAsia" w:ascii="黑体" w:hAnsi="黑体" w:eastAsia="黑体" w:cs="Times New Roman"/>
          <w:b/>
          <w:bCs/>
          <w:color w:val="auto"/>
          <w:sz w:val="32"/>
          <w:szCs w:val="32"/>
        </w:rPr>
      </w:pPr>
    </w:p>
    <w:p w14:paraId="2ACBFCF3">
      <w:pPr>
        <w:spacing w:line="360" w:lineRule="auto"/>
        <w:jc w:val="center"/>
        <w:rPr>
          <w:rFonts w:hint="eastAsia" w:ascii="黑体" w:hAnsi="黑体" w:eastAsia="黑体" w:cs="Times New Roman"/>
          <w:b/>
          <w:bCs/>
          <w:color w:val="auto"/>
          <w:sz w:val="32"/>
          <w:szCs w:val="32"/>
        </w:rPr>
      </w:pPr>
    </w:p>
    <w:p w14:paraId="12E8635F">
      <w:pPr>
        <w:spacing w:line="360" w:lineRule="auto"/>
        <w:jc w:val="center"/>
        <w:rPr>
          <w:rFonts w:hint="eastAsia" w:ascii="黑体" w:hAnsi="黑体" w:eastAsia="黑体" w:cs="Times New Roman"/>
          <w:b/>
          <w:bCs/>
          <w:color w:val="auto"/>
          <w:sz w:val="32"/>
          <w:szCs w:val="32"/>
        </w:rPr>
      </w:pPr>
    </w:p>
    <w:p w14:paraId="4DA55306">
      <w:pPr>
        <w:spacing w:line="360" w:lineRule="auto"/>
        <w:jc w:val="center"/>
        <w:rPr>
          <w:rFonts w:hint="eastAsia" w:ascii="黑体" w:hAnsi="黑体" w:eastAsia="黑体" w:cs="Times New Roman"/>
          <w:b/>
          <w:bCs/>
          <w:color w:val="auto"/>
          <w:sz w:val="32"/>
          <w:szCs w:val="32"/>
        </w:rPr>
      </w:pPr>
    </w:p>
    <w:p w14:paraId="5A7285AE">
      <w:pPr>
        <w:spacing w:line="360" w:lineRule="auto"/>
        <w:jc w:val="center"/>
        <w:rPr>
          <w:rFonts w:hint="eastAsia" w:ascii="黑体" w:hAnsi="黑体" w:eastAsia="黑体" w:cs="Times New Roman"/>
          <w:b/>
          <w:bCs/>
          <w:color w:val="auto"/>
          <w:sz w:val="32"/>
          <w:szCs w:val="32"/>
        </w:rPr>
      </w:pPr>
    </w:p>
    <w:p w14:paraId="5229869F">
      <w:pPr>
        <w:spacing w:line="360" w:lineRule="auto"/>
        <w:jc w:val="center"/>
        <w:rPr>
          <w:rFonts w:hint="eastAsia" w:ascii="黑体" w:hAnsi="黑体" w:eastAsia="黑体" w:cs="Times New Roman"/>
          <w:b/>
          <w:bCs/>
          <w:color w:val="auto"/>
          <w:sz w:val="32"/>
          <w:szCs w:val="32"/>
        </w:rPr>
      </w:pPr>
    </w:p>
    <w:p w14:paraId="1EB8C8B5">
      <w:pPr>
        <w:spacing w:line="360" w:lineRule="auto"/>
        <w:jc w:val="center"/>
        <w:rPr>
          <w:rFonts w:hint="eastAsia" w:ascii="黑体" w:hAnsi="黑体" w:eastAsia="黑体" w:cs="Times New Roman"/>
          <w:b/>
          <w:bCs/>
          <w:color w:val="auto"/>
          <w:sz w:val="32"/>
          <w:szCs w:val="32"/>
        </w:rPr>
      </w:pPr>
    </w:p>
    <w:p w14:paraId="52530319">
      <w:pPr>
        <w:spacing w:line="360" w:lineRule="auto"/>
        <w:jc w:val="center"/>
        <w:rPr>
          <w:rFonts w:hint="eastAsia" w:ascii="黑体" w:hAnsi="黑体" w:eastAsia="黑体" w:cs="Times New Roman"/>
          <w:b/>
          <w:bCs/>
          <w:color w:val="auto"/>
          <w:sz w:val="32"/>
          <w:szCs w:val="32"/>
        </w:rPr>
      </w:pPr>
    </w:p>
    <w:p w14:paraId="4959DAB9">
      <w:pPr>
        <w:spacing w:line="360" w:lineRule="auto"/>
        <w:jc w:val="center"/>
        <w:rPr>
          <w:rFonts w:hint="eastAsia" w:ascii="黑体" w:hAnsi="黑体" w:eastAsia="黑体" w:cs="Times New Roman"/>
          <w:b/>
          <w:bCs/>
          <w:color w:val="auto"/>
          <w:sz w:val="32"/>
          <w:szCs w:val="32"/>
        </w:rPr>
      </w:pPr>
    </w:p>
    <w:p w14:paraId="47B89C6D">
      <w:pPr>
        <w:spacing w:line="360" w:lineRule="auto"/>
        <w:jc w:val="center"/>
        <w:rPr>
          <w:rFonts w:hint="eastAsia" w:ascii="黑体" w:hAnsi="黑体" w:eastAsia="黑体" w:cs="Times New Roman"/>
          <w:b/>
          <w:bCs/>
          <w:color w:val="auto"/>
          <w:sz w:val="32"/>
          <w:szCs w:val="32"/>
        </w:rPr>
      </w:pPr>
    </w:p>
    <w:p w14:paraId="52E8698F">
      <w:pPr>
        <w:spacing w:line="360" w:lineRule="auto"/>
        <w:jc w:val="both"/>
        <w:rPr>
          <w:rFonts w:hint="eastAsia" w:ascii="黑体" w:hAnsi="黑体" w:eastAsia="黑体" w:cs="Times New Roman"/>
          <w:b/>
          <w:bCs/>
          <w:color w:val="auto"/>
          <w:sz w:val="32"/>
          <w:szCs w:val="32"/>
        </w:rPr>
      </w:pPr>
    </w:p>
    <w:p w14:paraId="752E30A2">
      <w:pPr>
        <w:spacing w:line="360" w:lineRule="auto"/>
        <w:jc w:val="both"/>
        <w:rPr>
          <w:rFonts w:hint="eastAsia" w:ascii="黑体" w:hAnsi="黑体" w:eastAsia="黑体" w:cs="Times New Roman"/>
          <w:b/>
          <w:bCs/>
          <w:color w:val="auto"/>
          <w:sz w:val="32"/>
          <w:szCs w:val="32"/>
        </w:rPr>
      </w:pPr>
      <w:r>
        <w:rPr>
          <w:rFonts w:hint="eastAsia" w:ascii="黑体" w:hAnsi="黑体" w:eastAsia="黑体" w:cs="Times New Roman"/>
          <w:b/>
          <w:bCs/>
          <w:color w:val="auto"/>
          <w:sz w:val="32"/>
          <w:szCs w:val="32"/>
        </w:rPr>
        <w:br w:type="page"/>
      </w:r>
      <w:r>
        <w:rPr>
          <w:rFonts w:hint="eastAsia" w:ascii="黑体" w:hAnsi="黑体" w:eastAsia="黑体" w:cs="Times New Roman"/>
          <w:b/>
          <w:bCs/>
          <w:color w:val="auto"/>
          <w:sz w:val="32"/>
          <w:szCs w:val="32"/>
        </w:rPr>
        <w:t>供电保障服务质量考核表</w:t>
      </w:r>
    </w:p>
    <w:tbl>
      <w:tblPr>
        <w:tblStyle w:val="33"/>
        <w:tblW w:w="10168" w:type="dxa"/>
        <w:jc w:val="center"/>
        <w:tblLayout w:type="autofit"/>
        <w:tblCellMar>
          <w:top w:w="0" w:type="dxa"/>
          <w:left w:w="30" w:type="dxa"/>
          <w:bottom w:w="0" w:type="dxa"/>
          <w:right w:w="30" w:type="dxa"/>
        </w:tblCellMar>
      </w:tblPr>
      <w:tblGrid>
        <w:gridCol w:w="720"/>
        <w:gridCol w:w="3473"/>
        <w:gridCol w:w="3773"/>
        <w:gridCol w:w="1140"/>
        <w:gridCol w:w="660"/>
        <w:gridCol w:w="402"/>
      </w:tblGrid>
      <w:tr w14:paraId="6A7C4AEF">
        <w:tblPrEx>
          <w:tblCellMar>
            <w:top w:w="0" w:type="dxa"/>
            <w:left w:w="30" w:type="dxa"/>
            <w:bottom w:w="0" w:type="dxa"/>
            <w:right w:w="30" w:type="dxa"/>
          </w:tblCellMar>
        </w:tblPrEx>
        <w:trPr>
          <w:trHeight w:val="0" w:hRule="atLeast"/>
          <w:tblHeader/>
          <w:jc w:val="center"/>
        </w:trPr>
        <w:tc>
          <w:tcPr>
            <w:tcW w:w="720" w:type="dxa"/>
            <w:tcBorders>
              <w:top w:val="single" w:color="000000" w:sz="2" w:space="0"/>
              <w:left w:val="single" w:color="auto" w:sz="6" w:space="0"/>
              <w:bottom w:val="single" w:color="auto" w:sz="6" w:space="0"/>
              <w:right w:val="single" w:color="auto" w:sz="6" w:space="0"/>
            </w:tcBorders>
            <w:noWrap w:val="0"/>
            <w:vAlign w:val="center"/>
          </w:tcPr>
          <w:p w14:paraId="596167CB">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序号</w:t>
            </w:r>
          </w:p>
        </w:tc>
        <w:tc>
          <w:tcPr>
            <w:tcW w:w="3473" w:type="dxa"/>
            <w:tcBorders>
              <w:top w:val="single" w:color="000000" w:sz="2" w:space="0"/>
              <w:left w:val="single" w:color="auto" w:sz="6" w:space="0"/>
              <w:bottom w:val="single" w:color="auto" w:sz="6" w:space="0"/>
              <w:right w:val="single" w:color="auto" w:sz="6" w:space="0"/>
            </w:tcBorders>
            <w:noWrap w:val="0"/>
            <w:vAlign w:val="center"/>
          </w:tcPr>
          <w:p w14:paraId="6C681212">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作业要求</w:t>
            </w:r>
          </w:p>
        </w:tc>
        <w:tc>
          <w:tcPr>
            <w:tcW w:w="3773" w:type="dxa"/>
            <w:tcBorders>
              <w:top w:val="single" w:color="000000" w:sz="2" w:space="0"/>
              <w:left w:val="single" w:color="auto" w:sz="6" w:space="0"/>
              <w:bottom w:val="single" w:color="auto" w:sz="6" w:space="0"/>
              <w:right w:val="single" w:color="auto" w:sz="6" w:space="0"/>
            </w:tcBorders>
            <w:noWrap w:val="0"/>
            <w:vAlign w:val="center"/>
          </w:tcPr>
          <w:p w14:paraId="5A903CDE">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考核标准</w:t>
            </w:r>
          </w:p>
        </w:tc>
        <w:tc>
          <w:tcPr>
            <w:tcW w:w="1140" w:type="dxa"/>
            <w:tcBorders>
              <w:top w:val="single" w:color="000000" w:sz="2" w:space="0"/>
              <w:left w:val="single" w:color="auto" w:sz="6" w:space="0"/>
              <w:bottom w:val="single" w:color="auto" w:sz="6" w:space="0"/>
              <w:right w:val="single" w:color="auto" w:sz="6" w:space="0"/>
            </w:tcBorders>
            <w:noWrap w:val="0"/>
            <w:vAlign w:val="center"/>
          </w:tcPr>
          <w:p w14:paraId="36A0C35E">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核定分值</w:t>
            </w:r>
          </w:p>
        </w:tc>
        <w:tc>
          <w:tcPr>
            <w:tcW w:w="660" w:type="dxa"/>
            <w:tcBorders>
              <w:top w:val="single" w:color="000000" w:sz="2" w:space="0"/>
              <w:left w:val="single" w:color="auto" w:sz="6" w:space="0"/>
              <w:bottom w:val="single" w:color="auto" w:sz="6" w:space="0"/>
              <w:right w:val="single" w:color="auto" w:sz="6" w:space="0"/>
            </w:tcBorders>
            <w:noWrap w:val="0"/>
            <w:vAlign w:val="center"/>
          </w:tcPr>
          <w:p w14:paraId="5C6B96F3">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抽检得分</w:t>
            </w:r>
          </w:p>
        </w:tc>
        <w:tc>
          <w:tcPr>
            <w:tcW w:w="402" w:type="dxa"/>
            <w:tcBorders>
              <w:top w:val="single" w:color="000000" w:sz="2" w:space="0"/>
              <w:left w:val="single" w:color="auto" w:sz="6" w:space="0"/>
              <w:bottom w:val="single" w:color="auto" w:sz="6" w:space="0"/>
              <w:right w:val="single" w:color="auto" w:sz="6" w:space="0"/>
            </w:tcBorders>
            <w:noWrap w:val="0"/>
            <w:vAlign w:val="center"/>
          </w:tcPr>
          <w:p w14:paraId="238D5748">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备注</w:t>
            </w:r>
          </w:p>
        </w:tc>
      </w:tr>
      <w:tr w14:paraId="43304200">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238CCBA3">
            <w:pPr>
              <w:snapToGrid w:val="0"/>
              <w:spacing w:line="240" w:lineRule="auto"/>
              <w:ind w:left="0" w:leftChars="0" w:right="0" w:rightChars="0" w:firstLine="0" w:firstLineChars="0"/>
              <w:jc w:val="center"/>
              <w:rPr>
                <w:rFonts w:ascii="宋体" w:hAnsi="宋体" w:eastAsia="宋体" w:cs="Times New Roman"/>
                <w:color w:val="auto"/>
                <w:sz w:val="21"/>
                <w:szCs w:val="21"/>
              </w:rPr>
            </w:pPr>
            <w:r>
              <w:rPr>
                <w:rFonts w:ascii="宋体" w:hAnsi="宋体" w:eastAsia="宋体" w:cs="Times New Roman"/>
                <w:color w:val="auto"/>
                <w:sz w:val="21"/>
                <w:szCs w:val="21"/>
              </w:rPr>
              <w:t>1</w:t>
            </w:r>
          </w:p>
        </w:tc>
        <w:tc>
          <w:tcPr>
            <w:tcW w:w="3473" w:type="dxa"/>
            <w:tcBorders>
              <w:top w:val="single" w:color="auto" w:sz="6" w:space="0"/>
              <w:left w:val="single" w:color="auto" w:sz="6" w:space="0"/>
              <w:bottom w:val="single" w:color="auto" w:sz="6" w:space="0"/>
              <w:right w:val="single" w:color="auto" w:sz="6" w:space="0"/>
            </w:tcBorders>
            <w:noWrap w:val="0"/>
            <w:vAlign w:val="center"/>
          </w:tcPr>
          <w:p w14:paraId="56D0D302">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规章制度健全；有年度供电保障及维修计划；组织结构有领班；有人员档案。</w:t>
            </w:r>
          </w:p>
        </w:tc>
        <w:tc>
          <w:tcPr>
            <w:tcW w:w="3773" w:type="dxa"/>
            <w:tcBorders>
              <w:top w:val="single" w:color="auto" w:sz="6" w:space="0"/>
              <w:left w:val="single" w:color="auto" w:sz="6" w:space="0"/>
              <w:bottom w:val="single" w:color="auto" w:sz="6" w:space="0"/>
              <w:right w:val="single" w:color="auto" w:sz="6" w:space="0"/>
            </w:tcBorders>
            <w:noWrap w:val="0"/>
            <w:vAlign w:val="center"/>
          </w:tcPr>
          <w:p w14:paraId="17FA44AD">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健全（每项</w:t>
            </w:r>
            <w:r>
              <w:rPr>
                <w:rFonts w:ascii="宋体" w:hAnsi="宋体" w:eastAsia="宋体" w:cs="Times New Roman"/>
                <w:color w:val="auto"/>
                <w:sz w:val="21"/>
                <w:szCs w:val="21"/>
              </w:rPr>
              <w:t>2.5</w:t>
            </w:r>
            <w:r>
              <w:rPr>
                <w:rFonts w:hint="eastAsia" w:ascii="宋体" w:hAnsi="宋体" w:eastAsia="宋体" w:cs="Times New Roman"/>
                <w:color w:val="auto"/>
                <w:sz w:val="21"/>
                <w:szCs w:val="21"/>
              </w:rPr>
              <w:t>分）,每缺1项扣2.5分。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59EF3878">
            <w:pPr>
              <w:snapToGrid w:val="0"/>
              <w:spacing w:line="240" w:lineRule="auto"/>
              <w:ind w:left="0" w:leftChars="0" w:right="0" w:rightChars="0" w:firstLine="0" w:firstLineChars="0"/>
              <w:jc w:val="right"/>
              <w:rPr>
                <w:rFonts w:ascii="宋体" w:hAnsi="宋体" w:eastAsia="宋体" w:cs="Times New Roman"/>
                <w:color w:val="auto"/>
                <w:sz w:val="21"/>
                <w:szCs w:val="21"/>
              </w:rPr>
            </w:pPr>
            <w:r>
              <w:rPr>
                <w:rFonts w:ascii="宋体" w:hAnsi="宋体" w:eastAsia="宋体" w:cs="Times New Roman"/>
                <w:color w:val="auto"/>
                <w:sz w:val="21"/>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26C317B8">
            <w:pPr>
              <w:snapToGrid w:val="0"/>
              <w:spacing w:line="240" w:lineRule="auto"/>
              <w:ind w:left="0" w:leftChars="0" w:right="0" w:rightChars="0" w:firstLine="0" w:firstLineChars="0"/>
              <w:jc w:val="center"/>
              <w:rPr>
                <w:rFonts w:ascii="宋体" w:hAnsi="宋体" w:eastAsia="宋体" w:cs="Times New Roman"/>
                <w:color w:val="auto"/>
                <w:sz w:val="21"/>
                <w:szCs w:val="21"/>
              </w:rPr>
            </w:pPr>
          </w:p>
        </w:tc>
        <w:tc>
          <w:tcPr>
            <w:tcW w:w="402" w:type="dxa"/>
            <w:tcBorders>
              <w:top w:val="single" w:color="auto" w:sz="6" w:space="0"/>
              <w:left w:val="single" w:color="auto" w:sz="6" w:space="0"/>
              <w:bottom w:val="single" w:color="auto" w:sz="6" w:space="0"/>
              <w:right w:val="single" w:color="auto" w:sz="6" w:space="0"/>
            </w:tcBorders>
            <w:noWrap w:val="0"/>
            <w:vAlign w:val="center"/>
          </w:tcPr>
          <w:p w14:paraId="3CF0454F">
            <w:pPr>
              <w:snapToGrid w:val="0"/>
              <w:spacing w:line="240" w:lineRule="auto"/>
              <w:ind w:left="0" w:leftChars="0" w:right="0" w:rightChars="0" w:firstLine="0" w:firstLineChars="0"/>
              <w:jc w:val="center"/>
              <w:rPr>
                <w:rFonts w:ascii="宋体" w:hAnsi="宋体" w:eastAsia="宋体" w:cs="Times New Roman"/>
                <w:color w:val="auto"/>
                <w:sz w:val="21"/>
                <w:szCs w:val="21"/>
              </w:rPr>
            </w:pPr>
          </w:p>
        </w:tc>
      </w:tr>
      <w:tr w14:paraId="3A8CBDD6">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68A3A3DA">
            <w:pPr>
              <w:snapToGrid w:val="0"/>
              <w:spacing w:line="240" w:lineRule="auto"/>
              <w:ind w:left="0" w:leftChars="0" w:right="0" w:rightChars="0" w:firstLine="0" w:firstLineChars="0"/>
              <w:jc w:val="center"/>
              <w:rPr>
                <w:rFonts w:ascii="宋体" w:hAnsi="宋体" w:eastAsia="宋体" w:cs="Times New Roman"/>
                <w:color w:val="auto"/>
                <w:sz w:val="21"/>
                <w:szCs w:val="21"/>
              </w:rPr>
            </w:pPr>
            <w:r>
              <w:rPr>
                <w:rFonts w:ascii="宋体" w:hAnsi="宋体" w:eastAsia="宋体" w:cs="Times New Roman"/>
                <w:color w:val="auto"/>
                <w:sz w:val="21"/>
                <w:szCs w:val="21"/>
              </w:rPr>
              <w:t>2</w:t>
            </w:r>
          </w:p>
        </w:tc>
        <w:tc>
          <w:tcPr>
            <w:tcW w:w="3473" w:type="dxa"/>
            <w:tcBorders>
              <w:top w:val="single" w:color="auto" w:sz="6" w:space="0"/>
              <w:left w:val="single" w:color="auto" w:sz="6" w:space="0"/>
              <w:bottom w:val="single" w:color="auto" w:sz="6" w:space="0"/>
              <w:right w:val="single" w:color="auto" w:sz="6" w:space="0"/>
            </w:tcBorders>
            <w:noWrap w:val="0"/>
            <w:vAlign w:val="center"/>
          </w:tcPr>
          <w:p w14:paraId="7BF522DC">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精神面貌好，服装统一、佩戴统一标识。</w:t>
            </w:r>
          </w:p>
        </w:tc>
        <w:tc>
          <w:tcPr>
            <w:tcW w:w="3773" w:type="dxa"/>
            <w:tcBorders>
              <w:top w:val="single" w:color="auto" w:sz="6" w:space="0"/>
              <w:left w:val="single" w:color="auto" w:sz="6" w:space="0"/>
              <w:bottom w:val="single" w:color="auto" w:sz="6" w:space="0"/>
              <w:right w:val="single" w:color="auto" w:sz="6" w:space="0"/>
            </w:tcBorders>
            <w:noWrap w:val="0"/>
            <w:vAlign w:val="center"/>
          </w:tcPr>
          <w:p w14:paraId="4C7A40D7">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整齐、统一（每项</w:t>
            </w:r>
            <w:r>
              <w:rPr>
                <w:rFonts w:ascii="宋体" w:hAnsi="宋体" w:eastAsia="宋体" w:cs="Times New Roman"/>
                <w:color w:val="auto"/>
                <w:sz w:val="21"/>
                <w:szCs w:val="21"/>
              </w:rPr>
              <w:t>1</w:t>
            </w:r>
            <w:r>
              <w:rPr>
                <w:rFonts w:hint="eastAsia" w:ascii="宋体" w:hAnsi="宋体" w:eastAsia="宋体" w:cs="Times New Roman"/>
                <w:color w:val="auto"/>
                <w:sz w:val="21"/>
                <w:szCs w:val="21"/>
              </w:rPr>
              <w:t>分），每缺1项扣1分。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4B683EC0">
            <w:pPr>
              <w:snapToGrid w:val="0"/>
              <w:spacing w:line="240" w:lineRule="auto"/>
              <w:ind w:left="0" w:leftChars="0" w:right="0" w:rightChars="0" w:firstLine="0" w:firstLineChars="0"/>
              <w:jc w:val="right"/>
              <w:rPr>
                <w:rFonts w:ascii="宋体" w:hAnsi="宋体" w:eastAsia="宋体" w:cs="Times New Roman"/>
                <w:color w:val="auto"/>
                <w:sz w:val="21"/>
                <w:szCs w:val="21"/>
              </w:rPr>
            </w:pPr>
            <w:r>
              <w:rPr>
                <w:rFonts w:ascii="宋体" w:hAnsi="宋体" w:eastAsia="宋体" w:cs="Times New Roman"/>
                <w:color w:val="auto"/>
                <w:sz w:val="21"/>
                <w:szCs w:val="21"/>
              </w:rPr>
              <w:t>2</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256DDE55">
            <w:pPr>
              <w:snapToGrid w:val="0"/>
              <w:spacing w:line="240" w:lineRule="auto"/>
              <w:ind w:left="0" w:leftChars="0" w:right="0" w:rightChars="0" w:firstLine="0" w:firstLineChars="0"/>
              <w:jc w:val="center"/>
              <w:rPr>
                <w:rFonts w:ascii="宋体" w:hAnsi="宋体" w:eastAsia="宋体" w:cs="Times New Roman"/>
                <w:color w:val="auto"/>
                <w:sz w:val="21"/>
                <w:szCs w:val="21"/>
              </w:rPr>
            </w:pPr>
          </w:p>
        </w:tc>
        <w:tc>
          <w:tcPr>
            <w:tcW w:w="402" w:type="dxa"/>
            <w:tcBorders>
              <w:top w:val="single" w:color="auto" w:sz="6" w:space="0"/>
              <w:left w:val="single" w:color="auto" w:sz="6" w:space="0"/>
              <w:bottom w:val="single" w:color="auto" w:sz="6" w:space="0"/>
              <w:right w:val="single" w:color="auto" w:sz="6" w:space="0"/>
            </w:tcBorders>
            <w:noWrap w:val="0"/>
            <w:vAlign w:val="center"/>
          </w:tcPr>
          <w:p w14:paraId="5B500FBA">
            <w:pPr>
              <w:snapToGrid w:val="0"/>
              <w:spacing w:line="240" w:lineRule="auto"/>
              <w:ind w:left="0" w:leftChars="0" w:right="0" w:rightChars="0" w:firstLine="0" w:firstLineChars="0"/>
              <w:jc w:val="center"/>
              <w:rPr>
                <w:rFonts w:ascii="宋体" w:hAnsi="宋体" w:eastAsia="宋体" w:cs="Times New Roman"/>
                <w:color w:val="auto"/>
                <w:sz w:val="21"/>
                <w:szCs w:val="21"/>
              </w:rPr>
            </w:pPr>
          </w:p>
        </w:tc>
      </w:tr>
      <w:tr w14:paraId="34FE3E89">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73B85423">
            <w:pPr>
              <w:snapToGrid w:val="0"/>
              <w:spacing w:line="240" w:lineRule="auto"/>
              <w:ind w:left="0" w:leftChars="0" w:right="0" w:rightChars="0" w:firstLine="0" w:firstLineChars="0"/>
              <w:jc w:val="center"/>
              <w:rPr>
                <w:rFonts w:ascii="宋体" w:hAnsi="宋体" w:eastAsia="宋体" w:cs="Times New Roman"/>
                <w:color w:val="auto"/>
                <w:sz w:val="21"/>
                <w:szCs w:val="21"/>
              </w:rPr>
            </w:pPr>
            <w:r>
              <w:rPr>
                <w:rFonts w:ascii="宋体" w:hAnsi="宋体" w:eastAsia="宋体" w:cs="Times New Roman"/>
                <w:color w:val="auto"/>
                <w:sz w:val="21"/>
                <w:szCs w:val="21"/>
              </w:rPr>
              <w:t>3</w:t>
            </w:r>
          </w:p>
        </w:tc>
        <w:tc>
          <w:tcPr>
            <w:tcW w:w="3473" w:type="dxa"/>
            <w:tcBorders>
              <w:top w:val="single" w:color="auto" w:sz="6" w:space="0"/>
              <w:left w:val="single" w:color="auto" w:sz="6" w:space="0"/>
              <w:bottom w:val="single" w:color="auto" w:sz="6" w:space="0"/>
              <w:right w:val="single" w:color="auto" w:sz="6" w:space="0"/>
            </w:tcBorders>
            <w:noWrap w:val="0"/>
            <w:vAlign w:val="center"/>
          </w:tcPr>
          <w:p w14:paraId="368CE2DB">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专业技能持证上岗</w:t>
            </w:r>
          </w:p>
        </w:tc>
        <w:tc>
          <w:tcPr>
            <w:tcW w:w="3773" w:type="dxa"/>
            <w:tcBorders>
              <w:top w:val="single" w:color="auto" w:sz="6" w:space="0"/>
              <w:left w:val="single" w:color="auto" w:sz="6" w:space="0"/>
              <w:bottom w:val="single" w:color="auto" w:sz="6" w:space="0"/>
              <w:right w:val="single" w:color="auto" w:sz="6" w:space="0"/>
            </w:tcBorders>
            <w:noWrap w:val="0"/>
            <w:vAlign w:val="center"/>
          </w:tcPr>
          <w:p w14:paraId="5E40B937">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中级或以上电工职业资格证。</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4B5C8A2A">
            <w:pPr>
              <w:snapToGrid w:val="0"/>
              <w:spacing w:line="240" w:lineRule="auto"/>
              <w:ind w:left="0" w:leftChars="0" w:right="0" w:rightChars="0" w:firstLine="0" w:firstLineChars="0"/>
              <w:jc w:val="right"/>
              <w:rPr>
                <w:rFonts w:ascii="宋体" w:hAnsi="宋体" w:eastAsia="宋体" w:cs="Times New Roman"/>
                <w:color w:val="auto"/>
                <w:sz w:val="21"/>
                <w:szCs w:val="21"/>
              </w:rPr>
            </w:pPr>
            <w:r>
              <w:rPr>
                <w:rFonts w:ascii="宋体" w:hAnsi="宋体" w:eastAsia="宋体" w:cs="Times New Roman"/>
                <w:color w:val="auto"/>
                <w:sz w:val="21"/>
                <w:szCs w:val="21"/>
              </w:rPr>
              <w:t>5</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559E461F">
            <w:pPr>
              <w:snapToGrid w:val="0"/>
              <w:spacing w:line="240" w:lineRule="auto"/>
              <w:ind w:left="0" w:leftChars="0" w:right="0" w:rightChars="0" w:firstLine="0" w:firstLineChars="0"/>
              <w:jc w:val="center"/>
              <w:rPr>
                <w:rFonts w:ascii="宋体" w:hAnsi="宋体" w:eastAsia="宋体" w:cs="Times New Roman"/>
                <w:color w:val="auto"/>
                <w:sz w:val="21"/>
                <w:szCs w:val="21"/>
              </w:rPr>
            </w:pPr>
          </w:p>
        </w:tc>
        <w:tc>
          <w:tcPr>
            <w:tcW w:w="402" w:type="dxa"/>
            <w:tcBorders>
              <w:top w:val="single" w:color="auto" w:sz="6" w:space="0"/>
              <w:left w:val="single" w:color="auto" w:sz="6" w:space="0"/>
              <w:bottom w:val="single" w:color="auto" w:sz="6" w:space="0"/>
              <w:right w:val="single" w:color="auto" w:sz="6" w:space="0"/>
            </w:tcBorders>
            <w:noWrap w:val="0"/>
            <w:vAlign w:val="center"/>
          </w:tcPr>
          <w:p w14:paraId="78F47E34">
            <w:pPr>
              <w:snapToGrid w:val="0"/>
              <w:spacing w:line="240" w:lineRule="auto"/>
              <w:ind w:left="0" w:leftChars="0" w:right="0" w:rightChars="0" w:firstLine="0" w:firstLineChars="0"/>
              <w:jc w:val="center"/>
              <w:rPr>
                <w:rFonts w:ascii="宋体" w:hAnsi="宋体" w:eastAsia="宋体" w:cs="Times New Roman"/>
                <w:color w:val="auto"/>
                <w:sz w:val="21"/>
                <w:szCs w:val="21"/>
              </w:rPr>
            </w:pPr>
          </w:p>
        </w:tc>
      </w:tr>
      <w:tr w14:paraId="207717CC">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0DAC754F">
            <w:pPr>
              <w:snapToGrid w:val="0"/>
              <w:spacing w:line="240" w:lineRule="auto"/>
              <w:ind w:left="0" w:leftChars="0" w:right="0" w:rightChars="0" w:firstLine="0" w:firstLineChars="0"/>
              <w:jc w:val="center"/>
              <w:rPr>
                <w:rFonts w:ascii="宋体" w:hAnsi="宋体" w:eastAsia="宋体" w:cs="Times New Roman"/>
                <w:color w:val="auto"/>
                <w:sz w:val="21"/>
                <w:szCs w:val="21"/>
              </w:rPr>
            </w:pPr>
            <w:r>
              <w:rPr>
                <w:rFonts w:ascii="宋体" w:hAnsi="宋体" w:eastAsia="宋体" w:cs="Times New Roman"/>
                <w:color w:val="auto"/>
                <w:sz w:val="21"/>
                <w:szCs w:val="21"/>
              </w:rPr>
              <w:t>4</w:t>
            </w:r>
          </w:p>
        </w:tc>
        <w:tc>
          <w:tcPr>
            <w:tcW w:w="3473" w:type="dxa"/>
            <w:tcBorders>
              <w:top w:val="single" w:color="auto" w:sz="6" w:space="0"/>
              <w:left w:val="single" w:color="auto" w:sz="6" w:space="0"/>
              <w:bottom w:val="single" w:color="auto" w:sz="6" w:space="0"/>
              <w:right w:val="single" w:color="auto" w:sz="6" w:space="0"/>
            </w:tcBorders>
            <w:noWrap w:val="0"/>
            <w:vAlign w:val="center"/>
          </w:tcPr>
          <w:p w14:paraId="1ECD1E52">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科学合理制定供电保障及维修计划，规范维修行为，维修有记录、有验收；节约原材料，文明施工，安全上岗。</w:t>
            </w:r>
          </w:p>
        </w:tc>
        <w:tc>
          <w:tcPr>
            <w:tcW w:w="3773" w:type="dxa"/>
            <w:tcBorders>
              <w:top w:val="single" w:color="auto" w:sz="6" w:space="0"/>
              <w:left w:val="single" w:color="auto" w:sz="6" w:space="0"/>
              <w:bottom w:val="single" w:color="auto" w:sz="6" w:space="0"/>
              <w:right w:val="single" w:color="auto" w:sz="6" w:space="0"/>
            </w:tcBorders>
            <w:noWrap w:val="0"/>
            <w:vAlign w:val="center"/>
          </w:tcPr>
          <w:p w14:paraId="2AB7093D">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无损坏公物现象（</w:t>
            </w:r>
            <w:r>
              <w:rPr>
                <w:rFonts w:ascii="宋体" w:hAnsi="宋体" w:eastAsia="宋体" w:cs="Times New Roman"/>
                <w:color w:val="auto"/>
                <w:sz w:val="21"/>
                <w:szCs w:val="21"/>
              </w:rPr>
              <w:t>1</w:t>
            </w:r>
            <w:r>
              <w:rPr>
                <w:rFonts w:hint="eastAsia" w:ascii="宋体" w:hAnsi="宋体" w:eastAsia="宋体" w:cs="Times New Roman"/>
                <w:color w:val="auto"/>
                <w:sz w:val="21"/>
                <w:szCs w:val="21"/>
              </w:rPr>
              <w:t>分）、文明用语（</w:t>
            </w:r>
            <w:r>
              <w:rPr>
                <w:rFonts w:ascii="宋体" w:hAnsi="宋体" w:eastAsia="宋体" w:cs="Times New Roman"/>
                <w:color w:val="auto"/>
                <w:sz w:val="21"/>
                <w:szCs w:val="21"/>
              </w:rPr>
              <w:t>1</w:t>
            </w:r>
            <w:r>
              <w:rPr>
                <w:rFonts w:hint="eastAsia" w:ascii="宋体" w:hAnsi="宋体" w:eastAsia="宋体" w:cs="Times New Roman"/>
                <w:color w:val="auto"/>
                <w:sz w:val="21"/>
                <w:szCs w:val="21"/>
              </w:rPr>
              <w:t>分）、不拉帮结派（</w:t>
            </w:r>
            <w:r>
              <w:rPr>
                <w:rFonts w:ascii="宋体" w:hAnsi="宋体" w:eastAsia="宋体" w:cs="Times New Roman"/>
                <w:color w:val="auto"/>
                <w:sz w:val="21"/>
                <w:szCs w:val="21"/>
              </w:rPr>
              <w:t>1</w:t>
            </w:r>
            <w:r>
              <w:rPr>
                <w:rFonts w:hint="eastAsia" w:ascii="宋体" w:hAnsi="宋体" w:eastAsia="宋体" w:cs="Times New Roman"/>
                <w:color w:val="auto"/>
                <w:sz w:val="21"/>
                <w:szCs w:val="21"/>
              </w:rPr>
              <w:t>分）、工作时段不做与工作无关的事情（</w:t>
            </w:r>
            <w:r>
              <w:rPr>
                <w:rFonts w:ascii="宋体" w:hAnsi="宋体" w:eastAsia="宋体" w:cs="Times New Roman"/>
                <w:color w:val="auto"/>
                <w:sz w:val="21"/>
                <w:szCs w:val="21"/>
              </w:rPr>
              <w:t>1</w:t>
            </w:r>
            <w:r>
              <w:rPr>
                <w:rFonts w:hint="eastAsia" w:ascii="宋体" w:hAnsi="宋体" w:eastAsia="宋体" w:cs="Times New Roman"/>
                <w:color w:val="auto"/>
                <w:sz w:val="21"/>
                <w:szCs w:val="21"/>
              </w:rPr>
              <w:t>分）。每违反1项扣1分。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056185C8">
            <w:pPr>
              <w:snapToGrid w:val="0"/>
              <w:spacing w:line="240" w:lineRule="auto"/>
              <w:ind w:left="0" w:leftChars="0" w:right="0" w:rightChars="0" w:firstLine="0" w:firstLineChars="0"/>
              <w:jc w:val="right"/>
              <w:rPr>
                <w:rFonts w:ascii="宋体" w:hAnsi="宋体" w:eastAsia="宋体" w:cs="Times New Roman"/>
                <w:color w:val="auto"/>
                <w:sz w:val="21"/>
                <w:szCs w:val="21"/>
              </w:rPr>
            </w:pPr>
            <w:r>
              <w:rPr>
                <w:rFonts w:ascii="宋体" w:hAnsi="宋体" w:eastAsia="宋体" w:cs="Times New Roman"/>
                <w:color w:val="auto"/>
                <w:sz w:val="21"/>
                <w:szCs w:val="21"/>
              </w:rPr>
              <w:t>5</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03A05018">
            <w:pPr>
              <w:snapToGrid w:val="0"/>
              <w:spacing w:line="240" w:lineRule="auto"/>
              <w:ind w:left="0" w:leftChars="0" w:right="0" w:rightChars="0" w:firstLine="0" w:firstLineChars="0"/>
              <w:jc w:val="center"/>
              <w:rPr>
                <w:rFonts w:ascii="宋体" w:hAnsi="宋体" w:eastAsia="宋体" w:cs="Times New Roman"/>
                <w:color w:val="auto"/>
                <w:sz w:val="21"/>
                <w:szCs w:val="21"/>
              </w:rPr>
            </w:pPr>
          </w:p>
        </w:tc>
        <w:tc>
          <w:tcPr>
            <w:tcW w:w="402" w:type="dxa"/>
            <w:tcBorders>
              <w:top w:val="single" w:color="auto" w:sz="6" w:space="0"/>
              <w:left w:val="single" w:color="auto" w:sz="6" w:space="0"/>
              <w:bottom w:val="single" w:color="auto" w:sz="6" w:space="0"/>
              <w:right w:val="single" w:color="auto" w:sz="6" w:space="0"/>
            </w:tcBorders>
            <w:noWrap w:val="0"/>
            <w:vAlign w:val="center"/>
          </w:tcPr>
          <w:p w14:paraId="4C6BE239">
            <w:pPr>
              <w:snapToGrid w:val="0"/>
              <w:spacing w:line="240" w:lineRule="auto"/>
              <w:ind w:left="0" w:leftChars="0" w:right="0" w:rightChars="0" w:firstLine="0" w:firstLineChars="0"/>
              <w:jc w:val="center"/>
              <w:rPr>
                <w:rFonts w:ascii="宋体" w:hAnsi="宋体" w:eastAsia="宋体" w:cs="Times New Roman"/>
                <w:color w:val="auto"/>
                <w:sz w:val="21"/>
                <w:szCs w:val="21"/>
              </w:rPr>
            </w:pPr>
          </w:p>
        </w:tc>
      </w:tr>
      <w:tr w14:paraId="3BE7199C">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283E0849">
            <w:pPr>
              <w:snapToGrid w:val="0"/>
              <w:spacing w:line="240" w:lineRule="auto"/>
              <w:ind w:left="0" w:leftChars="0" w:right="0" w:rightChars="0" w:firstLine="0" w:firstLineChars="0"/>
              <w:jc w:val="center"/>
              <w:rPr>
                <w:rFonts w:ascii="宋体" w:hAnsi="宋体" w:eastAsia="宋体" w:cs="Times New Roman"/>
                <w:color w:val="auto"/>
                <w:sz w:val="21"/>
                <w:szCs w:val="21"/>
              </w:rPr>
            </w:pPr>
            <w:r>
              <w:rPr>
                <w:rFonts w:ascii="宋体" w:hAnsi="宋体" w:eastAsia="宋体" w:cs="Times New Roman"/>
                <w:color w:val="auto"/>
                <w:sz w:val="21"/>
                <w:szCs w:val="21"/>
              </w:rPr>
              <w:t>5</w:t>
            </w:r>
          </w:p>
        </w:tc>
        <w:tc>
          <w:tcPr>
            <w:tcW w:w="3473" w:type="dxa"/>
            <w:tcBorders>
              <w:top w:val="single" w:color="auto" w:sz="6" w:space="0"/>
              <w:left w:val="single" w:color="auto" w:sz="6" w:space="0"/>
              <w:bottom w:val="single" w:color="auto" w:sz="6" w:space="0"/>
              <w:right w:val="single" w:color="auto" w:sz="6" w:space="0"/>
            </w:tcBorders>
            <w:noWrap w:val="0"/>
            <w:vAlign w:val="center"/>
          </w:tcPr>
          <w:p w14:paraId="7F6306AF">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供电保障实行</w:t>
            </w:r>
            <w:r>
              <w:rPr>
                <w:rFonts w:ascii="宋体" w:hAnsi="宋体" w:eastAsia="宋体" w:cs="Times New Roman"/>
                <w:color w:val="auto"/>
                <w:sz w:val="21"/>
                <w:szCs w:val="21"/>
              </w:rPr>
              <w:t>24</w:t>
            </w:r>
            <w:r>
              <w:rPr>
                <w:rFonts w:hint="eastAsia" w:ascii="宋体" w:hAnsi="宋体" w:eastAsia="宋体" w:cs="Times New Roman"/>
                <w:color w:val="auto"/>
                <w:sz w:val="21"/>
                <w:szCs w:val="21"/>
              </w:rPr>
              <w:t>小时值班制，结合人员配置实际，排定值班表，落实值班职责。</w:t>
            </w:r>
          </w:p>
        </w:tc>
        <w:tc>
          <w:tcPr>
            <w:tcW w:w="3773" w:type="dxa"/>
            <w:tcBorders>
              <w:top w:val="single" w:color="auto" w:sz="6" w:space="0"/>
              <w:left w:val="single" w:color="auto" w:sz="6" w:space="0"/>
              <w:bottom w:val="single" w:color="auto" w:sz="6" w:space="0"/>
              <w:right w:val="single" w:color="auto" w:sz="6" w:space="0"/>
            </w:tcBorders>
            <w:noWrap w:val="0"/>
            <w:vAlign w:val="center"/>
          </w:tcPr>
          <w:p w14:paraId="726AC5C9">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有管理制度（</w:t>
            </w:r>
            <w:r>
              <w:rPr>
                <w:rFonts w:ascii="宋体" w:hAnsi="宋体" w:eastAsia="宋体" w:cs="Times New Roman"/>
                <w:color w:val="auto"/>
                <w:sz w:val="21"/>
                <w:szCs w:val="21"/>
              </w:rPr>
              <w:t>1</w:t>
            </w:r>
            <w:r>
              <w:rPr>
                <w:rFonts w:hint="eastAsia" w:ascii="宋体" w:hAnsi="宋体" w:eastAsia="宋体" w:cs="Times New Roman"/>
                <w:color w:val="auto"/>
                <w:sz w:val="21"/>
                <w:szCs w:val="21"/>
              </w:rPr>
              <w:t>分）、有值班安排（</w:t>
            </w:r>
            <w:r>
              <w:rPr>
                <w:rFonts w:ascii="宋体" w:hAnsi="宋体" w:eastAsia="宋体" w:cs="Times New Roman"/>
                <w:color w:val="auto"/>
                <w:sz w:val="21"/>
                <w:szCs w:val="21"/>
              </w:rPr>
              <w:t>1</w:t>
            </w:r>
            <w:r>
              <w:rPr>
                <w:rFonts w:hint="eastAsia" w:ascii="宋体" w:hAnsi="宋体" w:eastAsia="宋体" w:cs="Times New Roman"/>
                <w:color w:val="auto"/>
                <w:sz w:val="21"/>
                <w:szCs w:val="21"/>
              </w:rPr>
              <w:t>分）、有值班记录（</w:t>
            </w:r>
            <w:r>
              <w:rPr>
                <w:rFonts w:ascii="宋体" w:hAnsi="宋体" w:eastAsia="宋体" w:cs="Times New Roman"/>
                <w:color w:val="auto"/>
                <w:sz w:val="21"/>
                <w:szCs w:val="21"/>
              </w:rPr>
              <w:t>1</w:t>
            </w:r>
            <w:r>
              <w:rPr>
                <w:rFonts w:hint="eastAsia" w:ascii="宋体" w:hAnsi="宋体" w:eastAsia="宋体" w:cs="Times New Roman"/>
                <w:color w:val="auto"/>
                <w:sz w:val="21"/>
                <w:szCs w:val="21"/>
              </w:rPr>
              <w:t>分）。每缺1项扣1分。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1AD3206A">
            <w:pPr>
              <w:snapToGrid w:val="0"/>
              <w:spacing w:line="240" w:lineRule="auto"/>
              <w:ind w:left="0" w:leftChars="0" w:right="0" w:rightChars="0" w:firstLine="0" w:firstLineChars="0"/>
              <w:jc w:val="right"/>
              <w:rPr>
                <w:rFonts w:ascii="宋体" w:hAnsi="宋体" w:eastAsia="宋体" w:cs="Times New Roman"/>
                <w:color w:val="auto"/>
                <w:sz w:val="21"/>
                <w:szCs w:val="21"/>
              </w:rPr>
            </w:pPr>
            <w:r>
              <w:rPr>
                <w:rFonts w:ascii="宋体" w:hAnsi="宋体" w:eastAsia="宋体" w:cs="Times New Roman"/>
                <w:color w:val="auto"/>
                <w:sz w:val="21"/>
                <w:szCs w:val="21"/>
              </w:rPr>
              <w:t>3</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4440D166">
            <w:pPr>
              <w:snapToGrid w:val="0"/>
              <w:spacing w:line="240" w:lineRule="auto"/>
              <w:ind w:left="0" w:leftChars="0" w:right="0" w:rightChars="0" w:firstLine="0" w:firstLineChars="0"/>
              <w:jc w:val="center"/>
              <w:rPr>
                <w:rFonts w:hint="default" w:ascii="宋体" w:hAnsi="宋体" w:eastAsia="宋体" w:cs="Times New Roman"/>
                <w:color w:val="auto"/>
                <w:sz w:val="21"/>
                <w:szCs w:val="21"/>
                <w:lang w:val="en-US" w:eastAsia="zh-CN"/>
              </w:rPr>
            </w:pPr>
          </w:p>
        </w:tc>
        <w:tc>
          <w:tcPr>
            <w:tcW w:w="402" w:type="dxa"/>
            <w:tcBorders>
              <w:top w:val="single" w:color="auto" w:sz="6" w:space="0"/>
              <w:left w:val="single" w:color="auto" w:sz="6" w:space="0"/>
              <w:bottom w:val="single" w:color="auto" w:sz="6" w:space="0"/>
              <w:right w:val="single" w:color="auto" w:sz="6" w:space="0"/>
            </w:tcBorders>
            <w:noWrap w:val="0"/>
            <w:vAlign w:val="center"/>
          </w:tcPr>
          <w:p w14:paraId="5A9DD7F0">
            <w:pPr>
              <w:snapToGrid w:val="0"/>
              <w:spacing w:line="240" w:lineRule="auto"/>
              <w:ind w:left="0" w:leftChars="0" w:right="0" w:rightChars="0" w:firstLine="0" w:firstLineChars="0"/>
              <w:jc w:val="center"/>
              <w:rPr>
                <w:rFonts w:ascii="宋体" w:hAnsi="宋体" w:eastAsia="宋体" w:cs="Times New Roman"/>
                <w:color w:val="auto"/>
                <w:sz w:val="21"/>
                <w:szCs w:val="21"/>
              </w:rPr>
            </w:pPr>
          </w:p>
        </w:tc>
      </w:tr>
      <w:tr w14:paraId="234FB4C8">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3E40ECB8">
            <w:pPr>
              <w:snapToGrid w:val="0"/>
              <w:spacing w:line="240" w:lineRule="auto"/>
              <w:ind w:left="0" w:leftChars="0" w:right="0" w:rightChars="0" w:firstLine="0" w:firstLineChars="0"/>
              <w:jc w:val="center"/>
              <w:rPr>
                <w:rFonts w:ascii="宋体" w:hAnsi="宋体" w:eastAsia="宋体" w:cs="Times New Roman"/>
                <w:color w:val="auto"/>
                <w:sz w:val="21"/>
                <w:szCs w:val="21"/>
              </w:rPr>
            </w:pPr>
            <w:r>
              <w:rPr>
                <w:rFonts w:ascii="宋体" w:hAnsi="宋体" w:eastAsia="宋体" w:cs="Times New Roman"/>
                <w:color w:val="auto"/>
                <w:sz w:val="21"/>
                <w:szCs w:val="21"/>
              </w:rPr>
              <w:t>6</w:t>
            </w:r>
          </w:p>
        </w:tc>
        <w:tc>
          <w:tcPr>
            <w:tcW w:w="3473" w:type="dxa"/>
            <w:tcBorders>
              <w:top w:val="single" w:color="auto" w:sz="6" w:space="0"/>
              <w:left w:val="single" w:color="auto" w:sz="6" w:space="0"/>
              <w:bottom w:val="single" w:color="auto" w:sz="6" w:space="0"/>
              <w:right w:val="single" w:color="auto" w:sz="6" w:space="0"/>
            </w:tcBorders>
            <w:noWrap w:val="0"/>
            <w:vAlign w:val="center"/>
          </w:tcPr>
          <w:p w14:paraId="49A8FA98">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领导视察或其他大型活动期间，要科学合理制定供电保障及维修计划，事前制定应急方案，提前咨询供电局有关事项。</w:t>
            </w:r>
          </w:p>
        </w:tc>
        <w:tc>
          <w:tcPr>
            <w:tcW w:w="3773" w:type="dxa"/>
            <w:tcBorders>
              <w:top w:val="single" w:color="auto" w:sz="6" w:space="0"/>
              <w:left w:val="single" w:color="auto" w:sz="6" w:space="0"/>
              <w:bottom w:val="single" w:color="auto" w:sz="6" w:space="0"/>
              <w:right w:val="single" w:color="auto" w:sz="6" w:space="0"/>
            </w:tcBorders>
            <w:noWrap w:val="0"/>
            <w:vAlign w:val="center"/>
          </w:tcPr>
          <w:p w14:paraId="7E888601">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工作无失误（</w:t>
            </w:r>
            <w:r>
              <w:rPr>
                <w:rFonts w:ascii="宋体" w:hAnsi="宋体" w:eastAsia="宋体" w:cs="Times New Roman"/>
                <w:color w:val="auto"/>
                <w:sz w:val="21"/>
                <w:szCs w:val="21"/>
              </w:rPr>
              <w:t>5</w:t>
            </w:r>
            <w:r>
              <w:rPr>
                <w:rFonts w:hint="eastAsia" w:ascii="宋体" w:hAnsi="宋体" w:eastAsia="宋体" w:cs="Times New Roman"/>
                <w:color w:val="auto"/>
                <w:sz w:val="21"/>
                <w:szCs w:val="21"/>
              </w:rPr>
              <w:t>分）。造成工作失误扣5分。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6CEC0D2A">
            <w:pPr>
              <w:snapToGrid w:val="0"/>
              <w:spacing w:line="240" w:lineRule="auto"/>
              <w:ind w:left="0" w:leftChars="0" w:right="0" w:rightChars="0" w:firstLine="0" w:firstLineChars="0"/>
              <w:jc w:val="right"/>
              <w:rPr>
                <w:rFonts w:ascii="宋体" w:hAnsi="宋体" w:eastAsia="宋体" w:cs="Times New Roman"/>
                <w:color w:val="auto"/>
                <w:sz w:val="21"/>
                <w:szCs w:val="21"/>
              </w:rPr>
            </w:pPr>
            <w:r>
              <w:rPr>
                <w:rFonts w:ascii="宋体" w:hAnsi="宋体" w:eastAsia="宋体" w:cs="Times New Roman"/>
                <w:color w:val="auto"/>
                <w:sz w:val="21"/>
                <w:szCs w:val="21"/>
              </w:rPr>
              <w:t>5</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611626CB">
            <w:pPr>
              <w:snapToGrid w:val="0"/>
              <w:spacing w:line="240" w:lineRule="auto"/>
              <w:ind w:left="0" w:leftChars="0" w:right="0" w:rightChars="0" w:firstLine="0" w:firstLineChars="0"/>
              <w:jc w:val="center"/>
              <w:rPr>
                <w:rFonts w:ascii="宋体" w:hAnsi="宋体" w:eastAsia="宋体" w:cs="Times New Roman"/>
                <w:color w:val="auto"/>
                <w:sz w:val="21"/>
                <w:szCs w:val="21"/>
              </w:rPr>
            </w:pPr>
          </w:p>
        </w:tc>
        <w:tc>
          <w:tcPr>
            <w:tcW w:w="402" w:type="dxa"/>
            <w:tcBorders>
              <w:top w:val="single" w:color="auto" w:sz="6" w:space="0"/>
              <w:left w:val="single" w:color="auto" w:sz="6" w:space="0"/>
              <w:bottom w:val="single" w:color="auto" w:sz="6" w:space="0"/>
              <w:right w:val="single" w:color="auto" w:sz="6" w:space="0"/>
            </w:tcBorders>
            <w:noWrap w:val="0"/>
            <w:vAlign w:val="center"/>
          </w:tcPr>
          <w:p w14:paraId="40B576C4">
            <w:pPr>
              <w:snapToGrid w:val="0"/>
              <w:spacing w:line="240" w:lineRule="auto"/>
              <w:ind w:left="0" w:leftChars="0" w:right="0" w:rightChars="0" w:firstLine="0" w:firstLineChars="0"/>
              <w:jc w:val="center"/>
              <w:rPr>
                <w:rFonts w:ascii="宋体" w:hAnsi="宋体" w:eastAsia="宋体" w:cs="Times New Roman"/>
                <w:color w:val="auto"/>
                <w:sz w:val="21"/>
                <w:szCs w:val="21"/>
              </w:rPr>
            </w:pPr>
          </w:p>
        </w:tc>
      </w:tr>
      <w:tr w14:paraId="4BE5B7D6">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0ADDA3C5">
            <w:pPr>
              <w:snapToGrid w:val="0"/>
              <w:spacing w:line="240" w:lineRule="auto"/>
              <w:ind w:left="0" w:leftChars="0" w:right="0" w:rightChars="0" w:firstLine="0" w:firstLineChars="0"/>
              <w:jc w:val="center"/>
              <w:rPr>
                <w:rFonts w:ascii="宋体" w:hAnsi="宋体" w:eastAsia="宋体" w:cs="Times New Roman"/>
                <w:color w:val="auto"/>
                <w:sz w:val="21"/>
                <w:szCs w:val="21"/>
              </w:rPr>
            </w:pPr>
            <w:r>
              <w:rPr>
                <w:rFonts w:ascii="宋体" w:hAnsi="宋体" w:eastAsia="宋体" w:cs="Times New Roman"/>
                <w:color w:val="auto"/>
                <w:sz w:val="21"/>
                <w:szCs w:val="21"/>
              </w:rPr>
              <w:t>7</w:t>
            </w:r>
          </w:p>
        </w:tc>
        <w:tc>
          <w:tcPr>
            <w:tcW w:w="3473" w:type="dxa"/>
            <w:tcBorders>
              <w:top w:val="single" w:color="auto" w:sz="6" w:space="0"/>
              <w:left w:val="single" w:color="auto" w:sz="6" w:space="0"/>
              <w:bottom w:val="single" w:color="auto" w:sz="6" w:space="0"/>
              <w:right w:val="single" w:color="auto" w:sz="6" w:space="0"/>
            </w:tcBorders>
            <w:noWrap w:val="0"/>
            <w:vAlign w:val="center"/>
          </w:tcPr>
          <w:p w14:paraId="620B857E">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对户内户外供电设施进每天巡检，发现故障及时排除，人为损坏，负责追责并落实赔偿，赔偿价值按原价</w:t>
            </w:r>
            <w:r>
              <w:rPr>
                <w:rFonts w:ascii="宋体" w:hAnsi="宋体" w:eastAsia="宋体" w:cs="Times New Roman"/>
                <w:color w:val="auto"/>
                <w:sz w:val="21"/>
                <w:szCs w:val="21"/>
              </w:rPr>
              <w:t>+</w:t>
            </w:r>
            <w:r>
              <w:rPr>
                <w:rFonts w:hint="eastAsia" w:ascii="宋体" w:hAnsi="宋体" w:eastAsia="宋体" w:cs="Times New Roman"/>
                <w:color w:val="auto"/>
                <w:sz w:val="21"/>
                <w:szCs w:val="21"/>
              </w:rPr>
              <w:t>工时费进处理，赔偿金额交管理部门。</w:t>
            </w:r>
          </w:p>
        </w:tc>
        <w:tc>
          <w:tcPr>
            <w:tcW w:w="3773" w:type="dxa"/>
            <w:tcBorders>
              <w:top w:val="single" w:color="auto" w:sz="6" w:space="0"/>
              <w:left w:val="single" w:color="auto" w:sz="6" w:space="0"/>
              <w:bottom w:val="single" w:color="auto" w:sz="6" w:space="0"/>
              <w:right w:val="single" w:color="auto" w:sz="6" w:space="0"/>
            </w:tcBorders>
            <w:noWrap w:val="0"/>
            <w:vAlign w:val="center"/>
          </w:tcPr>
          <w:p w14:paraId="5B56BBE1">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ascii="宋体" w:hAnsi="宋体" w:eastAsia="宋体" w:cs="Times New Roman"/>
                <w:color w:val="auto"/>
                <w:sz w:val="21"/>
                <w:szCs w:val="21"/>
              </w:rPr>
              <w:t>1.</w:t>
            </w:r>
            <w:r>
              <w:rPr>
                <w:rFonts w:hint="eastAsia" w:ascii="宋体" w:hAnsi="宋体" w:eastAsia="宋体" w:cs="Times New Roman"/>
                <w:color w:val="auto"/>
                <w:sz w:val="21"/>
                <w:szCs w:val="21"/>
              </w:rPr>
              <w:t>巡检及时且无问题（</w:t>
            </w:r>
            <w:r>
              <w:rPr>
                <w:rFonts w:ascii="宋体" w:hAnsi="宋体" w:eastAsia="宋体" w:cs="Times New Roman"/>
                <w:color w:val="auto"/>
                <w:sz w:val="21"/>
                <w:szCs w:val="21"/>
              </w:rPr>
              <w:t>2</w:t>
            </w:r>
            <w:r>
              <w:rPr>
                <w:rFonts w:hint="eastAsia" w:ascii="宋体" w:hAnsi="宋体" w:eastAsia="宋体" w:cs="Times New Roman"/>
                <w:color w:val="auto"/>
                <w:sz w:val="21"/>
                <w:szCs w:val="21"/>
              </w:rPr>
              <w:t>分），若发生举报（1次扣</w:t>
            </w:r>
            <w:r>
              <w:rPr>
                <w:rFonts w:ascii="宋体" w:hAnsi="宋体" w:eastAsia="宋体" w:cs="Times New Roman"/>
                <w:color w:val="auto"/>
                <w:sz w:val="21"/>
                <w:szCs w:val="21"/>
              </w:rPr>
              <w:t>1</w:t>
            </w:r>
            <w:r>
              <w:rPr>
                <w:rFonts w:hint="eastAsia" w:ascii="宋体" w:hAnsi="宋体" w:eastAsia="宋体" w:cs="Times New Roman"/>
                <w:color w:val="auto"/>
                <w:sz w:val="21"/>
                <w:szCs w:val="21"/>
              </w:rPr>
              <w:t>分）；</w:t>
            </w:r>
            <w:r>
              <w:rPr>
                <w:rFonts w:ascii="宋体" w:hAnsi="宋体" w:eastAsia="宋体" w:cs="Times New Roman"/>
                <w:color w:val="auto"/>
                <w:sz w:val="21"/>
                <w:szCs w:val="21"/>
              </w:rPr>
              <w:t>2.</w:t>
            </w:r>
            <w:r>
              <w:rPr>
                <w:rFonts w:hint="eastAsia" w:ascii="宋体" w:hAnsi="宋体" w:eastAsia="宋体" w:cs="Times New Roman"/>
                <w:color w:val="auto"/>
                <w:sz w:val="21"/>
                <w:szCs w:val="21"/>
              </w:rPr>
              <w:t>无乱收费或不收费现象（2分），若发生乱收费现象，每次扣1分。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15B119F5">
            <w:pPr>
              <w:snapToGrid w:val="0"/>
              <w:spacing w:line="240" w:lineRule="auto"/>
              <w:ind w:left="0" w:leftChars="0" w:right="0" w:rightChars="0" w:firstLine="0" w:firstLineChars="0"/>
              <w:jc w:val="right"/>
              <w:rPr>
                <w:rFonts w:ascii="宋体" w:hAnsi="宋体" w:eastAsia="宋体" w:cs="Times New Roman"/>
                <w:color w:val="auto"/>
                <w:sz w:val="21"/>
                <w:szCs w:val="21"/>
              </w:rPr>
            </w:pPr>
            <w:r>
              <w:rPr>
                <w:rFonts w:ascii="宋体" w:hAnsi="宋体" w:eastAsia="宋体" w:cs="Times New Roman"/>
                <w:color w:val="auto"/>
                <w:sz w:val="21"/>
                <w:szCs w:val="21"/>
              </w:rPr>
              <w:t>4</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0520F6AE">
            <w:pPr>
              <w:snapToGrid w:val="0"/>
              <w:spacing w:line="240" w:lineRule="auto"/>
              <w:ind w:left="0" w:leftChars="0" w:right="0" w:rightChars="0" w:firstLine="0" w:firstLineChars="0"/>
              <w:jc w:val="center"/>
              <w:rPr>
                <w:rFonts w:hint="default" w:ascii="宋体" w:hAnsi="宋体" w:eastAsia="宋体" w:cs="Times New Roman"/>
                <w:color w:val="auto"/>
                <w:sz w:val="21"/>
                <w:szCs w:val="21"/>
                <w:lang w:val="en-US" w:eastAsia="zh-CN"/>
              </w:rPr>
            </w:pPr>
          </w:p>
        </w:tc>
        <w:tc>
          <w:tcPr>
            <w:tcW w:w="402" w:type="dxa"/>
            <w:tcBorders>
              <w:top w:val="single" w:color="auto" w:sz="6" w:space="0"/>
              <w:left w:val="single" w:color="auto" w:sz="6" w:space="0"/>
              <w:bottom w:val="single" w:color="auto" w:sz="6" w:space="0"/>
              <w:right w:val="single" w:color="auto" w:sz="6" w:space="0"/>
            </w:tcBorders>
            <w:noWrap w:val="0"/>
            <w:vAlign w:val="center"/>
          </w:tcPr>
          <w:p w14:paraId="706E34ED">
            <w:pPr>
              <w:snapToGrid w:val="0"/>
              <w:spacing w:line="240" w:lineRule="auto"/>
              <w:ind w:left="0" w:leftChars="0" w:right="0" w:rightChars="0" w:firstLine="0" w:firstLineChars="0"/>
              <w:jc w:val="center"/>
              <w:rPr>
                <w:rFonts w:ascii="宋体" w:hAnsi="宋体" w:eastAsia="宋体" w:cs="Times New Roman"/>
                <w:color w:val="auto"/>
                <w:sz w:val="21"/>
                <w:szCs w:val="21"/>
              </w:rPr>
            </w:pPr>
          </w:p>
        </w:tc>
      </w:tr>
      <w:tr w14:paraId="5DFE0BD0">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6D75D1B7">
            <w:pPr>
              <w:snapToGrid w:val="0"/>
              <w:spacing w:line="240" w:lineRule="auto"/>
              <w:ind w:left="0" w:leftChars="0" w:right="0" w:rightChars="0" w:firstLine="0" w:firstLineChars="0"/>
              <w:jc w:val="center"/>
              <w:rPr>
                <w:rFonts w:ascii="宋体" w:hAnsi="宋体" w:eastAsia="宋体" w:cs="Times New Roman"/>
                <w:color w:val="auto"/>
                <w:sz w:val="21"/>
                <w:szCs w:val="21"/>
              </w:rPr>
            </w:pPr>
            <w:r>
              <w:rPr>
                <w:rFonts w:ascii="宋体" w:hAnsi="宋体" w:eastAsia="宋体" w:cs="Times New Roman"/>
                <w:color w:val="auto"/>
                <w:sz w:val="21"/>
                <w:szCs w:val="21"/>
              </w:rPr>
              <w:t>8</w:t>
            </w:r>
          </w:p>
        </w:tc>
        <w:tc>
          <w:tcPr>
            <w:tcW w:w="3473" w:type="dxa"/>
            <w:tcBorders>
              <w:top w:val="single" w:color="auto" w:sz="6" w:space="0"/>
              <w:left w:val="single" w:color="auto" w:sz="6" w:space="0"/>
              <w:bottom w:val="single" w:color="auto" w:sz="6" w:space="0"/>
              <w:right w:val="single" w:color="auto" w:sz="6" w:space="0"/>
            </w:tcBorders>
            <w:noWrap w:val="0"/>
            <w:vAlign w:val="center"/>
          </w:tcPr>
          <w:p w14:paraId="066A3DED">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按季节变化，及时调整校园道路照明路灯时间，各路段开关灯时间误差不得超过</w:t>
            </w:r>
            <w:r>
              <w:rPr>
                <w:rFonts w:ascii="宋体" w:hAnsi="宋体" w:eastAsia="宋体" w:cs="Times New Roman"/>
                <w:color w:val="auto"/>
                <w:sz w:val="21"/>
                <w:szCs w:val="21"/>
              </w:rPr>
              <w:t>2-3</w:t>
            </w:r>
            <w:r>
              <w:rPr>
                <w:rFonts w:hint="eastAsia" w:ascii="宋体" w:hAnsi="宋体" w:eastAsia="宋体" w:cs="Times New Roman"/>
                <w:color w:val="auto"/>
                <w:sz w:val="21"/>
                <w:szCs w:val="21"/>
              </w:rPr>
              <w:t>分钟。各路段路灯不亮超过5盏及以上，集中组织维修或更换灯泡。</w:t>
            </w:r>
          </w:p>
        </w:tc>
        <w:tc>
          <w:tcPr>
            <w:tcW w:w="3773" w:type="dxa"/>
            <w:tcBorders>
              <w:top w:val="single" w:color="auto" w:sz="6" w:space="0"/>
              <w:left w:val="single" w:color="auto" w:sz="6" w:space="0"/>
              <w:bottom w:val="single" w:color="auto" w:sz="6" w:space="0"/>
              <w:right w:val="single" w:color="auto" w:sz="6" w:space="0"/>
            </w:tcBorders>
            <w:noWrap w:val="0"/>
            <w:vAlign w:val="center"/>
          </w:tcPr>
          <w:p w14:paraId="4CD07786">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按要求及时调整（1分），误差超过</w:t>
            </w:r>
            <w:r>
              <w:rPr>
                <w:rFonts w:ascii="宋体" w:hAnsi="宋体" w:eastAsia="宋体" w:cs="Times New Roman"/>
                <w:color w:val="auto"/>
                <w:sz w:val="21"/>
                <w:szCs w:val="21"/>
              </w:rPr>
              <w:t>4</w:t>
            </w:r>
            <w:r>
              <w:rPr>
                <w:rFonts w:hint="eastAsia" w:ascii="宋体" w:hAnsi="宋体" w:eastAsia="宋体" w:cs="Times New Roman"/>
                <w:color w:val="auto"/>
                <w:sz w:val="21"/>
                <w:szCs w:val="21"/>
              </w:rPr>
              <w:t>分钟，每次扣1分；</w:t>
            </w:r>
            <w:r>
              <w:rPr>
                <w:rFonts w:hint="eastAsia" w:ascii="宋体" w:hAnsi="宋体" w:eastAsia="宋体" w:cs="Times New Roman"/>
                <w:color w:val="auto"/>
                <w:sz w:val="21"/>
              </w:rPr>
              <w:t>各路段路灯不亮超过5盏及以上，</w:t>
            </w:r>
            <w:r>
              <w:rPr>
                <w:rFonts w:hint="eastAsia" w:ascii="宋体" w:hAnsi="宋体" w:eastAsia="宋体" w:cs="Times New Roman"/>
                <w:b/>
                <w:bCs/>
                <w:color w:val="auto"/>
                <w:sz w:val="21"/>
              </w:rPr>
              <w:t>扣当月4分，次月仍未组织修复的，由学院职能部门下发整改通知，按要求完成组织修缮，未完成的，扣当月50分。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64C66E62">
            <w:pPr>
              <w:snapToGrid w:val="0"/>
              <w:spacing w:line="240" w:lineRule="auto"/>
              <w:ind w:left="0" w:leftChars="0" w:right="0" w:rightChars="0" w:firstLine="0" w:firstLineChars="0"/>
              <w:jc w:val="right"/>
              <w:rPr>
                <w:rFonts w:ascii="宋体" w:hAnsi="宋体" w:eastAsia="宋体" w:cs="Times New Roman"/>
                <w:color w:val="auto"/>
                <w:sz w:val="21"/>
                <w:szCs w:val="21"/>
              </w:rPr>
            </w:pPr>
            <w:r>
              <w:rPr>
                <w:rFonts w:ascii="宋体" w:hAnsi="宋体" w:eastAsia="宋体" w:cs="Times New Roman"/>
                <w:color w:val="auto"/>
                <w:sz w:val="21"/>
                <w:szCs w:val="21"/>
              </w:rPr>
              <w:t>5</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2DEB974E">
            <w:pPr>
              <w:snapToGrid w:val="0"/>
              <w:spacing w:line="240" w:lineRule="auto"/>
              <w:ind w:left="0" w:leftChars="0" w:right="0" w:rightChars="0" w:firstLine="0" w:firstLineChars="0"/>
              <w:jc w:val="center"/>
              <w:rPr>
                <w:rFonts w:ascii="宋体" w:hAnsi="宋体" w:eastAsia="宋体" w:cs="Times New Roman"/>
                <w:color w:val="auto"/>
                <w:sz w:val="21"/>
                <w:szCs w:val="21"/>
              </w:rPr>
            </w:pPr>
          </w:p>
        </w:tc>
        <w:tc>
          <w:tcPr>
            <w:tcW w:w="402" w:type="dxa"/>
            <w:tcBorders>
              <w:top w:val="single" w:color="auto" w:sz="6" w:space="0"/>
              <w:left w:val="single" w:color="auto" w:sz="6" w:space="0"/>
              <w:bottom w:val="single" w:color="auto" w:sz="6" w:space="0"/>
              <w:right w:val="single" w:color="auto" w:sz="6" w:space="0"/>
            </w:tcBorders>
            <w:noWrap w:val="0"/>
            <w:vAlign w:val="center"/>
          </w:tcPr>
          <w:p w14:paraId="339F6801">
            <w:pPr>
              <w:snapToGrid w:val="0"/>
              <w:spacing w:line="240" w:lineRule="auto"/>
              <w:ind w:left="0" w:leftChars="0" w:right="0" w:rightChars="0" w:firstLine="0" w:firstLineChars="0"/>
              <w:jc w:val="center"/>
              <w:rPr>
                <w:rFonts w:ascii="宋体" w:hAnsi="宋体" w:eastAsia="宋体" w:cs="Times New Roman"/>
                <w:color w:val="auto"/>
                <w:sz w:val="21"/>
                <w:szCs w:val="21"/>
              </w:rPr>
            </w:pPr>
            <w:r>
              <w:rPr>
                <w:rFonts w:hint="eastAsia" w:ascii="宋体" w:hAnsi="宋体" w:eastAsia="宋体" w:cs="Times New Roman"/>
                <w:color w:val="auto"/>
                <w:sz w:val="21"/>
                <w:szCs w:val="21"/>
              </w:rPr>
              <w:t>重点考核</w:t>
            </w:r>
          </w:p>
        </w:tc>
      </w:tr>
      <w:tr w14:paraId="65463E1D">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2B30C251">
            <w:pPr>
              <w:snapToGrid w:val="0"/>
              <w:spacing w:line="240" w:lineRule="auto"/>
              <w:ind w:left="0" w:leftChars="0" w:right="0" w:rightChars="0" w:firstLine="0" w:firstLineChars="0"/>
              <w:jc w:val="center"/>
              <w:rPr>
                <w:rFonts w:ascii="宋体" w:hAnsi="宋体" w:eastAsia="宋体" w:cs="Times New Roman"/>
                <w:color w:val="auto"/>
                <w:sz w:val="21"/>
                <w:szCs w:val="21"/>
              </w:rPr>
            </w:pPr>
            <w:r>
              <w:rPr>
                <w:rFonts w:ascii="宋体" w:hAnsi="宋体" w:eastAsia="宋体" w:cs="Times New Roman"/>
                <w:color w:val="auto"/>
                <w:sz w:val="21"/>
                <w:szCs w:val="21"/>
              </w:rPr>
              <w:t>9</w:t>
            </w:r>
          </w:p>
        </w:tc>
        <w:tc>
          <w:tcPr>
            <w:tcW w:w="3473" w:type="dxa"/>
            <w:tcBorders>
              <w:top w:val="single" w:color="auto" w:sz="6" w:space="0"/>
              <w:left w:val="single" w:color="auto" w:sz="6" w:space="0"/>
              <w:bottom w:val="single" w:color="auto" w:sz="6" w:space="0"/>
              <w:right w:val="single" w:color="auto" w:sz="6" w:space="0"/>
            </w:tcBorders>
            <w:noWrap w:val="0"/>
            <w:vAlign w:val="center"/>
          </w:tcPr>
          <w:p w14:paraId="531E4F93">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每月</w:t>
            </w:r>
            <w:r>
              <w:rPr>
                <w:rFonts w:ascii="宋体" w:hAnsi="宋体" w:eastAsia="宋体" w:cs="Times New Roman"/>
                <w:color w:val="auto"/>
                <w:sz w:val="21"/>
                <w:szCs w:val="21"/>
              </w:rPr>
              <w:t>25</w:t>
            </w:r>
            <w:r>
              <w:rPr>
                <w:rFonts w:hint="eastAsia" w:ascii="宋体" w:hAnsi="宋体" w:eastAsia="宋体" w:cs="Times New Roman"/>
                <w:color w:val="auto"/>
                <w:sz w:val="21"/>
                <w:szCs w:val="21"/>
              </w:rPr>
              <w:t>日抄报学院各用电户电表数，按一、二、三级计量分类统计，并收取校内超额用电电费及外单位用电电费，次月</w:t>
            </w:r>
            <w:r>
              <w:rPr>
                <w:rFonts w:ascii="宋体" w:hAnsi="宋体" w:eastAsia="宋体" w:cs="Times New Roman"/>
                <w:color w:val="auto"/>
                <w:sz w:val="21"/>
                <w:szCs w:val="21"/>
              </w:rPr>
              <w:t>5</w:t>
            </w:r>
            <w:r>
              <w:rPr>
                <w:rFonts w:hint="eastAsia" w:ascii="宋体" w:hAnsi="宋体" w:eastAsia="宋体" w:cs="Times New Roman"/>
                <w:color w:val="auto"/>
                <w:sz w:val="21"/>
                <w:szCs w:val="21"/>
              </w:rPr>
              <w:t>日前将报表和电费交管理部门。</w:t>
            </w:r>
          </w:p>
        </w:tc>
        <w:tc>
          <w:tcPr>
            <w:tcW w:w="3773" w:type="dxa"/>
            <w:tcBorders>
              <w:top w:val="single" w:color="auto" w:sz="6" w:space="0"/>
              <w:left w:val="single" w:color="auto" w:sz="6" w:space="0"/>
              <w:bottom w:val="single" w:color="auto" w:sz="6" w:space="0"/>
              <w:right w:val="single" w:color="auto" w:sz="6" w:space="0"/>
            </w:tcBorders>
            <w:noWrap w:val="0"/>
            <w:vAlign w:val="center"/>
          </w:tcPr>
          <w:p w14:paraId="443083CF">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在规定时间内完成（每超</w:t>
            </w:r>
            <w:r>
              <w:rPr>
                <w:rFonts w:ascii="宋体" w:hAnsi="宋体" w:eastAsia="宋体" w:cs="Times New Roman"/>
                <w:color w:val="auto"/>
                <w:sz w:val="21"/>
                <w:szCs w:val="21"/>
              </w:rPr>
              <w:t>1</w:t>
            </w:r>
            <w:r>
              <w:rPr>
                <w:rFonts w:hint="eastAsia" w:ascii="宋体" w:hAnsi="宋体" w:eastAsia="宋体" w:cs="Times New Roman"/>
                <w:color w:val="auto"/>
                <w:sz w:val="21"/>
                <w:szCs w:val="21"/>
              </w:rPr>
              <w:t>天扣</w:t>
            </w:r>
            <w:r>
              <w:rPr>
                <w:rFonts w:ascii="宋体" w:hAnsi="宋体" w:eastAsia="宋体" w:cs="Times New Roman"/>
                <w:color w:val="auto"/>
                <w:sz w:val="21"/>
                <w:szCs w:val="21"/>
              </w:rPr>
              <w:t>5</w:t>
            </w:r>
            <w:r>
              <w:rPr>
                <w:rFonts w:hint="eastAsia" w:ascii="宋体" w:hAnsi="宋体" w:eastAsia="宋体" w:cs="Times New Roman"/>
                <w:color w:val="auto"/>
                <w:sz w:val="21"/>
                <w:szCs w:val="21"/>
              </w:rPr>
              <w:t>分，每缺</w:t>
            </w:r>
            <w:r>
              <w:rPr>
                <w:rFonts w:ascii="宋体" w:hAnsi="宋体" w:eastAsia="宋体" w:cs="Times New Roman"/>
                <w:color w:val="auto"/>
                <w:sz w:val="21"/>
                <w:szCs w:val="21"/>
              </w:rPr>
              <w:t>1</w:t>
            </w:r>
            <w:r>
              <w:rPr>
                <w:rFonts w:hint="eastAsia" w:ascii="宋体" w:hAnsi="宋体" w:eastAsia="宋体" w:cs="Times New Roman"/>
                <w:color w:val="auto"/>
                <w:sz w:val="21"/>
                <w:szCs w:val="21"/>
              </w:rPr>
              <w:t>项扣</w:t>
            </w:r>
            <w:r>
              <w:rPr>
                <w:rFonts w:ascii="宋体" w:hAnsi="宋体" w:eastAsia="宋体" w:cs="Times New Roman"/>
                <w:color w:val="auto"/>
                <w:sz w:val="21"/>
                <w:szCs w:val="21"/>
              </w:rPr>
              <w:t>1</w:t>
            </w:r>
            <w:r>
              <w:rPr>
                <w:rFonts w:hint="eastAsia" w:ascii="宋体" w:hAnsi="宋体" w:eastAsia="宋体" w:cs="Times New Roman"/>
                <w:color w:val="auto"/>
                <w:sz w:val="21"/>
                <w:szCs w:val="21"/>
              </w:rPr>
              <w:t>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1D358640">
            <w:pPr>
              <w:snapToGrid w:val="0"/>
              <w:spacing w:line="240" w:lineRule="auto"/>
              <w:ind w:left="0" w:leftChars="0" w:right="0" w:rightChars="0" w:firstLine="0" w:firstLineChars="0"/>
              <w:jc w:val="right"/>
              <w:rPr>
                <w:rFonts w:ascii="宋体" w:hAnsi="宋体" w:eastAsia="宋体" w:cs="Times New Roman"/>
                <w:color w:val="auto"/>
                <w:sz w:val="21"/>
                <w:szCs w:val="21"/>
              </w:rPr>
            </w:pPr>
            <w:r>
              <w:rPr>
                <w:rFonts w:ascii="宋体" w:hAnsi="宋体" w:eastAsia="宋体" w:cs="Times New Roman"/>
                <w:color w:val="auto"/>
                <w:sz w:val="21"/>
                <w:szCs w:val="21"/>
              </w:rPr>
              <w:t>5</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5065D9F8">
            <w:pPr>
              <w:snapToGrid w:val="0"/>
              <w:spacing w:line="240" w:lineRule="auto"/>
              <w:ind w:left="0" w:leftChars="0" w:right="0" w:rightChars="0" w:firstLine="0" w:firstLineChars="0"/>
              <w:jc w:val="center"/>
              <w:rPr>
                <w:rFonts w:hint="eastAsia" w:ascii="宋体" w:hAnsi="宋体" w:eastAsia="宋体" w:cs="Times New Roman"/>
                <w:color w:val="auto"/>
                <w:sz w:val="21"/>
                <w:szCs w:val="21"/>
                <w:lang w:val="en-US" w:eastAsia="zh-CN"/>
              </w:rPr>
            </w:pPr>
          </w:p>
        </w:tc>
        <w:tc>
          <w:tcPr>
            <w:tcW w:w="402" w:type="dxa"/>
            <w:tcBorders>
              <w:top w:val="single" w:color="auto" w:sz="6" w:space="0"/>
              <w:left w:val="single" w:color="auto" w:sz="6" w:space="0"/>
              <w:bottom w:val="single" w:color="auto" w:sz="6" w:space="0"/>
              <w:right w:val="single" w:color="auto" w:sz="6" w:space="0"/>
            </w:tcBorders>
            <w:noWrap w:val="0"/>
            <w:vAlign w:val="center"/>
          </w:tcPr>
          <w:p w14:paraId="65DD4DE0">
            <w:pPr>
              <w:snapToGrid w:val="0"/>
              <w:spacing w:line="240" w:lineRule="auto"/>
              <w:ind w:left="0" w:leftChars="0" w:right="0" w:rightChars="0" w:firstLine="0" w:firstLineChars="0"/>
              <w:jc w:val="center"/>
              <w:rPr>
                <w:rFonts w:ascii="宋体" w:hAnsi="宋体" w:eastAsia="宋体" w:cs="Times New Roman"/>
                <w:color w:val="auto"/>
                <w:sz w:val="21"/>
                <w:szCs w:val="21"/>
              </w:rPr>
            </w:pPr>
          </w:p>
        </w:tc>
      </w:tr>
      <w:tr w14:paraId="09D4237F">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01C9AC98">
            <w:pPr>
              <w:snapToGrid w:val="0"/>
              <w:spacing w:line="240" w:lineRule="auto"/>
              <w:ind w:left="0" w:leftChars="0" w:right="0" w:rightChars="0" w:firstLine="0" w:firstLineChars="0"/>
              <w:jc w:val="center"/>
              <w:rPr>
                <w:rFonts w:ascii="宋体" w:hAnsi="宋体" w:eastAsia="宋体" w:cs="Times New Roman"/>
                <w:color w:val="auto"/>
                <w:sz w:val="21"/>
                <w:szCs w:val="21"/>
              </w:rPr>
            </w:pPr>
            <w:r>
              <w:rPr>
                <w:rFonts w:ascii="宋体" w:hAnsi="宋体" w:eastAsia="宋体" w:cs="Times New Roman"/>
                <w:color w:val="auto"/>
                <w:sz w:val="21"/>
                <w:szCs w:val="21"/>
              </w:rPr>
              <w:t>10</w:t>
            </w:r>
          </w:p>
        </w:tc>
        <w:tc>
          <w:tcPr>
            <w:tcW w:w="3473" w:type="dxa"/>
            <w:tcBorders>
              <w:top w:val="single" w:color="auto" w:sz="6" w:space="0"/>
              <w:left w:val="single" w:color="auto" w:sz="6" w:space="0"/>
              <w:bottom w:val="single" w:color="auto" w:sz="6" w:space="0"/>
              <w:right w:val="single" w:color="auto" w:sz="6" w:space="0"/>
            </w:tcBorders>
            <w:noWrap w:val="0"/>
            <w:vAlign w:val="center"/>
          </w:tcPr>
          <w:p w14:paraId="722702B6">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每学期开学前一周，完成学生宿舍内智能表定额充值，每月末回访，分析定额用电情况，落实违规大功率用电有关人员，提出处理建议；每天按要求为师生按实充电和如实收取电费，不得有误差。</w:t>
            </w:r>
          </w:p>
        </w:tc>
        <w:tc>
          <w:tcPr>
            <w:tcW w:w="3773" w:type="dxa"/>
            <w:tcBorders>
              <w:top w:val="single" w:color="auto" w:sz="6" w:space="0"/>
              <w:left w:val="single" w:color="auto" w:sz="6" w:space="0"/>
              <w:bottom w:val="single" w:color="auto" w:sz="6" w:space="0"/>
              <w:right w:val="single" w:color="auto" w:sz="6" w:space="0"/>
            </w:tcBorders>
            <w:noWrap w:val="0"/>
            <w:vAlign w:val="center"/>
          </w:tcPr>
          <w:p w14:paraId="46164192">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ascii="宋体" w:hAnsi="宋体" w:eastAsia="宋体" w:cs="Times New Roman"/>
                <w:color w:val="auto"/>
                <w:sz w:val="21"/>
                <w:szCs w:val="21"/>
              </w:rPr>
              <w:t>1.</w:t>
            </w:r>
            <w:r>
              <w:rPr>
                <w:rFonts w:hint="eastAsia" w:ascii="宋体" w:hAnsi="宋体" w:eastAsia="宋体" w:cs="Times New Roman"/>
                <w:color w:val="auto"/>
                <w:sz w:val="21"/>
                <w:szCs w:val="21"/>
              </w:rPr>
              <w:t>在规定时间内完成（超</w:t>
            </w:r>
            <w:r>
              <w:rPr>
                <w:rFonts w:ascii="宋体" w:hAnsi="宋体" w:eastAsia="宋体" w:cs="Times New Roman"/>
                <w:color w:val="auto"/>
                <w:sz w:val="21"/>
                <w:szCs w:val="21"/>
              </w:rPr>
              <w:t>1</w:t>
            </w:r>
            <w:r>
              <w:rPr>
                <w:rFonts w:hint="eastAsia" w:ascii="宋体" w:hAnsi="宋体" w:eastAsia="宋体" w:cs="Times New Roman"/>
                <w:color w:val="auto"/>
                <w:sz w:val="21"/>
                <w:szCs w:val="21"/>
              </w:rPr>
              <w:t>天扣</w:t>
            </w:r>
            <w:r>
              <w:rPr>
                <w:rFonts w:ascii="宋体" w:hAnsi="宋体" w:eastAsia="宋体" w:cs="Times New Roman"/>
                <w:color w:val="auto"/>
                <w:sz w:val="21"/>
                <w:szCs w:val="21"/>
              </w:rPr>
              <w:t>1</w:t>
            </w:r>
            <w:r>
              <w:rPr>
                <w:rFonts w:hint="eastAsia" w:ascii="宋体" w:hAnsi="宋体" w:eastAsia="宋体" w:cs="Times New Roman"/>
                <w:color w:val="auto"/>
                <w:sz w:val="21"/>
                <w:szCs w:val="21"/>
              </w:rPr>
              <w:t>分）；</w:t>
            </w:r>
            <w:r>
              <w:rPr>
                <w:rFonts w:ascii="宋体" w:hAnsi="宋体" w:eastAsia="宋体" w:cs="Times New Roman"/>
                <w:color w:val="auto"/>
                <w:sz w:val="21"/>
                <w:szCs w:val="21"/>
              </w:rPr>
              <w:t>2.</w:t>
            </w:r>
            <w:r>
              <w:rPr>
                <w:rFonts w:hint="eastAsia" w:ascii="宋体" w:hAnsi="宋体" w:eastAsia="宋体" w:cs="Times New Roman"/>
                <w:color w:val="auto"/>
                <w:sz w:val="21"/>
                <w:szCs w:val="21"/>
              </w:rPr>
              <w:t>师生举报</w:t>
            </w:r>
            <w:r>
              <w:rPr>
                <w:rFonts w:ascii="宋体" w:hAnsi="宋体" w:eastAsia="宋体" w:cs="Times New Roman"/>
                <w:color w:val="auto"/>
                <w:sz w:val="21"/>
                <w:szCs w:val="21"/>
              </w:rPr>
              <w:t>1</w:t>
            </w:r>
            <w:r>
              <w:rPr>
                <w:rFonts w:hint="eastAsia" w:ascii="宋体" w:hAnsi="宋体" w:eastAsia="宋体" w:cs="Times New Roman"/>
                <w:color w:val="auto"/>
                <w:sz w:val="21"/>
                <w:szCs w:val="21"/>
              </w:rPr>
              <w:t>次扣</w:t>
            </w:r>
            <w:r>
              <w:rPr>
                <w:rFonts w:ascii="宋体" w:hAnsi="宋体" w:eastAsia="宋体" w:cs="Times New Roman"/>
                <w:color w:val="auto"/>
                <w:sz w:val="21"/>
                <w:szCs w:val="21"/>
              </w:rPr>
              <w:t>1</w:t>
            </w:r>
            <w:r>
              <w:rPr>
                <w:rFonts w:hint="eastAsia" w:ascii="宋体" w:hAnsi="宋体" w:eastAsia="宋体" w:cs="Times New Roman"/>
                <w:color w:val="auto"/>
                <w:sz w:val="21"/>
                <w:szCs w:val="21"/>
              </w:rPr>
              <w:t>分；</w:t>
            </w:r>
            <w:r>
              <w:rPr>
                <w:rFonts w:ascii="宋体" w:hAnsi="宋体" w:eastAsia="宋体" w:cs="Times New Roman"/>
                <w:color w:val="auto"/>
                <w:sz w:val="21"/>
                <w:szCs w:val="21"/>
              </w:rPr>
              <w:t>3.</w:t>
            </w:r>
            <w:r>
              <w:rPr>
                <w:rFonts w:hint="eastAsia" w:ascii="宋体" w:hAnsi="宋体" w:eastAsia="宋体" w:cs="Times New Roman"/>
                <w:color w:val="auto"/>
                <w:sz w:val="21"/>
                <w:szCs w:val="21"/>
              </w:rPr>
              <w:t>按月回访（未完成扣</w:t>
            </w:r>
            <w:r>
              <w:rPr>
                <w:rFonts w:ascii="宋体" w:hAnsi="宋体" w:eastAsia="宋体" w:cs="Times New Roman"/>
                <w:color w:val="auto"/>
                <w:sz w:val="21"/>
                <w:szCs w:val="21"/>
              </w:rPr>
              <w:t>5</w:t>
            </w:r>
            <w:r>
              <w:rPr>
                <w:rFonts w:hint="eastAsia" w:ascii="宋体" w:hAnsi="宋体" w:eastAsia="宋体" w:cs="Times New Roman"/>
                <w:color w:val="auto"/>
                <w:sz w:val="21"/>
                <w:szCs w:val="21"/>
              </w:rPr>
              <w:t>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4921EE5B">
            <w:pPr>
              <w:snapToGrid w:val="0"/>
              <w:spacing w:line="240" w:lineRule="auto"/>
              <w:ind w:left="0" w:leftChars="0" w:right="0" w:rightChars="0" w:firstLine="0" w:firstLineChars="0"/>
              <w:jc w:val="right"/>
              <w:rPr>
                <w:rFonts w:ascii="宋体" w:hAnsi="宋体" w:eastAsia="宋体" w:cs="Times New Roman"/>
                <w:color w:val="auto"/>
                <w:sz w:val="21"/>
                <w:szCs w:val="21"/>
              </w:rPr>
            </w:pPr>
            <w:r>
              <w:rPr>
                <w:rFonts w:ascii="宋体" w:hAnsi="宋体" w:eastAsia="宋体" w:cs="Times New Roman"/>
                <w:color w:val="auto"/>
                <w:sz w:val="21"/>
                <w:szCs w:val="21"/>
              </w:rPr>
              <w:t>6</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49CC8329">
            <w:pPr>
              <w:snapToGrid w:val="0"/>
              <w:spacing w:line="240" w:lineRule="auto"/>
              <w:ind w:left="0" w:leftChars="0" w:right="0" w:rightChars="0" w:firstLine="0" w:firstLineChars="0"/>
              <w:jc w:val="center"/>
              <w:rPr>
                <w:rFonts w:ascii="宋体" w:hAnsi="宋体" w:eastAsia="宋体" w:cs="Times New Roman"/>
                <w:color w:val="auto"/>
                <w:sz w:val="21"/>
                <w:szCs w:val="21"/>
              </w:rPr>
            </w:pPr>
          </w:p>
        </w:tc>
        <w:tc>
          <w:tcPr>
            <w:tcW w:w="402" w:type="dxa"/>
            <w:tcBorders>
              <w:top w:val="single" w:color="auto" w:sz="6" w:space="0"/>
              <w:left w:val="single" w:color="auto" w:sz="6" w:space="0"/>
              <w:bottom w:val="single" w:color="auto" w:sz="6" w:space="0"/>
              <w:right w:val="single" w:color="auto" w:sz="6" w:space="0"/>
            </w:tcBorders>
            <w:noWrap w:val="0"/>
            <w:vAlign w:val="center"/>
          </w:tcPr>
          <w:p w14:paraId="27CAED49">
            <w:pPr>
              <w:snapToGrid w:val="0"/>
              <w:spacing w:line="240" w:lineRule="auto"/>
              <w:ind w:left="0" w:leftChars="0" w:right="0" w:rightChars="0" w:firstLine="0" w:firstLineChars="0"/>
              <w:jc w:val="center"/>
              <w:rPr>
                <w:rFonts w:ascii="宋体" w:hAnsi="宋体" w:eastAsia="宋体" w:cs="Times New Roman"/>
                <w:color w:val="auto"/>
                <w:sz w:val="21"/>
                <w:szCs w:val="21"/>
              </w:rPr>
            </w:pPr>
          </w:p>
        </w:tc>
      </w:tr>
      <w:tr w14:paraId="2F43B366">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72248703">
            <w:pPr>
              <w:snapToGrid w:val="0"/>
              <w:spacing w:line="240" w:lineRule="auto"/>
              <w:ind w:left="0" w:leftChars="0" w:right="0" w:rightChars="0" w:firstLine="0" w:firstLineChars="0"/>
              <w:jc w:val="center"/>
              <w:rPr>
                <w:rFonts w:ascii="宋体" w:hAnsi="宋体" w:eastAsia="宋体" w:cs="Times New Roman"/>
                <w:color w:val="auto"/>
                <w:sz w:val="21"/>
                <w:szCs w:val="21"/>
              </w:rPr>
            </w:pPr>
            <w:r>
              <w:rPr>
                <w:rFonts w:ascii="宋体" w:hAnsi="宋体" w:eastAsia="宋体" w:cs="Times New Roman"/>
                <w:color w:val="auto"/>
                <w:sz w:val="21"/>
                <w:szCs w:val="21"/>
              </w:rPr>
              <w:t>11</w:t>
            </w:r>
          </w:p>
        </w:tc>
        <w:tc>
          <w:tcPr>
            <w:tcW w:w="3473" w:type="dxa"/>
            <w:tcBorders>
              <w:top w:val="single" w:color="auto" w:sz="6" w:space="0"/>
              <w:left w:val="single" w:color="auto" w:sz="6" w:space="0"/>
              <w:bottom w:val="single" w:color="auto" w:sz="6" w:space="0"/>
              <w:right w:val="single" w:color="auto" w:sz="6" w:space="0"/>
            </w:tcBorders>
            <w:noWrap w:val="0"/>
            <w:vAlign w:val="center"/>
          </w:tcPr>
          <w:p w14:paraId="7879D7E7">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定期打扫供电场所（配电房、各配电房）卫生，保持场地清洁、设备无灰尘、墙角和电缆无蛛网，室内无杂物；定期检查电气元件并进行保养；配合完成学院安排的变压电站（变压器）定期保养业务。</w:t>
            </w:r>
          </w:p>
        </w:tc>
        <w:tc>
          <w:tcPr>
            <w:tcW w:w="3773" w:type="dxa"/>
            <w:tcBorders>
              <w:top w:val="single" w:color="auto" w:sz="6" w:space="0"/>
              <w:left w:val="single" w:color="auto" w:sz="6" w:space="0"/>
              <w:bottom w:val="single" w:color="auto" w:sz="6" w:space="0"/>
              <w:right w:val="single" w:color="auto" w:sz="6" w:space="0"/>
            </w:tcBorders>
            <w:noWrap w:val="0"/>
            <w:vAlign w:val="center"/>
          </w:tcPr>
          <w:p w14:paraId="68352CDD">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不达标扣</w:t>
            </w:r>
            <w:r>
              <w:rPr>
                <w:rFonts w:ascii="宋体" w:hAnsi="宋体" w:eastAsia="宋体" w:cs="Times New Roman"/>
                <w:color w:val="auto"/>
                <w:sz w:val="21"/>
                <w:szCs w:val="21"/>
              </w:rPr>
              <w:t>5</w:t>
            </w:r>
            <w:r>
              <w:rPr>
                <w:rFonts w:hint="eastAsia" w:ascii="宋体" w:hAnsi="宋体" w:eastAsia="宋体" w:cs="Times New Roman"/>
                <w:color w:val="auto"/>
                <w:sz w:val="21"/>
                <w:szCs w:val="21"/>
              </w:rPr>
              <w:t>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60F8DE40">
            <w:pPr>
              <w:snapToGrid w:val="0"/>
              <w:spacing w:line="240" w:lineRule="auto"/>
              <w:ind w:left="0" w:leftChars="0" w:right="0" w:rightChars="0" w:firstLine="0" w:firstLineChars="0"/>
              <w:jc w:val="right"/>
              <w:rPr>
                <w:rFonts w:ascii="宋体" w:hAnsi="宋体" w:eastAsia="宋体" w:cs="Times New Roman"/>
                <w:color w:val="auto"/>
                <w:sz w:val="21"/>
                <w:szCs w:val="21"/>
              </w:rPr>
            </w:pPr>
            <w:r>
              <w:rPr>
                <w:rFonts w:ascii="宋体" w:hAnsi="宋体" w:eastAsia="宋体" w:cs="Times New Roman"/>
                <w:color w:val="auto"/>
                <w:sz w:val="21"/>
                <w:szCs w:val="21"/>
              </w:rPr>
              <w:t>5</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0E40CD8D">
            <w:pPr>
              <w:snapToGrid w:val="0"/>
              <w:spacing w:line="240" w:lineRule="auto"/>
              <w:ind w:left="0" w:leftChars="0" w:right="0" w:rightChars="0" w:firstLine="0" w:firstLineChars="0"/>
              <w:jc w:val="center"/>
              <w:rPr>
                <w:rFonts w:ascii="宋体" w:hAnsi="宋体" w:eastAsia="宋体" w:cs="Times New Roman"/>
                <w:color w:val="auto"/>
                <w:sz w:val="21"/>
                <w:szCs w:val="21"/>
              </w:rPr>
            </w:pPr>
          </w:p>
        </w:tc>
        <w:tc>
          <w:tcPr>
            <w:tcW w:w="402" w:type="dxa"/>
            <w:tcBorders>
              <w:top w:val="single" w:color="auto" w:sz="6" w:space="0"/>
              <w:left w:val="single" w:color="auto" w:sz="6" w:space="0"/>
              <w:bottom w:val="single" w:color="auto" w:sz="6" w:space="0"/>
              <w:right w:val="single" w:color="auto" w:sz="6" w:space="0"/>
            </w:tcBorders>
            <w:noWrap w:val="0"/>
            <w:vAlign w:val="center"/>
          </w:tcPr>
          <w:p w14:paraId="0AA28B45">
            <w:pPr>
              <w:snapToGrid w:val="0"/>
              <w:spacing w:line="240" w:lineRule="auto"/>
              <w:ind w:left="0" w:leftChars="0" w:right="0" w:rightChars="0" w:firstLine="0" w:firstLineChars="0"/>
              <w:jc w:val="center"/>
              <w:rPr>
                <w:rFonts w:ascii="宋体" w:hAnsi="宋体" w:eastAsia="宋体" w:cs="Times New Roman"/>
                <w:color w:val="auto"/>
                <w:sz w:val="21"/>
                <w:szCs w:val="21"/>
              </w:rPr>
            </w:pPr>
          </w:p>
        </w:tc>
      </w:tr>
      <w:tr w14:paraId="3B02FEA5">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42B6199A">
            <w:pPr>
              <w:snapToGrid w:val="0"/>
              <w:spacing w:line="240" w:lineRule="auto"/>
              <w:ind w:left="0" w:leftChars="0" w:right="0" w:rightChars="0" w:firstLine="0" w:firstLineChars="0"/>
              <w:jc w:val="center"/>
              <w:rPr>
                <w:rFonts w:ascii="宋体" w:hAnsi="宋体" w:eastAsia="宋体" w:cs="Times New Roman"/>
                <w:color w:val="auto"/>
                <w:sz w:val="21"/>
                <w:szCs w:val="21"/>
              </w:rPr>
            </w:pPr>
            <w:r>
              <w:rPr>
                <w:rFonts w:ascii="宋体" w:hAnsi="宋体" w:eastAsia="宋体" w:cs="Times New Roman"/>
                <w:color w:val="auto"/>
                <w:sz w:val="21"/>
                <w:szCs w:val="21"/>
              </w:rPr>
              <w:t>12</w:t>
            </w:r>
          </w:p>
        </w:tc>
        <w:tc>
          <w:tcPr>
            <w:tcW w:w="3473" w:type="dxa"/>
            <w:tcBorders>
              <w:top w:val="single" w:color="auto" w:sz="6" w:space="0"/>
              <w:left w:val="single" w:color="auto" w:sz="6" w:space="0"/>
              <w:bottom w:val="single" w:color="auto" w:sz="6" w:space="0"/>
              <w:right w:val="single" w:color="auto" w:sz="6" w:space="0"/>
            </w:tcBorders>
            <w:noWrap w:val="0"/>
            <w:vAlign w:val="center"/>
          </w:tcPr>
          <w:p w14:paraId="256B9824">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接到报修后，必须</w:t>
            </w:r>
            <w:r>
              <w:rPr>
                <w:rFonts w:ascii="宋体" w:hAnsi="宋体" w:eastAsia="宋体" w:cs="Times New Roman"/>
                <w:color w:val="auto"/>
                <w:sz w:val="21"/>
                <w:szCs w:val="21"/>
              </w:rPr>
              <w:t>5</w:t>
            </w:r>
            <w:r>
              <w:rPr>
                <w:rFonts w:hint="eastAsia" w:ascii="宋体" w:hAnsi="宋体" w:eastAsia="宋体" w:cs="Times New Roman"/>
                <w:color w:val="auto"/>
                <w:sz w:val="21"/>
                <w:szCs w:val="21"/>
              </w:rPr>
              <w:t>分钟内到场，</w:t>
            </w:r>
            <w:r>
              <w:rPr>
                <w:rFonts w:ascii="宋体" w:hAnsi="宋体" w:eastAsia="宋体" w:cs="Times New Roman"/>
                <w:color w:val="auto"/>
                <w:sz w:val="21"/>
                <w:szCs w:val="21"/>
              </w:rPr>
              <w:t>30</w:t>
            </w:r>
            <w:r>
              <w:rPr>
                <w:rFonts w:hint="eastAsia" w:ascii="宋体" w:hAnsi="宋体" w:eastAsia="宋体" w:cs="Times New Roman"/>
                <w:color w:val="auto"/>
                <w:sz w:val="21"/>
                <w:szCs w:val="21"/>
              </w:rPr>
              <w:t>分钟内不能处理的，要及时报告学院主管部门，并告之客户原因。</w:t>
            </w:r>
          </w:p>
        </w:tc>
        <w:tc>
          <w:tcPr>
            <w:tcW w:w="3773" w:type="dxa"/>
            <w:tcBorders>
              <w:top w:val="single" w:color="auto" w:sz="6" w:space="0"/>
              <w:left w:val="single" w:color="auto" w:sz="6" w:space="0"/>
              <w:bottom w:val="single" w:color="auto" w:sz="6" w:space="0"/>
              <w:right w:val="single" w:color="auto" w:sz="6" w:space="0"/>
            </w:tcBorders>
            <w:noWrap w:val="0"/>
            <w:vAlign w:val="center"/>
          </w:tcPr>
          <w:p w14:paraId="6A6A75BC">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迟到</w:t>
            </w:r>
            <w:r>
              <w:rPr>
                <w:rFonts w:ascii="宋体" w:hAnsi="宋体" w:eastAsia="宋体" w:cs="Times New Roman"/>
                <w:color w:val="auto"/>
                <w:sz w:val="21"/>
                <w:szCs w:val="21"/>
              </w:rPr>
              <w:t>5</w:t>
            </w:r>
            <w:r>
              <w:rPr>
                <w:rFonts w:hint="eastAsia" w:ascii="宋体" w:hAnsi="宋体" w:eastAsia="宋体" w:cs="Times New Roman"/>
                <w:color w:val="auto"/>
                <w:sz w:val="21"/>
                <w:szCs w:val="21"/>
              </w:rPr>
              <w:t>分钟扣</w:t>
            </w:r>
            <w:r>
              <w:rPr>
                <w:rFonts w:ascii="宋体" w:hAnsi="宋体" w:eastAsia="宋体" w:cs="Times New Roman"/>
                <w:color w:val="auto"/>
                <w:sz w:val="21"/>
                <w:szCs w:val="21"/>
              </w:rPr>
              <w:t>1</w:t>
            </w:r>
            <w:r>
              <w:rPr>
                <w:rFonts w:hint="eastAsia" w:ascii="宋体" w:hAnsi="宋体" w:eastAsia="宋体" w:cs="Times New Roman"/>
                <w:color w:val="auto"/>
                <w:sz w:val="21"/>
                <w:szCs w:val="21"/>
              </w:rPr>
              <w:t>分，迟到</w:t>
            </w:r>
            <w:r>
              <w:rPr>
                <w:rFonts w:ascii="宋体" w:hAnsi="宋体" w:eastAsia="宋体" w:cs="Times New Roman"/>
                <w:color w:val="auto"/>
                <w:sz w:val="21"/>
                <w:szCs w:val="21"/>
              </w:rPr>
              <w:t>10</w:t>
            </w:r>
            <w:r>
              <w:rPr>
                <w:rFonts w:hint="eastAsia" w:ascii="宋体" w:hAnsi="宋体" w:eastAsia="宋体" w:cs="Times New Roman"/>
                <w:color w:val="auto"/>
                <w:sz w:val="21"/>
                <w:szCs w:val="21"/>
              </w:rPr>
              <w:t>分钟扣</w:t>
            </w:r>
            <w:r>
              <w:rPr>
                <w:rFonts w:ascii="宋体" w:hAnsi="宋体" w:eastAsia="宋体" w:cs="Times New Roman"/>
                <w:color w:val="auto"/>
                <w:sz w:val="21"/>
                <w:szCs w:val="21"/>
              </w:rPr>
              <w:t>5</w:t>
            </w:r>
            <w:r>
              <w:rPr>
                <w:rFonts w:hint="eastAsia" w:ascii="宋体" w:hAnsi="宋体" w:eastAsia="宋体" w:cs="Times New Roman"/>
                <w:color w:val="auto"/>
                <w:sz w:val="21"/>
                <w:szCs w:val="21"/>
              </w:rPr>
              <w:t>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7D3DD93C">
            <w:pPr>
              <w:snapToGrid w:val="0"/>
              <w:spacing w:line="240" w:lineRule="auto"/>
              <w:ind w:left="0" w:leftChars="0" w:right="0" w:rightChars="0" w:firstLine="0" w:firstLineChars="0"/>
              <w:jc w:val="right"/>
              <w:rPr>
                <w:rFonts w:ascii="宋体" w:hAnsi="宋体" w:eastAsia="宋体" w:cs="Times New Roman"/>
                <w:color w:val="auto"/>
                <w:sz w:val="21"/>
                <w:szCs w:val="21"/>
              </w:rPr>
            </w:pPr>
            <w:r>
              <w:rPr>
                <w:rFonts w:ascii="宋体" w:hAnsi="宋体" w:eastAsia="宋体" w:cs="Times New Roman"/>
                <w:color w:val="auto"/>
                <w:sz w:val="21"/>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3CC90A82">
            <w:pPr>
              <w:snapToGrid w:val="0"/>
              <w:spacing w:line="240" w:lineRule="auto"/>
              <w:ind w:left="0" w:leftChars="0" w:right="0" w:rightChars="0" w:firstLine="0" w:firstLineChars="0"/>
              <w:jc w:val="center"/>
              <w:rPr>
                <w:rFonts w:ascii="宋体" w:hAnsi="宋体" w:eastAsia="宋体" w:cs="Times New Roman"/>
                <w:color w:val="auto"/>
                <w:sz w:val="21"/>
                <w:szCs w:val="21"/>
              </w:rPr>
            </w:pPr>
          </w:p>
        </w:tc>
        <w:tc>
          <w:tcPr>
            <w:tcW w:w="402" w:type="dxa"/>
            <w:tcBorders>
              <w:top w:val="single" w:color="auto" w:sz="6" w:space="0"/>
              <w:left w:val="single" w:color="auto" w:sz="6" w:space="0"/>
              <w:bottom w:val="single" w:color="auto" w:sz="6" w:space="0"/>
              <w:right w:val="single" w:color="auto" w:sz="6" w:space="0"/>
            </w:tcBorders>
            <w:noWrap w:val="0"/>
            <w:vAlign w:val="center"/>
          </w:tcPr>
          <w:p w14:paraId="45FE36FB">
            <w:pPr>
              <w:snapToGrid w:val="0"/>
              <w:spacing w:line="240" w:lineRule="auto"/>
              <w:ind w:left="0" w:leftChars="0" w:right="0" w:rightChars="0" w:firstLine="0" w:firstLineChars="0"/>
              <w:jc w:val="center"/>
              <w:rPr>
                <w:rFonts w:ascii="宋体" w:hAnsi="宋体" w:eastAsia="宋体" w:cs="Times New Roman"/>
                <w:color w:val="auto"/>
                <w:sz w:val="21"/>
                <w:szCs w:val="21"/>
              </w:rPr>
            </w:pPr>
          </w:p>
        </w:tc>
      </w:tr>
      <w:tr w14:paraId="4EAA1D03">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7E85D537">
            <w:pPr>
              <w:snapToGrid w:val="0"/>
              <w:spacing w:line="240" w:lineRule="auto"/>
              <w:ind w:left="0" w:leftChars="0" w:right="0" w:rightChars="0" w:firstLine="0" w:firstLineChars="0"/>
              <w:jc w:val="center"/>
              <w:rPr>
                <w:rFonts w:ascii="宋体" w:hAnsi="宋体" w:eastAsia="宋体" w:cs="Times New Roman"/>
                <w:color w:val="auto"/>
                <w:sz w:val="21"/>
                <w:szCs w:val="21"/>
              </w:rPr>
            </w:pPr>
            <w:r>
              <w:rPr>
                <w:rFonts w:ascii="宋体" w:hAnsi="宋体" w:eastAsia="宋体" w:cs="Times New Roman"/>
                <w:color w:val="auto"/>
                <w:sz w:val="21"/>
                <w:szCs w:val="21"/>
              </w:rPr>
              <w:t>13</w:t>
            </w:r>
          </w:p>
        </w:tc>
        <w:tc>
          <w:tcPr>
            <w:tcW w:w="3473" w:type="dxa"/>
            <w:tcBorders>
              <w:top w:val="single" w:color="auto" w:sz="6" w:space="0"/>
              <w:left w:val="single" w:color="auto" w:sz="6" w:space="0"/>
              <w:bottom w:val="single" w:color="auto" w:sz="6" w:space="0"/>
              <w:right w:val="single" w:color="auto" w:sz="6" w:space="0"/>
            </w:tcBorders>
            <w:noWrap w:val="0"/>
            <w:vAlign w:val="center"/>
          </w:tcPr>
          <w:p w14:paraId="7C6E7E03">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安全作业：杜绝人身安全事故，爱护公共设施，避免出理设施设备损坏，工具丢失等现象。</w:t>
            </w:r>
          </w:p>
        </w:tc>
        <w:tc>
          <w:tcPr>
            <w:tcW w:w="3773" w:type="dxa"/>
            <w:tcBorders>
              <w:top w:val="single" w:color="auto" w:sz="6" w:space="0"/>
              <w:left w:val="single" w:color="auto" w:sz="6" w:space="0"/>
              <w:bottom w:val="single" w:color="auto" w:sz="6" w:space="0"/>
              <w:right w:val="single" w:color="auto" w:sz="6" w:space="0"/>
            </w:tcBorders>
            <w:noWrap w:val="0"/>
            <w:vAlign w:val="center"/>
          </w:tcPr>
          <w:p w14:paraId="7EC0B65C">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发生</w:t>
            </w:r>
            <w:r>
              <w:rPr>
                <w:rFonts w:ascii="宋体" w:hAnsi="宋体" w:eastAsia="宋体" w:cs="Times New Roman"/>
                <w:color w:val="auto"/>
                <w:sz w:val="21"/>
                <w:szCs w:val="21"/>
              </w:rPr>
              <w:t>1</w:t>
            </w:r>
            <w:r>
              <w:rPr>
                <w:rFonts w:hint="eastAsia" w:ascii="宋体" w:hAnsi="宋体" w:eastAsia="宋体" w:cs="Times New Roman"/>
                <w:color w:val="auto"/>
                <w:sz w:val="21"/>
                <w:szCs w:val="21"/>
              </w:rPr>
              <w:t>次扣</w:t>
            </w:r>
            <w:r>
              <w:rPr>
                <w:rFonts w:ascii="宋体" w:hAnsi="宋体" w:eastAsia="宋体" w:cs="Times New Roman"/>
                <w:color w:val="auto"/>
                <w:sz w:val="21"/>
                <w:szCs w:val="21"/>
              </w:rPr>
              <w:t>10</w:t>
            </w:r>
            <w:r>
              <w:rPr>
                <w:rFonts w:hint="eastAsia" w:ascii="宋体" w:hAnsi="宋体" w:eastAsia="宋体" w:cs="Times New Roman"/>
                <w:color w:val="auto"/>
                <w:sz w:val="21"/>
                <w:szCs w:val="21"/>
              </w:rPr>
              <w:t>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04F7D937">
            <w:pPr>
              <w:snapToGrid w:val="0"/>
              <w:spacing w:line="240" w:lineRule="auto"/>
              <w:ind w:left="0" w:leftChars="0" w:right="0" w:rightChars="0" w:firstLine="0" w:firstLineChars="0"/>
              <w:jc w:val="right"/>
              <w:rPr>
                <w:rFonts w:ascii="宋体" w:hAnsi="宋体" w:eastAsia="宋体" w:cs="Times New Roman"/>
                <w:color w:val="auto"/>
                <w:sz w:val="21"/>
                <w:szCs w:val="21"/>
              </w:rPr>
            </w:pPr>
            <w:r>
              <w:rPr>
                <w:rFonts w:ascii="宋体" w:hAnsi="宋体" w:eastAsia="宋体" w:cs="Times New Roman"/>
                <w:color w:val="auto"/>
                <w:sz w:val="21"/>
                <w:szCs w:val="21"/>
              </w:rPr>
              <w:t>15</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6C12A909">
            <w:pPr>
              <w:snapToGrid w:val="0"/>
              <w:spacing w:line="240" w:lineRule="auto"/>
              <w:ind w:left="0" w:leftChars="0" w:right="0" w:rightChars="0" w:firstLine="0" w:firstLineChars="0"/>
              <w:jc w:val="center"/>
              <w:rPr>
                <w:rFonts w:ascii="宋体" w:hAnsi="宋体" w:eastAsia="宋体" w:cs="Times New Roman"/>
                <w:color w:val="auto"/>
                <w:sz w:val="21"/>
                <w:szCs w:val="21"/>
              </w:rPr>
            </w:pPr>
          </w:p>
        </w:tc>
        <w:tc>
          <w:tcPr>
            <w:tcW w:w="402" w:type="dxa"/>
            <w:tcBorders>
              <w:top w:val="single" w:color="auto" w:sz="6" w:space="0"/>
              <w:left w:val="single" w:color="auto" w:sz="6" w:space="0"/>
              <w:bottom w:val="single" w:color="auto" w:sz="6" w:space="0"/>
              <w:right w:val="single" w:color="auto" w:sz="6" w:space="0"/>
            </w:tcBorders>
            <w:noWrap w:val="0"/>
            <w:vAlign w:val="center"/>
          </w:tcPr>
          <w:p w14:paraId="739BAFA6">
            <w:pPr>
              <w:snapToGrid w:val="0"/>
              <w:spacing w:line="240" w:lineRule="auto"/>
              <w:ind w:left="0" w:leftChars="0" w:right="0" w:rightChars="0" w:firstLine="0" w:firstLineChars="0"/>
              <w:jc w:val="center"/>
              <w:rPr>
                <w:rFonts w:ascii="宋体" w:hAnsi="宋体" w:eastAsia="宋体" w:cs="Times New Roman"/>
                <w:color w:val="auto"/>
                <w:sz w:val="21"/>
                <w:szCs w:val="21"/>
              </w:rPr>
            </w:pPr>
          </w:p>
        </w:tc>
      </w:tr>
      <w:tr w14:paraId="04B21EB5">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2237BD6E">
            <w:pPr>
              <w:snapToGrid w:val="0"/>
              <w:spacing w:line="240" w:lineRule="auto"/>
              <w:ind w:left="0" w:leftChars="0" w:right="0" w:rightChars="0" w:firstLine="0" w:firstLineChars="0"/>
              <w:jc w:val="center"/>
              <w:rPr>
                <w:rFonts w:ascii="宋体" w:hAnsi="宋体" w:eastAsia="宋体" w:cs="Times New Roman"/>
                <w:color w:val="auto"/>
                <w:sz w:val="21"/>
                <w:szCs w:val="21"/>
              </w:rPr>
            </w:pPr>
            <w:r>
              <w:rPr>
                <w:rFonts w:ascii="宋体" w:hAnsi="宋体" w:eastAsia="宋体" w:cs="Times New Roman"/>
                <w:color w:val="auto"/>
                <w:sz w:val="21"/>
                <w:szCs w:val="21"/>
              </w:rPr>
              <w:t>14</w:t>
            </w:r>
          </w:p>
        </w:tc>
        <w:tc>
          <w:tcPr>
            <w:tcW w:w="3473" w:type="dxa"/>
            <w:tcBorders>
              <w:top w:val="single" w:color="auto" w:sz="6" w:space="0"/>
              <w:left w:val="single" w:color="auto" w:sz="6" w:space="0"/>
              <w:bottom w:val="single" w:color="auto" w:sz="6" w:space="0"/>
              <w:right w:val="single" w:color="auto" w:sz="6" w:space="0"/>
            </w:tcBorders>
            <w:noWrap w:val="0"/>
            <w:vAlign w:val="center"/>
          </w:tcPr>
          <w:p w14:paraId="689AF5E9">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其他临时任务：服从调配，保质保量完成。</w:t>
            </w:r>
          </w:p>
        </w:tc>
        <w:tc>
          <w:tcPr>
            <w:tcW w:w="3773" w:type="dxa"/>
            <w:tcBorders>
              <w:top w:val="single" w:color="auto" w:sz="6" w:space="0"/>
              <w:left w:val="single" w:color="auto" w:sz="6" w:space="0"/>
              <w:bottom w:val="single" w:color="auto" w:sz="6" w:space="0"/>
              <w:right w:val="single" w:color="auto" w:sz="6" w:space="0"/>
            </w:tcBorders>
            <w:noWrap w:val="0"/>
            <w:vAlign w:val="center"/>
          </w:tcPr>
          <w:p w14:paraId="4C9A2E39">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发生推诿扯皮</w:t>
            </w:r>
            <w:r>
              <w:rPr>
                <w:rFonts w:ascii="宋体" w:hAnsi="宋体" w:eastAsia="宋体" w:cs="Times New Roman"/>
                <w:color w:val="auto"/>
                <w:sz w:val="21"/>
                <w:szCs w:val="21"/>
              </w:rPr>
              <w:t>1</w:t>
            </w:r>
            <w:r>
              <w:rPr>
                <w:rFonts w:hint="eastAsia" w:ascii="宋体" w:hAnsi="宋体" w:eastAsia="宋体" w:cs="Times New Roman"/>
                <w:color w:val="auto"/>
                <w:sz w:val="21"/>
                <w:szCs w:val="21"/>
              </w:rPr>
              <w:t>次扣</w:t>
            </w:r>
            <w:r>
              <w:rPr>
                <w:rFonts w:ascii="宋体" w:hAnsi="宋体" w:eastAsia="宋体" w:cs="Times New Roman"/>
                <w:color w:val="auto"/>
                <w:sz w:val="21"/>
                <w:szCs w:val="21"/>
              </w:rPr>
              <w:t>10</w:t>
            </w:r>
            <w:r>
              <w:rPr>
                <w:rFonts w:hint="eastAsia" w:ascii="宋体" w:hAnsi="宋体" w:eastAsia="宋体" w:cs="Times New Roman"/>
                <w:color w:val="auto"/>
                <w:sz w:val="21"/>
                <w:szCs w:val="21"/>
              </w:rPr>
              <w:t>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06368F7C">
            <w:pPr>
              <w:snapToGrid w:val="0"/>
              <w:spacing w:line="240" w:lineRule="auto"/>
              <w:ind w:left="0" w:leftChars="0" w:right="0" w:rightChars="0" w:firstLine="0" w:firstLineChars="0"/>
              <w:jc w:val="right"/>
              <w:rPr>
                <w:rFonts w:ascii="宋体" w:hAnsi="宋体" w:eastAsia="宋体" w:cs="Times New Roman"/>
                <w:color w:val="auto"/>
                <w:sz w:val="21"/>
                <w:szCs w:val="21"/>
              </w:rPr>
            </w:pPr>
            <w:r>
              <w:rPr>
                <w:rFonts w:ascii="宋体" w:hAnsi="宋体" w:eastAsia="宋体" w:cs="Times New Roman"/>
                <w:color w:val="auto"/>
                <w:sz w:val="21"/>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2C66D25D">
            <w:pPr>
              <w:snapToGrid w:val="0"/>
              <w:spacing w:line="240" w:lineRule="auto"/>
              <w:ind w:left="0" w:leftChars="0" w:right="0" w:rightChars="0" w:firstLine="0" w:firstLineChars="0"/>
              <w:jc w:val="center"/>
              <w:rPr>
                <w:rFonts w:ascii="宋体" w:hAnsi="宋体" w:eastAsia="宋体" w:cs="Times New Roman"/>
                <w:color w:val="auto"/>
                <w:sz w:val="21"/>
                <w:szCs w:val="21"/>
              </w:rPr>
            </w:pPr>
          </w:p>
        </w:tc>
        <w:tc>
          <w:tcPr>
            <w:tcW w:w="402" w:type="dxa"/>
            <w:tcBorders>
              <w:top w:val="single" w:color="auto" w:sz="6" w:space="0"/>
              <w:left w:val="single" w:color="auto" w:sz="6" w:space="0"/>
              <w:bottom w:val="single" w:color="auto" w:sz="6" w:space="0"/>
              <w:right w:val="single" w:color="auto" w:sz="6" w:space="0"/>
            </w:tcBorders>
            <w:noWrap w:val="0"/>
            <w:vAlign w:val="center"/>
          </w:tcPr>
          <w:p w14:paraId="7E3FC4DB">
            <w:pPr>
              <w:snapToGrid w:val="0"/>
              <w:spacing w:line="240" w:lineRule="auto"/>
              <w:ind w:left="0" w:leftChars="0" w:right="0" w:rightChars="0" w:firstLine="0" w:firstLineChars="0"/>
              <w:jc w:val="center"/>
              <w:rPr>
                <w:rFonts w:ascii="宋体" w:hAnsi="宋体" w:eastAsia="宋体" w:cs="Times New Roman"/>
                <w:color w:val="auto"/>
                <w:sz w:val="21"/>
                <w:szCs w:val="21"/>
              </w:rPr>
            </w:pPr>
          </w:p>
        </w:tc>
      </w:tr>
      <w:tr w14:paraId="65B4BA2E">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3007E0C1">
            <w:pPr>
              <w:snapToGrid w:val="0"/>
              <w:spacing w:line="240" w:lineRule="auto"/>
              <w:ind w:left="0" w:leftChars="0" w:right="0" w:rightChars="0" w:firstLine="0" w:firstLineChars="0"/>
              <w:jc w:val="center"/>
              <w:rPr>
                <w:rFonts w:ascii="宋体" w:hAnsi="宋体" w:eastAsia="宋体" w:cs="Times New Roman"/>
                <w:color w:val="auto"/>
                <w:sz w:val="21"/>
                <w:szCs w:val="21"/>
              </w:rPr>
            </w:pPr>
            <w:r>
              <w:rPr>
                <w:rFonts w:ascii="宋体" w:hAnsi="宋体" w:eastAsia="宋体" w:cs="Times New Roman"/>
                <w:color w:val="auto"/>
                <w:sz w:val="21"/>
                <w:szCs w:val="21"/>
              </w:rPr>
              <w:t>15</w:t>
            </w:r>
          </w:p>
        </w:tc>
        <w:tc>
          <w:tcPr>
            <w:tcW w:w="3473" w:type="dxa"/>
            <w:tcBorders>
              <w:top w:val="single" w:color="auto" w:sz="6" w:space="0"/>
              <w:left w:val="single" w:color="auto" w:sz="6" w:space="0"/>
              <w:bottom w:val="single" w:color="auto" w:sz="6" w:space="0"/>
              <w:right w:val="single" w:color="auto" w:sz="6" w:space="0"/>
            </w:tcBorders>
            <w:noWrap w:val="0"/>
            <w:vAlign w:val="center"/>
          </w:tcPr>
          <w:p w14:paraId="66E8F3F6">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与驻地供电部门建立联系，及时协调有关事项，定期接收停电通知，向学院发布停电复电通知；定期与供电部门核对电费，并取回发票交学院主管部门。</w:t>
            </w:r>
          </w:p>
        </w:tc>
        <w:tc>
          <w:tcPr>
            <w:tcW w:w="3773" w:type="dxa"/>
            <w:tcBorders>
              <w:top w:val="single" w:color="auto" w:sz="6" w:space="0"/>
              <w:left w:val="single" w:color="auto" w:sz="6" w:space="0"/>
              <w:bottom w:val="single" w:color="auto" w:sz="6" w:space="0"/>
              <w:right w:val="single" w:color="auto" w:sz="6" w:space="0"/>
            </w:tcBorders>
            <w:noWrap w:val="0"/>
            <w:vAlign w:val="center"/>
          </w:tcPr>
          <w:p w14:paraId="2A26C3DC">
            <w:pPr>
              <w:snapToGrid w:val="0"/>
              <w:spacing w:line="240" w:lineRule="auto"/>
              <w:ind w:left="0" w:leftChars="0" w:right="0" w:rightChars="0" w:firstLine="0" w:firstLineChars="0"/>
              <w:jc w:val="left"/>
              <w:rPr>
                <w:rFonts w:ascii="宋体" w:hAnsi="宋体" w:eastAsia="宋体" w:cs="Times New Roman"/>
                <w:color w:val="auto"/>
                <w:sz w:val="21"/>
                <w:szCs w:val="21"/>
              </w:rPr>
            </w:pPr>
            <w:r>
              <w:rPr>
                <w:rFonts w:hint="eastAsia" w:ascii="宋体" w:hAnsi="宋体" w:eastAsia="宋体" w:cs="Times New Roman"/>
                <w:color w:val="auto"/>
                <w:sz w:val="21"/>
                <w:szCs w:val="21"/>
              </w:rPr>
              <w:t>未及时办理的，每次扣</w:t>
            </w:r>
            <w:r>
              <w:rPr>
                <w:rFonts w:ascii="宋体" w:hAnsi="宋体" w:eastAsia="宋体" w:cs="Times New Roman"/>
                <w:color w:val="auto"/>
                <w:sz w:val="21"/>
                <w:szCs w:val="21"/>
              </w:rPr>
              <w:t>5</w:t>
            </w:r>
            <w:r>
              <w:rPr>
                <w:rFonts w:hint="eastAsia" w:ascii="宋体" w:hAnsi="宋体" w:eastAsia="宋体" w:cs="Times New Roman"/>
                <w:color w:val="auto"/>
                <w:sz w:val="21"/>
                <w:szCs w:val="21"/>
              </w:rPr>
              <w:t>分，造成重大影响的，每次扣</w:t>
            </w:r>
            <w:r>
              <w:rPr>
                <w:rFonts w:ascii="宋体" w:hAnsi="宋体" w:eastAsia="宋体" w:cs="Times New Roman"/>
                <w:color w:val="auto"/>
                <w:sz w:val="21"/>
                <w:szCs w:val="21"/>
              </w:rPr>
              <w:t>10</w:t>
            </w:r>
            <w:r>
              <w:rPr>
                <w:rFonts w:hint="eastAsia" w:ascii="宋体" w:hAnsi="宋体" w:eastAsia="宋体" w:cs="Times New Roman"/>
                <w:color w:val="auto"/>
                <w:sz w:val="21"/>
                <w:szCs w:val="21"/>
              </w:rPr>
              <w:t>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1F9F539A">
            <w:pPr>
              <w:snapToGrid w:val="0"/>
              <w:spacing w:line="240" w:lineRule="auto"/>
              <w:ind w:left="0" w:leftChars="0" w:right="0" w:rightChars="0" w:firstLine="0" w:firstLineChars="0"/>
              <w:jc w:val="right"/>
              <w:rPr>
                <w:rFonts w:ascii="宋体" w:hAnsi="宋体" w:eastAsia="宋体" w:cs="Times New Roman"/>
                <w:color w:val="auto"/>
                <w:sz w:val="21"/>
                <w:szCs w:val="21"/>
              </w:rPr>
            </w:pPr>
            <w:r>
              <w:rPr>
                <w:rFonts w:ascii="宋体" w:hAnsi="宋体" w:eastAsia="宋体" w:cs="Times New Roman"/>
                <w:color w:val="auto"/>
                <w:sz w:val="21"/>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4772D5EB">
            <w:pPr>
              <w:snapToGrid w:val="0"/>
              <w:spacing w:line="240" w:lineRule="auto"/>
              <w:ind w:left="0" w:leftChars="0" w:right="0" w:rightChars="0" w:firstLine="0" w:firstLineChars="0"/>
              <w:jc w:val="center"/>
              <w:rPr>
                <w:rFonts w:ascii="宋体" w:hAnsi="宋体" w:eastAsia="宋体" w:cs="Times New Roman"/>
                <w:color w:val="auto"/>
                <w:sz w:val="21"/>
                <w:szCs w:val="21"/>
              </w:rPr>
            </w:pPr>
          </w:p>
        </w:tc>
        <w:tc>
          <w:tcPr>
            <w:tcW w:w="402" w:type="dxa"/>
            <w:tcBorders>
              <w:top w:val="single" w:color="auto" w:sz="6" w:space="0"/>
              <w:left w:val="single" w:color="auto" w:sz="6" w:space="0"/>
              <w:bottom w:val="single" w:color="auto" w:sz="6" w:space="0"/>
              <w:right w:val="single" w:color="auto" w:sz="6" w:space="0"/>
            </w:tcBorders>
            <w:noWrap w:val="0"/>
            <w:vAlign w:val="center"/>
          </w:tcPr>
          <w:p w14:paraId="0862C4A0">
            <w:pPr>
              <w:snapToGrid w:val="0"/>
              <w:spacing w:line="240" w:lineRule="auto"/>
              <w:ind w:left="0" w:leftChars="0" w:right="0" w:rightChars="0" w:firstLine="0" w:firstLineChars="0"/>
              <w:jc w:val="center"/>
              <w:rPr>
                <w:rFonts w:ascii="宋体" w:hAnsi="宋体" w:eastAsia="宋体" w:cs="Times New Roman"/>
                <w:color w:val="auto"/>
                <w:sz w:val="21"/>
                <w:szCs w:val="21"/>
              </w:rPr>
            </w:pPr>
          </w:p>
        </w:tc>
      </w:tr>
      <w:tr w14:paraId="0E21DFCA">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512F5E7B">
            <w:pPr>
              <w:snapToGrid w:val="0"/>
              <w:spacing w:line="240" w:lineRule="auto"/>
              <w:ind w:left="0" w:leftChars="0" w:right="0" w:rightChars="0" w:firstLine="0" w:firstLineChars="0"/>
              <w:jc w:val="center"/>
              <w:rPr>
                <w:rFonts w:ascii="宋体" w:hAnsi="宋体" w:eastAsia="宋体" w:cs="Times New Roman"/>
                <w:b/>
                <w:color w:val="auto"/>
                <w:sz w:val="21"/>
                <w:szCs w:val="21"/>
              </w:rPr>
            </w:pPr>
          </w:p>
        </w:tc>
        <w:tc>
          <w:tcPr>
            <w:tcW w:w="3473" w:type="dxa"/>
            <w:tcBorders>
              <w:top w:val="single" w:color="auto" w:sz="6" w:space="0"/>
              <w:left w:val="single" w:color="auto" w:sz="6" w:space="0"/>
              <w:bottom w:val="single" w:color="auto" w:sz="6" w:space="0"/>
              <w:right w:val="single" w:color="auto" w:sz="6" w:space="0"/>
            </w:tcBorders>
            <w:noWrap w:val="0"/>
            <w:vAlign w:val="center"/>
          </w:tcPr>
          <w:p w14:paraId="38FF1A30">
            <w:pPr>
              <w:snapToGrid w:val="0"/>
              <w:spacing w:line="240" w:lineRule="auto"/>
              <w:ind w:left="0" w:leftChars="0" w:right="0" w:rightChars="0" w:firstLine="0" w:firstLineChars="0"/>
              <w:jc w:val="left"/>
              <w:rPr>
                <w:rFonts w:ascii="宋体" w:hAnsi="宋体" w:eastAsia="宋体" w:cs="Times New Roman"/>
                <w:b/>
                <w:color w:val="auto"/>
                <w:sz w:val="21"/>
                <w:szCs w:val="21"/>
              </w:rPr>
            </w:pPr>
            <w:r>
              <w:rPr>
                <w:rFonts w:hint="eastAsia" w:ascii="宋体" w:hAnsi="宋体" w:eastAsia="宋体" w:cs="Times New Roman"/>
                <w:b/>
                <w:color w:val="auto"/>
                <w:sz w:val="21"/>
                <w:szCs w:val="21"/>
              </w:rPr>
              <w:t>合计</w:t>
            </w:r>
          </w:p>
        </w:tc>
        <w:tc>
          <w:tcPr>
            <w:tcW w:w="3773" w:type="dxa"/>
            <w:tcBorders>
              <w:top w:val="single" w:color="auto" w:sz="6" w:space="0"/>
              <w:left w:val="single" w:color="auto" w:sz="6" w:space="0"/>
              <w:bottom w:val="single" w:color="auto" w:sz="6" w:space="0"/>
              <w:right w:val="single" w:color="auto" w:sz="6" w:space="0"/>
            </w:tcBorders>
            <w:noWrap w:val="0"/>
            <w:vAlign w:val="center"/>
          </w:tcPr>
          <w:p w14:paraId="171C7C41">
            <w:pPr>
              <w:snapToGrid w:val="0"/>
              <w:spacing w:line="240" w:lineRule="auto"/>
              <w:ind w:left="0" w:leftChars="0" w:right="0" w:rightChars="0" w:firstLine="0" w:firstLineChars="0"/>
              <w:jc w:val="left"/>
              <w:rPr>
                <w:rFonts w:ascii="宋体" w:hAnsi="宋体" w:eastAsia="宋体" w:cs="Times New Roman"/>
                <w:b/>
                <w:color w:val="auto"/>
                <w:sz w:val="21"/>
                <w:szCs w:val="21"/>
              </w:rPr>
            </w:pPr>
          </w:p>
        </w:tc>
        <w:tc>
          <w:tcPr>
            <w:tcW w:w="1140" w:type="dxa"/>
            <w:tcBorders>
              <w:top w:val="single" w:color="auto" w:sz="6" w:space="0"/>
              <w:left w:val="single" w:color="auto" w:sz="6" w:space="0"/>
              <w:bottom w:val="single" w:color="auto" w:sz="6" w:space="0"/>
              <w:right w:val="single" w:color="auto" w:sz="6" w:space="0"/>
            </w:tcBorders>
            <w:noWrap w:val="0"/>
            <w:vAlign w:val="center"/>
          </w:tcPr>
          <w:p w14:paraId="7150F631">
            <w:pPr>
              <w:snapToGrid w:val="0"/>
              <w:spacing w:line="240" w:lineRule="auto"/>
              <w:ind w:left="0" w:leftChars="0" w:right="0" w:rightChars="0" w:firstLine="0" w:firstLineChars="0"/>
              <w:jc w:val="right"/>
              <w:rPr>
                <w:rFonts w:ascii="宋体" w:hAnsi="宋体" w:eastAsia="宋体" w:cs="Times New Roman"/>
                <w:b/>
                <w:color w:val="auto"/>
                <w:sz w:val="21"/>
                <w:szCs w:val="21"/>
              </w:rPr>
            </w:pPr>
            <w:r>
              <w:rPr>
                <w:rFonts w:ascii="宋体" w:hAnsi="宋体" w:eastAsia="宋体" w:cs="Times New Roman"/>
                <w:b/>
                <w:color w:val="auto"/>
                <w:sz w:val="21"/>
                <w:szCs w:val="21"/>
              </w:rPr>
              <w:t>100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5856AC0B">
            <w:pPr>
              <w:snapToGrid w:val="0"/>
              <w:spacing w:line="240" w:lineRule="auto"/>
              <w:ind w:left="0" w:leftChars="0" w:right="0" w:rightChars="0" w:firstLine="0" w:firstLineChars="0"/>
              <w:jc w:val="center"/>
              <w:rPr>
                <w:rFonts w:hint="default" w:ascii="宋体" w:hAnsi="宋体" w:eastAsia="宋体" w:cs="Times New Roman"/>
                <w:b/>
                <w:color w:val="auto"/>
                <w:sz w:val="21"/>
                <w:szCs w:val="21"/>
                <w:lang w:val="en-US" w:eastAsia="zh-CN"/>
              </w:rPr>
            </w:pPr>
          </w:p>
        </w:tc>
        <w:tc>
          <w:tcPr>
            <w:tcW w:w="402" w:type="dxa"/>
            <w:tcBorders>
              <w:top w:val="single" w:color="auto" w:sz="6" w:space="0"/>
              <w:left w:val="single" w:color="auto" w:sz="6" w:space="0"/>
              <w:bottom w:val="single" w:color="auto" w:sz="6" w:space="0"/>
              <w:right w:val="single" w:color="auto" w:sz="6" w:space="0"/>
            </w:tcBorders>
            <w:noWrap w:val="0"/>
            <w:vAlign w:val="center"/>
          </w:tcPr>
          <w:p w14:paraId="032D7C83">
            <w:pPr>
              <w:snapToGrid w:val="0"/>
              <w:spacing w:line="240" w:lineRule="auto"/>
              <w:ind w:left="0" w:leftChars="0" w:right="0" w:rightChars="0" w:firstLine="0" w:firstLineChars="0"/>
              <w:jc w:val="center"/>
              <w:rPr>
                <w:rFonts w:ascii="宋体" w:hAnsi="宋体" w:eastAsia="宋体" w:cs="Times New Roman"/>
                <w:b/>
                <w:color w:val="auto"/>
                <w:sz w:val="21"/>
                <w:szCs w:val="21"/>
              </w:rPr>
            </w:pPr>
          </w:p>
        </w:tc>
      </w:tr>
      <w:tr w14:paraId="7276A143">
        <w:tblPrEx>
          <w:tblCellMar>
            <w:top w:w="0" w:type="dxa"/>
            <w:left w:w="30" w:type="dxa"/>
            <w:bottom w:w="0" w:type="dxa"/>
            <w:right w:w="30" w:type="dxa"/>
          </w:tblCellMar>
        </w:tblPrEx>
        <w:trPr>
          <w:trHeight w:val="0" w:hRule="atLeast"/>
          <w:jc w:val="center"/>
        </w:trPr>
        <w:tc>
          <w:tcPr>
            <w:tcW w:w="402" w:type="dxa"/>
            <w:gridSpan w:val="6"/>
            <w:tcBorders>
              <w:top w:val="single" w:color="auto" w:sz="6" w:space="0"/>
              <w:left w:val="single" w:color="auto" w:sz="6" w:space="0"/>
              <w:bottom w:val="single" w:color="auto" w:sz="6" w:space="0"/>
              <w:right w:val="single" w:color="auto" w:sz="6" w:space="0"/>
            </w:tcBorders>
            <w:noWrap w:val="0"/>
            <w:vAlign w:val="center"/>
          </w:tcPr>
          <w:p w14:paraId="20E79871">
            <w:pPr>
              <w:snapToGrid w:val="0"/>
              <w:spacing w:line="240" w:lineRule="auto"/>
              <w:ind w:left="0" w:leftChars="0" w:right="0" w:rightChars="0" w:firstLine="0" w:firstLineChars="0"/>
              <w:jc w:val="center"/>
              <w:rPr>
                <w:rFonts w:ascii="宋体" w:hAnsi="宋体" w:eastAsia="宋体" w:cs="Times New Roman"/>
                <w:color w:val="auto"/>
                <w:szCs w:val="21"/>
              </w:rPr>
            </w:pPr>
            <w:r>
              <w:rPr>
                <w:rFonts w:hint="eastAsia" w:ascii="宋体" w:hAnsi="宋体" w:eastAsia="宋体" w:cs="Times New Roman"/>
                <w:color w:val="auto"/>
                <w:szCs w:val="21"/>
              </w:rPr>
              <w:t>考核说明：该项目考核分共</w:t>
            </w:r>
            <w:r>
              <w:rPr>
                <w:rFonts w:ascii="宋体" w:hAnsi="宋体" w:eastAsia="宋体" w:cs="Times New Roman"/>
                <w:color w:val="auto"/>
                <w:szCs w:val="21"/>
              </w:rPr>
              <w:t>1</w:t>
            </w:r>
            <w:r>
              <w:rPr>
                <w:rFonts w:hint="eastAsia" w:ascii="宋体" w:hAnsi="宋体" w:eastAsia="宋体" w:cs="Times New Roman"/>
                <w:color w:val="auto"/>
                <w:szCs w:val="21"/>
              </w:rPr>
              <w:t>0</w:t>
            </w:r>
            <w:r>
              <w:rPr>
                <w:rFonts w:ascii="宋体" w:hAnsi="宋体" w:eastAsia="宋体" w:cs="Times New Roman"/>
                <w:color w:val="auto"/>
                <w:szCs w:val="21"/>
              </w:rPr>
              <w:t>0</w:t>
            </w:r>
            <w:r>
              <w:rPr>
                <w:rFonts w:hint="eastAsia" w:ascii="宋体" w:hAnsi="宋体" w:eastAsia="宋体" w:cs="Times New Roman"/>
                <w:color w:val="auto"/>
                <w:szCs w:val="21"/>
              </w:rPr>
              <w:t>分，由学院管理部门在每天工作时间段内随机抽查考核，若当月同一考核项目连续不达标，则扣分项不受分值限制，直到扣完100分为止。学院按实际扣除分数扣减服务费（即被扣分数</w:t>
            </w:r>
            <w:r>
              <w:rPr>
                <w:rFonts w:ascii="宋体" w:hAnsi="宋体" w:eastAsia="宋体" w:cs="Arial"/>
                <w:color w:val="auto"/>
                <w:szCs w:val="21"/>
              </w:rPr>
              <w:t>×</w:t>
            </w:r>
            <w:r>
              <w:rPr>
                <w:rFonts w:hint="eastAsia" w:ascii="宋体" w:hAnsi="宋体" w:eastAsia="宋体" w:cs="宋体"/>
                <w:color w:val="auto"/>
                <w:szCs w:val="21"/>
              </w:rPr>
              <w:t>分值）</w:t>
            </w:r>
            <w:r>
              <w:rPr>
                <w:rFonts w:hint="eastAsia" w:ascii="宋体" w:hAnsi="宋体" w:eastAsia="宋体" w:cs="Times New Roman"/>
                <w:color w:val="auto"/>
                <w:szCs w:val="21"/>
              </w:rPr>
              <w:t>。</w:t>
            </w:r>
          </w:p>
        </w:tc>
      </w:tr>
      <w:tr w14:paraId="49432A71">
        <w:tblPrEx>
          <w:tblCellMar>
            <w:top w:w="0" w:type="dxa"/>
            <w:left w:w="30" w:type="dxa"/>
            <w:bottom w:w="0" w:type="dxa"/>
            <w:right w:w="30" w:type="dxa"/>
          </w:tblCellMar>
        </w:tblPrEx>
        <w:trPr>
          <w:trHeight w:val="0" w:hRule="atLeast"/>
          <w:jc w:val="center"/>
        </w:trPr>
        <w:tc>
          <w:tcPr>
            <w:tcW w:w="402" w:type="dxa"/>
            <w:gridSpan w:val="6"/>
            <w:tcBorders>
              <w:top w:val="single" w:color="auto" w:sz="6" w:space="0"/>
              <w:left w:val="single" w:color="auto" w:sz="6" w:space="0"/>
              <w:bottom w:val="single" w:color="auto" w:sz="6" w:space="0"/>
              <w:right w:val="single" w:color="auto" w:sz="6" w:space="0"/>
            </w:tcBorders>
            <w:noWrap w:val="0"/>
            <w:vAlign w:val="center"/>
          </w:tcPr>
          <w:p w14:paraId="12910876">
            <w:pPr>
              <w:snapToGrid w:val="0"/>
              <w:spacing w:line="240" w:lineRule="auto"/>
              <w:ind w:left="0" w:leftChars="0" w:right="0" w:rightChars="0" w:firstLine="0" w:firstLineChars="0"/>
              <w:jc w:val="center"/>
              <w:rPr>
                <w:rFonts w:hint="eastAsia" w:ascii="宋体" w:hAnsi="宋体" w:eastAsia="宋体" w:cs="Times New Roman"/>
                <w:color w:val="auto"/>
                <w:szCs w:val="21"/>
              </w:rPr>
            </w:pPr>
            <w:r>
              <w:rPr>
                <w:rFonts w:hint="eastAsia" w:ascii="宋体" w:hAnsi="宋体" w:eastAsia="宋体" w:cs="Times New Roman"/>
                <w:color w:val="auto"/>
                <w:szCs w:val="21"/>
                <w:lang w:eastAsia="zh-CN"/>
              </w:rPr>
              <w:t>考核人：</w:t>
            </w:r>
            <w:r>
              <w:rPr>
                <w:rFonts w:hint="eastAsia" w:ascii="宋体" w:hAnsi="宋体" w:eastAsia="宋体" w:cs="Times New Roman"/>
                <w:color w:val="auto"/>
                <w:szCs w:val="21"/>
                <w:lang w:val="en-US" w:eastAsia="zh-CN"/>
              </w:rPr>
              <w:t xml:space="preserve">              责任人：             制表人:</w:t>
            </w:r>
          </w:p>
        </w:tc>
      </w:tr>
    </w:tbl>
    <w:p w14:paraId="47427F5F">
      <w:pPr>
        <w:spacing w:line="360" w:lineRule="auto"/>
        <w:jc w:val="center"/>
        <w:rPr>
          <w:rFonts w:hint="eastAsia" w:ascii="黑体" w:hAnsi="黑体" w:eastAsia="黑体" w:cs="Times New Roman"/>
          <w:b/>
          <w:bCs/>
          <w:color w:val="auto"/>
          <w:sz w:val="32"/>
          <w:szCs w:val="32"/>
        </w:rPr>
      </w:pPr>
      <w:r>
        <w:rPr>
          <w:rFonts w:hint="eastAsia" w:ascii="黑体" w:hAnsi="黑体" w:eastAsia="黑体" w:cs="Times New Roman"/>
          <w:b/>
          <w:bCs/>
          <w:color w:val="auto"/>
          <w:sz w:val="32"/>
          <w:szCs w:val="32"/>
        </w:rPr>
        <w:br w:type="page"/>
      </w:r>
      <w:r>
        <w:rPr>
          <w:rFonts w:hint="eastAsia" w:ascii="黑体" w:hAnsi="黑体" w:eastAsia="黑体" w:cs="Times New Roman"/>
          <w:b/>
          <w:bCs/>
          <w:color w:val="auto"/>
          <w:sz w:val="32"/>
          <w:szCs w:val="32"/>
        </w:rPr>
        <w:t>给排水保障服务质量考核表</w:t>
      </w:r>
    </w:p>
    <w:tbl>
      <w:tblPr>
        <w:tblStyle w:val="33"/>
        <w:tblW w:w="10420" w:type="dxa"/>
        <w:jc w:val="center"/>
        <w:tblLayout w:type="autofit"/>
        <w:tblCellMar>
          <w:top w:w="0" w:type="dxa"/>
          <w:left w:w="30" w:type="dxa"/>
          <w:bottom w:w="0" w:type="dxa"/>
          <w:right w:w="30" w:type="dxa"/>
        </w:tblCellMar>
      </w:tblPr>
      <w:tblGrid>
        <w:gridCol w:w="706"/>
        <w:gridCol w:w="4292"/>
        <w:gridCol w:w="3192"/>
        <w:gridCol w:w="998"/>
        <w:gridCol w:w="642"/>
        <w:gridCol w:w="590"/>
      </w:tblGrid>
      <w:tr w14:paraId="3512759E">
        <w:tblPrEx>
          <w:tblCellMar>
            <w:top w:w="0" w:type="dxa"/>
            <w:left w:w="30" w:type="dxa"/>
            <w:bottom w:w="0" w:type="dxa"/>
            <w:right w:w="30" w:type="dxa"/>
          </w:tblCellMar>
        </w:tblPrEx>
        <w:trPr>
          <w:trHeight w:val="0" w:hRule="atLeast"/>
          <w:tblHeader/>
          <w:jc w:val="center"/>
        </w:trPr>
        <w:tc>
          <w:tcPr>
            <w:tcW w:w="706" w:type="dxa"/>
            <w:tcBorders>
              <w:top w:val="single" w:color="auto" w:sz="6" w:space="0"/>
              <w:left w:val="single" w:color="auto" w:sz="6" w:space="0"/>
              <w:bottom w:val="single" w:color="auto" w:sz="6" w:space="0"/>
              <w:right w:val="single" w:color="auto" w:sz="6" w:space="0"/>
            </w:tcBorders>
            <w:noWrap w:val="0"/>
            <w:vAlign w:val="center"/>
          </w:tcPr>
          <w:p w14:paraId="3E611C79">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序号</w:t>
            </w:r>
          </w:p>
        </w:tc>
        <w:tc>
          <w:tcPr>
            <w:tcW w:w="4292" w:type="dxa"/>
            <w:tcBorders>
              <w:top w:val="single" w:color="auto" w:sz="6" w:space="0"/>
              <w:left w:val="single" w:color="auto" w:sz="6" w:space="0"/>
              <w:bottom w:val="single" w:color="auto" w:sz="6" w:space="0"/>
              <w:right w:val="single" w:color="auto" w:sz="6" w:space="0"/>
            </w:tcBorders>
            <w:noWrap w:val="0"/>
            <w:vAlign w:val="center"/>
          </w:tcPr>
          <w:p w14:paraId="47224AE0">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作业要求</w:t>
            </w:r>
          </w:p>
        </w:tc>
        <w:tc>
          <w:tcPr>
            <w:tcW w:w="3192" w:type="dxa"/>
            <w:tcBorders>
              <w:top w:val="single" w:color="auto" w:sz="6" w:space="0"/>
              <w:left w:val="single" w:color="auto" w:sz="6" w:space="0"/>
              <w:bottom w:val="single" w:color="auto" w:sz="6" w:space="0"/>
              <w:right w:val="single" w:color="auto" w:sz="6" w:space="0"/>
            </w:tcBorders>
            <w:noWrap w:val="0"/>
            <w:vAlign w:val="center"/>
          </w:tcPr>
          <w:p w14:paraId="1533491C">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考核标准</w:t>
            </w:r>
          </w:p>
        </w:tc>
        <w:tc>
          <w:tcPr>
            <w:tcW w:w="998" w:type="dxa"/>
            <w:tcBorders>
              <w:top w:val="single" w:color="auto" w:sz="6" w:space="0"/>
              <w:left w:val="single" w:color="auto" w:sz="6" w:space="0"/>
              <w:bottom w:val="single" w:color="auto" w:sz="6" w:space="0"/>
              <w:right w:val="single" w:color="auto" w:sz="6" w:space="0"/>
            </w:tcBorders>
            <w:noWrap w:val="0"/>
            <w:vAlign w:val="center"/>
          </w:tcPr>
          <w:p w14:paraId="56C659A8">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核定分值</w:t>
            </w:r>
          </w:p>
        </w:tc>
        <w:tc>
          <w:tcPr>
            <w:tcW w:w="642" w:type="dxa"/>
            <w:tcBorders>
              <w:top w:val="single" w:color="auto" w:sz="6" w:space="0"/>
              <w:left w:val="single" w:color="auto" w:sz="6" w:space="0"/>
              <w:bottom w:val="single" w:color="auto" w:sz="6" w:space="0"/>
              <w:right w:val="single" w:color="auto" w:sz="6" w:space="0"/>
            </w:tcBorders>
            <w:noWrap w:val="0"/>
            <w:vAlign w:val="center"/>
          </w:tcPr>
          <w:p w14:paraId="5D02B385">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抽检得分</w:t>
            </w:r>
          </w:p>
        </w:tc>
        <w:tc>
          <w:tcPr>
            <w:tcW w:w="590" w:type="dxa"/>
            <w:tcBorders>
              <w:top w:val="single" w:color="auto" w:sz="6" w:space="0"/>
              <w:left w:val="single" w:color="auto" w:sz="6" w:space="0"/>
              <w:bottom w:val="single" w:color="auto" w:sz="6" w:space="0"/>
              <w:right w:val="single" w:color="auto" w:sz="6" w:space="0"/>
            </w:tcBorders>
            <w:noWrap w:val="0"/>
            <w:vAlign w:val="center"/>
          </w:tcPr>
          <w:p w14:paraId="4FCC016A">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备注</w:t>
            </w:r>
          </w:p>
        </w:tc>
      </w:tr>
      <w:tr w14:paraId="75827864">
        <w:tblPrEx>
          <w:tblCellMar>
            <w:top w:w="0" w:type="dxa"/>
            <w:left w:w="30" w:type="dxa"/>
            <w:bottom w:w="0" w:type="dxa"/>
            <w:right w:w="30" w:type="dxa"/>
          </w:tblCellMar>
        </w:tblPrEx>
        <w:trPr>
          <w:trHeight w:val="0" w:hRule="atLeast"/>
          <w:jc w:val="center"/>
        </w:trPr>
        <w:tc>
          <w:tcPr>
            <w:tcW w:w="706" w:type="dxa"/>
            <w:tcBorders>
              <w:top w:val="single" w:color="auto" w:sz="6" w:space="0"/>
              <w:left w:val="single" w:color="auto" w:sz="6" w:space="0"/>
              <w:bottom w:val="single" w:color="auto" w:sz="6" w:space="0"/>
              <w:right w:val="single" w:color="auto" w:sz="6" w:space="0"/>
            </w:tcBorders>
            <w:noWrap w:val="0"/>
            <w:vAlign w:val="center"/>
          </w:tcPr>
          <w:p w14:paraId="7020E811">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w:t>
            </w:r>
          </w:p>
        </w:tc>
        <w:tc>
          <w:tcPr>
            <w:tcW w:w="4292" w:type="dxa"/>
            <w:tcBorders>
              <w:top w:val="single" w:color="auto" w:sz="6" w:space="0"/>
              <w:left w:val="single" w:color="auto" w:sz="6" w:space="0"/>
              <w:bottom w:val="single" w:color="auto" w:sz="6" w:space="0"/>
              <w:right w:val="single" w:color="auto" w:sz="6" w:space="0"/>
            </w:tcBorders>
            <w:noWrap w:val="0"/>
            <w:vAlign w:val="center"/>
          </w:tcPr>
          <w:p w14:paraId="3667D55D">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规章制度健全；有年度给排水保障及维修计划；组织结构有领班；有人员档案。</w:t>
            </w:r>
          </w:p>
        </w:tc>
        <w:tc>
          <w:tcPr>
            <w:tcW w:w="3192" w:type="dxa"/>
            <w:tcBorders>
              <w:top w:val="single" w:color="auto" w:sz="6" w:space="0"/>
              <w:left w:val="single" w:color="auto" w:sz="6" w:space="0"/>
              <w:bottom w:val="single" w:color="auto" w:sz="6" w:space="0"/>
              <w:right w:val="single" w:color="auto" w:sz="6" w:space="0"/>
            </w:tcBorders>
            <w:noWrap w:val="0"/>
            <w:vAlign w:val="center"/>
          </w:tcPr>
          <w:p w14:paraId="4EE27F45">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健全（每项</w:t>
            </w:r>
            <w:r>
              <w:rPr>
                <w:rFonts w:ascii="宋体" w:hAnsi="宋体" w:eastAsia="宋体" w:cs="Times New Roman"/>
                <w:color w:val="auto"/>
                <w:szCs w:val="21"/>
              </w:rPr>
              <w:t>2.5</w:t>
            </w:r>
            <w:r>
              <w:rPr>
                <w:rFonts w:hint="eastAsia" w:ascii="宋体" w:hAnsi="宋体" w:eastAsia="宋体" w:cs="Times New Roman"/>
                <w:color w:val="auto"/>
                <w:szCs w:val="21"/>
              </w:rPr>
              <w:t>分）。</w:t>
            </w:r>
          </w:p>
        </w:tc>
        <w:tc>
          <w:tcPr>
            <w:tcW w:w="998" w:type="dxa"/>
            <w:tcBorders>
              <w:top w:val="single" w:color="auto" w:sz="6" w:space="0"/>
              <w:left w:val="single" w:color="auto" w:sz="6" w:space="0"/>
              <w:bottom w:val="single" w:color="auto" w:sz="6" w:space="0"/>
              <w:right w:val="single" w:color="auto" w:sz="6" w:space="0"/>
            </w:tcBorders>
            <w:noWrap w:val="0"/>
            <w:vAlign w:val="center"/>
          </w:tcPr>
          <w:p w14:paraId="51E03B65">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42" w:type="dxa"/>
            <w:tcBorders>
              <w:top w:val="single" w:color="auto" w:sz="6" w:space="0"/>
              <w:left w:val="single" w:color="auto" w:sz="6" w:space="0"/>
              <w:bottom w:val="single" w:color="auto" w:sz="6" w:space="0"/>
              <w:right w:val="single" w:color="auto" w:sz="6" w:space="0"/>
            </w:tcBorders>
            <w:noWrap w:val="0"/>
            <w:vAlign w:val="center"/>
          </w:tcPr>
          <w:p w14:paraId="3F2AFBCA">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90" w:type="dxa"/>
            <w:tcBorders>
              <w:top w:val="single" w:color="auto" w:sz="6" w:space="0"/>
              <w:left w:val="single" w:color="auto" w:sz="6" w:space="0"/>
              <w:bottom w:val="single" w:color="auto" w:sz="6" w:space="0"/>
              <w:right w:val="single" w:color="auto" w:sz="6" w:space="0"/>
            </w:tcBorders>
            <w:noWrap w:val="0"/>
            <w:vAlign w:val="center"/>
          </w:tcPr>
          <w:p w14:paraId="1279E116">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533E661D">
        <w:tblPrEx>
          <w:tblCellMar>
            <w:top w:w="0" w:type="dxa"/>
            <w:left w:w="30" w:type="dxa"/>
            <w:bottom w:w="0" w:type="dxa"/>
            <w:right w:w="30" w:type="dxa"/>
          </w:tblCellMar>
        </w:tblPrEx>
        <w:trPr>
          <w:trHeight w:val="0" w:hRule="atLeast"/>
          <w:jc w:val="center"/>
        </w:trPr>
        <w:tc>
          <w:tcPr>
            <w:tcW w:w="706" w:type="dxa"/>
            <w:tcBorders>
              <w:top w:val="single" w:color="auto" w:sz="6" w:space="0"/>
              <w:left w:val="single" w:color="auto" w:sz="6" w:space="0"/>
              <w:bottom w:val="single" w:color="auto" w:sz="6" w:space="0"/>
              <w:right w:val="single" w:color="auto" w:sz="6" w:space="0"/>
            </w:tcBorders>
            <w:noWrap w:val="0"/>
            <w:vAlign w:val="center"/>
          </w:tcPr>
          <w:p w14:paraId="0265BDB8">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2</w:t>
            </w:r>
          </w:p>
        </w:tc>
        <w:tc>
          <w:tcPr>
            <w:tcW w:w="4292" w:type="dxa"/>
            <w:tcBorders>
              <w:top w:val="single" w:color="auto" w:sz="6" w:space="0"/>
              <w:left w:val="single" w:color="auto" w:sz="6" w:space="0"/>
              <w:bottom w:val="single" w:color="auto" w:sz="6" w:space="0"/>
              <w:right w:val="single" w:color="auto" w:sz="6" w:space="0"/>
            </w:tcBorders>
            <w:noWrap w:val="0"/>
            <w:vAlign w:val="center"/>
          </w:tcPr>
          <w:p w14:paraId="4391A59C">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精神面貌好，服装统一、佩戴统一标识。</w:t>
            </w:r>
          </w:p>
        </w:tc>
        <w:tc>
          <w:tcPr>
            <w:tcW w:w="3192" w:type="dxa"/>
            <w:tcBorders>
              <w:top w:val="single" w:color="auto" w:sz="6" w:space="0"/>
              <w:left w:val="single" w:color="auto" w:sz="6" w:space="0"/>
              <w:bottom w:val="single" w:color="auto" w:sz="6" w:space="0"/>
              <w:right w:val="single" w:color="auto" w:sz="6" w:space="0"/>
            </w:tcBorders>
            <w:noWrap w:val="0"/>
            <w:vAlign w:val="center"/>
          </w:tcPr>
          <w:p w14:paraId="2A2C76DB">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整齐、统一（每项</w:t>
            </w:r>
            <w:r>
              <w:rPr>
                <w:rFonts w:ascii="宋体" w:hAnsi="宋体" w:eastAsia="宋体" w:cs="Times New Roman"/>
                <w:color w:val="auto"/>
                <w:szCs w:val="21"/>
              </w:rPr>
              <w:t>1</w:t>
            </w:r>
            <w:r>
              <w:rPr>
                <w:rFonts w:hint="eastAsia" w:ascii="宋体" w:hAnsi="宋体" w:eastAsia="宋体" w:cs="Times New Roman"/>
                <w:color w:val="auto"/>
                <w:szCs w:val="21"/>
              </w:rPr>
              <w:t>分）。</w:t>
            </w:r>
          </w:p>
        </w:tc>
        <w:tc>
          <w:tcPr>
            <w:tcW w:w="998" w:type="dxa"/>
            <w:tcBorders>
              <w:top w:val="single" w:color="auto" w:sz="6" w:space="0"/>
              <w:left w:val="single" w:color="auto" w:sz="6" w:space="0"/>
              <w:bottom w:val="single" w:color="auto" w:sz="6" w:space="0"/>
              <w:right w:val="single" w:color="auto" w:sz="6" w:space="0"/>
            </w:tcBorders>
            <w:noWrap w:val="0"/>
            <w:vAlign w:val="center"/>
          </w:tcPr>
          <w:p w14:paraId="3967EA02">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2</w:t>
            </w:r>
          </w:p>
        </w:tc>
        <w:tc>
          <w:tcPr>
            <w:tcW w:w="642" w:type="dxa"/>
            <w:tcBorders>
              <w:top w:val="single" w:color="auto" w:sz="6" w:space="0"/>
              <w:left w:val="single" w:color="auto" w:sz="6" w:space="0"/>
              <w:bottom w:val="single" w:color="auto" w:sz="6" w:space="0"/>
              <w:right w:val="single" w:color="auto" w:sz="6" w:space="0"/>
            </w:tcBorders>
            <w:noWrap w:val="0"/>
            <w:vAlign w:val="center"/>
          </w:tcPr>
          <w:p w14:paraId="073147A3">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90" w:type="dxa"/>
            <w:tcBorders>
              <w:top w:val="single" w:color="auto" w:sz="6" w:space="0"/>
              <w:left w:val="single" w:color="auto" w:sz="6" w:space="0"/>
              <w:bottom w:val="single" w:color="auto" w:sz="6" w:space="0"/>
              <w:right w:val="single" w:color="auto" w:sz="6" w:space="0"/>
            </w:tcBorders>
            <w:noWrap w:val="0"/>
            <w:vAlign w:val="center"/>
          </w:tcPr>
          <w:p w14:paraId="6B84424A">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52203A57">
        <w:tblPrEx>
          <w:tblCellMar>
            <w:top w:w="0" w:type="dxa"/>
            <w:left w:w="30" w:type="dxa"/>
            <w:bottom w:w="0" w:type="dxa"/>
            <w:right w:w="30" w:type="dxa"/>
          </w:tblCellMar>
        </w:tblPrEx>
        <w:trPr>
          <w:trHeight w:val="0" w:hRule="atLeast"/>
          <w:jc w:val="center"/>
        </w:trPr>
        <w:tc>
          <w:tcPr>
            <w:tcW w:w="706" w:type="dxa"/>
            <w:tcBorders>
              <w:top w:val="single" w:color="auto" w:sz="6" w:space="0"/>
              <w:left w:val="single" w:color="auto" w:sz="6" w:space="0"/>
              <w:bottom w:val="single" w:color="auto" w:sz="6" w:space="0"/>
              <w:right w:val="single" w:color="auto" w:sz="6" w:space="0"/>
            </w:tcBorders>
            <w:noWrap w:val="0"/>
            <w:vAlign w:val="center"/>
          </w:tcPr>
          <w:p w14:paraId="03626F97">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3</w:t>
            </w:r>
          </w:p>
        </w:tc>
        <w:tc>
          <w:tcPr>
            <w:tcW w:w="4292" w:type="dxa"/>
            <w:tcBorders>
              <w:top w:val="single" w:color="auto" w:sz="6" w:space="0"/>
              <w:left w:val="single" w:color="auto" w:sz="6" w:space="0"/>
              <w:bottom w:val="single" w:color="auto" w:sz="6" w:space="0"/>
              <w:right w:val="single" w:color="auto" w:sz="6" w:space="0"/>
            </w:tcBorders>
            <w:noWrap w:val="0"/>
            <w:vAlign w:val="center"/>
          </w:tcPr>
          <w:p w14:paraId="025634C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专业技能持证上岗</w:t>
            </w:r>
          </w:p>
        </w:tc>
        <w:tc>
          <w:tcPr>
            <w:tcW w:w="3192" w:type="dxa"/>
            <w:tcBorders>
              <w:top w:val="single" w:color="auto" w:sz="6" w:space="0"/>
              <w:left w:val="single" w:color="auto" w:sz="6" w:space="0"/>
              <w:bottom w:val="single" w:color="auto" w:sz="6" w:space="0"/>
              <w:right w:val="single" w:color="auto" w:sz="6" w:space="0"/>
            </w:tcBorders>
            <w:noWrap w:val="0"/>
            <w:vAlign w:val="center"/>
          </w:tcPr>
          <w:p w14:paraId="4B8E80D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中级或以上水工职业资格证。</w:t>
            </w:r>
          </w:p>
        </w:tc>
        <w:tc>
          <w:tcPr>
            <w:tcW w:w="998" w:type="dxa"/>
            <w:tcBorders>
              <w:top w:val="single" w:color="auto" w:sz="6" w:space="0"/>
              <w:left w:val="single" w:color="auto" w:sz="6" w:space="0"/>
              <w:bottom w:val="single" w:color="auto" w:sz="6" w:space="0"/>
              <w:right w:val="single" w:color="auto" w:sz="6" w:space="0"/>
            </w:tcBorders>
            <w:noWrap w:val="0"/>
            <w:vAlign w:val="center"/>
          </w:tcPr>
          <w:p w14:paraId="12C85ACD">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5</w:t>
            </w:r>
          </w:p>
        </w:tc>
        <w:tc>
          <w:tcPr>
            <w:tcW w:w="642" w:type="dxa"/>
            <w:tcBorders>
              <w:top w:val="single" w:color="auto" w:sz="6" w:space="0"/>
              <w:left w:val="single" w:color="auto" w:sz="6" w:space="0"/>
              <w:bottom w:val="single" w:color="auto" w:sz="6" w:space="0"/>
              <w:right w:val="single" w:color="auto" w:sz="6" w:space="0"/>
            </w:tcBorders>
            <w:noWrap w:val="0"/>
            <w:vAlign w:val="center"/>
          </w:tcPr>
          <w:p w14:paraId="121E2ECB">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90" w:type="dxa"/>
            <w:tcBorders>
              <w:top w:val="single" w:color="auto" w:sz="6" w:space="0"/>
              <w:left w:val="single" w:color="auto" w:sz="6" w:space="0"/>
              <w:bottom w:val="single" w:color="auto" w:sz="6" w:space="0"/>
              <w:right w:val="single" w:color="auto" w:sz="6" w:space="0"/>
            </w:tcBorders>
            <w:noWrap w:val="0"/>
            <w:vAlign w:val="center"/>
          </w:tcPr>
          <w:p w14:paraId="4D241C05">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381EC2EE">
        <w:tblPrEx>
          <w:tblCellMar>
            <w:top w:w="0" w:type="dxa"/>
            <w:left w:w="30" w:type="dxa"/>
            <w:bottom w:w="0" w:type="dxa"/>
            <w:right w:w="30" w:type="dxa"/>
          </w:tblCellMar>
        </w:tblPrEx>
        <w:trPr>
          <w:trHeight w:val="0" w:hRule="atLeast"/>
          <w:jc w:val="center"/>
        </w:trPr>
        <w:tc>
          <w:tcPr>
            <w:tcW w:w="706" w:type="dxa"/>
            <w:tcBorders>
              <w:top w:val="single" w:color="auto" w:sz="6" w:space="0"/>
              <w:left w:val="single" w:color="auto" w:sz="6" w:space="0"/>
              <w:bottom w:val="single" w:color="auto" w:sz="6" w:space="0"/>
              <w:right w:val="single" w:color="auto" w:sz="6" w:space="0"/>
            </w:tcBorders>
            <w:noWrap w:val="0"/>
            <w:vAlign w:val="center"/>
          </w:tcPr>
          <w:p w14:paraId="53993A12">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4</w:t>
            </w:r>
          </w:p>
        </w:tc>
        <w:tc>
          <w:tcPr>
            <w:tcW w:w="4292" w:type="dxa"/>
            <w:tcBorders>
              <w:top w:val="single" w:color="auto" w:sz="6" w:space="0"/>
              <w:left w:val="single" w:color="auto" w:sz="6" w:space="0"/>
              <w:bottom w:val="single" w:color="auto" w:sz="6" w:space="0"/>
              <w:right w:val="single" w:color="auto" w:sz="6" w:space="0"/>
            </w:tcBorders>
            <w:noWrap w:val="0"/>
            <w:vAlign w:val="center"/>
          </w:tcPr>
          <w:p w14:paraId="4EB17709">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科学合理制定给排水保障及维修计划，规范维修行为，维修有记录、有验收；节约原材料，文明施工，安全上岗。</w:t>
            </w:r>
          </w:p>
        </w:tc>
        <w:tc>
          <w:tcPr>
            <w:tcW w:w="3192" w:type="dxa"/>
            <w:tcBorders>
              <w:top w:val="single" w:color="auto" w:sz="6" w:space="0"/>
              <w:left w:val="single" w:color="auto" w:sz="6" w:space="0"/>
              <w:bottom w:val="single" w:color="auto" w:sz="6" w:space="0"/>
              <w:right w:val="single" w:color="auto" w:sz="6" w:space="0"/>
            </w:tcBorders>
            <w:noWrap w:val="0"/>
            <w:vAlign w:val="center"/>
          </w:tcPr>
          <w:p w14:paraId="6B499228">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无损坏公物现象（</w:t>
            </w:r>
            <w:r>
              <w:rPr>
                <w:rFonts w:ascii="宋体" w:hAnsi="宋体" w:eastAsia="宋体" w:cs="Times New Roman"/>
                <w:color w:val="auto"/>
                <w:szCs w:val="21"/>
              </w:rPr>
              <w:t>1</w:t>
            </w:r>
            <w:r>
              <w:rPr>
                <w:rFonts w:hint="eastAsia" w:ascii="宋体" w:hAnsi="宋体" w:eastAsia="宋体" w:cs="Times New Roman"/>
                <w:color w:val="auto"/>
                <w:szCs w:val="21"/>
              </w:rPr>
              <w:t>分）、文明用语（</w:t>
            </w:r>
            <w:r>
              <w:rPr>
                <w:rFonts w:ascii="宋体" w:hAnsi="宋体" w:eastAsia="宋体" w:cs="Times New Roman"/>
                <w:color w:val="auto"/>
                <w:szCs w:val="21"/>
              </w:rPr>
              <w:t>1</w:t>
            </w:r>
            <w:r>
              <w:rPr>
                <w:rFonts w:hint="eastAsia" w:ascii="宋体" w:hAnsi="宋体" w:eastAsia="宋体" w:cs="Times New Roman"/>
                <w:color w:val="auto"/>
                <w:szCs w:val="21"/>
              </w:rPr>
              <w:t>分）、不拉帮结派（</w:t>
            </w:r>
            <w:r>
              <w:rPr>
                <w:rFonts w:ascii="宋体" w:hAnsi="宋体" w:eastAsia="宋体" w:cs="Times New Roman"/>
                <w:color w:val="auto"/>
                <w:szCs w:val="21"/>
              </w:rPr>
              <w:t>1</w:t>
            </w:r>
            <w:r>
              <w:rPr>
                <w:rFonts w:hint="eastAsia" w:ascii="宋体" w:hAnsi="宋体" w:eastAsia="宋体" w:cs="Times New Roman"/>
                <w:color w:val="auto"/>
                <w:szCs w:val="21"/>
              </w:rPr>
              <w:t>分）、工作时段不做与工作无关的事情（</w:t>
            </w:r>
            <w:r>
              <w:rPr>
                <w:rFonts w:ascii="宋体" w:hAnsi="宋体" w:eastAsia="宋体" w:cs="Times New Roman"/>
                <w:color w:val="auto"/>
                <w:szCs w:val="21"/>
              </w:rPr>
              <w:t>1</w:t>
            </w:r>
            <w:r>
              <w:rPr>
                <w:rFonts w:hint="eastAsia" w:ascii="宋体" w:hAnsi="宋体" w:eastAsia="宋体" w:cs="Times New Roman"/>
                <w:color w:val="auto"/>
                <w:szCs w:val="21"/>
              </w:rPr>
              <w:t>分）。</w:t>
            </w:r>
          </w:p>
        </w:tc>
        <w:tc>
          <w:tcPr>
            <w:tcW w:w="998" w:type="dxa"/>
            <w:tcBorders>
              <w:top w:val="single" w:color="auto" w:sz="6" w:space="0"/>
              <w:left w:val="single" w:color="auto" w:sz="6" w:space="0"/>
              <w:bottom w:val="single" w:color="auto" w:sz="6" w:space="0"/>
              <w:right w:val="single" w:color="auto" w:sz="6" w:space="0"/>
            </w:tcBorders>
            <w:noWrap w:val="0"/>
            <w:vAlign w:val="center"/>
          </w:tcPr>
          <w:p w14:paraId="738D32FF">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5</w:t>
            </w:r>
          </w:p>
        </w:tc>
        <w:tc>
          <w:tcPr>
            <w:tcW w:w="642" w:type="dxa"/>
            <w:tcBorders>
              <w:top w:val="single" w:color="auto" w:sz="6" w:space="0"/>
              <w:left w:val="single" w:color="auto" w:sz="6" w:space="0"/>
              <w:bottom w:val="single" w:color="auto" w:sz="6" w:space="0"/>
              <w:right w:val="single" w:color="auto" w:sz="6" w:space="0"/>
            </w:tcBorders>
            <w:noWrap w:val="0"/>
            <w:vAlign w:val="center"/>
          </w:tcPr>
          <w:p w14:paraId="7079633A">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90" w:type="dxa"/>
            <w:tcBorders>
              <w:top w:val="single" w:color="auto" w:sz="6" w:space="0"/>
              <w:left w:val="single" w:color="auto" w:sz="6" w:space="0"/>
              <w:bottom w:val="single" w:color="auto" w:sz="6" w:space="0"/>
              <w:right w:val="single" w:color="auto" w:sz="6" w:space="0"/>
            </w:tcBorders>
            <w:noWrap w:val="0"/>
            <w:vAlign w:val="center"/>
          </w:tcPr>
          <w:p w14:paraId="4A6778E0">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49B30A5B">
        <w:tblPrEx>
          <w:tblCellMar>
            <w:top w:w="0" w:type="dxa"/>
            <w:left w:w="30" w:type="dxa"/>
            <w:bottom w:w="0" w:type="dxa"/>
            <w:right w:w="30" w:type="dxa"/>
          </w:tblCellMar>
        </w:tblPrEx>
        <w:trPr>
          <w:trHeight w:val="0" w:hRule="atLeast"/>
          <w:jc w:val="center"/>
        </w:trPr>
        <w:tc>
          <w:tcPr>
            <w:tcW w:w="706" w:type="dxa"/>
            <w:tcBorders>
              <w:top w:val="single" w:color="auto" w:sz="6" w:space="0"/>
              <w:left w:val="single" w:color="auto" w:sz="6" w:space="0"/>
              <w:bottom w:val="single" w:color="auto" w:sz="6" w:space="0"/>
              <w:right w:val="single" w:color="auto" w:sz="6" w:space="0"/>
            </w:tcBorders>
            <w:noWrap w:val="0"/>
            <w:vAlign w:val="center"/>
          </w:tcPr>
          <w:p w14:paraId="7E79E7FF">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5</w:t>
            </w:r>
          </w:p>
        </w:tc>
        <w:tc>
          <w:tcPr>
            <w:tcW w:w="4292" w:type="dxa"/>
            <w:tcBorders>
              <w:top w:val="single" w:color="auto" w:sz="6" w:space="0"/>
              <w:left w:val="single" w:color="auto" w:sz="6" w:space="0"/>
              <w:bottom w:val="single" w:color="auto" w:sz="6" w:space="0"/>
              <w:right w:val="single" w:color="auto" w:sz="6" w:space="0"/>
            </w:tcBorders>
            <w:noWrap w:val="0"/>
            <w:vAlign w:val="center"/>
          </w:tcPr>
          <w:p w14:paraId="03796CFA">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给排水保障实行</w:t>
            </w:r>
            <w:r>
              <w:rPr>
                <w:rFonts w:ascii="宋体" w:hAnsi="宋体" w:eastAsia="宋体" w:cs="Times New Roman"/>
                <w:color w:val="auto"/>
                <w:szCs w:val="21"/>
              </w:rPr>
              <w:t>24</w:t>
            </w:r>
            <w:r>
              <w:rPr>
                <w:rFonts w:hint="eastAsia" w:ascii="宋体" w:hAnsi="宋体" w:eastAsia="宋体" w:cs="Times New Roman"/>
                <w:color w:val="auto"/>
                <w:szCs w:val="21"/>
              </w:rPr>
              <w:t>小时值班制，结合人员配置实际，排定值班表，落实值班职责。</w:t>
            </w:r>
          </w:p>
        </w:tc>
        <w:tc>
          <w:tcPr>
            <w:tcW w:w="3192" w:type="dxa"/>
            <w:tcBorders>
              <w:top w:val="single" w:color="auto" w:sz="6" w:space="0"/>
              <w:left w:val="single" w:color="auto" w:sz="6" w:space="0"/>
              <w:bottom w:val="single" w:color="auto" w:sz="6" w:space="0"/>
              <w:right w:val="single" w:color="auto" w:sz="6" w:space="0"/>
            </w:tcBorders>
            <w:noWrap w:val="0"/>
            <w:vAlign w:val="center"/>
          </w:tcPr>
          <w:p w14:paraId="2EC11735">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有管理制度（</w:t>
            </w:r>
            <w:r>
              <w:rPr>
                <w:rFonts w:ascii="宋体" w:hAnsi="宋体" w:eastAsia="宋体" w:cs="Times New Roman"/>
                <w:color w:val="auto"/>
                <w:szCs w:val="21"/>
              </w:rPr>
              <w:t>1</w:t>
            </w:r>
            <w:r>
              <w:rPr>
                <w:rFonts w:hint="eastAsia" w:ascii="宋体" w:hAnsi="宋体" w:eastAsia="宋体" w:cs="Times New Roman"/>
                <w:color w:val="auto"/>
                <w:szCs w:val="21"/>
              </w:rPr>
              <w:t>分）、有值班安排（</w:t>
            </w:r>
            <w:r>
              <w:rPr>
                <w:rFonts w:ascii="宋体" w:hAnsi="宋体" w:eastAsia="宋体" w:cs="Times New Roman"/>
                <w:color w:val="auto"/>
                <w:szCs w:val="21"/>
              </w:rPr>
              <w:t>1</w:t>
            </w:r>
            <w:r>
              <w:rPr>
                <w:rFonts w:hint="eastAsia" w:ascii="宋体" w:hAnsi="宋体" w:eastAsia="宋体" w:cs="Times New Roman"/>
                <w:color w:val="auto"/>
                <w:szCs w:val="21"/>
              </w:rPr>
              <w:t>分）、有值班记录（</w:t>
            </w:r>
            <w:r>
              <w:rPr>
                <w:rFonts w:ascii="宋体" w:hAnsi="宋体" w:eastAsia="宋体" w:cs="Times New Roman"/>
                <w:color w:val="auto"/>
                <w:szCs w:val="21"/>
              </w:rPr>
              <w:t>1</w:t>
            </w:r>
            <w:r>
              <w:rPr>
                <w:rFonts w:hint="eastAsia" w:ascii="宋体" w:hAnsi="宋体" w:eastAsia="宋体" w:cs="Times New Roman"/>
                <w:color w:val="auto"/>
                <w:szCs w:val="21"/>
              </w:rPr>
              <w:t>分）。</w:t>
            </w:r>
          </w:p>
        </w:tc>
        <w:tc>
          <w:tcPr>
            <w:tcW w:w="998" w:type="dxa"/>
            <w:tcBorders>
              <w:top w:val="single" w:color="auto" w:sz="6" w:space="0"/>
              <w:left w:val="single" w:color="auto" w:sz="6" w:space="0"/>
              <w:bottom w:val="single" w:color="auto" w:sz="6" w:space="0"/>
              <w:right w:val="single" w:color="auto" w:sz="6" w:space="0"/>
            </w:tcBorders>
            <w:noWrap w:val="0"/>
            <w:vAlign w:val="center"/>
          </w:tcPr>
          <w:p w14:paraId="47C574CA">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3</w:t>
            </w:r>
          </w:p>
        </w:tc>
        <w:tc>
          <w:tcPr>
            <w:tcW w:w="642" w:type="dxa"/>
            <w:tcBorders>
              <w:top w:val="single" w:color="auto" w:sz="6" w:space="0"/>
              <w:left w:val="single" w:color="auto" w:sz="6" w:space="0"/>
              <w:bottom w:val="single" w:color="auto" w:sz="6" w:space="0"/>
              <w:right w:val="single" w:color="auto" w:sz="6" w:space="0"/>
            </w:tcBorders>
            <w:noWrap w:val="0"/>
            <w:vAlign w:val="center"/>
          </w:tcPr>
          <w:p w14:paraId="6446102F">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90" w:type="dxa"/>
            <w:tcBorders>
              <w:top w:val="single" w:color="auto" w:sz="6" w:space="0"/>
              <w:left w:val="single" w:color="auto" w:sz="6" w:space="0"/>
              <w:bottom w:val="single" w:color="auto" w:sz="6" w:space="0"/>
              <w:right w:val="single" w:color="auto" w:sz="6" w:space="0"/>
            </w:tcBorders>
            <w:noWrap w:val="0"/>
            <w:vAlign w:val="center"/>
          </w:tcPr>
          <w:p w14:paraId="33B21E0E">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684673F5">
        <w:tblPrEx>
          <w:tblCellMar>
            <w:top w:w="0" w:type="dxa"/>
            <w:left w:w="30" w:type="dxa"/>
            <w:bottom w:w="0" w:type="dxa"/>
            <w:right w:w="30" w:type="dxa"/>
          </w:tblCellMar>
        </w:tblPrEx>
        <w:trPr>
          <w:trHeight w:val="0" w:hRule="atLeast"/>
          <w:jc w:val="center"/>
        </w:trPr>
        <w:tc>
          <w:tcPr>
            <w:tcW w:w="706" w:type="dxa"/>
            <w:tcBorders>
              <w:top w:val="single" w:color="auto" w:sz="6" w:space="0"/>
              <w:left w:val="single" w:color="auto" w:sz="6" w:space="0"/>
              <w:bottom w:val="single" w:color="auto" w:sz="6" w:space="0"/>
              <w:right w:val="single" w:color="auto" w:sz="6" w:space="0"/>
            </w:tcBorders>
            <w:noWrap w:val="0"/>
            <w:vAlign w:val="center"/>
          </w:tcPr>
          <w:p w14:paraId="5F154631">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6</w:t>
            </w:r>
          </w:p>
        </w:tc>
        <w:tc>
          <w:tcPr>
            <w:tcW w:w="4292" w:type="dxa"/>
            <w:tcBorders>
              <w:top w:val="single" w:color="auto" w:sz="6" w:space="0"/>
              <w:left w:val="single" w:color="auto" w:sz="6" w:space="0"/>
              <w:bottom w:val="single" w:color="auto" w:sz="6" w:space="0"/>
              <w:right w:val="single" w:color="auto" w:sz="6" w:space="0"/>
            </w:tcBorders>
            <w:noWrap w:val="0"/>
            <w:vAlign w:val="center"/>
          </w:tcPr>
          <w:p w14:paraId="056903BB">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领导视察或其他大型活动期间，要科学合理制定给排水保障及维修计划，事前制定应急方案，提前咨询供停水有关事项。</w:t>
            </w:r>
          </w:p>
        </w:tc>
        <w:tc>
          <w:tcPr>
            <w:tcW w:w="3192" w:type="dxa"/>
            <w:tcBorders>
              <w:top w:val="single" w:color="auto" w:sz="6" w:space="0"/>
              <w:left w:val="single" w:color="auto" w:sz="6" w:space="0"/>
              <w:bottom w:val="single" w:color="auto" w:sz="6" w:space="0"/>
              <w:right w:val="single" w:color="auto" w:sz="6" w:space="0"/>
            </w:tcBorders>
            <w:noWrap w:val="0"/>
            <w:vAlign w:val="center"/>
          </w:tcPr>
          <w:p w14:paraId="6E8790D6">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工作无失误（</w:t>
            </w:r>
            <w:r>
              <w:rPr>
                <w:rFonts w:ascii="宋体" w:hAnsi="宋体" w:eastAsia="宋体" w:cs="Times New Roman"/>
                <w:color w:val="auto"/>
                <w:szCs w:val="21"/>
              </w:rPr>
              <w:t>5</w:t>
            </w:r>
            <w:r>
              <w:rPr>
                <w:rFonts w:hint="eastAsia" w:ascii="宋体" w:hAnsi="宋体" w:eastAsia="宋体" w:cs="Times New Roman"/>
                <w:color w:val="auto"/>
                <w:szCs w:val="21"/>
              </w:rPr>
              <w:t>分）。</w:t>
            </w:r>
          </w:p>
        </w:tc>
        <w:tc>
          <w:tcPr>
            <w:tcW w:w="998" w:type="dxa"/>
            <w:tcBorders>
              <w:top w:val="single" w:color="auto" w:sz="6" w:space="0"/>
              <w:left w:val="single" w:color="auto" w:sz="6" w:space="0"/>
              <w:bottom w:val="single" w:color="auto" w:sz="6" w:space="0"/>
              <w:right w:val="single" w:color="auto" w:sz="6" w:space="0"/>
            </w:tcBorders>
            <w:noWrap w:val="0"/>
            <w:vAlign w:val="center"/>
          </w:tcPr>
          <w:p w14:paraId="706687AC">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5</w:t>
            </w:r>
          </w:p>
        </w:tc>
        <w:tc>
          <w:tcPr>
            <w:tcW w:w="642" w:type="dxa"/>
            <w:tcBorders>
              <w:top w:val="single" w:color="auto" w:sz="6" w:space="0"/>
              <w:left w:val="single" w:color="auto" w:sz="6" w:space="0"/>
              <w:bottom w:val="single" w:color="auto" w:sz="6" w:space="0"/>
              <w:right w:val="single" w:color="auto" w:sz="6" w:space="0"/>
            </w:tcBorders>
            <w:noWrap w:val="0"/>
            <w:vAlign w:val="center"/>
          </w:tcPr>
          <w:p w14:paraId="64140360">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90" w:type="dxa"/>
            <w:tcBorders>
              <w:top w:val="single" w:color="auto" w:sz="6" w:space="0"/>
              <w:left w:val="single" w:color="auto" w:sz="6" w:space="0"/>
              <w:bottom w:val="single" w:color="auto" w:sz="6" w:space="0"/>
              <w:right w:val="single" w:color="auto" w:sz="6" w:space="0"/>
            </w:tcBorders>
            <w:noWrap w:val="0"/>
            <w:vAlign w:val="center"/>
          </w:tcPr>
          <w:p w14:paraId="1662DDCB">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4FBE7D5C">
        <w:tblPrEx>
          <w:tblCellMar>
            <w:top w:w="0" w:type="dxa"/>
            <w:left w:w="30" w:type="dxa"/>
            <w:bottom w:w="0" w:type="dxa"/>
            <w:right w:w="30" w:type="dxa"/>
          </w:tblCellMar>
        </w:tblPrEx>
        <w:trPr>
          <w:trHeight w:val="0" w:hRule="atLeast"/>
          <w:jc w:val="center"/>
        </w:trPr>
        <w:tc>
          <w:tcPr>
            <w:tcW w:w="706" w:type="dxa"/>
            <w:tcBorders>
              <w:top w:val="single" w:color="auto" w:sz="6" w:space="0"/>
              <w:left w:val="single" w:color="auto" w:sz="6" w:space="0"/>
              <w:bottom w:val="single" w:color="auto" w:sz="6" w:space="0"/>
              <w:right w:val="single" w:color="auto" w:sz="6" w:space="0"/>
            </w:tcBorders>
            <w:noWrap w:val="0"/>
            <w:vAlign w:val="center"/>
          </w:tcPr>
          <w:p w14:paraId="763A54D4">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7</w:t>
            </w:r>
          </w:p>
        </w:tc>
        <w:tc>
          <w:tcPr>
            <w:tcW w:w="4292" w:type="dxa"/>
            <w:tcBorders>
              <w:top w:val="single" w:color="auto" w:sz="6" w:space="0"/>
              <w:left w:val="single" w:color="auto" w:sz="6" w:space="0"/>
              <w:bottom w:val="single" w:color="auto" w:sz="6" w:space="0"/>
              <w:right w:val="single" w:color="auto" w:sz="6" w:space="0"/>
            </w:tcBorders>
            <w:noWrap w:val="0"/>
            <w:vAlign w:val="center"/>
          </w:tcPr>
          <w:p w14:paraId="4552BDF9">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对户内户外给排水设施每天巡检，发现故障及时排除，人为损坏，负责追责并落实赔偿，赔偿价值按原价</w:t>
            </w:r>
            <w:r>
              <w:rPr>
                <w:rFonts w:ascii="宋体" w:hAnsi="宋体" w:eastAsia="宋体" w:cs="Times New Roman"/>
                <w:color w:val="auto"/>
                <w:szCs w:val="21"/>
              </w:rPr>
              <w:t>+</w:t>
            </w:r>
            <w:r>
              <w:rPr>
                <w:rFonts w:hint="eastAsia" w:ascii="宋体" w:hAnsi="宋体" w:eastAsia="宋体" w:cs="Times New Roman"/>
                <w:color w:val="auto"/>
                <w:szCs w:val="21"/>
              </w:rPr>
              <w:t>工时费进处理，赔偿金额交管理部门。</w:t>
            </w:r>
          </w:p>
        </w:tc>
        <w:tc>
          <w:tcPr>
            <w:tcW w:w="3192" w:type="dxa"/>
            <w:tcBorders>
              <w:top w:val="single" w:color="auto" w:sz="6" w:space="0"/>
              <w:left w:val="single" w:color="auto" w:sz="6" w:space="0"/>
              <w:bottom w:val="single" w:color="auto" w:sz="6" w:space="0"/>
              <w:right w:val="single" w:color="auto" w:sz="6" w:space="0"/>
            </w:tcBorders>
            <w:noWrap w:val="0"/>
            <w:vAlign w:val="center"/>
          </w:tcPr>
          <w:p w14:paraId="2E8CCD45">
            <w:pPr>
              <w:snapToGrid w:val="0"/>
              <w:spacing w:line="240" w:lineRule="auto"/>
              <w:ind w:left="0" w:leftChars="0" w:right="0" w:rightChars="0" w:firstLine="0" w:firstLineChars="0"/>
              <w:jc w:val="left"/>
              <w:rPr>
                <w:rFonts w:ascii="宋体" w:hAnsi="宋体" w:eastAsia="宋体" w:cs="Times New Roman"/>
                <w:color w:val="auto"/>
                <w:szCs w:val="21"/>
              </w:rPr>
            </w:pPr>
            <w:r>
              <w:rPr>
                <w:rFonts w:ascii="宋体" w:hAnsi="宋体" w:eastAsia="宋体" w:cs="Times New Roman"/>
                <w:color w:val="auto"/>
                <w:szCs w:val="21"/>
              </w:rPr>
              <w:t>1.</w:t>
            </w:r>
            <w:r>
              <w:rPr>
                <w:rFonts w:hint="eastAsia" w:ascii="宋体" w:hAnsi="宋体" w:eastAsia="宋体" w:cs="Times New Roman"/>
                <w:color w:val="auto"/>
                <w:szCs w:val="21"/>
              </w:rPr>
              <w:t>巡检查及时发现问题（</w:t>
            </w:r>
            <w:r>
              <w:rPr>
                <w:rFonts w:ascii="宋体" w:hAnsi="宋体" w:eastAsia="宋体" w:cs="Times New Roman"/>
                <w:color w:val="auto"/>
                <w:szCs w:val="21"/>
              </w:rPr>
              <w:t>2</w:t>
            </w:r>
            <w:r>
              <w:rPr>
                <w:rFonts w:hint="eastAsia" w:ascii="宋体" w:hAnsi="宋体" w:eastAsia="宋体" w:cs="Times New Roman"/>
                <w:color w:val="auto"/>
                <w:szCs w:val="21"/>
              </w:rPr>
              <w:t>分）；无举报（</w:t>
            </w:r>
            <w:r>
              <w:rPr>
                <w:rFonts w:ascii="宋体" w:hAnsi="宋体" w:eastAsia="宋体" w:cs="Times New Roman"/>
                <w:color w:val="auto"/>
                <w:szCs w:val="21"/>
              </w:rPr>
              <w:t>1</w:t>
            </w:r>
            <w:r>
              <w:rPr>
                <w:rFonts w:hint="eastAsia" w:ascii="宋体" w:hAnsi="宋体" w:eastAsia="宋体" w:cs="Times New Roman"/>
                <w:color w:val="auto"/>
                <w:szCs w:val="21"/>
              </w:rPr>
              <w:t>次</w:t>
            </w:r>
            <w:r>
              <w:rPr>
                <w:rFonts w:ascii="宋体" w:hAnsi="宋体" w:eastAsia="宋体" w:cs="Times New Roman"/>
                <w:color w:val="auto"/>
                <w:szCs w:val="21"/>
              </w:rPr>
              <w:t>1</w:t>
            </w:r>
            <w:r>
              <w:rPr>
                <w:rFonts w:hint="eastAsia" w:ascii="宋体" w:hAnsi="宋体" w:eastAsia="宋体" w:cs="Times New Roman"/>
                <w:color w:val="auto"/>
                <w:szCs w:val="21"/>
              </w:rPr>
              <w:t>分）；</w:t>
            </w:r>
            <w:r>
              <w:rPr>
                <w:rFonts w:ascii="宋体" w:hAnsi="宋体" w:eastAsia="宋体" w:cs="Times New Roman"/>
                <w:color w:val="auto"/>
                <w:szCs w:val="21"/>
              </w:rPr>
              <w:t>2.</w:t>
            </w:r>
            <w:r>
              <w:rPr>
                <w:rFonts w:hint="eastAsia" w:ascii="宋体" w:hAnsi="宋体" w:eastAsia="宋体" w:cs="Times New Roman"/>
                <w:color w:val="auto"/>
                <w:szCs w:val="21"/>
              </w:rPr>
              <w:t>无乱收费或不收费现象（</w:t>
            </w:r>
            <w:r>
              <w:rPr>
                <w:rFonts w:ascii="宋体" w:hAnsi="宋体" w:eastAsia="宋体" w:cs="Times New Roman"/>
                <w:color w:val="auto"/>
                <w:szCs w:val="21"/>
              </w:rPr>
              <w:t>1</w:t>
            </w:r>
            <w:r>
              <w:rPr>
                <w:rFonts w:hint="eastAsia" w:ascii="宋体" w:hAnsi="宋体" w:eastAsia="宋体" w:cs="Times New Roman"/>
                <w:color w:val="auto"/>
                <w:szCs w:val="21"/>
              </w:rPr>
              <w:t>次</w:t>
            </w:r>
            <w:r>
              <w:rPr>
                <w:rFonts w:ascii="宋体" w:hAnsi="宋体" w:eastAsia="宋体" w:cs="Times New Roman"/>
                <w:color w:val="auto"/>
                <w:szCs w:val="21"/>
              </w:rPr>
              <w:t>1</w:t>
            </w:r>
            <w:r>
              <w:rPr>
                <w:rFonts w:hint="eastAsia" w:ascii="宋体" w:hAnsi="宋体" w:eastAsia="宋体" w:cs="Times New Roman"/>
                <w:color w:val="auto"/>
                <w:szCs w:val="21"/>
              </w:rPr>
              <w:t>分）。</w:t>
            </w:r>
          </w:p>
        </w:tc>
        <w:tc>
          <w:tcPr>
            <w:tcW w:w="998" w:type="dxa"/>
            <w:tcBorders>
              <w:top w:val="single" w:color="auto" w:sz="6" w:space="0"/>
              <w:left w:val="single" w:color="auto" w:sz="6" w:space="0"/>
              <w:bottom w:val="single" w:color="auto" w:sz="6" w:space="0"/>
              <w:right w:val="single" w:color="auto" w:sz="6" w:space="0"/>
            </w:tcBorders>
            <w:noWrap w:val="0"/>
            <w:vAlign w:val="center"/>
          </w:tcPr>
          <w:p w14:paraId="7DE0471C">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4</w:t>
            </w:r>
          </w:p>
        </w:tc>
        <w:tc>
          <w:tcPr>
            <w:tcW w:w="642" w:type="dxa"/>
            <w:tcBorders>
              <w:top w:val="single" w:color="auto" w:sz="6" w:space="0"/>
              <w:left w:val="single" w:color="auto" w:sz="6" w:space="0"/>
              <w:bottom w:val="single" w:color="auto" w:sz="6" w:space="0"/>
              <w:right w:val="single" w:color="auto" w:sz="6" w:space="0"/>
            </w:tcBorders>
            <w:noWrap w:val="0"/>
            <w:vAlign w:val="center"/>
          </w:tcPr>
          <w:p w14:paraId="2AB40C0B">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590" w:type="dxa"/>
            <w:tcBorders>
              <w:top w:val="single" w:color="auto" w:sz="6" w:space="0"/>
              <w:left w:val="single" w:color="auto" w:sz="6" w:space="0"/>
              <w:bottom w:val="single" w:color="auto" w:sz="6" w:space="0"/>
              <w:right w:val="single" w:color="auto" w:sz="6" w:space="0"/>
            </w:tcBorders>
            <w:noWrap w:val="0"/>
            <w:vAlign w:val="center"/>
          </w:tcPr>
          <w:p w14:paraId="7984A183">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4D87CC7F">
        <w:tblPrEx>
          <w:tblCellMar>
            <w:top w:w="0" w:type="dxa"/>
            <w:left w:w="30" w:type="dxa"/>
            <w:bottom w:w="0" w:type="dxa"/>
            <w:right w:w="30" w:type="dxa"/>
          </w:tblCellMar>
        </w:tblPrEx>
        <w:trPr>
          <w:trHeight w:val="0" w:hRule="atLeast"/>
          <w:jc w:val="center"/>
        </w:trPr>
        <w:tc>
          <w:tcPr>
            <w:tcW w:w="706" w:type="dxa"/>
            <w:tcBorders>
              <w:top w:val="single" w:color="auto" w:sz="6" w:space="0"/>
              <w:left w:val="single" w:color="auto" w:sz="6" w:space="0"/>
              <w:bottom w:val="single" w:color="auto" w:sz="6" w:space="0"/>
              <w:right w:val="single" w:color="auto" w:sz="6" w:space="0"/>
            </w:tcBorders>
            <w:noWrap w:val="0"/>
            <w:vAlign w:val="center"/>
          </w:tcPr>
          <w:p w14:paraId="1AA3629B">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8</w:t>
            </w:r>
          </w:p>
        </w:tc>
        <w:tc>
          <w:tcPr>
            <w:tcW w:w="4292" w:type="dxa"/>
            <w:tcBorders>
              <w:top w:val="single" w:color="auto" w:sz="6" w:space="0"/>
              <w:left w:val="single" w:color="auto" w:sz="6" w:space="0"/>
              <w:bottom w:val="single" w:color="auto" w:sz="6" w:space="0"/>
              <w:right w:val="single" w:color="auto" w:sz="6" w:space="0"/>
            </w:tcBorders>
            <w:noWrap w:val="0"/>
            <w:vAlign w:val="center"/>
          </w:tcPr>
          <w:p w14:paraId="22C5D8CA">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及时疏通管道，对人为堵塞的，要追究当事人责任，并收取疏通费（按市场价计），费用于次月</w:t>
            </w:r>
            <w:r>
              <w:rPr>
                <w:rFonts w:ascii="宋体" w:hAnsi="宋体" w:eastAsia="宋体" w:cs="Times New Roman"/>
                <w:color w:val="auto"/>
                <w:szCs w:val="21"/>
              </w:rPr>
              <w:t>5</w:t>
            </w:r>
            <w:r>
              <w:rPr>
                <w:rFonts w:hint="eastAsia" w:ascii="宋体" w:hAnsi="宋体" w:eastAsia="宋体" w:cs="Times New Roman"/>
                <w:color w:val="auto"/>
                <w:szCs w:val="21"/>
              </w:rPr>
              <w:t>日前交学院主管部门，按所收费用的</w:t>
            </w:r>
            <w:r>
              <w:rPr>
                <w:rFonts w:ascii="宋体" w:hAnsi="宋体" w:eastAsia="宋体" w:cs="Times New Roman"/>
                <w:color w:val="auto"/>
                <w:szCs w:val="21"/>
              </w:rPr>
              <w:t>50%</w:t>
            </w:r>
            <w:r>
              <w:rPr>
                <w:rFonts w:hint="eastAsia" w:ascii="宋体" w:hAnsi="宋体" w:eastAsia="宋体" w:cs="Times New Roman"/>
                <w:color w:val="auto"/>
                <w:szCs w:val="21"/>
              </w:rPr>
              <w:t>返还物业服务公司。</w:t>
            </w:r>
          </w:p>
        </w:tc>
        <w:tc>
          <w:tcPr>
            <w:tcW w:w="3192" w:type="dxa"/>
            <w:tcBorders>
              <w:top w:val="single" w:color="auto" w:sz="6" w:space="0"/>
              <w:left w:val="single" w:color="auto" w:sz="6" w:space="0"/>
              <w:bottom w:val="single" w:color="auto" w:sz="6" w:space="0"/>
              <w:right w:val="single" w:color="auto" w:sz="6" w:space="0"/>
            </w:tcBorders>
            <w:noWrap w:val="0"/>
            <w:vAlign w:val="center"/>
          </w:tcPr>
          <w:p w14:paraId="46B96522">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按要求及时完成，如发现堵塞未及时到场开展疏通超过</w:t>
            </w:r>
            <w:r>
              <w:rPr>
                <w:rFonts w:ascii="宋体" w:hAnsi="宋体" w:eastAsia="宋体" w:cs="Times New Roman"/>
                <w:color w:val="auto"/>
                <w:szCs w:val="21"/>
              </w:rPr>
              <w:t>20</w:t>
            </w:r>
            <w:r>
              <w:rPr>
                <w:rFonts w:hint="eastAsia" w:ascii="宋体" w:hAnsi="宋体" w:eastAsia="宋体" w:cs="Times New Roman"/>
                <w:color w:val="auto"/>
                <w:szCs w:val="21"/>
              </w:rPr>
              <w:t>分种的，每次扣</w:t>
            </w:r>
            <w:r>
              <w:rPr>
                <w:rFonts w:ascii="宋体" w:hAnsi="宋体" w:eastAsia="宋体" w:cs="Times New Roman"/>
                <w:color w:val="auto"/>
                <w:szCs w:val="21"/>
              </w:rPr>
              <w:t>5</w:t>
            </w:r>
            <w:r>
              <w:rPr>
                <w:rFonts w:hint="eastAsia" w:ascii="宋体" w:hAnsi="宋体" w:eastAsia="宋体" w:cs="Times New Roman"/>
                <w:color w:val="auto"/>
                <w:szCs w:val="21"/>
              </w:rPr>
              <w:t>分，私自收费未上交的，每次扣</w:t>
            </w:r>
            <w:r>
              <w:rPr>
                <w:rFonts w:ascii="宋体" w:hAnsi="宋体" w:eastAsia="宋体" w:cs="Times New Roman"/>
                <w:color w:val="auto"/>
                <w:szCs w:val="21"/>
              </w:rPr>
              <w:t>5</w:t>
            </w:r>
            <w:r>
              <w:rPr>
                <w:rFonts w:hint="eastAsia" w:ascii="宋体" w:hAnsi="宋体" w:eastAsia="宋体" w:cs="Times New Roman"/>
                <w:color w:val="auto"/>
                <w:szCs w:val="21"/>
              </w:rPr>
              <w:t>分。</w:t>
            </w:r>
          </w:p>
        </w:tc>
        <w:tc>
          <w:tcPr>
            <w:tcW w:w="998" w:type="dxa"/>
            <w:tcBorders>
              <w:top w:val="single" w:color="auto" w:sz="6" w:space="0"/>
              <w:left w:val="single" w:color="auto" w:sz="6" w:space="0"/>
              <w:bottom w:val="single" w:color="auto" w:sz="6" w:space="0"/>
              <w:right w:val="single" w:color="auto" w:sz="6" w:space="0"/>
            </w:tcBorders>
            <w:noWrap w:val="0"/>
            <w:vAlign w:val="center"/>
          </w:tcPr>
          <w:p w14:paraId="68A4BB55">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5</w:t>
            </w:r>
          </w:p>
        </w:tc>
        <w:tc>
          <w:tcPr>
            <w:tcW w:w="642" w:type="dxa"/>
            <w:tcBorders>
              <w:top w:val="single" w:color="auto" w:sz="6" w:space="0"/>
              <w:left w:val="single" w:color="auto" w:sz="6" w:space="0"/>
              <w:bottom w:val="single" w:color="auto" w:sz="6" w:space="0"/>
              <w:right w:val="single" w:color="auto" w:sz="6" w:space="0"/>
            </w:tcBorders>
            <w:noWrap w:val="0"/>
            <w:vAlign w:val="center"/>
          </w:tcPr>
          <w:p w14:paraId="34095D73">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90" w:type="dxa"/>
            <w:tcBorders>
              <w:top w:val="single" w:color="auto" w:sz="6" w:space="0"/>
              <w:left w:val="single" w:color="auto" w:sz="6" w:space="0"/>
              <w:bottom w:val="single" w:color="auto" w:sz="6" w:space="0"/>
              <w:right w:val="single" w:color="auto" w:sz="6" w:space="0"/>
            </w:tcBorders>
            <w:noWrap w:val="0"/>
            <w:vAlign w:val="center"/>
          </w:tcPr>
          <w:p w14:paraId="3BDB9364">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6A6E8993">
        <w:tblPrEx>
          <w:tblCellMar>
            <w:top w:w="0" w:type="dxa"/>
            <w:left w:w="30" w:type="dxa"/>
            <w:bottom w:w="0" w:type="dxa"/>
            <w:right w:w="30" w:type="dxa"/>
          </w:tblCellMar>
        </w:tblPrEx>
        <w:trPr>
          <w:trHeight w:val="0" w:hRule="atLeast"/>
          <w:jc w:val="center"/>
        </w:trPr>
        <w:tc>
          <w:tcPr>
            <w:tcW w:w="706" w:type="dxa"/>
            <w:tcBorders>
              <w:top w:val="single" w:color="auto" w:sz="6" w:space="0"/>
              <w:left w:val="single" w:color="auto" w:sz="6" w:space="0"/>
              <w:bottom w:val="single" w:color="auto" w:sz="6" w:space="0"/>
              <w:right w:val="single" w:color="auto" w:sz="6" w:space="0"/>
            </w:tcBorders>
            <w:noWrap w:val="0"/>
            <w:vAlign w:val="center"/>
          </w:tcPr>
          <w:p w14:paraId="5643FF28">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9</w:t>
            </w:r>
          </w:p>
        </w:tc>
        <w:tc>
          <w:tcPr>
            <w:tcW w:w="4292" w:type="dxa"/>
            <w:tcBorders>
              <w:top w:val="single" w:color="auto" w:sz="6" w:space="0"/>
              <w:left w:val="single" w:color="auto" w:sz="6" w:space="0"/>
              <w:bottom w:val="single" w:color="auto" w:sz="6" w:space="0"/>
              <w:right w:val="single" w:color="auto" w:sz="6" w:space="0"/>
            </w:tcBorders>
            <w:noWrap w:val="0"/>
            <w:vAlign w:val="center"/>
          </w:tcPr>
          <w:p w14:paraId="36D22BEC">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每月</w:t>
            </w:r>
            <w:r>
              <w:rPr>
                <w:rFonts w:ascii="宋体" w:hAnsi="宋体" w:eastAsia="宋体" w:cs="Times New Roman"/>
                <w:color w:val="auto"/>
                <w:szCs w:val="21"/>
              </w:rPr>
              <w:t>25</w:t>
            </w:r>
            <w:r>
              <w:rPr>
                <w:rFonts w:hint="eastAsia" w:ascii="宋体" w:hAnsi="宋体" w:eastAsia="宋体" w:cs="Times New Roman"/>
                <w:color w:val="auto"/>
                <w:szCs w:val="21"/>
              </w:rPr>
              <w:t>日抄报学院各用水户水表数，按一、二、三级计量分类统计，并收取校内超额用水水费及外单位用水水费，次月</w:t>
            </w:r>
            <w:r>
              <w:rPr>
                <w:rFonts w:ascii="宋体" w:hAnsi="宋体" w:eastAsia="宋体" w:cs="Times New Roman"/>
                <w:color w:val="auto"/>
                <w:szCs w:val="21"/>
              </w:rPr>
              <w:t>5</w:t>
            </w:r>
            <w:r>
              <w:rPr>
                <w:rFonts w:hint="eastAsia" w:ascii="宋体" w:hAnsi="宋体" w:eastAsia="宋体" w:cs="Times New Roman"/>
                <w:color w:val="auto"/>
                <w:szCs w:val="21"/>
              </w:rPr>
              <w:t>日前将报表和水费交管理部门。</w:t>
            </w:r>
          </w:p>
        </w:tc>
        <w:tc>
          <w:tcPr>
            <w:tcW w:w="3192" w:type="dxa"/>
            <w:tcBorders>
              <w:top w:val="single" w:color="auto" w:sz="6" w:space="0"/>
              <w:left w:val="single" w:color="auto" w:sz="6" w:space="0"/>
              <w:bottom w:val="single" w:color="auto" w:sz="6" w:space="0"/>
              <w:right w:val="single" w:color="auto" w:sz="6" w:space="0"/>
            </w:tcBorders>
            <w:noWrap w:val="0"/>
            <w:vAlign w:val="center"/>
          </w:tcPr>
          <w:p w14:paraId="5F3C3CDB">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在规定时间内完成（每超</w:t>
            </w:r>
            <w:r>
              <w:rPr>
                <w:rFonts w:ascii="宋体" w:hAnsi="宋体" w:eastAsia="宋体" w:cs="Times New Roman"/>
                <w:color w:val="auto"/>
                <w:szCs w:val="21"/>
              </w:rPr>
              <w:t>1</w:t>
            </w:r>
            <w:r>
              <w:rPr>
                <w:rFonts w:hint="eastAsia" w:ascii="宋体" w:hAnsi="宋体" w:eastAsia="宋体" w:cs="Times New Roman"/>
                <w:color w:val="auto"/>
                <w:szCs w:val="21"/>
              </w:rPr>
              <w:t>天扣</w:t>
            </w:r>
            <w:r>
              <w:rPr>
                <w:rFonts w:ascii="宋体" w:hAnsi="宋体" w:eastAsia="宋体" w:cs="Times New Roman"/>
                <w:color w:val="auto"/>
                <w:szCs w:val="21"/>
              </w:rPr>
              <w:t>5</w:t>
            </w:r>
            <w:r>
              <w:rPr>
                <w:rFonts w:hint="eastAsia" w:ascii="宋体" w:hAnsi="宋体" w:eastAsia="宋体" w:cs="Times New Roman"/>
                <w:color w:val="auto"/>
                <w:szCs w:val="21"/>
              </w:rPr>
              <w:t>分，每缺</w:t>
            </w:r>
            <w:r>
              <w:rPr>
                <w:rFonts w:ascii="宋体" w:hAnsi="宋体" w:eastAsia="宋体" w:cs="Times New Roman"/>
                <w:color w:val="auto"/>
                <w:szCs w:val="21"/>
              </w:rPr>
              <w:t>1</w:t>
            </w:r>
            <w:r>
              <w:rPr>
                <w:rFonts w:hint="eastAsia" w:ascii="宋体" w:hAnsi="宋体" w:eastAsia="宋体" w:cs="Times New Roman"/>
                <w:color w:val="auto"/>
                <w:szCs w:val="21"/>
              </w:rPr>
              <w:t>项扣</w:t>
            </w:r>
            <w:r>
              <w:rPr>
                <w:rFonts w:ascii="宋体" w:hAnsi="宋体" w:eastAsia="宋体" w:cs="Times New Roman"/>
                <w:color w:val="auto"/>
                <w:szCs w:val="21"/>
              </w:rPr>
              <w:t>1</w:t>
            </w:r>
            <w:r>
              <w:rPr>
                <w:rFonts w:hint="eastAsia" w:ascii="宋体" w:hAnsi="宋体" w:eastAsia="宋体" w:cs="Times New Roman"/>
                <w:color w:val="auto"/>
                <w:szCs w:val="21"/>
              </w:rPr>
              <w:t>分）</w:t>
            </w:r>
          </w:p>
        </w:tc>
        <w:tc>
          <w:tcPr>
            <w:tcW w:w="998" w:type="dxa"/>
            <w:tcBorders>
              <w:top w:val="single" w:color="auto" w:sz="6" w:space="0"/>
              <w:left w:val="single" w:color="auto" w:sz="6" w:space="0"/>
              <w:bottom w:val="single" w:color="auto" w:sz="6" w:space="0"/>
              <w:right w:val="single" w:color="auto" w:sz="6" w:space="0"/>
            </w:tcBorders>
            <w:noWrap w:val="0"/>
            <w:vAlign w:val="center"/>
          </w:tcPr>
          <w:p w14:paraId="49CC732B">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5</w:t>
            </w:r>
          </w:p>
        </w:tc>
        <w:tc>
          <w:tcPr>
            <w:tcW w:w="642" w:type="dxa"/>
            <w:tcBorders>
              <w:top w:val="single" w:color="auto" w:sz="6" w:space="0"/>
              <w:left w:val="single" w:color="auto" w:sz="6" w:space="0"/>
              <w:bottom w:val="single" w:color="auto" w:sz="6" w:space="0"/>
              <w:right w:val="single" w:color="auto" w:sz="6" w:space="0"/>
            </w:tcBorders>
            <w:noWrap w:val="0"/>
            <w:vAlign w:val="center"/>
          </w:tcPr>
          <w:p w14:paraId="18CCBECB">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90" w:type="dxa"/>
            <w:tcBorders>
              <w:top w:val="single" w:color="auto" w:sz="6" w:space="0"/>
              <w:left w:val="single" w:color="auto" w:sz="6" w:space="0"/>
              <w:bottom w:val="single" w:color="auto" w:sz="6" w:space="0"/>
              <w:right w:val="single" w:color="auto" w:sz="6" w:space="0"/>
            </w:tcBorders>
            <w:noWrap w:val="0"/>
            <w:vAlign w:val="center"/>
          </w:tcPr>
          <w:p w14:paraId="58BB4F85">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4075C3F2">
        <w:tblPrEx>
          <w:tblCellMar>
            <w:top w:w="0" w:type="dxa"/>
            <w:left w:w="30" w:type="dxa"/>
            <w:bottom w:w="0" w:type="dxa"/>
            <w:right w:w="30" w:type="dxa"/>
          </w:tblCellMar>
        </w:tblPrEx>
        <w:trPr>
          <w:trHeight w:val="0" w:hRule="atLeast"/>
          <w:jc w:val="center"/>
        </w:trPr>
        <w:tc>
          <w:tcPr>
            <w:tcW w:w="706" w:type="dxa"/>
            <w:tcBorders>
              <w:top w:val="single" w:color="auto" w:sz="6" w:space="0"/>
              <w:left w:val="single" w:color="auto" w:sz="6" w:space="0"/>
              <w:bottom w:val="single" w:color="auto" w:sz="6" w:space="0"/>
              <w:right w:val="single" w:color="auto" w:sz="6" w:space="0"/>
            </w:tcBorders>
            <w:noWrap w:val="0"/>
            <w:vAlign w:val="center"/>
          </w:tcPr>
          <w:p w14:paraId="425E6418">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10</w:t>
            </w:r>
          </w:p>
        </w:tc>
        <w:tc>
          <w:tcPr>
            <w:tcW w:w="4292" w:type="dxa"/>
            <w:tcBorders>
              <w:top w:val="single" w:color="auto" w:sz="6" w:space="0"/>
              <w:left w:val="single" w:color="auto" w:sz="6" w:space="0"/>
              <w:bottom w:val="single" w:color="auto" w:sz="6" w:space="0"/>
              <w:right w:val="single" w:color="auto" w:sz="6" w:space="0"/>
            </w:tcBorders>
            <w:noWrap w:val="0"/>
            <w:vAlign w:val="center"/>
          </w:tcPr>
          <w:p w14:paraId="7F967042">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每学期开学前一周，完成学生宿舍内智能表定额充值，每月末回访，分析定额用水情况，落实违规取水有关人员，提出处理建议；每天按要求为师生按实充水和如实收取水费，不得有误差。</w:t>
            </w:r>
          </w:p>
        </w:tc>
        <w:tc>
          <w:tcPr>
            <w:tcW w:w="3192" w:type="dxa"/>
            <w:tcBorders>
              <w:top w:val="single" w:color="auto" w:sz="6" w:space="0"/>
              <w:left w:val="single" w:color="auto" w:sz="6" w:space="0"/>
              <w:bottom w:val="single" w:color="auto" w:sz="6" w:space="0"/>
              <w:right w:val="single" w:color="auto" w:sz="6" w:space="0"/>
            </w:tcBorders>
            <w:noWrap w:val="0"/>
            <w:vAlign w:val="center"/>
          </w:tcPr>
          <w:p w14:paraId="41301D30">
            <w:pPr>
              <w:snapToGrid w:val="0"/>
              <w:spacing w:line="240" w:lineRule="auto"/>
              <w:ind w:left="0" w:leftChars="0" w:right="0" w:rightChars="0" w:firstLine="0" w:firstLineChars="0"/>
              <w:jc w:val="left"/>
              <w:rPr>
                <w:rFonts w:ascii="宋体" w:hAnsi="宋体" w:eastAsia="宋体" w:cs="Times New Roman"/>
                <w:color w:val="auto"/>
                <w:szCs w:val="21"/>
              </w:rPr>
            </w:pPr>
            <w:r>
              <w:rPr>
                <w:rFonts w:ascii="宋体" w:hAnsi="宋体" w:eastAsia="宋体" w:cs="Times New Roman"/>
                <w:color w:val="auto"/>
                <w:szCs w:val="21"/>
              </w:rPr>
              <w:t>1.</w:t>
            </w:r>
            <w:r>
              <w:rPr>
                <w:rFonts w:hint="eastAsia" w:ascii="宋体" w:hAnsi="宋体" w:eastAsia="宋体" w:cs="Times New Roman"/>
                <w:color w:val="auto"/>
                <w:szCs w:val="21"/>
              </w:rPr>
              <w:t>在规定时内完成（超</w:t>
            </w:r>
            <w:r>
              <w:rPr>
                <w:rFonts w:ascii="宋体" w:hAnsi="宋体" w:eastAsia="宋体" w:cs="Times New Roman"/>
                <w:color w:val="auto"/>
                <w:szCs w:val="21"/>
              </w:rPr>
              <w:t>1</w:t>
            </w:r>
            <w:r>
              <w:rPr>
                <w:rFonts w:hint="eastAsia" w:ascii="宋体" w:hAnsi="宋体" w:eastAsia="宋体" w:cs="Times New Roman"/>
                <w:color w:val="auto"/>
                <w:szCs w:val="21"/>
              </w:rPr>
              <w:t>天扣</w:t>
            </w:r>
            <w:r>
              <w:rPr>
                <w:rFonts w:ascii="宋体" w:hAnsi="宋体" w:eastAsia="宋体" w:cs="Times New Roman"/>
                <w:color w:val="auto"/>
                <w:szCs w:val="21"/>
              </w:rPr>
              <w:t>1</w:t>
            </w:r>
            <w:r>
              <w:rPr>
                <w:rFonts w:hint="eastAsia" w:ascii="宋体" w:hAnsi="宋体" w:eastAsia="宋体" w:cs="Times New Roman"/>
                <w:color w:val="auto"/>
                <w:szCs w:val="21"/>
              </w:rPr>
              <w:t>分）；</w:t>
            </w:r>
            <w:r>
              <w:rPr>
                <w:rFonts w:ascii="宋体" w:hAnsi="宋体" w:eastAsia="宋体" w:cs="Times New Roman"/>
                <w:color w:val="auto"/>
                <w:szCs w:val="21"/>
              </w:rPr>
              <w:t>2.</w:t>
            </w:r>
            <w:r>
              <w:rPr>
                <w:rFonts w:hint="eastAsia" w:ascii="宋体" w:hAnsi="宋体" w:eastAsia="宋体" w:cs="Times New Roman"/>
                <w:color w:val="auto"/>
                <w:szCs w:val="21"/>
              </w:rPr>
              <w:t>师生举报</w:t>
            </w:r>
            <w:r>
              <w:rPr>
                <w:rFonts w:ascii="宋体" w:hAnsi="宋体" w:eastAsia="宋体" w:cs="Times New Roman"/>
                <w:color w:val="auto"/>
                <w:szCs w:val="21"/>
              </w:rPr>
              <w:t>1</w:t>
            </w:r>
            <w:r>
              <w:rPr>
                <w:rFonts w:hint="eastAsia" w:ascii="宋体" w:hAnsi="宋体" w:eastAsia="宋体" w:cs="Times New Roman"/>
                <w:color w:val="auto"/>
                <w:szCs w:val="21"/>
              </w:rPr>
              <w:t>次，扣</w:t>
            </w:r>
            <w:r>
              <w:rPr>
                <w:rFonts w:ascii="宋体" w:hAnsi="宋体" w:eastAsia="宋体" w:cs="Times New Roman"/>
                <w:color w:val="auto"/>
                <w:szCs w:val="21"/>
              </w:rPr>
              <w:t>1</w:t>
            </w:r>
            <w:r>
              <w:rPr>
                <w:rFonts w:hint="eastAsia" w:ascii="宋体" w:hAnsi="宋体" w:eastAsia="宋体" w:cs="Times New Roman"/>
                <w:color w:val="auto"/>
                <w:szCs w:val="21"/>
              </w:rPr>
              <w:t>分；</w:t>
            </w:r>
            <w:r>
              <w:rPr>
                <w:rFonts w:ascii="宋体" w:hAnsi="宋体" w:eastAsia="宋体" w:cs="Times New Roman"/>
                <w:color w:val="auto"/>
                <w:szCs w:val="21"/>
              </w:rPr>
              <w:t>3.</w:t>
            </w:r>
            <w:r>
              <w:rPr>
                <w:rFonts w:hint="eastAsia" w:ascii="宋体" w:hAnsi="宋体" w:eastAsia="宋体" w:cs="Times New Roman"/>
                <w:color w:val="auto"/>
                <w:szCs w:val="21"/>
              </w:rPr>
              <w:t>按月回访（未完成扣</w:t>
            </w:r>
            <w:r>
              <w:rPr>
                <w:rFonts w:ascii="宋体" w:hAnsi="宋体" w:eastAsia="宋体" w:cs="Times New Roman"/>
                <w:color w:val="auto"/>
                <w:szCs w:val="21"/>
              </w:rPr>
              <w:t>5</w:t>
            </w:r>
            <w:r>
              <w:rPr>
                <w:rFonts w:hint="eastAsia" w:ascii="宋体" w:hAnsi="宋体" w:eastAsia="宋体" w:cs="Times New Roman"/>
                <w:color w:val="auto"/>
                <w:szCs w:val="21"/>
              </w:rPr>
              <w:t>分）。</w:t>
            </w:r>
          </w:p>
        </w:tc>
        <w:tc>
          <w:tcPr>
            <w:tcW w:w="998" w:type="dxa"/>
            <w:tcBorders>
              <w:top w:val="single" w:color="auto" w:sz="6" w:space="0"/>
              <w:left w:val="single" w:color="auto" w:sz="6" w:space="0"/>
              <w:bottom w:val="single" w:color="auto" w:sz="6" w:space="0"/>
              <w:right w:val="single" w:color="auto" w:sz="6" w:space="0"/>
            </w:tcBorders>
            <w:noWrap w:val="0"/>
            <w:vAlign w:val="center"/>
          </w:tcPr>
          <w:p w14:paraId="6F46497B">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6</w:t>
            </w:r>
          </w:p>
        </w:tc>
        <w:tc>
          <w:tcPr>
            <w:tcW w:w="642" w:type="dxa"/>
            <w:tcBorders>
              <w:top w:val="single" w:color="auto" w:sz="6" w:space="0"/>
              <w:left w:val="single" w:color="auto" w:sz="6" w:space="0"/>
              <w:bottom w:val="single" w:color="auto" w:sz="6" w:space="0"/>
              <w:right w:val="single" w:color="auto" w:sz="6" w:space="0"/>
            </w:tcBorders>
            <w:noWrap w:val="0"/>
            <w:vAlign w:val="center"/>
          </w:tcPr>
          <w:p w14:paraId="60AA4BFE">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90" w:type="dxa"/>
            <w:tcBorders>
              <w:top w:val="single" w:color="auto" w:sz="6" w:space="0"/>
              <w:left w:val="single" w:color="auto" w:sz="6" w:space="0"/>
              <w:bottom w:val="single" w:color="auto" w:sz="6" w:space="0"/>
              <w:right w:val="single" w:color="auto" w:sz="6" w:space="0"/>
            </w:tcBorders>
            <w:noWrap w:val="0"/>
            <w:vAlign w:val="center"/>
          </w:tcPr>
          <w:p w14:paraId="7590CEF7">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32D5DA7B">
        <w:tblPrEx>
          <w:tblCellMar>
            <w:top w:w="0" w:type="dxa"/>
            <w:left w:w="30" w:type="dxa"/>
            <w:bottom w:w="0" w:type="dxa"/>
            <w:right w:w="30" w:type="dxa"/>
          </w:tblCellMar>
        </w:tblPrEx>
        <w:trPr>
          <w:trHeight w:val="0" w:hRule="atLeast"/>
          <w:jc w:val="center"/>
        </w:trPr>
        <w:tc>
          <w:tcPr>
            <w:tcW w:w="706" w:type="dxa"/>
            <w:tcBorders>
              <w:top w:val="single" w:color="auto" w:sz="6" w:space="0"/>
              <w:left w:val="single" w:color="auto" w:sz="6" w:space="0"/>
              <w:bottom w:val="single" w:color="auto" w:sz="6" w:space="0"/>
              <w:right w:val="single" w:color="auto" w:sz="6" w:space="0"/>
            </w:tcBorders>
            <w:noWrap w:val="0"/>
            <w:vAlign w:val="center"/>
          </w:tcPr>
          <w:p w14:paraId="758BF86D">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11</w:t>
            </w:r>
          </w:p>
        </w:tc>
        <w:tc>
          <w:tcPr>
            <w:tcW w:w="4292" w:type="dxa"/>
            <w:tcBorders>
              <w:top w:val="single" w:color="auto" w:sz="6" w:space="0"/>
              <w:left w:val="single" w:color="auto" w:sz="6" w:space="0"/>
              <w:bottom w:val="single" w:color="auto" w:sz="6" w:space="0"/>
              <w:right w:val="single" w:color="auto" w:sz="6" w:space="0"/>
            </w:tcBorders>
            <w:noWrap w:val="0"/>
            <w:vAlign w:val="center"/>
          </w:tcPr>
          <w:p w14:paraId="00D066EC">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定期打扫给排水场所（水泵房、中水处理站）卫生，保持场地清洁、设备无灰尘、墙角和电缆无蛛网，室内无杂物；定期检查电气元件并进行保养；配合完成学院安排的二次供水设备定期保养业务和二次供水水池清洗业务。</w:t>
            </w:r>
          </w:p>
        </w:tc>
        <w:tc>
          <w:tcPr>
            <w:tcW w:w="3192" w:type="dxa"/>
            <w:tcBorders>
              <w:top w:val="single" w:color="auto" w:sz="6" w:space="0"/>
              <w:left w:val="single" w:color="auto" w:sz="6" w:space="0"/>
              <w:bottom w:val="single" w:color="auto" w:sz="6" w:space="0"/>
              <w:right w:val="single" w:color="auto" w:sz="6" w:space="0"/>
            </w:tcBorders>
            <w:noWrap w:val="0"/>
            <w:vAlign w:val="center"/>
          </w:tcPr>
          <w:p w14:paraId="71144FA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不达标扣</w:t>
            </w:r>
            <w:r>
              <w:rPr>
                <w:rFonts w:ascii="宋体" w:hAnsi="宋体" w:eastAsia="宋体" w:cs="Times New Roman"/>
                <w:color w:val="auto"/>
                <w:szCs w:val="21"/>
              </w:rPr>
              <w:t>5</w:t>
            </w:r>
            <w:r>
              <w:rPr>
                <w:rFonts w:hint="eastAsia" w:ascii="宋体" w:hAnsi="宋体" w:eastAsia="宋体" w:cs="Times New Roman"/>
                <w:color w:val="auto"/>
                <w:szCs w:val="21"/>
              </w:rPr>
              <w:t>分。</w:t>
            </w:r>
          </w:p>
        </w:tc>
        <w:tc>
          <w:tcPr>
            <w:tcW w:w="998" w:type="dxa"/>
            <w:tcBorders>
              <w:top w:val="single" w:color="auto" w:sz="6" w:space="0"/>
              <w:left w:val="single" w:color="auto" w:sz="6" w:space="0"/>
              <w:bottom w:val="single" w:color="auto" w:sz="6" w:space="0"/>
              <w:right w:val="single" w:color="auto" w:sz="6" w:space="0"/>
            </w:tcBorders>
            <w:noWrap w:val="0"/>
            <w:vAlign w:val="center"/>
          </w:tcPr>
          <w:p w14:paraId="5838DADD">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5</w:t>
            </w:r>
          </w:p>
        </w:tc>
        <w:tc>
          <w:tcPr>
            <w:tcW w:w="642" w:type="dxa"/>
            <w:tcBorders>
              <w:top w:val="single" w:color="auto" w:sz="6" w:space="0"/>
              <w:left w:val="single" w:color="auto" w:sz="6" w:space="0"/>
              <w:bottom w:val="single" w:color="auto" w:sz="6" w:space="0"/>
              <w:right w:val="single" w:color="auto" w:sz="6" w:space="0"/>
            </w:tcBorders>
            <w:noWrap w:val="0"/>
            <w:vAlign w:val="center"/>
          </w:tcPr>
          <w:p w14:paraId="07CA14D5">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90" w:type="dxa"/>
            <w:tcBorders>
              <w:top w:val="single" w:color="auto" w:sz="6" w:space="0"/>
              <w:left w:val="single" w:color="auto" w:sz="6" w:space="0"/>
              <w:bottom w:val="single" w:color="auto" w:sz="6" w:space="0"/>
              <w:right w:val="single" w:color="auto" w:sz="6" w:space="0"/>
            </w:tcBorders>
            <w:noWrap w:val="0"/>
            <w:vAlign w:val="center"/>
          </w:tcPr>
          <w:p w14:paraId="6BDD866D">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707F39A6">
        <w:tblPrEx>
          <w:tblCellMar>
            <w:top w:w="0" w:type="dxa"/>
            <w:left w:w="30" w:type="dxa"/>
            <w:bottom w:w="0" w:type="dxa"/>
            <w:right w:w="30" w:type="dxa"/>
          </w:tblCellMar>
        </w:tblPrEx>
        <w:trPr>
          <w:trHeight w:val="0" w:hRule="atLeast"/>
          <w:jc w:val="center"/>
        </w:trPr>
        <w:tc>
          <w:tcPr>
            <w:tcW w:w="706" w:type="dxa"/>
            <w:tcBorders>
              <w:top w:val="single" w:color="auto" w:sz="6" w:space="0"/>
              <w:left w:val="single" w:color="auto" w:sz="6" w:space="0"/>
              <w:bottom w:val="single" w:color="auto" w:sz="6" w:space="0"/>
              <w:right w:val="single" w:color="auto" w:sz="6" w:space="0"/>
            </w:tcBorders>
            <w:noWrap w:val="0"/>
            <w:vAlign w:val="center"/>
          </w:tcPr>
          <w:p w14:paraId="7E18967F">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12</w:t>
            </w:r>
          </w:p>
        </w:tc>
        <w:tc>
          <w:tcPr>
            <w:tcW w:w="4292" w:type="dxa"/>
            <w:tcBorders>
              <w:top w:val="single" w:color="auto" w:sz="6" w:space="0"/>
              <w:left w:val="single" w:color="auto" w:sz="6" w:space="0"/>
              <w:bottom w:val="single" w:color="auto" w:sz="6" w:space="0"/>
              <w:right w:val="single" w:color="auto" w:sz="6" w:space="0"/>
            </w:tcBorders>
            <w:noWrap w:val="0"/>
            <w:vAlign w:val="center"/>
          </w:tcPr>
          <w:p w14:paraId="1F8AFCC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接到报修后，必须</w:t>
            </w:r>
            <w:r>
              <w:rPr>
                <w:rFonts w:ascii="宋体" w:hAnsi="宋体" w:eastAsia="宋体" w:cs="Times New Roman"/>
                <w:color w:val="auto"/>
                <w:szCs w:val="21"/>
              </w:rPr>
              <w:t>5</w:t>
            </w:r>
            <w:r>
              <w:rPr>
                <w:rFonts w:hint="eastAsia" w:ascii="宋体" w:hAnsi="宋体" w:eastAsia="宋体" w:cs="Times New Roman"/>
                <w:color w:val="auto"/>
                <w:szCs w:val="21"/>
              </w:rPr>
              <w:t>分钟内到场，</w:t>
            </w:r>
            <w:r>
              <w:rPr>
                <w:rFonts w:ascii="宋体" w:hAnsi="宋体" w:eastAsia="宋体" w:cs="Times New Roman"/>
                <w:color w:val="auto"/>
                <w:szCs w:val="21"/>
              </w:rPr>
              <w:t>30</w:t>
            </w:r>
            <w:r>
              <w:rPr>
                <w:rFonts w:hint="eastAsia" w:ascii="宋体" w:hAnsi="宋体" w:eastAsia="宋体" w:cs="Times New Roman"/>
                <w:color w:val="auto"/>
                <w:szCs w:val="21"/>
              </w:rPr>
              <w:t>分钟内不能处理的，要及时报告学院主管部门，并告之客户原因。</w:t>
            </w:r>
          </w:p>
        </w:tc>
        <w:tc>
          <w:tcPr>
            <w:tcW w:w="3192" w:type="dxa"/>
            <w:tcBorders>
              <w:top w:val="single" w:color="auto" w:sz="6" w:space="0"/>
              <w:left w:val="single" w:color="auto" w:sz="6" w:space="0"/>
              <w:bottom w:val="single" w:color="auto" w:sz="6" w:space="0"/>
              <w:right w:val="single" w:color="auto" w:sz="6" w:space="0"/>
            </w:tcBorders>
            <w:noWrap w:val="0"/>
            <w:vAlign w:val="center"/>
          </w:tcPr>
          <w:p w14:paraId="7043FA4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迟到</w:t>
            </w:r>
            <w:r>
              <w:rPr>
                <w:rFonts w:ascii="宋体" w:hAnsi="宋体" w:eastAsia="宋体" w:cs="Times New Roman"/>
                <w:color w:val="auto"/>
                <w:szCs w:val="21"/>
              </w:rPr>
              <w:t>5</w:t>
            </w:r>
            <w:r>
              <w:rPr>
                <w:rFonts w:hint="eastAsia" w:ascii="宋体" w:hAnsi="宋体" w:eastAsia="宋体" w:cs="Times New Roman"/>
                <w:color w:val="auto"/>
                <w:szCs w:val="21"/>
              </w:rPr>
              <w:t>分钟扣</w:t>
            </w:r>
            <w:r>
              <w:rPr>
                <w:rFonts w:ascii="宋体" w:hAnsi="宋体" w:eastAsia="宋体" w:cs="Times New Roman"/>
                <w:color w:val="auto"/>
                <w:szCs w:val="21"/>
              </w:rPr>
              <w:t>1</w:t>
            </w:r>
            <w:r>
              <w:rPr>
                <w:rFonts w:hint="eastAsia" w:ascii="宋体" w:hAnsi="宋体" w:eastAsia="宋体" w:cs="Times New Roman"/>
                <w:color w:val="auto"/>
                <w:szCs w:val="21"/>
              </w:rPr>
              <w:t>分，迟到</w:t>
            </w:r>
            <w:r>
              <w:rPr>
                <w:rFonts w:ascii="宋体" w:hAnsi="宋体" w:eastAsia="宋体" w:cs="Times New Roman"/>
                <w:color w:val="auto"/>
                <w:szCs w:val="21"/>
              </w:rPr>
              <w:t>10</w:t>
            </w:r>
            <w:r>
              <w:rPr>
                <w:rFonts w:hint="eastAsia" w:ascii="宋体" w:hAnsi="宋体" w:eastAsia="宋体" w:cs="Times New Roman"/>
                <w:color w:val="auto"/>
                <w:szCs w:val="21"/>
              </w:rPr>
              <w:t>分钟扣</w:t>
            </w:r>
            <w:r>
              <w:rPr>
                <w:rFonts w:ascii="宋体" w:hAnsi="宋体" w:eastAsia="宋体" w:cs="Times New Roman"/>
                <w:color w:val="auto"/>
                <w:szCs w:val="21"/>
              </w:rPr>
              <w:t>5</w:t>
            </w:r>
            <w:r>
              <w:rPr>
                <w:rFonts w:hint="eastAsia" w:ascii="宋体" w:hAnsi="宋体" w:eastAsia="宋体" w:cs="Times New Roman"/>
                <w:color w:val="auto"/>
                <w:szCs w:val="21"/>
              </w:rPr>
              <w:t>分。</w:t>
            </w:r>
          </w:p>
        </w:tc>
        <w:tc>
          <w:tcPr>
            <w:tcW w:w="998" w:type="dxa"/>
            <w:tcBorders>
              <w:top w:val="single" w:color="auto" w:sz="6" w:space="0"/>
              <w:left w:val="single" w:color="auto" w:sz="6" w:space="0"/>
              <w:bottom w:val="single" w:color="auto" w:sz="6" w:space="0"/>
              <w:right w:val="single" w:color="auto" w:sz="6" w:space="0"/>
            </w:tcBorders>
            <w:noWrap w:val="0"/>
            <w:vAlign w:val="center"/>
          </w:tcPr>
          <w:p w14:paraId="587EA745">
            <w:pPr>
              <w:snapToGrid w:val="0"/>
              <w:spacing w:line="240" w:lineRule="auto"/>
              <w:ind w:left="0" w:leftChars="0" w:right="0" w:rightChars="0" w:firstLine="0" w:firstLineChars="0"/>
              <w:jc w:val="right"/>
              <w:rPr>
                <w:rFonts w:ascii="宋体" w:hAnsi="宋体" w:eastAsia="宋体" w:cs="Times New Roman"/>
                <w:color w:val="auto"/>
                <w:szCs w:val="21"/>
              </w:rPr>
            </w:pPr>
            <w:r>
              <w:rPr>
                <w:rFonts w:hint="eastAsia" w:ascii="宋体" w:hAnsi="宋体" w:eastAsia="宋体" w:cs="Times New Roman"/>
                <w:color w:val="auto"/>
                <w:szCs w:val="21"/>
              </w:rPr>
              <w:t>5</w:t>
            </w:r>
          </w:p>
        </w:tc>
        <w:tc>
          <w:tcPr>
            <w:tcW w:w="642" w:type="dxa"/>
            <w:tcBorders>
              <w:top w:val="single" w:color="auto" w:sz="6" w:space="0"/>
              <w:left w:val="single" w:color="auto" w:sz="6" w:space="0"/>
              <w:bottom w:val="single" w:color="auto" w:sz="6" w:space="0"/>
              <w:right w:val="single" w:color="auto" w:sz="6" w:space="0"/>
            </w:tcBorders>
            <w:noWrap w:val="0"/>
            <w:vAlign w:val="center"/>
          </w:tcPr>
          <w:p w14:paraId="099BAC71">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90" w:type="dxa"/>
            <w:tcBorders>
              <w:top w:val="single" w:color="auto" w:sz="6" w:space="0"/>
              <w:left w:val="single" w:color="auto" w:sz="6" w:space="0"/>
              <w:bottom w:val="single" w:color="auto" w:sz="6" w:space="0"/>
              <w:right w:val="single" w:color="auto" w:sz="6" w:space="0"/>
            </w:tcBorders>
            <w:noWrap w:val="0"/>
            <w:vAlign w:val="center"/>
          </w:tcPr>
          <w:p w14:paraId="420AEB72">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1A8DF97E">
        <w:tblPrEx>
          <w:tblCellMar>
            <w:top w:w="0" w:type="dxa"/>
            <w:left w:w="30" w:type="dxa"/>
            <w:bottom w:w="0" w:type="dxa"/>
            <w:right w:w="30" w:type="dxa"/>
          </w:tblCellMar>
        </w:tblPrEx>
        <w:trPr>
          <w:trHeight w:val="0" w:hRule="atLeast"/>
          <w:jc w:val="center"/>
        </w:trPr>
        <w:tc>
          <w:tcPr>
            <w:tcW w:w="706" w:type="dxa"/>
            <w:tcBorders>
              <w:top w:val="single" w:color="auto" w:sz="6" w:space="0"/>
              <w:left w:val="single" w:color="auto" w:sz="6" w:space="0"/>
              <w:bottom w:val="single" w:color="auto" w:sz="6" w:space="0"/>
              <w:right w:val="single" w:color="auto" w:sz="6" w:space="0"/>
            </w:tcBorders>
            <w:noWrap w:val="0"/>
            <w:vAlign w:val="center"/>
          </w:tcPr>
          <w:p w14:paraId="62181241">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13</w:t>
            </w:r>
          </w:p>
        </w:tc>
        <w:tc>
          <w:tcPr>
            <w:tcW w:w="4292" w:type="dxa"/>
            <w:tcBorders>
              <w:top w:val="single" w:color="auto" w:sz="6" w:space="0"/>
              <w:left w:val="single" w:color="auto" w:sz="6" w:space="0"/>
              <w:bottom w:val="single" w:color="auto" w:sz="6" w:space="0"/>
              <w:right w:val="single" w:color="auto" w:sz="6" w:space="0"/>
            </w:tcBorders>
            <w:noWrap w:val="0"/>
            <w:vAlign w:val="center"/>
          </w:tcPr>
          <w:p w14:paraId="5E979129">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与驻地自来水公司建立联系，及时协调有关事项，定期接收停水通知，向学院发布停水供水通知；定期与供自来水公司核对水费，并取回发票交学院主管部门。</w:t>
            </w:r>
          </w:p>
        </w:tc>
        <w:tc>
          <w:tcPr>
            <w:tcW w:w="3192" w:type="dxa"/>
            <w:tcBorders>
              <w:top w:val="single" w:color="auto" w:sz="6" w:space="0"/>
              <w:left w:val="single" w:color="auto" w:sz="6" w:space="0"/>
              <w:bottom w:val="single" w:color="auto" w:sz="6" w:space="0"/>
              <w:right w:val="single" w:color="auto" w:sz="6" w:space="0"/>
            </w:tcBorders>
            <w:noWrap w:val="0"/>
            <w:vAlign w:val="center"/>
          </w:tcPr>
          <w:p w14:paraId="1EEDDB72">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未及时办理的，每次扣</w:t>
            </w:r>
            <w:r>
              <w:rPr>
                <w:rFonts w:ascii="宋体" w:hAnsi="宋体" w:eastAsia="宋体" w:cs="Times New Roman"/>
                <w:color w:val="auto"/>
                <w:szCs w:val="21"/>
              </w:rPr>
              <w:t>5</w:t>
            </w:r>
            <w:r>
              <w:rPr>
                <w:rFonts w:hint="eastAsia" w:ascii="宋体" w:hAnsi="宋体" w:eastAsia="宋体" w:cs="Times New Roman"/>
                <w:color w:val="auto"/>
                <w:szCs w:val="21"/>
              </w:rPr>
              <w:t>分，造成重大影响的，每次扣</w:t>
            </w:r>
            <w:r>
              <w:rPr>
                <w:rFonts w:ascii="宋体" w:hAnsi="宋体" w:eastAsia="宋体" w:cs="Times New Roman"/>
                <w:color w:val="auto"/>
                <w:szCs w:val="21"/>
              </w:rPr>
              <w:t>10</w:t>
            </w:r>
            <w:r>
              <w:rPr>
                <w:rFonts w:hint="eastAsia" w:ascii="宋体" w:hAnsi="宋体" w:eastAsia="宋体" w:cs="Times New Roman"/>
                <w:color w:val="auto"/>
                <w:szCs w:val="21"/>
              </w:rPr>
              <w:t>分。</w:t>
            </w:r>
          </w:p>
        </w:tc>
        <w:tc>
          <w:tcPr>
            <w:tcW w:w="998" w:type="dxa"/>
            <w:tcBorders>
              <w:top w:val="single" w:color="auto" w:sz="6" w:space="0"/>
              <w:left w:val="single" w:color="auto" w:sz="6" w:space="0"/>
              <w:bottom w:val="single" w:color="auto" w:sz="6" w:space="0"/>
              <w:right w:val="single" w:color="auto" w:sz="6" w:space="0"/>
            </w:tcBorders>
            <w:noWrap w:val="0"/>
            <w:vAlign w:val="center"/>
          </w:tcPr>
          <w:p w14:paraId="1F71E257">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42" w:type="dxa"/>
            <w:tcBorders>
              <w:top w:val="single" w:color="auto" w:sz="6" w:space="0"/>
              <w:left w:val="single" w:color="auto" w:sz="6" w:space="0"/>
              <w:bottom w:val="single" w:color="auto" w:sz="6" w:space="0"/>
              <w:right w:val="single" w:color="auto" w:sz="6" w:space="0"/>
            </w:tcBorders>
            <w:noWrap w:val="0"/>
            <w:vAlign w:val="center"/>
          </w:tcPr>
          <w:p w14:paraId="56021811">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90" w:type="dxa"/>
            <w:tcBorders>
              <w:top w:val="single" w:color="auto" w:sz="6" w:space="0"/>
              <w:left w:val="single" w:color="auto" w:sz="6" w:space="0"/>
              <w:bottom w:val="single" w:color="auto" w:sz="6" w:space="0"/>
              <w:right w:val="single" w:color="auto" w:sz="6" w:space="0"/>
            </w:tcBorders>
            <w:noWrap w:val="0"/>
            <w:vAlign w:val="center"/>
          </w:tcPr>
          <w:p w14:paraId="561AA926">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5F1A361D">
        <w:tblPrEx>
          <w:tblCellMar>
            <w:top w:w="0" w:type="dxa"/>
            <w:left w:w="30" w:type="dxa"/>
            <w:bottom w:w="0" w:type="dxa"/>
            <w:right w:w="30" w:type="dxa"/>
          </w:tblCellMar>
        </w:tblPrEx>
        <w:trPr>
          <w:trHeight w:val="0" w:hRule="atLeast"/>
          <w:jc w:val="center"/>
        </w:trPr>
        <w:tc>
          <w:tcPr>
            <w:tcW w:w="706" w:type="dxa"/>
            <w:tcBorders>
              <w:top w:val="single" w:color="auto" w:sz="6" w:space="0"/>
              <w:left w:val="single" w:color="auto" w:sz="6" w:space="0"/>
              <w:bottom w:val="single" w:color="auto" w:sz="6" w:space="0"/>
              <w:right w:val="single" w:color="auto" w:sz="6" w:space="0"/>
            </w:tcBorders>
            <w:noWrap w:val="0"/>
            <w:vAlign w:val="center"/>
          </w:tcPr>
          <w:p w14:paraId="270A47C4">
            <w:pPr>
              <w:snapToGrid w:val="0"/>
              <w:spacing w:line="240" w:lineRule="auto"/>
              <w:ind w:left="0" w:leftChars="0" w:right="0" w:rightChars="0" w:firstLine="0" w:firstLineChars="0"/>
              <w:jc w:val="center"/>
              <w:rPr>
                <w:rFonts w:ascii="宋体" w:hAnsi="宋体" w:eastAsia="宋体" w:cs="Times New Roman"/>
                <w:color w:val="auto"/>
                <w:szCs w:val="21"/>
              </w:rPr>
            </w:pPr>
            <w:r>
              <w:rPr>
                <w:rFonts w:hint="eastAsia" w:ascii="宋体" w:hAnsi="宋体" w:eastAsia="宋体" w:cs="Times New Roman"/>
                <w:color w:val="auto"/>
                <w:szCs w:val="21"/>
              </w:rPr>
              <w:t>14</w:t>
            </w:r>
          </w:p>
        </w:tc>
        <w:tc>
          <w:tcPr>
            <w:tcW w:w="4292" w:type="dxa"/>
            <w:tcBorders>
              <w:top w:val="single" w:color="auto" w:sz="6" w:space="0"/>
              <w:left w:val="single" w:color="auto" w:sz="6" w:space="0"/>
              <w:bottom w:val="single" w:color="auto" w:sz="6" w:space="0"/>
              <w:right w:val="single" w:color="auto" w:sz="6" w:space="0"/>
            </w:tcBorders>
            <w:noWrap w:val="0"/>
            <w:vAlign w:val="center"/>
          </w:tcPr>
          <w:p w14:paraId="279836F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定期不定期巡查雨水井、污水井，有堵塞的，及时清理。</w:t>
            </w:r>
          </w:p>
        </w:tc>
        <w:tc>
          <w:tcPr>
            <w:tcW w:w="3192" w:type="dxa"/>
            <w:tcBorders>
              <w:top w:val="single" w:color="auto" w:sz="6" w:space="0"/>
              <w:left w:val="single" w:color="auto" w:sz="6" w:space="0"/>
              <w:bottom w:val="single" w:color="auto" w:sz="6" w:space="0"/>
              <w:right w:val="single" w:color="auto" w:sz="6" w:space="0"/>
            </w:tcBorders>
            <w:noWrap w:val="0"/>
            <w:vAlign w:val="center"/>
          </w:tcPr>
          <w:p w14:paraId="131D4F9F">
            <w:pPr>
              <w:snapToGrid w:val="0"/>
              <w:spacing w:line="240" w:lineRule="auto"/>
              <w:ind w:left="0" w:leftChars="0" w:right="0" w:rightChars="0" w:firstLine="0" w:firstLineChars="0"/>
              <w:jc w:val="left"/>
              <w:rPr>
                <w:rFonts w:hint="eastAsia" w:ascii="宋体" w:hAnsi="宋体" w:eastAsia="宋体" w:cs="Times New Roman"/>
                <w:color w:val="auto"/>
                <w:szCs w:val="21"/>
                <w:lang w:eastAsia="zh-CN"/>
              </w:rPr>
            </w:pPr>
            <w:r>
              <w:rPr>
                <w:rFonts w:hint="eastAsia" w:ascii="宋体" w:hAnsi="宋体" w:eastAsia="宋体" w:cs="Times New Roman"/>
                <w:color w:val="auto"/>
                <w:szCs w:val="21"/>
              </w:rPr>
              <w:t>发现污水外溢，1次扣2分</w:t>
            </w:r>
            <w:r>
              <w:rPr>
                <w:rFonts w:hint="eastAsia" w:ascii="宋体" w:hAnsi="宋体" w:eastAsia="宋体" w:cs="Times New Roman"/>
                <w:color w:val="auto"/>
                <w:szCs w:val="21"/>
                <w:lang w:eastAsia="zh-CN"/>
              </w:rPr>
              <w:t>。</w:t>
            </w:r>
          </w:p>
        </w:tc>
        <w:tc>
          <w:tcPr>
            <w:tcW w:w="998" w:type="dxa"/>
            <w:tcBorders>
              <w:top w:val="single" w:color="auto" w:sz="6" w:space="0"/>
              <w:left w:val="single" w:color="auto" w:sz="6" w:space="0"/>
              <w:bottom w:val="single" w:color="auto" w:sz="6" w:space="0"/>
              <w:right w:val="single" w:color="auto" w:sz="6" w:space="0"/>
            </w:tcBorders>
            <w:noWrap w:val="0"/>
            <w:vAlign w:val="center"/>
          </w:tcPr>
          <w:p w14:paraId="1E7A36A1">
            <w:pPr>
              <w:snapToGrid w:val="0"/>
              <w:spacing w:line="240" w:lineRule="auto"/>
              <w:ind w:left="0" w:leftChars="0" w:right="0" w:rightChars="0" w:firstLine="0" w:firstLineChars="0"/>
              <w:jc w:val="right"/>
              <w:rPr>
                <w:rFonts w:ascii="宋体" w:hAnsi="宋体" w:eastAsia="宋体" w:cs="Times New Roman"/>
                <w:color w:val="auto"/>
                <w:szCs w:val="21"/>
              </w:rPr>
            </w:pPr>
            <w:r>
              <w:rPr>
                <w:rFonts w:hint="eastAsia" w:ascii="宋体" w:hAnsi="宋体" w:eastAsia="宋体" w:cs="Times New Roman"/>
                <w:color w:val="auto"/>
                <w:szCs w:val="21"/>
              </w:rPr>
              <w:t>5</w:t>
            </w:r>
          </w:p>
        </w:tc>
        <w:tc>
          <w:tcPr>
            <w:tcW w:w="642" w:type="dxa"/>
            <w:tcBorders>
              <w:top w:val="single" w:color="auto" w:sz="6" w:space="0"/>
              <w:left w:val="single" w:color="auto" w:sz="6" w:space="0"/>
              <w:bottom w:val="single" w:color="auto" w:sz="6" w:space="0"/>
              <w:right w:val="single" w:color="auto" w:sz="6" w:space="0"/>
            </w:tcBorders>
            <w:noWrap w:val="0"/>
            <w:vAlign w:val="center"/>
          </w:tcPr>
          <w:p w14:paraId="576646A6">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90" w:type="dxa"/>
            <w:tcBorders>
              <w:top w:val="single" w:color="auto" w:sz="6" w:space="0"/>
              <w:left w:val="single" w:color="auto" w:sz="6" w:space="0"/>
              <w:bottom w:val="single" w:color="auto" w:sz="6" w:space="0"/>
              <w:right w:val="single" w:color="auto" w:sz="6" w:space="0"/>
            </w:tcBorders>
            <w:noWrap w:val="0"/>
            <w:vAlign w:val="center"/>
          </w:tcPr>
          <w:p w14:paraId="2CC7B2F3">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3F808EE7">
        <w:tblPrEx>
          <w:tblCellMar>
            <w:top w:w="0" w:type="dxa"/>
            <w:left w:w="30" w:type="dxa"/>
            <w:bottom w:w="0" w:type="dxa"/>
            <w:right w:w="30" w:type="dxa"/>
          </w:tblCellMar>
        </w:tblPrEx>
        <w:trPr>
          <w:trHeight w:val="0" w:hRule="atLeast"/>
          <w:jc w:val="center"/>
        </w:trPr>
        <w:tc>
          <w:tcPr>
            <w:tcW w:w="706" w:type="dxa"/>
            <w:tcBorders>
              <w:top w:val="single" w:color="auto" w:sz="6" w:space="0"/>
              <w:left w:val="single" w:color="auto" w:sz="6" w:space="0"/>
              <w:bottom w:val="single" w:color="auto" w:sz="6" w:space="0"/>
              <w:right w:val="single" w:color="auto" w:sz="6" w:space="0"/>
            </w:tcBorders>
            <w:noWrap w:val="0"/>
            <w:vAlign w:val="center"/>
          </w:tcPr>
          <w:p w14:paraId="3967DB3B">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14</w:t>
            </w:r>
          </w:p>
        </w:tc>
        <w:tc>
          <w:tcPr>
            <w:tcW w:w="4292" w:type="dxa"/>
            <w:tcBorders>
              <w:top w:val="single" w:color="auto" w:sz="6" w:space="0"/>
              <w:left w:val="single" w:color="auto" w:sz="6" w:space="0"/>
              <w:bottom w:val="single" w:color="auto" w:sz="6" w:space="0"/>
              <w:right w:val="single" w:color="auto" w:sz="6" w:space="0"/>
            </w:tcBorders>
            <w:noWrap w:val="0"/>
            <w:vAlign w:val="center"/>
          </w:tcPr>
          <w:p w14:paraId="2B23178B">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安全作业：杜绝人身安全事故，爱护公共设施，避免出现设施设备损坏，工具丢失等现象。</w:t>
            </w:r>
          </w:p>
        </w:tc>
        <w:tc>
          <w:tcPr>
            <w:tcW w:w="3192" w:type="dxa"/>
            <w:tcBorders>
              <w:top w:val="single" w:color="auto" w:sz="6" w:space="0"/>
              <w:left w:val="single" w:color="auto" w:sz="6" w:space="0"/>
              <w:bottom w:val="single" w:color="auto" w:sz="6" w:space="0"/>
              <w:right w:val="single" w:color="auto" w:sz="6" w:space="0"/>
            </w:tcBorders>
            <w:noWrap w:val="0"/>
            <w:vAlign w:val="center"/>
          </w:tcPr>
          <w:p w14:paraId="210A1236">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发生人身安全事故</w:t>
            </w:r>
            <w:r>
              <w:rPr>
                <w:rFonts w:ascii="宋体" w:hAnsi="宋体" w:eastAsia="宋体" w:cs="Times New Roman"/>
                <w:color w:val="auto"/>
                <w:szCs w:val="21"/>
              </w:rPr>
              <w:t>1</w:t>
            </w:r>
            <w:r>
              <w:rPr>
                <w:rFonts w:hint="eastAsia" w:ascii="宋体" w:hAnsi="宋体" w:eastAsia="宋体" w:cs="Times New Roman"/>
                <w:color w:val="auto"/>
                <w:szCs w:val="21"/>
              </w:rPr>
              <w:t>次扣</w:t>
            </w:r>
            <w:r>
              <w:rPr>
                <w:rFonts w:ascii="宋体" w:hAnsi="宋体" w:eastAsia="宋体" w:cs="Times New Roman"/>
                <w:color w:val="auto"/>
                <w:szCs w:val="21"/>
              </w:rPr>
              <w:t>10</w:t>
            </w:r>
            <w:r>
              <w:rPr>
                <w:rFonts w:hint="eastAsia" w:ascii="宋体" w:hAnsi="宋体" w:eastAsia="宋体" w:cs="Times New Roman"/>
                <w:color w:val="auto"/>
                <w:szCs w:val="21"/>
              </w:rPr>
              <w:t>分；因维修作业时造成学院设施设备损坏，每发生1次扣10分。（累加考核，不受分值限制）</w:t>
            </w:r>
          </w:p>
        </w:tc>
        <w:tc>
          <w:tcPr>
            <w:tcW w:w="998" w:type="dxa"/>
            <w:tcBorders>
              <w:top w:val="single" w:color="auto" w:sz="6" w:space="0"/>
              <w:left w:val="single" w:color="auto" w:sz="6" w:space="0"/>
              <w:bottom w:val="single" w:color="auto" w:sz="6" w:space="0"/>
              <w:right w:val="single" w:color="auto" w:sz="6" w:space="0"/>
            </w:tcBorders>
            <w:noWrap w:val="0"/>
            <w:vAlign w:val="center"/>
          </w:tcPr>
          <w:p w14:paraId="71CAB2D7">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15</w:t>
            </w:r>
          </w:p>
        </w:tc>
        <w:tc>
          <w:tcPr>
            <w:tcW w:w="642" w:type="dxa"/>
            <w:tcBorders>
              <w:top w:val="single" w:color="auto" w:sz="6" w:space="0"/>
              <w:left w:val="single" w:color="auto" w:sz="6" w:space="0"/>
              <w:bottom w:val="single" w:color="auto" w:sz="6" w:space="0"/>
              <w:right w:val="single" w:color="auto" w:sz="6" w:space="0"/>
            </w:tcBorders>
            <w:noWrap w:val="0"/>
            <w:vAlign w:val="center"/>
          </w:tcPr>
          <w:p w14:paraId="52681765">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90" w:type="dxa"/>
            <w:tcBorders>
              <w:top w:val="single" w:color="auto" w:sz="6" w:space="0"/>
              <w:left w:val="single" w:color="auto" w:sz="6" w:space="0"/>
              <w:bottom w:val="single" w:color="auto" w:sz="6" w:space="0"/>
              <w:right w:val="single" w:color="auto" w:sz="6" w:space="0"/>
            </w:tcBorders>
            <w:noWrap w:val="0"/>
            <w:vAlign w:val="center"/>
          </w:tcPr>
          <w:p w14:paraId="44BB65EC">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1ABCF82F">
        <w:tblPrEx>
          <w:tblCellMar>
            <w:top w:w="0" w:type="dxa"/>
            <w:left w:w="30" w:type="dxa"/>
            <w:bottom w:w="0" w:type="dxa"/>
            <w:right w:w="30" w:type="dxa"/>
          </w:tblCellMar>
        </w:tblPrEx>
        <w:trPr>
          <w:trHeight w:val="0" w:hRule="atLeast"/>
          <w:jc w:val="center"/>
        </w:trPr>
        <w:tc>
          <w:tcPr>
            <w:tcW w:w="706" w:type="dxa"/>
            <w:tcBorders>
              <w:top w:val="single" w:color="auto" w:sz="6" w:space="0"/>
              <w:left w:val="single" w:color="auto" w:sz="6" w:space="0"/>
              <w:bottom w:val="single" w:color="auto" w:sz="6" w:space="0"/>
              <w:right w:val="single" w:color="auto" w:sz="6" w:space="0"/>
            </w:tcBorders>
            <w:noWrap w:val="0"/>
            <w:vAlign w:val="center"/>
          </w:tcPr>
          <w:p w14:paraId="6AB8C1A5">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15</w:t>
            </w:r>
          </w:p>
        </w:tc>
        <w:tc>
          <w:tcPr>
            <w:tcW w:w="4292" w:type="dxa"/>
            <w:tcBorders>
              <w:top w:val="single" w:color="auto" w:sz="6" w:space="0"/>
              <w:left w:val="single" w:color="auto" w:sz="6" w:space="0"/>
              <w:bottom w:val="single" w:color="auto" w:sz="6" w:space="0"/>
              <w:right w:val="single" w:color="auto" w:sz="6" w:space="0"/>
            </w:tcBorders>
            <w:noWrap w:val="0"/>
            <w:vAlign w:val="center"/>
          </w:tcPr>
          <w:p w14:paraId="671BEE1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其他临时任务：服从调配，保质保量完成</w:t>
            </w:r>
          </w:p>
        </w:tc>
        <w:tc>
          <w:tcPr>
            <w:tcW w:w="3192" w:type="dxa"/>
            <w:tcBorders>
              <w:top w:val="single" w:color="auto" w:sz="6" w:space="0"/>
              <w:left w:val="single" w:color="auto" w:sz="6" w:space="0"/>
              <w:bottom w:val="single" w:color="auto" w:sz="6" w:space="0"/>
              <w:right w:val="single" w:color="auto" w:sz="6" w:space="0"/>
            </w:tcBorders>
            <w:noWrap w:val="0"/>
            <w:vAlign w:val="center"/>
          </w:tcPr>
          <w:p w14:paraId="06D54C28">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发生推诿扯皮</w:t>
            </w:r>
            <w:r>
              <w:rPr>
                <w:rFonts w:ascii="宋体" w:hAnsi="宋体" w:eastAsia="宋体" w:cs="Times New Roman"/>
                <w:color w:val="auto"/>
                <w:szCs w:val="21"/>
              </w:rPr>
              <w:t>1</w:t>
            </w:r>
            <w:r>
              <w:rPr>
                <w:rFonts w:hint="eastAsia" w:ascii="宋体" w:hAnsi="宋体" w:eastAsia="宋体" w:cs="Times New Roman"/>
                <w:color w:val="auto"/>
                <w:szCs w:val="21"/>
              </w:rPr>
              <w:t>次扣</w:t>
            </w:r>
            <w:r>
              <w:rPr>
                <w:rFonts w:ascii="宋体" w:hAnsi="宋体" w:eastAsia="宋体" w:cs="Times New Roman"/>
                <w:color w:val="auto"/>
                <w:szCs w:val="21"/>
              </w:rPr>
              <w:t>10</w:t>
            </w:r>
            <w:r>
              <w:rPr>
                <w:rFonts w:hint="eastAsia" w:ascii="宋体" w:hAnsi="宋体" w:eastAsia="宋体" w:cs="Times New Roman"/>
                <w:color w:val="auto"/>
                <w:szCs w:val="21"/>
              </w:rPr>
              <w:t>分。</w:t>
            </w:r>
          </w:p>
        </w:tc>
        <w:tc>
          <w:tcPr>
            <w:tcW w:w="998" w:type="dxa"/>
            <w:tcBorders>
              <w:top w:val="single" w:color="auto" w:sz="6" w:space="0"/>
              <w:left w:val="single" w:color="auto" w:sz="6" w:space="0"/>
              <w:bottom w:val="single" w:color="auto" w:sz="6" w:space="0"/>
              <w:right w:val="single" w:color="auto" w:sz="6" w:space="0"/>
            </w:tcBorders>
            <w:noWrap w:val="0"/>
            <w:vAlign w:val="center"/>
          </w:tcPr>
          <w:p w14:paraId="68FB45BD">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42" w:type="dxa"/>
            <w:tcBorders>
              <w:top w:val="single" w:color="auto" w:sz="6" w:space="0"/>
              <w:left w:val="single" w:color="auto" w:sz="6" w:space="0"/>
              <w:bottom w:val="single" w:color="auto" w:sz="6" w:space="0"/>
              <w:right w:val="single" w:color="auto" w:sz="6" w:space="0"/>
            </w:tcBorders>
            <w:noWrap w:val="0"/>
            <w:vAlign w:val="center"/>
          </w:tcPr>
          <w:p w14:paraId="7F071BA7">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590" w:type="dxa"/>
            <w:tcBorders>
              <w:top w:val="single" w:color="auto" w:sz="6" w:space="0"/>
              <w:left w:val="single" w:color="auto" w:sz="6" w:space="0"/>
              <w:bottom w:val="single" w:color="auto" w:sz="6" w:space="0"/>
              <w:right w:val="single" w:color="auto" w:sz="6" w:space="0"/>
            </w:tcBorders>
            <w:noWrap w:val="0"/>
            <w:vAlign w:val="center"/>
          </w:tcPr>
          <w:p w14:paraId="63B81AB3">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1F90C19B">
        <w:tblPrEx>
          <w:tblCellMar>
            <w:top w:w="0" w:type="dxa"/>
            <w:left w:w="30" w:type="dxa"/>
            <w:bottom w:w="0" w:type="dxa"/>
            <w:right w:w="30" w:type="dxa"/>
          </w:tblCellMar>
        </w:tblPrEx>
        <w:trPr>
          <w:trHeight w:val="0" w:hRule="atLeast"/>
          <w:jc w:val="center"/>
        </w:trPr>
        <w:tc>
          <w:tcPr>
            <w:tcW w:w="706" w:type="dxa"/>
            <w:tcBorders>
              <w:top w:val="single" w:color="auto" w:sz="6" w:space="0"/>
              <w:left w:val="single" w:color="auto" w:sz="6" w:space="0"/>
              <w:bottom w:val="single" w:color="auto" w:sz="6" w:space="0"/>
              <w:right w:val="single" w:color="auto" w:sz="6" w:space="0"/>
            </w:tcBorders>
            <w:noWrap w:val="0"/>
            <w:vAlign w:val="center"/>
          </w:tcPr>
          <w:p w14:paraId="635D397B">
            <w:pPr>
              <w:snapToGrid w:val="0"/>
              <w:spacing w:line="240" w:lineRule="auto"/>
              <w:ind w:left="0" w:leftChars="0" w:right="0" w:rightChars="0" w:firstLine="0" w:firstLineChars="0"/>
              <w:jc w:val="center"/>
              <w:rPr>
                <w:rFonts w:ascii="宋体" w:hAnsi="宋体" w:eastAsia="宋体" w:cs="Times New Roman"/>
                <w:b/>
                <w:color w:val="auto"/>
                <w:szCs w:val="21"/>
              </w:rPr>
            </w:pPr>
          </w:p>
        </w:tc>
        <w:tc>
          <w:tcPr>
            <w:tcW w:w="4292" w:type="dxa"/>
            <w:tcBorders>
              <w:top w:val="single" w:color="auto" w:sz="6" w:space="0"/>
              <w:left w:val="single" w:color="auto" w:sz="6" w:space="0"/>
              <w:bottom w:val="single" w:color="auto" w:sz="6" w:space="0"/>
              <w:right w:val="single" w:color="auto" w:sz="6" w:space="0"/>
            </w:tcBorders>
            <w:noWrap w:val="0"/>
            <w:vAlign w:val="center"/>
          </w:tcPr>
          <w:p w14:paraId="01FC04B2">
            <w:pPr>
              <w:snapToGrid w:val="0"/>
              <w:spacing w:line="240" w:lineRule="auto"/>
              <w:ind w:left="0" w:leftChars="0" w:right="0" w:rightChars="0" w:firstLine="0" w:firstLineChars="0"/>
              <w:jc w:val="left"/>
              <w:rPr>
                <w:rFonts w:ascii="宋体" w:hAnsi="宋体" w:eastAsia="宋体" w:cs="Times New Roman"/>
                <w:b/>
                <w:color w:val="auto"/>
                <w:szCs w:val="21"/>
              </w:rPr>
            </w:pPr>
            <w:r>
              <w:rPr>
                <w:rFonts w:hint="eastAsia" w:ascii="宋体" w:hAnsi="宋体" w:eastAsia="宋体" w:cs="Times New Roman"/>
                <w:b/>
                <w:color w:val="auto"/>
                <w:szCs w:val="21"/>
              </w:rPr>
              <w:t>合计</w:t>
            </w:r>
          </w:p>
        </w:tc>
        <w:tc>
          <w:tcPr>
            <w:tcW w:w="3192" w:type="dxa"/>
            <w:tcBorders>
              <w:top w:val="single" w:color="auto" w:sz="6" w:space="0"/>
              <w:left w:val="single" w:color="auto" w:sz="6" w:space="0"/>
              <w:bottom w:val="single" w:color="auto" w:sz="6" w:space="0"/>
              <w:right w:val="single" w:color="auto" w:sz="6" w:space="0"/>
            </w:tcBorders>
            <w:noWrap w:val="0"/>
            <w:vAlign w:val="center"/>
          </w:tcPr>
          <w:p w14:paraId="2A7572DE">
            <w:pPr>
              <w:snapToGrid w:val="0"/>
              <w:spacing w:line="240" w:lineRule="auto"/>
              <w:ind w:left="0" w:leftChars="0" w:right="0" w:rightChars="0" w:firstLine="0" w:firstLineChars="0"/>
              <w:jc w:val="left"/>
              <w:rPr>
                <w:rFonts w:ascii="宋体" w:hAnsi="宋体" w:eastAsia="宋体" w:cs="Times New Roman"/>
                <w:b/>
                <w:color w:val="auto"/>
                <w:szCs w:val="21"/>
              </w:rPr>
            </w:pPr>
          </w:p>
        </w:tc>
        <w:tc>
          <w:tcPr>
            <w:tcW w:w="998" w:type="dxa"/>
            <w:tcBorders>
              <w:top w:val="single" w:color="auto" w:sz="6" w:space="0"/>
              <w:left w:val="single" w:color="auto" w:sz="6" w:space="0"/>
              <w:bottom w:val="single" w:color="auto" w:sz="6" w:space="0"/>
              <w:right w:val="single" w:color="auto" w:sz="6" w:space="0"/>
            </w:tcBorders>
            <w:noWrap w:val="0"/>
            <w:vAlign w:val="center"/>
          </w:tcPr>
          <w:p w14:paraId="798CFDFE">
            <w:pPr>
              <w:snapToGrid w:val="0"/>
              <w:spacing w:line="240" w:lineRule="auto"/>
              <w:ind w:left="0" w:leftChars="0" w:right="0" w:rightChars="0" w:firstLine="0" w:firstLineChars="0"/>
              <w:jc w:val="right"/>
              <w:rPr>
                <w:rFonts w:ascii="宋体" w:hAnsi="宋体" w:eastAsia="宋体" w:cs="Times New Roman"/>
                <w:b/>
                <w:color w:val="auto"/>
                <w:szCs w:val="21"/>
              </w:rPr>
            </w:pPr>
            <w:r>
              <w:rPr>
                <w:rFonts w:ascii="宋体" w:hAnsi="宋体" w:eastAsia="宋体" w:cs="Times New Roman"/>
                <w:b/>
                <w:color w:val="auto"/>
                <w:szCs w:val="21"/>
              </w:rPr>
              <w:t>100</w:t>
            </w:r>
          </w:p>
        </w:tc>
        <w:tc>
          <w:tcPr>
            <w:tcW w:w="642" w:type="dxa"/>
            <w:tcBorders>
              <w:top w:val="single" w:color="auto" w:sz="6" w:space="0"/>
              <w:left w:val="single" w:color="auto" w:sz="6" w:space="0"/>
              <w:bottom w:val="single" w:color="auto" w:sz="6" w:space="0"/>
              <w:right w:val="single" w:color="auto" w:sz="6" w:space="0"/>
            </w:tcBorders>
            <w:noWrap w:val="0"/>
            <w:vAlign w:val="center"/>
          </w:tcPr>
          <w:p w14:paraId="449156C4">
            <w:pPr>
              <w:snapToGrid w:val="0"/>
              <w:spacing w:line="240" w:lineRule="auto"/>
              <w:ind w:left="0" w:leftChars="0" w:right="0" w:rightChars="0" w:firstLine="0" w:firstLineChars="0"/>
              <w:jc w:val="center"/>
              <w:rPr>
                <w:rFonts w:hint="default" w:ascii="宋体" w:hAnsi="宋体" w:eastAsia="宋体" w:cs="Times New Roman"/>
                <w:b/>
                <w:color w:val="auto"/>
                <w:szCs w:val="21"/>
                <w:lang w:val="en-US" w:eastAsia="zh-CN"/>
              </w:rPr>
            </w:pPr>
          </w:p>
        </w:tc>
        <w:tc>
          <w:tcPr>
            <w:tcW w:w="590" w:type="dxa"/>
            <w:tcBorders>
              <w:top w:val="single" w:color="auto" w:sz="6" w:space="0"/>
              <w:left w:val="single" w:color="auto" w:sz="6" w:space="0"/>
              <w:bottom w:val="single" w:color="auto" w:sz="6" w:space="0"/>
              <w:right w:val="single" w:color="auto" w:sz="6" w:space="0"/>
            </w:tcBorders>
            <w:noWrap w:val="0"/>
            <w:vAlign w:val="center"/>
          </w:tcPr>
          <w:p w14:paraId="79A22476">
            <w:pPr>
              <w:snapToGrid w:val="0"/>
              <w:spacing w:line="240" w:lineRule="auto"/>
              <w:ind w:left="0" w:leftChars="0" w:right="0" w:rightChars="0" w:firstLine="0" w:firstLineChars="0"/>
              <w:jc w:val="center"/>
              <w:rPr>
                <w:rFonts w:ascii="宋体" w:hAnsi="宋体" w:eastAsia="宋体" w:cs="Times New Roman"/>
                <w:b/>
                <w:color w:val="auto"/>
                <w:szCs w:val="21"/>
              </w:rPr>
            </w:pPr>
          </w:p>
        </w:tc>
      </w:tr>
      <w:tr w14:paraId="06E67E7C">
        <w:tblPrEx>
          <w:tblCellMar>
            <w:top w:w="0" w:type="dxa"/>
            <w:left w:w="30" w:type="dxa"/>
            <w:bottom w:w="0" w:type="dxa"/>
            <w:right w:w="30" w:type="dxa"/>
          </w:tblCellMar>
        </w:tblPrEx>
        <w:trPr>
          <w:trHeight w:val="0" w:hRule="atLeast"/>
          <w:jc w:val="center"/>
        </w:trPr>
        <w:tc>
          <w:tcPr>
            <w:tcW w:w="10420" w:type="dxa"/>
            <w:gridSpan w:val="6"/>
            <w:tcBorders>
              <w:top w:val="single" w:color="auto" w:sz="6" w:space="0"/>
              <w:left w:val="single" w:color="auto" w:sz="6" w:space="0"/>
              <w:bottom w:val="single" w:color="auto" w:sz="6" w:space="0"/>
              <w:right w:val="single" w:color="auto" w:sz="6" w:space="0"/>
            </w:tcBorders>
            <w:noWrap w:val="0"/>
            <w:vAlign w:val="center"/>
          </w:tcPr>
          <w:p w14:paraId="5A726847">
            <w:pPr>
              <w:snapToGrid w:val="0"/>
              <w:spacing w:line="240" w:lineRule="auto"/>
              <w:ind w:left="0" w:leftChars="0" w:right="0" w:rightChars="0" w:firstLine="0" w:firstLineChars="0"/>
              <w:jc w:val="center"/>
              <w:rPr>
                <w:rFonts w:ascii="宋体" w:hAnsi="宋体" w:eastAsia="宋体" w:cs="Times New Roman"/>
                <w:color w:val="auto"/>
                <w:szCs w:val="21"/>
              </w:rPr>
            </w:pPr>
            <w:r>
              <w:rPr>
                <w:rFonts w:hint="eastAsia" w:ascii="宋体" w:hAnsi="宋体" w:eastAsia="宋体" w:cs="Times New Roman"/>
                <w:color w:val="auto"/>
                <w:szCs w:val="21"/>
              </w:rPr>
              <w:t>考核说明：该项目考核分共</w:t>
            </w:r>
            <w:r>
              <w:rPr>
                <w:rFonts w:ascii="宋体" w:hAnsi="宋体" w:eastAsia="宋体" w:cs="Times New Roman"/>
                <w:color w:val="auto"/>
                <w:szCs w:val="21"/>
              </w:rPr>
              <w:t>1</w:t>
            </w:r>
            <w:r>
              <w:rPr>
                <w:rFonts w:hint="eastAsia" w:ascii="宋体" w:hAnsi="宋体" w:eastAsia="宋体" w:cs="Times New Roman"/>
                <w:color w:val="auto"/>
                <w:szCs w:val="21"/>
              </w:rPr>
              <w:t>0</w:t>
            </w:r>
            <w:r>
              <w:rPr>
                <w:rFonts w:ascii="宋体" w:hAnsi="宋体" w:eastAsia="宋体" w:cs="Times New Roman"/>
                <w:color w:val="auto"/>
                <w:szCs w:val="21"/>
              </w:rPr>
              <w:t>0</w:t>
            </w:r>
            <w:r>
              <w:rPr>
                <w:rFonts w:hint="eastAsia" w:ascii="宋体" w:hAnsi="宋体" w:eastAsia="宋体" w:cs="Times New Roman"/>
                <w:color w:val="auto"/>
                <w:szCs w:val="21"/>
              </w:rPr>
              <w:t>分，由学院管理部门在每天工作时间段内随机抽查考核，若当月同一考核项目连续不达标，则扣分项不受分值限制，直到扣完100分为止。学院按实际扣除分数扣减服务费（即被扣分数</w:t>
            </w:r>
            <w:r>
              <w:rPr>
                <w:rFonts w:ascii="宋体" w:hAnsi="宋体" w:eastAsia="宋体" w:cs="Arial"/>
                <w:color w:val="auto"/>
                <w:szCs w:val="21"/>
              </w:rPr>
              <w:t>×</w:t>
            </w:r>
            <w:r>
              <w:rPr>
                <w:rFonts w:hint="eastAsia" w:ascii="宋体" w:hAnsi="宋体" w:eastAsia="宋体" w:cs="宋体"/>
                <w:color w:val="auto"/>
                <w:szCs w:val="21"/>
              </w:rPr>
              <w:t>分值）</w:t>
            </w:r>
            <w:r>
              <w:rPr>
                <w:rFonts w:hint="eastAsia" w:ascii="宋体" w:hAnsi="宋体" w:eastAsia="宋体" w:cs="Times New Roman"/>
                <w:color w:val="auto"/>
                <w:szCs w:val="21"/>
              </w:rPr>
              <w:t>。</w:t>
            </w:r>
          </w:p>
        </w:tc>
      </w:tr>
      <w:tr w14:paraId="5F01CBD4">
        <w:tblPrEx>
          <w:tblCellMar>
            <w:top w:w="0" w:type="dxa"/>
            <w:left w:w="30" w:type="dxa"/>
            <w:bottom w:w="0" w:type="dxa"/>
            <w:right w:w="30" w:type="dxa"/>
          </w:tblCellMar>
        </w:tblPrEx>
        <w:trPr>
          <w:trHeight w:val="0" w:hRule="atLeast"/>
          <w:jc w:val="center"/>
        </w:trPr>
        <w:tc>
          <w:tcPr>
            <w:tcW w:w="10420" w:type="dxa"/>
            <w:gridSpan w:val="6"/>
            <w:tcBorders>
              <w:top w:val="single" w:color="auto" w:sz="6" w:space="0"/>
              <w:left w:val="single" w:color="auto" w:sz="6" w:space="0"/>
              <w:bottom w:val="single" w:color="auto" w:sz="6" w:space="0"/>
              <w:right w:val="single" w:color="auto" w:sz="6" w:space="0"/>
            </w:tcBorders>
            <w:noWrap w:val="0"/>
            <w:vAlign w:val="center"/>
          </w:tcPr>
          <w:p w14:paraId="266B2488">
            <w:pPr>
              <w:snapToGrid w:val="0"/>
              <w:spacing w:line="240" w:lineRule="auto"/>
              <w:ind w:left="0" w:leftChars="0" w:right="0" w:rightChars="0" w:firstLine="0" w:firstLineChars="0"/>
              <w:jc w:val="center"/>
              <w:rPr>
                <w:rFonts w:hint="eastAsia" w:ascii="宋体" w:hAnsi="宋体" w:eastAsia="宋体" w:cs="Times New Roman"/>
                <w:color w:val="auto"/>
                <w:szCs w:val="21"/>
              </w:rPr>
            </w:pPr>
            <w:r>
              <w:rPr>
                <w:rFonts w:hint="eastAsia" w:ascii="宋体" w:hAnsi="宋体" w:eastAsia="宋体" w:cs="Times New Roman"/>
                <w:color w:val="auto"/>
                <w:szCs w:val="21"/>
                <w:lang w:eastAsia="zh-CN"/>
              </w:rPr>
              <w:t>考核人：</w:t>
            </w:r>
            <w:r>
              <w:rPr>
                <w:rFonts w:hint="eastAsia" w:ascii="宋体" w:hAnsi="宋体" w:eastAsia="宋体" w:cs="Times New Roman"/>
                <w:color w:val="auto"/>
                <w:szCs w:val="21"/>
                <w:lang w:val="en-US" w:eastAsia="zh-CN"/>
              </w:rPr>
              <w:t xml:space="preserve">             责任人：             制表人:</w:t>
            </w:r>
          </w:p>
        </w:tc>
      </w:tr>
    </w:tbl>
    <w:p w14:paraId="0F7E91AF">
      <w:pPr>
        <w:spacing w:line="360" w:lineRule="auto"/>
        <w:jc w:val="center"/>
        <w:rPr>
          <w:rFonts w:hint="eastAsia" w:ascii="黑体" w:hAnsi="黑体" w:eastAsia="黑体" w:cs="Times New Roman"/>
          <w:b/>
          <w:bCs/>
          <w:color w:val="auto"/>
          <w:sz w:val="32"/>
          <w:szCs w:val="32"/>
        </w:rPr>
      </w:pPr>
      <w:r>
        <w:rPr>
          <w:rFonts w:ascii="宋体" w:hAnsi="宋体" w:eastAsia="宋体" w:cs="Times New Roman"/>
          <w:b/>
          <w:color w:val="auto"/>
          <w:szCs w:val="21"/>
        </w:rPr>
        <w:br w:type="page"/>
      </w:r>
      <w:r>
        <w:rPr>
          <w:rFonts w:hint="eastAsia" w:ascii="黑体" w:hAnsi="黑体" w:eastAsia="黑体" w:cs="Times New Roman"/>
          <w:b/>
          <w:bCs/>
          <w:color w:val="auto"/>
          <w:sz w:val="32"/>
          <w:szCs w:val="32"/>
        </w:rPr>
        <w:t>公物（指水电设施以外）维修服务质量考核表</w:t>
      </w:r>
    </w:p>
    <w:tbl>
      <w:tblPr>
        <w:tblStyle w:val="33"/>
        <w:tblW w:w="10248" w:type="dxa"/>
        <w:jc w:val="center"/>
        <w:tblLayout w:type="autofit"/>
        <w:tblCellMar>
          <w:top w:w="0" w:type="dxa"/>
          <w:left w:w="30" w:type="dxa"/>
          <w:bottom w:w="0" w:type="dxa"/>
          <w:right w:w="30" w:type="dxa"/>
        </w:tblCellMar>
      </w:tblPr>
      <w:tblGrid>
        <w:gridCol w:w="720"/>
        <w:gridCol w:w="4486"/>
        <w:gridCol w:w="3180"/>
        <w:gridCol w:w="482"/>
        <w:gridCol w:w="660"/>
        <w:gridCol w:w="720"/>
      </w:tblGrid>
      <w:tr w14:paraId="48A2CD92">
        <w:tblPrEx>
          <w:tblCellMar>
            <w:top w:w="0" w:type="dxa"/>
            <w:left w:w="30" w:type="dxa"/>
            <w:bottom w:w="0" w:type="dxa"/>
            <w:right w:w="30" w:type="dxa"/>
          </w:tblCellMar>
        </w:tblPrEx>
        <w:trPr>
          <w:trHeight w:val="0" w:hRule="atLeast"/>
          <w:tblHeader/>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4BFC662F">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序号</w:t>
            </w:r>
          </w:p>
        </w:tc>
        <w:tc>
          <w:tcPr>
            <w:tcW w:w="4486" w:type="dxa"/>
            <w:tcBorders>
              <w:top w:val="single" w:color="auto" w:sz="6" w:space="0"/>
              <w:left w:val="single" w:color="auto" w:sz="6" w:space="0"/>
              <w:bottom w:val="single" w:color="auto" w:sz="6" w:space="0"/>
              <w:right w:val="single" w:color="auto" w:sz="6" w:space="0"/>
            </w:tcBorders>
            <w:noWrap w:val="0"/>
            <w:vAlign w:val="center"/>
          </w:tcPr>
          <w:p w14:paraId="10D63882">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作业要求</w:t>
            </w:r>
          </w:p>
        </w:tc>
        <w:tc>
          <w:tcPr>
            <w:tcW w:w="3180" w:type="dxa"/>
            <w:tcBorders>
              <w:top w:val="single" w:color="auto" w:sz="6" w:space="0"/>
              <w:left w:val="single" w:color="auto" w:sz="6" w:space="0"/>
              <w:bottom w:val="single" w:color="auto" w:sz="6" w:space="0"/>
              <w:right w:val="single" w:color="auto" w:sz="6" w:space="0"/>
            </w:tcBorders>
            <w:noWrap w:val="0"/>
            <w:vAlign w:val="center"/>
          </w:tcPr>
          <w:p w14:paraId="43BDC415">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考核标准</w:t>
            </w:r>
          </w:p>
        </w:tc>
        <w:tc>
          <w:tcPr>
            <w:tcW w:w="482" w:type="dxa"/>
            <w:tcBorders>
              <w:top w:val="single" w:color="auto" w:sz="6" w:space="0"/>
              <w:left w:val="single" w:color="auto" w:sz="6" w:space="0"/>
              <w:bottom w:val="single" w:color="auto" w:sz="6" w:space="0"/>
              <w:right w:val="single" w:color="auto" w:sz="6" w:space="0"/>
            </w:tcBorders>
            <w:noWrap w:val="0"/>
            <w:vAlign w:val="center"/>
          </w:tcPr>
          <w:p w14:paraId="0D3248B1">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核定分值</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2BFC17C2">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抽检得分</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63F8EA79">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备注</w:t>
            </w:r>
          </w:p>
        </w:tc>
      </w:tr>
      <w:tr w14:paraId="0B470378">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000000" w:sz="2" w:space="0"/>
              <w:right w:val="single" w:color="auto" w:sz="6" w:space="0"/>
            </w:tcBorders>
            <w:noWrap w:val="0"/>
            <w:vAlign w:val="center"/>
          </w:tcPr>
          <w:p w14:paraId="0816C9B4">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w:t>
            </w:r>
          </w:p>
        </w:tc>
        <w:tc>
          <w:tcPr>
            <w:tcW w:w="4486" w:type="dxa"/>
            <w:tcBorders>
              <w:top w:val="single" w:color="auto" w:sz="6" w:space="0"/>
              <w:left w:val="single" w:color="auto" w:sz="6" w:space="0"/>
              <w:bottom w:val="single" w:color="auto" w:sz="6" w:space="0"/>
              <w:right w:val="single" w:color="auto" w:sz="6" w:space="0"/>
            </w:tcBorders>
            <w:noWrap w:val="0"/>
            <w:vAlign w:val="center"/>
          </w:tcPr>
          <w:p w14:paraId="1BA3164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规章制度健全；有年度公物维修计划；组织结构有领班；有人员档案。</w:t>
            </w:r>
          </w:p>
        </w:tc>
        <w:tc>
          <w:tcPr>
            <w:tcW w:w="3180" w:type="dxa"/>
            <w:tcBorders>
              <w:top w:val="single" w:color="auto" w:sz="6" w:space="0"/>
              <w:left w:val="single" w:color="auto" w:sz="6" w:space="0"/>
              <w:bottom w:val="single" w:color="auto" w:sz="6" w:space="0"/>
              <w:right w:val="single" w:color="auto" w:sz="6" w:space="0"/>
            </w:tcBorders>
            <w:noWrap w:val="0"/>
            <w:vAlign w:val="center"/>
          </w:tcPr>
          <w:p w14:paraId="6B7A26D3">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健全（每项</w:t>
            </w:r>
            <w:r>
              <w:rPr>
                <w:rFonts w:ascii="宋体" w:hAnsi="宋体" w:eastAsia="宋体" w:cs="Times New Roman"/>
                <w:color w:val="auto"/>
                <w:szCs w:val="21"/>
              </w:rPr>
              <w:t>2.5</w:t>
            </w:r>
            <w:r>
              <w:rPr>
                <w:rFonts w:hint="eastAsia" w:ascii="宋体" w:hAnsi="宋体" w:eastAsia="宋体" w:cs="Times New Roman"/>
                <w:color w:val="auto"/>
                <w:szCs w:val="21"/>
              </w:rPr>
              <w:t>分）。</w:t>
            </w:r>
          </w:p>
        </w:tc>
        <w:tc>
          <w:tcPr>
            <w:tcW w:w="482" w:type="dxa"/>
            <w:tcBorders>
              <w:top w:val="single" w:color="auto" w:sz="6" w:space="0"/>
              <w:left w:val="single" w:color="auto" w:sz="6" w:space="0"/>
              <w:bottom w:val="single" w:color="auto" w:sz="6" w:space="0"/>
              <w:right w:val="single" w:color="auto" w:sz="6" w:space="0"/>
            </w:tcBorders>
            <w:noWrap w:val="0"/>
            <w:vAlign w:val="center"/>
          </w:tcPr>
          <w:p w14:paraId="681D5913">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6BD8900F">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4CC45528">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33BE994A">
        <w:tblPrEx>
          <w:tblCellMar>
            <w:top w:w="0" w:type="dxa"/>
            <w:left w:w="30" w:type="dxa"/>
            <w:bottom w:w="0" w:type="dxa"/>
            <w:right w:w="30" w:type="dxa"/>
          </w:tblCellMar>
        </w:tblPrEx>
        <w:trPr>
          <w:trHeight w:val="0" w:hRule="atLeast"/>
          <w:jc w:val="center"/>
        </w:trPr>
        <w:tc>
          <w:tcPr>
            <w:tcW w:w="720" w:type="dxa"/>
            <w:tcBorders>
              <w:top w:val="single" w:color="000000" w:sz="2" w:space="0"/>
              <w:left w:val="single" w:color="auto" w:sz="6" w:space="0"/>
              <w:bottom w:val="single" w:color="auto" w:sz="6" w:space="0"/>
              <w:right w:val="single" w:color="auto" w:sz="6" w:space="0"/>
            </w:tcBorders>
            <w:noWrap w:val="0"/>
            <w:vAlign w:val="center"/>
          </w:tcPr>
          <w:p w14:paraId="4473D29B">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2</w:t>
            </w:r>
          </w:p>
        </w:tc>
        <w:tc>
          <w:tcPr>
            <w:tcW w:w="4486" w:type="dxa"/>
            <w:tcBorders>
              <w:top w:val="single" w:color="auto" w:sz="6" w:space="0"/>
              <w:left w:val="single" w:color="auto" w:sz="6" w:space="0"/>
              <w:bottom w:val="single" w:color="auto" w:sz="6" w:space="0"/>
              <w:right w:val="single" w:color="auto" w:sz="6" w:space="0"/>
            </w:tcBorders>
            <w:noWrap w:val="0"/>
            <w:vAlign w:val="center"/>
          </w:tcPr>
          <w:p w14:paraId="2D66309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精神面貌好，服装统一、佩戴统一标识。</w:t>
            </w:r>
          </w:p>
        </w:tc>
        <w:tc>
          <w:tcPr>
            <w:tcW w:w="3180" w:type="dxa"/>
            <w:tcBorders>
              <w:top w:val="single" w:color="auto" w:sz="6" w:space="0"/>
              <w:left w:val="single" w:color="auto" w:sz="6" w:space="0"/>
              <w:bottom w:val="single" w:color="auto" w:sz="6" w:space="0"/>
              <w:right w:val="single" w:color="auto" w:sz="6" w:space="0"/>
            </w:tcBorders>
            <w:noWrap w:val="0"/>
            <w:vAlign w:val="center"/>
          </w:tcPr>
          <w:p w14:paraId="331F8109">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整齐、统一（每项</w:t>
            </w:r>
            <w:r>
              <w:rPr>
                <w:rFonts w:ascii="宋体" w:hAnsi="宋体" w:eastAsia="宋体" w:cs="Times New Roman"/>
                <w:color w:val="auto"/>
                <w:szCs w:val="21"/>
              </w:rPr>
              <w:t>1</w:t>
            </w:r>
            <w:r>
              <w:rPr>
                <w:rFonts w:hint="eastAsia" w:ascii="宋体" w:hAnsi="宋体" w:eastAsia="宋体" w:cs="Times New Roman"/>
                <w:color w:val="auto"/>
                <w:szCs w:val="21"/>
              </w:rPr>
              <w:t>分）。</w:t>
            </w:r>
          </w:p>
        </w:tc>
        <w:tc>
          <w:tcPr>
            <w:tcW w:w="482" w:type="dxa"/>
            <w:tcBorders>
              <w:top w:val="single" w:color="auto" w:sz="6" w:space="0"/>
              <w:left w:val="single" w:color="auto" w:sz="6" w:space="0"/>
              <w:bottom w:val="single" w:color="auto" w:sz="6" w:space="0"/>
              <w:right w:val="single" w:color="auto" w:sz="6" w:space="0"/>
            </w:tcBorders>
            <w:noWrap w:val="0"/>
            <w:vAlign w:val="center"/>
          </w:tcPr>
          <w:p w14:paraId="645B6311">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2</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563D0C5B">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3838A953">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82F4E3D">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22B0702A">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4</w:t>
            </w:r>
          </w:p>
        </w:tc>
        <w:tc>
          <w:tcPr>
            <w:tcW w:w="4486" w:type="dxa"/>
            <w:tcBorders>
              <w:top w:val="single" w:color="auto" w:sz="6" w:space="0"/>
              <w:left w:val="single" w:color="auto" w:sz="6" w:space="0"/>
              <w:bottom w:val="single" w:color="auto" w:sz="6" w:space="0"/>
              <w:right w:val="single" w:color="auto" w:sz="6" w:space="0"/>
            </w:tcBorders>
            <w:noWrap w:val="0"/>
            <w:vAlign w:val="center"/>
          </w:tcPr>
          <w:p w14:paraId="32691249">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科学合理制定公物维修计划，规范维修行为，维修有记录、有验收；节约原材料，文明施工，安全上岗。</w:t>
            </w:r>
          </w:p>
        </w:tc>
        <w:tc>
          <w:tcPr>
            <w:tcW w:w="3180" w:type="dxa"/>
            <w:tcBorders>
              <w:top w:val="single" w:color="auto" w:sz="6" w:space="0"/>
              <w:left w:val="single" w:color="auto" w:sz="6" w:space="0"/>
              <w:bottom w:val="single" w:color="auto" w:sz="6" w:space="0"/>
              <w:right w:val="single" w:color="auto" w:sz="6" w:space="0"/>
            </w:tcBorders>
            <w:noWrap w:val="0"/>
            <w:vAlign w:val="center"/>
          </w:tcPr>
          <w:p w14:paraId="745CED55">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无损坏公物现象（发现</w:t>
            </w:r>
            <w:r>
              <w:rPr>
                <w:rFonts w:ascii="宋体" w:hAnsi="宋体" w:eastAsia="宋体" w:cs="Times New Roman"/>
                <w:color w:val="auto"/>
                <w:szCs w:val="21"/>
              </w:rPr>
              <w:t>1</w:t>
            </w:r>
            <w:r>
              <w:rPr>
                <w:rFonts w:hint="eastAsia" w:ascii="宋体" w:hAnsi="宋体" w:eastAsia="宋体" w:cs="Times New Roman"/>
                <w:color w:val="auto"/>
                <w:szCs w:val="21"/>
              </w:rPr>
              <w:t>次扣</w:t>
            </w:r>
            <w:r>
              <w:rPr>
                <w:rFonts w:ascii="宋体" w:hAnsi="宋体" w:eastAsia="宋体" w:cs="Times New Roman"/>
                <w:color w:val="auto"/>
                <w:szCs w:val="21"/>
              </w:rPr>
              <w:t>1</w:t>
            </w:r>
            <w:r>
              <w:rPr>
                <w:rFonts w:hint="eastAsia" w:ascii="宋体" w:hAnsi="宋体" w:eastAsia="宋体" w:cs="Times New Roman"/>
                <w:color w:val="auto"/>
                <w:szCs w:val="21"/>
              </w:rPr>
              <w:t>分）、文明用语（发现</w:t>
            </w:r>
            <w:r>
              <w:rPr>
                <w:rFonts w:ascii="宋体" w:hAnsi="宋体" w:eastAsia="宋体" w:cs="Times New Roman"/>
                <w:color w:val="auto"/>
                <w:szCs w:val="21"/>
              </w:rPr>
              <w:t>1</w:t>
            </w:r>
            <w:r>
              <w:rPr>
                <w:rFonts w:hint="eastAsia" w:ascii="宋体" w:hAnsi="宋体" w:eastAsia="宋体" w:cs="Times New Roman"/>
                <w:color w:val="auto"/>
                <w:szCs w:val="21"/>
              </w:rPr>
              <w:t>扣</w:t>
            </w:r>
            <w:r>
              <w:rPr>
                <w:rFonts w:ascii="宋体" w:hAnsi="宋体" w:eastAsia="宋体" w:cs="Times New Roman"/>
                <w:color w:val="auto"/>
                <w:szCs w:val="21"/>
              </w:rPr>
              <w:t>1</w:t>
            </w:r>
            <w:r>
              <w:rPr>
                <w:rFonts w:hint="eastAsia" w:ascii="宋体" w:hAnsi="宋体" w:eastAsia="宋体" w:cs="Times New Roman"/>
                <w:color w:val="auto"/>
                <w:szCs w:val="21"/>
              </w:rPr>
              <w:t>分）、不拉帮结派（发现</w:t>
            </w:r>
            <w:r>
              <w:rPr>
                <w:rFonts w:ascii="宋体" w:hAnsi="宋体" w:eastAsia="宋体" w:cs="Times New Roman"/>
                <w:color w:val="auto"/>
                <w:szCs w:val="21"/>
              </w:rPr>
              <w:t>1</w:t>
            </w:r>
            <w:r>
              <w:rPr>
                <w:rFonts w:hint="eastAsia" w:ascii="宋体" w:hAnsi="宋体" w:eastAsia="宋体" w:cs="Times New Roman"/>
                <w:color w:val="auto"/>
                <w:szCs w:val="21"/>
              </w:rPr>
              <w:t>次分）、工作时段不做与工作无关的事情（</w:t>
            </w:r>
            <w:r>
              <w:rPr>
                <w:rFonts w:ascii="宋体" w:hAnsi="宋体" w:eastAsia="宋体" w:cs="Times New Roman"/>
                <w:color w:val="auto"/>
                <w:szCs w:val="21"/>
              </w:rPr>
              <w:t>1</w:t>
            </w:r>
            <w:r>
              <w:rPr>
                <w:rFonts w:hint="eastAsia" w:ascii="宋体" w:hAnsi="宋体" w:eastAsia="宋体" w:cs="Times New Roman"/>
                <w:color w:val="auto"/>
                <w:szCs w:val="21"/>
              </w:rPr>
              <w:t>分）。</w:t>
            </w:r>
          </w:p>
        </w:tc>
        <w:tc>
          <w:tcPr>
            <w:tcW w:w="482" w:type="dxa"/>
            <w:tcBorders>
              <w:top w:val="single" w:color="auto" w:sz="6" w:space="0"/>
              <w:left w:val="single" w:color="auto" w:sz="6" w:space="0"/>
              <w:bottom w:val="single" w:color="auto" w:sz="6" w:space="0"/>
              <w:right w:val="single" w:color="auto" w:sz="6" w:space="0"/>
            </w:tcBorders>
            <w:noWrap w:val="0"/>
            <w:vAlign w:val="center"/>
          </w:tcPr>
          <w:p w14:paraId="4C234EAE">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5</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2CF5653D">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231C69C4">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2CE756B9">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48D9AC9B">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5</w:t>
            </w:r>
          </w:p>
        </w:tc>
        <w:tc>
          <w:tcPr>
            <w:tcW w:w="4486" w:type="dxa"/>
            <w:tcBorders>
              <w:top w:val="single" w:color="auto" w:sz="6" w:space="0"/>
              <w:left w:val="single" w:color="auto" w:sz="6" w:space="0"/>
              <w:bottom w:val="single" w:color="auto" w:sz="6" w:space="0"/>
              <w:right w:val="single" w:color="auto" w:sz="6" w:space="0"/>
            </w:tcBorders>
            <w:noWrap w:val="0"/>
            <w:vAlign w:val="center"/>
          </w:tcPr>
          <w:p w14:paraId="398E3AA6">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公物维修是指除水电维修以外的其他校园维修工作，包含校园道路、标示标牌、学生课桌、办公家具、床、门窗、墙壁、各类锁、各类柜、建筑物等，发现问题，要及时组织进行修复，不能修复的，要及时反馈给主管部门。</w:t>
            </w:r>
          </w:p>
        </w:tc>
        <w:tc>
          <w:tcPr>
            <w:tcW w:w="3180" w:type="dxa"/>
            <w:tcBorders>
              <w:top w:val="single" w:color="auto" w:sz="6" w:space="0"/>
              <w:left w:val="single" w:color="auto" w:sz="6" w:space="0"/>
              <w:bottom w:val="single" w:color="auto" w:sz="6" w:space="0"/>
              <w:right w:val="single" w:color="auto" w:sz="6" w:space="0"/>
            </w:tcBorders>
            <w:noWrap w:val="0"/>
            <w:vAlign w:val="center"/>
          </w:tcPr>
          <w:p w14:paraId="7942D4AF">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及时维修。同一问题，三天内未处理或未报告的，每次扣</w:t>
            </w:r>
            <w:r>
              <w:rPr>
                <w:rFonts w:ascii="宋体" w:hAnsi="宋体" w:eastAsia="宋体" w:cs="Times New Roman"/>
                <w:color w:val="auto"/>
                <w:szCs w:val="21"/>
              </w:rPr>
              <w:t>5</w:t>
            </w:r>
            <w:r>
              <w:rPr>
                <w:rFonts w:hint="eastAsia" w:ascii="宋体" w:hAnsi="宋体" w:eastAsia="宋体" w:cs="Times New Roman"/>
                <w:color w:val="auto"/>
                <w:szCs w:val="21"/>
              </w:rPr>
              <w:t>分。</w:t>
            </w:r>
          </w:p>
        </w:tc>
        <w:tc>
          <w:tcPr>
            <w:tcW w:w="482" w:type="dxa"/>
            <w:tcBorders>
              <w:top w:val="single" w:color="auto" w:sz="6" w:space="0"/>
              <w:left w:val="single" w:color="auto" w:sz="6" w:space="0"/>
              <w:bottom w:val="single" w:color="auto" w:sz="6" w:space="0"/>
              <w:right w:val="single" w:color="auto" w:sz="6" w:space="0"/>
            </w:tcBorders>
            <w:noWrap w:val="0"/>
            <w:vAlign w:val="center"/>
          </w:tcPr>
          <w:p w14:paraId="1487962C">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3</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7AE2419E">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561CC41E">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6DC5864C">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22D0E3BB">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6</w:t>
            </w:r>
          </w:p>
        </w:tc>
        <w:tc>
          <w:tcPr>
            <w:tcW w:w="4486" w:type="dxa"/>
            <w:tcBorders>
              <w:top w:val="single" w:color="auto" w:sz="6" w:space="0"/>
              <w:left w:val="single" w:color="auto" w:sz="6" w:space="0"/>
              <w:bottom w:val="single" w:color="auto" w:sz="6" w:space="0"/>
              <w:right w:val="single" w:color="auto" w:sz="6" w:space="0"/>
            </w:tcBorders>
            <w:noWrap w:val="0"/>
            <w:vAlign w:val="center"/>
          </w:tcPr>
          <w:p w14:paraId="3D7F1E0D">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领导视察或其他大型活动期间，要科学合理制定公物维修计划，事前制定应急方案，防止门锁打不开或公共设施出现故障。</w:t>
            </w:r>
          </w:p>
        </w:tc>
        <w:tc>
          <w:tcPr>
            <w:tcW w:w="3180" w:type="dxa"/>
            <w:tcBorders>
              <w:top w:val="single" w:color="auto" w:sz="6" w:space="0"/>
              <w:left w:val="single" w:color="auto" w:sz="6" w:space="0"/>
              <w:bottom w:val="single" w:color="auto" w:sz="6" w:space="0"/>
              <w:right w:val="single" w:color="auto" w:sz="6" w:space="0"/>
            </w:tcBorders>
            <w:noWrap w:val="0"/>
            <w:vAlign w:val="center"/>
          </w:tcPr>
          <w:p w14:paraId="4FE8358D">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工作无失误（每出现</w:t>
            </w:r>
            <w:r>
              <w:rPr>
                <w:rFonts w:ascii="宋体" w:hAnsi="宋体" w:eastAsia="宋体" w:cs="Times New Roman"/>
                <w:color w:val="auto"/>
                <w:szCs w:val="21"/>
              </w:rPr>
              <w:t>1</w:t>
            </w:r>
            <w:r>
              <w:rPr>
                <w:rFonts w:hint="eastAsia" w:ascii="宋体" w:hAnsi="宋体" w:eastAsia="宋体" w:cs="Times New Roman"/>
                <w:color w:val="auto"/>
                <w:szCs w:val="21"/>
              </w:rPr>
              <w:t>次扣</w:t>
            </w:r>
            <w:r>
              <w:rPr>
                <w:rFonts w:ascii="宋体" w:hAnsi="宋体" w:eastAsia="宋体" w:cs="Times New Roman"/>
                <w:color w:val="auto"/>
                <w:szCs w:val="21"/>
              </w:rPr>
              <w:t>5</w:t>
            </w:r>
            <w:r>
              <w:rPr>
                <w:rFonts w:hint="eastAsia" w:ascii="宋体" w:hAnsi="宋体" w:eastAsia="宋体" w:cs="Times New Roman"/>
                <w:color w:val="auto"/>
                <w:szCs w:val="21"/>
              </w:rPr>
              <w:t>分）。</w:t>
            </w:r>
          </w:p>
        </w:tc>
        <w:tc>
          <w:tcPr>
            <w:tcW w:w="482" w:type="dxa"/>
            <w:tcBorders>
              <w:top w:val="single" w:color="auto" w:sz="6" w:space="0"/>
              <w:left w:val="single" w:color="auto" w:sz="6" w:space="0"/>
              <w:bottom w:val="single" w:color="auto" w:sz="6" w:space="0"/>
              <w:right w:val="single" w:color="auto" w:sz="6" w:space="0"/>
            </w:tcBorders>
            <w:noWrap w:val="0"/>
            <w:vAlign w:val="center"/>
          </w:tcPr>
          <w:p w14:paraId="74009404">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5</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207BC998">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4730FA65">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15EED2B3">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000000" w:sz="2" w:space="0"/>
              <w:right w:val="single" w:color="auto" w:sz="6" w:space="0"/>
            </w:tcBorders>
            <w:noWrap w:val="0"/>
            <w:vAlign w:val="center"/>
          </w:tcPr>
          <w:p w14:paraId="3C64AC62">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7</w:t>
            </w:r>
          </w:p>
        </w:tc>
        <w:tc>
          <w:tcPr>
            <w:tcW w:w="4486" w:type="dxa"/>
            <w:tcBorders>
              <w:top w:val="single" w:color="auto" w:sz="6" w:space="0"/>
              <w:left w:val="single" w:color="auto" w:sz="6" w:space="0"/>
              <w:bottom w:val="single" w:color="auto" w:sz="6" w:space="0"/>
              <w:right w:val="single" w:color="auto" w:sz="6" w:space="0"/>
            </w:tcBorders>
            <w:noWrap w:val="0"/>
            <w:vAlign w:val="center"/>
          </w:tcPr>
          <w:p w14:paraId="11DCE42E">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每天对教学楼、实训楼、办公楼、学生公寓楼、校园公共场所、道路等巡检，发现故障及时排除，人为损坏，负责追责并落实赔偿，赔偿价值按原价</w:t>
            </w:r>
            <w:r>
              <w:rPr>
                <w:rFonts w:ascii="宋体" w:hAnsi="宋体" w:eastAsia="宋体" w:cs="Times New Roman"/>
                <w:color w:val="auto"/>
                <w:szCs w:val="21"/>
              </w:rPr>
              <w:t>+</w:t>
            </w:r>
            <w:r>
              <w:rPr>
                <w:rFonts w:hint="eastAsia" w:ascii="宋体" w:hAnsi="宋体" w:eastAsia="宋体" w:cs="Times New Roman"/>
                <w:color w:val="auto"/>
                <w:szCs w:val="21"/>
              </w:rPr>
              <w:t>工时费进行处理，赔偿金额交管理部门。</w:t>
            </w:r>
          </w:p>
        </w:tc>
        <w:tc>
          <w:tcPr>
            <w:tcW w:w="3180" w:type="dxa"/>
            <w:tcBorders>
              <w:top w:val="single" w:color="auto" w:sz="6" w:space="0"/>
              <w:left w:val="single" w:color="auto" w:sz="6" w:space="0"/>
              <w:bottom w:val="single" w:color="auto" w:sz="6" w:space="0"/>
              <w:right w:val="single" w:color="auto" w:sz="6" w:space="0"/>
            </w:tcBorders>
            <w:noWrap w:val="0"/>
            <w:vAlign w:val="center"/>
          </w:tcPr>
          <w:p w14:paraId="166FBA81">
            <w:pPr>
              <w:snapToGrid w:val="0"/>
              <w:spacing w:line="240" w:lineRule="auto"/>
              <w:ind w:left="0" w:leftChars="0" w:right="0" w:rightChars="0" w:firstLine="0" w:firstLineChars="0"/>
              <w:jc w:val="left"/>
              <w:rPr>
                <w:rFonts w:ascii="宋体" w:hAnsi="宋体" w:eastAsia="宋体" w:cs="Times New Roman"/>
                <w:color w:val="auto"/>
                <w:szCs w:val="21"/>
              </w:rPr>
            </w:pPr>
            <w:r>
              <w:rPr>
                <w:rFonts w:ascii="宋体" w:hAnsi="宋体" w:eastAsia="宋体" w:cs="Times New Roman"/>
                <w:color w:val="auto"/>
                <w:szCs w:val="21"/>
              </w:rPr>
              <w:t>1.</w:t>
            </w:r>
            <w:r>
              <w:rPr>
                <w:rFonts w:hint="eastAsia" w:ascii="宋体" w:hAnsi="宋体" w:eastAsia="宋体" w:cs="Times New Roman"/>
                <w:color w:val="auto"/>
                <w:szCs w:val="21"/>
              </w:rPr>
              <w:t>抽查时发现问题，扣</w:t>
            </w:r>
            <w:r>
              <w:rPr>
                <w:rFonts w:ascii="宋体" w:hAnsi="宋体" w:eastAsia="宋体" w:cs="Times New Roman"/>
                <w:color w:val="auto"/>
                <w:szCs w:val="21"/>
              </w:rPr>
              <w:t>2</w:t>
            </w:r>
            <w:r>
              <w:rPr>
                <w:rFonts w:hint="eastAsia" w:ascii="宋体" w:hAnsi="宋体" w:eastAsia="宋体" w:cs="Times New Roman"/>
                <w:color w:val="auto"/>
                <w:szCs w:val="21"/>
              </w:rPr>
              <w:t>分；每举报</w:t>
            </w:r>
            <w:r>
              <w:rPr>
                <w:rFonts w:ascii="宋体" w:hAnsi="宋体" w:eastAsia="宋体" w:cs="Times New Roman"/>
                <w:color w:val="auto"/>
                <w:szCs w:val="21"/>
              </w:rPr>
              <w:t>1</w:t>
            </w:r>
            <w:r>
              <w:rPr>
                <w:rFonts w:hint="eastAsia" w:ascii="宋体" w:hAnsi="宋体" w:eastAsia="宋体" w:cs="Times New Roman"/>
                <w:color w:val="auto"/>
                <w:szCs w:val="21"/>
              </w:rPr>
              <w:t>次扣</w:t>
            </w:r>
            <w:r>
              <w:rPr>
                <w:rFonts w:ascii="宋体" w:hAnsi="宋体" w:eastAsia="宋体" w:cs="Times New Roman"/>
                <w:color w:val="auto"/>
                <w:szCs w:val="21"/>
              </w:rPr>
              <w:t>2</w:t>
            </w:r>
            <w:r>
              <w:rPr>
                <w:rFonts w:hint="eastAsia" w:ascii="宋体" w:hAnsi="宋体" w:eastAsia="宋体" w:cs="Times New Roman"/>
                <w:color w:val="auto"/>
                <w:szCs w:val="21"/>
              </w:rPr>
              <w:t>分；</w:t>
            </w:r>
            <w:r>
              <w:rPr>
                <w:rFonts w:ascii="宋体" w:hAnsi="宋体" w:eastAsia="宋体" w:cs="Times New Roman"/>
                <w:color w:val="auto"/>
                <w:szCs w:val="21"/>
              </w:rPr>
              <w:t>2.</w:t>
            </w:r>
            <w:r>
              <w:rPr>
                <w:rFonts w:hint="eastAsia" w:ascii="宋体" w:hAnsi="宋体" w:eastAsia="宋体" w:cs="Times New Roman"/>
                <w:color w:val="auto"/>
                <w:szCs w:val="21"/>
              </w:rPr>
              <w:t>无乱收费或不收费现象，发现</w:t>
            </w:r>
            <w:r>
              <w:rPr>
                <w:rFonts w:ascii="宋体" w:hAnsi="宋体" w:eastAsia="宋体" w:cs="Times New Roman"/>
                <w:color w:val="auto"/>
                <w:szCs w:val="21"/>
              </w:rPr>
              <w:t>1</w:t>
            </w:r>
            <w:r>
              <w:rPr>
                <w:rFonts w:hint="eastAsia" w:ascii="宋体" w:hAnsi="宋体" w:eastAsia="宋体" w:cs="Times New Roman"/>
                <w:color w:val="auto"/>
                <w:szCs w:val="21"/>
              </w:rPr>
              <w:t>次扣</w:t>
            </w:r>
            <w:r>
              <w:rPr>
                <w:rFonts w:ascii="宋体" w:hAnsi="宋体" w:eastAsia="宋体" w:cs="Times New Roman"/>
                <w:color w:val="auto"/>
                <w:szCs w:val="21"/>
              </w:rPr>
              <w:t>5</w:t>
            </w:r>
            <w:r>
              <w:rPr>
                <w:rFonts w:hint="eastAsia" w:ascii="宋体" w:hAnsi="宋体" w:eastAsia="宋体" w:cs="Times New Roman"/>
                <w:color w:val="auto"/>
                <w:szCs w:val="21"/>
              </w:rPr>
              <w:t>分。</w:t>
            </w:r>
          </w:p>
        </w:tc>
        <w:tc>
          <w:tcPr>
            <w:tcW w:w="482" w:type="dxa"/>
            <w:tcBorders>
              <w:top w:val="single" w:color="auto" w:sz="6" w:space="0"/>
              <w:left w:val="single" w:color="auto" w:sz="6" w:space="0"/>
              <w:bottom w:val="single" w:color="auto" w:sz="6" w:space="0"/>
              <w:right w:val="single" w:color="auto" w:sz="6" w:space="0"/>
            </w:tcBorders>
            <w:noWrap w:val="0"/>
            <w:vAlign w:val="center"/>
          </w:tcPr>
          <w:p w14:paraId="0AA2864C">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0299042C">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3B16073D">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16FC6B3">
        <w:tblPrEx>
          <w:tblCellMar>
            <w:top w:w="0" w:type="dxa"/>
            <w:left w:w="30" w:type="dxa"/>
            <w:bottom w:w="0" w:type="dxa"/>
            <w:right w:w="30" w:type="dxa"/>
          </w:tblCellMar>
        </w:tblPrEx>
        <w:trPr>
          <w:trHeight w:val="0" w:hRule="atLeast"/>
          <w:jc w:val="center"/>
        </w:trPr>
        <w:tc>
          <w:tcPr>
            <w:tcW w:w="720" w:type="dxa"/>
            <w:tcBorders>
              <w:top w:val="single" w:color="000000" w:sz="2" w:space="0"/>
              <w:left w:val="single" w:color="auto" w:sz="6" w:space="0"/>
              <w:bottom w:val="single" w:color="000000" w:sz="2" w:space="0"/>
              <w:right w:val="single" w:color="auto" w:sz="6" w:space="0"/>
            </w:tcBorders>
            <w:noWrap w:val="0"/>
            <w:vAlign w:val="center"/>
          </w:tcPr>
          <w:p w14:paraId="70061368">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8</w:t>
            </w:r>
          </w:p>
        </w:tc>
        <w:tc>
          <w:tcPr>
            <w:tcW w:w="4486" w:type="dxa"/>
            <w:tcBorders>
              <w:top w:val="single" w:color="auto" w:sz="6" w:space="0"/>
              <w:left w:val="single" w:color="auto" w:sz="6" w:space="0"/>
              <w:bottom w:val="single" w:color="auto" w:sz="6" w:space="0"/>
              <w:right w:val="single" w:color="auto" w:sz="6" w:space="0"/>
            </w:tcBorders>
            <w:noWrap w:val="0"/>
            <w:vAlign w:val="center"/>
          </w:tcPr>
          <w:p w14:paraId="0C53645B">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及时完成校园公物维修，对人为损坏的，要追究当事人责任，并收取维修费（按市场价计），费用于次月</w:t>
            </w:r>
            <w:r>
              <w:rPr>
                <w:rFonts w:ascii="宋体" w:hAnsi="宋体" w:eastAsia="宋体" w:cs="Times New Roman"/>
                <w:color w:val="auto"/>
                <w:szCs w:val="21"/>
              </w:rPr>
              <w:t>5</w:t>
            </w:r>
            <w:r>
              <w:rPr>
                <w:rFonts w:hint="eastAsia" w:ascii="宋体" w:hAnsi="宋体" w:eastAsia="宋体" w:cs="Times New Roman"/>
                <w:color w:val="auto"/>
                <w:szCs w:val="21"/>
              </w:rPr>
              <w:t>日前交学院主管部门，按所收费用的</w:t>
            </w:r>
            <w:r>
              <w:rPr>
                <w:rFonts w:ascii="宋体" w:hAnsi="宋体" w:eastAsia="宋体" w:cs="Times New Roman"/>
                <w:color w:val="auto"/>
                <w:szCs w:val="21"/>
              </w:rPr>
              <w:t>50%</w:t>
            </w:r>
            <w:r>
              <w:rPr>
                <w:rFonts w:hint="eastAsia" w:ascii="宋体" w:hAnsi="宋体" w:eastAsia="宋体" w:cs="Times New Roman"/>
                <w:color w:val="auto"/>
                <w:szCs w:val="21"/>
              </w:rPr>
              <w:t>返还物业服务公司。</w:t>
            </w:r>
          </w:p>
        </w:tc>
        <w:tc>
          <w:tcPr>
            <w:tcW w:w="3180" w:type="dxa"/>
            <w:tcBorders>
              <w:top w:val="single" w:color="auto" w:sz="6" w:space="0"/>
              <w:left w:val="single" w:color="auto" w:sz="6" w:space="0"/>
              <w:bottom w:val="single" w:color="auto" w:sz="6" w:space="0"/>
              <w:right w:val="single" w:color="auto" w:sz="6" w:space="0"/>
            </w:tcBorders>
            <w:noWrap w:val="0"/>
            <w:vAlign w:val="center"/>
          </w:tcPr>
          <w:p w14:paraId="48B422A6">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按要求及时完成，如发现堵塞未及时到场开展疏通超过</w:t>
            </w:r>
            <w:r>
              <w:rPr>
                <w:rFonts w:ascii="宋体" w:hAnsi="宋体" w:eastAsia="宋体" w:cs="Times New Roman"/>
                <w:color w:val="auto"/>
                <w:szCs w:val="21"/>
              </w:rPr>
              <w:t>20</w:t>
            </w:r>
            <w:r>
              <w:rPr>
                <w:rFonts w:hint="eastAsia" w:ascii="宋体" w:hAnsi="宋体" w:eastAsia="宋体" w:cs="Times New Roman"/>
                <w:color w:val="auto"/>
                <w:szCs w:val="21"/>
              </w:rPr>
              <w:t>分种的，每次扣</w:t>
            </w:r>
            <w:r>
              <w:rPr>
                <w:rFonts w:ascii="宋体" w:hAnsi="宋体" w:eastAsia="宋体" w:cs="Times New Roman"/>
                <w:color w:val="auto"/>
                <w:szCs w:val="21"/>
              </w:rPr>
              <w:t>5</w:t>
            </w:r>
            <w:r>
              <w:rPr>
                <w:rFonts w:hint="eastAsia" w:ascii="宋体" w:hAnsi="宋体" w:eastAsia="宋体" w:cs="Times New Roman"/>
                <w:color w:val="auto"/>
                <w:szCs w:val="21"/>
              </w:rPr>
              <w:t>分，私自收费未上交的，每次扣</w:t>
            </w:r>
            <w:r>
              <w:rPr>
                <w:rFonts w:ascii="宋体" w:hAnsi="宋体" w:eastAsia="宋体" w:cs="Times New Roman"/>
                <w:color w:val="auto"/>
                <w:szCs w:val="21"/>
              </w:rPr>
              <w:t>5</w:t>
            </w:r>
            <w:r>
              <w:rPr>
                <w:rFonts w:hint="eastAsia" w:ascii="宋体" w:hAnsi="宋体" w:eastAsia="宋体" w:cs="Times New Roman"/>
                <w:color w:val="auto"/>
                <w:szCs w:val="21"/>
              </w:rPr>
              <w:t>分。</w:t>
            </w:r>
          </w:p>
        </w:tc>
        <w:tc>
          <w:tcPr>
            <w:tcW w:w="482" w:type="dxa"/>
            <w:tcBorders>
              <w:top w:val="single" w:color="auto" w:sz="6" w:space="0"/>
              <w:left w:val="single" w:color="auto" w:sz="6" w:space="0"/>
              <w:bottom w:val="single" w:color="auto" w:sz="6" w:space="0"/>
              <w:right w:val="single" w:color="auto" w:sz="6" w:space="0"/>
            </w:tcBorders>
            <w:noWrap w:val="0"/>
            <w:vAlign w:val="center"/>
          </w:tcPr>
          <w:p w14:paraId="1428C91C">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792074F7">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6BE7CC47">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546740A9">
        <w:tblPrEx>
          <w:tblCellMar>
            <w:top w:w="0" w:type="dxa"/>
            <w:left w:w="30" w:type="dxa"/>
            <w:bottom w:w="0" w:type="dxa"/>
            <w:right w:w="30" w:type="dxa"/>
          </w:tblCellMar>
        </w:tblPrEx>
        <w:trPr>
          <w:trHeight w:val="0" w:hRule="atLeast"/>
          <w:jc w:val="center"/>
        </w:trPr>
        <w:tc>
          <w:tcPr>
            <w:tcW w:w="720" w:type="dxa"/>
            <w:tcBorders>
              <w:top w:val="single" w:color="000000" w:sz="2" w:space="0"/>
              <w:left w:val="single" w:color="auto" w:sz="6" w:space="0"/>
              <w:bottom w:val="single" w:color="auto" w:sz="6" w:space="0"/>
              <w:right w:val="single" w:color="auto" w:sz="6" w:space="0"/>
            </w:tcBorders>
            <w:noWrap w:val="0"/>
            <w:vAlign w:val="center"/>
          </w:tcPr>
          <w:p w14:paraId="5C4754A7">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9</w:t>
            </w:r>
          </w:p>
        </w:tc>
        <w:tc>
          <w:tcPr>
            <w:tcW w:w="4486" w:type="dxa"/>
            <w:tcBorders>
              <w:top w:val="single" w:color="auto" w:sz="6" w:space="0"/>
              <w:left w:val="single" w:color="auto" w:sz="6" w:space="0"/>
              <w:bottom w:val="single" w:color="auto" w:sz="6" w:space="0"/>
              <w:right w:val="single" w:color="auto" w:sz="6" w:space="0"/>
            </w:tcBorders>
            <w:noWrap w:val="0"/>
            <w:vAlign w:val="center"/>
          </w:tcPr>
          <w:p w14:paraId="001F2E33">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建立健全公共设施台账，每周检查核对学生宿舍内桌椅、床、窗帘、教室内课桌椅、室外公共设施等数量，与账目不相符的，要及时追查，落实责任。有损坏的，要组织及时修复。</w:t>
            </w:r>
          </w:p>
        </w:tc>
        <w:tc>
          <w:tcPr>
            <w:tcW w:w="3180" w:type="dxa"/>
            <w:tcBorders>
              <w:top w:val="single" w:color="auto" w:sz="6" w:space="0"/>
              <w:left w:val="single" w:color="auto" w:sz="6" w:space="0"/>
              <w:bottom w:val="single" w:color="auto" w:sz="6" w:space="0"/>
              <w:right w:val="single" w:color="auto" w:sz="6" w:space="0"/>
            </w:tcBorders>
            <w:noWrap w:val="0"/>
            <w:vAlign w:val="center"/>
          </w:tcPr>
          <w:p w14:paraId="6841382A">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台账齐全（</w:t>
            </w:r>
            <w:r>
              <w:rPr>
                <w:rFonts w:ascii="宋体" w:hAnsi="宋体" w:eastAsia="宋体" w:cs="Times New Roman"/>
                <w:color w:val="auto"/>
                <w:szCs w:val="21"/>
              </w:rPr>
              <w:t>2</w:t>
            </w:r>
            <w:r>
              <w:rPr>
                <w:rFonts w:hint="eastAsia" w:ascii="宋体" w:hAnsi="宋体" w:eastAsia="宋体" w:cs="Times New Roman"/>
                <w:color w:val="auto"/>
                <w:szCs w:val="21"/>
              </w:rPr>
              <w:t>分）；按时检查核对（</w:t>
            </w:r>
            <w:r>
              <w:rPr>
                <w:rFonts w:ascii="宋体" w:hAnsi="宋体" w:eastAsia="宋体" w:cs="Times New Roman"/>
                <w:color w:val="auto"/>
                <w:szCs w:val="21"/>
              </w:rPr>
              <w:t>1</w:t>
            </w:r>
            <w:r>
              <w:rPr>
                <w:rFonts w:hint="eastAsia" w:ascii="宋体" w:hAnsi="宋体" w:eastAsia="宋体" w:cs="Times New Roman"/>
                <w:color w:val="auto"/>
                <w:szCs w:val="21"/>
              </w:rPr>
              <w:t>分）；无遗失现象；对损坏公物及时修复（</w:t>
            </w:r>
            <w:r>
              <w:rPr>
                <w:rFonts w:ascii="宋体" w:hAnsi="宋体" w:eastAsia="宋体" w:cs="Times New Roman"/>
                <w:color w:val="auto"/>
                <w:szCs w:val="21"/>
              </w:rPr>
              <w:t>1</w:t>
            </w:r>
            <w:r>
              <w:rPr>
                <w:rFonts w:hint="eastAsia" w:ascii="宋体" w:hAnsi="宋体" w:eastAsia="宋体" w:cs="Times New Roman"/>
                <w:color w:val="auto"/>
                <w:szCs w:val="21"/>
              </w:rPr>
              <w:t>分）。</w:t>
            </w:r>
          </w:p>
        </w:tc>
        <w:tc>
          <w:tcPr>
            <w:tcW w:w="482" w:type="dxa"/>
            <w:tcBorders>
              <w:top w:val="single" w:color="auto" w:sz="6" w:space="0"/>
              <w:left w:val="single" w:color="auto" w:sz="6" w:space="0"/>
              <w:bottom w:val="single" w:color="auto" w:sz="6" w:space="0"/>
              <w:right w:val="single" w:color="auto" w:sz="6" w:space="0"/>
            </w:tcBorders>
            <w:noWrap w:val="0"/>
            <w:vAlign w:val="center"/>
          </w:tcPr>
          <w:p w14:paraId="378B2331">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5</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61118545">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56FF4EE7">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3DB8CAED">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000000" w:sz="2" w:space="0"/>
              <w:right w:val="single" w:color="auto" w:sz="6" w:space="0"/>
            </w:tcBorders>
            <w:noWrap w:val="0"/>
            <w:vAlign w:val="center"/>
          </w:tcPr>
          <w:p w14:paraId="07A218C4">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10</w:t>
            </w:r>
          </w:p>
        </w:tc>
        <w:tc>
          <w:tcPr>
            <w:tcW w:w="4486" w:type="dxa"/>
            <w:tcBorders>
              <w:top w:val="single" w:color="auto" w:sz="6" w:space="0"/>
              <w:left w:val="single" w:color="auto" w:sz="6" w:space="0"/>
              <w:bottom w:val="single" w:color="auto" w:sz="6" w:space="0"/>
              <w:right w:val="single" w:color="auto" w:sz="6" w:space="0"/>
            </w:tcBorders>
            <w:noWrap w:val="0"/>
            <w:vAlign w:val="center"/>
          </w:tcPr>
          <w:p w14:paraId="3A201B58">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bCs/>
                <w:color w:val="auto"/>
                <w:szCs w:val="21"/>
              </w:rPr>
              <w:t>每学期末，</w:t>
            </w:r>
            <w:r>
              <w:rPr>
                <w:rFonts w:hint="eastAsia" w:ascii="宋体" w:hAnsi="宋体" w:eastAsia="宋体" w:cs="Times New Roman"/>
                <w:color w:val="auto"/>
                <w:szCs w:val="21"/>
              </w:rPr>
              <w:t>组织检查全院公物，对公物数量、损坏情况进行全面统计，复核账目，防止资产流失，修复损坏公物，确保资产完好率达</w:t>
            </w:r>
            <w:r>
              <w:rPr>
                <w:rFonts w:ascii="宋体" w:hAnsi="宋体" w:eastAsia="宋体" w:cs="Times New Roman"/>
                <w:color w:val="auto"/>
                <w:szCs w:val="21"/>
              </w:rPr>
              <w:t>98%</w:t>
            </w:r>
            <w:r>
              <w:rPr>
                <w:rFonts w:hint="eastAsia" w:ascii="宋体" w:hAnsi="宋体" w:eastAsia="宋体" w:cs="Times New Roman"/>
                <w:color w:val="auto"/>
                <w:szCs w:val="21"/>
              </w:rPr>
              <w:t>以上。分类统计损坏公物情况，细化到部门、班级、房间，并落实损坏公物责任，将报表交学院管理部门，按要求组织全面修复。</w:t>
            </w:r>
          </w:p>
        </w:tc>
        <w:tc>
          <w:tcPr>
            <w:tcW w:w="3180" w:type="dxa"/>
            <w:tcBorders>
              <w:top w:val="single" w:color="auto" w:sz="6" w:space="0"/>
              <w:left w:val="single" w:color="auto" w:sz="6" w:space="0"/>
              <w:bottom w:val="single" w:color="auto" w:sz="6" w:space="0"/>
              <w:right w:val="single" w:color="auto" w:sz="6" w:space="0"/>
            </w:tcBorders>
            <w:noWrap w:val="0"/>
            <w:vAlign w:val="center"/>
          </w:tcPr>
          <w:p w14:paraId="6C657C09">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台账齐全（</w:t>
            </w:r>
            <w:r>
              <w:rPr>
                <w:rFonts w:ascii="宋体" w:hAnsi="宋体" w:eastAsia="宋体" w:cs="Times New Roman"/>
                <w:color w:val="auto"/>
                <w:szCs w:val="21"/>
              </w:rPr>
              <w:t>5</w:t>
            </w:r>
            <w:r>
              <w:rPr>
                <w:rFonts w:hint="eastAsia" w:ascii="宋体" w:hAnsi="宋体" w:eastAsia="宋体" w:cs="Times New Roman"/>
                <w:color w:val="auto"/>
                <w:szCs w:val="21"/>
              </w:rPr>
              <w:t>分）；完好率</w:t>
            </w:r>
            <w:r>
              <w:rPr>
                <w:rFonts w:ascii="宋体" w:hAnsi="宋体" w:eastAsia="宋体" w:cs="Times New Roman"/>
                <w:color w:val="auto"/>
                <w:szCs w:val="21"/>
              </w:rPr>
              <w:t>98%</w:t>
            </w:r>
            <w:r>
              <w:rPr>
                <w:rFonts w:hint="eastAsia" w:ascii="宋体" w:hAnsi="宋体" w:eastAsia="宋体" w:cs="Times New Roman"/>
                <w:color w:val="auto"/>
                <w:szCs w:val="21"/>
              </w:rPr>
              <w:t>以上，每降</w:t>
            </w:r>
            <w:r>
              <w:rPr>
                <w:rFonts w:ascii="宋体" w:hAnsi="宋体" w:eastAsia="宋体" w:cs="Times New Roman"/>
                <w:color w:val="auto"/>
                <w:szCs w:val="21"/>
              </w:rPr>
              <w:t>1%</w:t>
            </w:r>
            <w:r>
              <w:rPr>
                <w:rFonts w:hint="eastAsia" w:ascii="宋体" w:hAnsi="宋体" w:eastAsia="宋体" w:cs="Times New Roman"/>
                <w:color w:val="auto"/>
                <w:szCs w:val="21"/>
              </w:rPr>
              <w:t>，扣</w:t>
            </w:r>
            <w:r>
              <w:rPr>
                <w:rFonts w:ascii="宋体" w:hAnsi="宋体" w:eastAsia="宋体" w:cs="Times New Roman"/>
                <w:color w:val="auto"/>
                <w:szCs w:val="21"/>
              </w:rPr>
              <w:t>2</w:t>
            </w:r>
            <w:r>
              <w:rPr>
                <w:rFonts w:hint="eastAsia" w:ascii="宋体" w:hAnsi="宋体" w:eastAsia="宋体" w:cs="Times New Roman"/>
                <w:color w:val="auto"/>
                <w:szCs w:val="21"/>
              </w:rPr>
              <w:t>分，</w:t>
            </w:r>
            <w:r>
              <w:rPr>
                <w:rFonts w:ascii="宋体" w:hAnsi="宋体" w:eastAsia="宋体" w:cs="Times New Roman"/>
                <w:color w:val="auto"/>
                <w:szCs w:val="21"/>
              </w:rPr>
              <w:t>90%</w:t>
            </w:r>
            <w:r>
              <w:rPr>
                <w:rFonts w:hint="eastAsia" w:ascii="宋体" w:hAnsi="宋体" w:eastAsia="宋体" w:cs="Times New Roman"/>
                <w:color w:val="auto"/>
                <w:szCs w:val="21"/>
              </w:rPr>
              <w:t>以下扣</w:t>
            </w:r>
            <w:r>
              <w:rPr>
                <w:rFonts w:ascii="宋体" w:hAnsi="宋体" w:eastAsia="宋体" w:cs="Times New Roman"/>
                <w:color w:val="auto"/>
                <w:szCs w:val="21"/>
              </w:rPr>
              <w:t>10</w:t>
            </w:r>
            <w:r>
              <w:rPr>
                <w:rFonts w:hint="eastAsia" w:ascii="宋体" w:hAnsi="宋体" w:eastAsia="宋体" w:cs="Times New Roman"/>
                <w:color w:val="auto"/>
                <w:szCs w:val="21"/>
              </w:rPr>
              <w:t>分。</w:t>
            </w:r>
          </w:p>
        </w:tc>
        <w:tc>
          <w:tcPr>
            <w:tcW w:w="482" w:type="dxa"/>
            <w:tcBorders>
              <w:top w:val="single" w:color="auto" w:sz="6" w:space="0"/>
              <w:left w:val="single" w:color="auto" w:sz="6" w:space="0"/>
              <w:bottom w:val="single" w:color="auto" w:sz="6" w:space="0"/>
              <w:right w:val="single" w:color="auto" w:sz="6" w:space="0"/>
            </w:tcBorders>
            <w:noWrap w:val="0"/>
            <w:vAlign w:val="center"/>
          </w:tcPr>
          <w:p w14:paraId="51D2CCA0">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65B08BC1">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09E51641">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278921EB">
        <w:tblPrEx>
          <w:tblCellMar>
            <w:top w:w="0" w:type="dxa"/>
            <w:left w:w="30" w:type="dxa"/>
            <w:bottom w:w="0" w:type="dxa"/>
            <w:right w:w="30" w:type="dxa"/>
          </w:tblCellMar>
        </w:tblPrEx>
        <w:trPr>
          <w:trHeight w:val="0" w:hRule="atLeast"/>
          <w:jc w:val="center"/>
        </w:trPr>
        <w:tc>
          <w:tcPr>
            <w:tcW w:w="720" w:type="dxa"/>
            <w:tcBorders>
              <w:top w:val="single" w:color="000000" w:sz="2" w:space="0"/>
              <w:left w:val="single" w:color="auto" w:sz="6" w:space="0"/>
              <w:bottom w:val="single" w:color="000000" w:sz="2" w:space="0"/>
              <w:right w:val="single" w:color="auto" w:sz="6" w:space="0"/>
            </w:tcBorders>
            <w:noWrap w:val="0"/>
            <w:vAlign w:val="center"/>
          </w:tcPr>
          <w:p w14:paraId="4CEA91F9">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11</w:t>
            </w:r>
          </w:p>
        </w:tc>
        <w:tc>
          <w:tcPr>
            <w:tcW w:w="4486" w:type="dxa"/>
            <w:tcBorders>
              <w:top w:val="single" w:color="auto" w:sz="6" w:space="0"/>
              <w:left w:val="single" w:color="auto" w:sz="6" w:space="0"/>
              <w:bottom w:val="single" w:color="auto" w:sz="6" w:space="0"/>
              <w:right w:val="single" w:color="auto" w:sz="6" w:space="0"/>
            </w:tcBorders>
            <w:noWrap w:val="0"/>
            <w:vAlign w:val="center"/>
          </w:tcPr>
          <w:p w14:paraId="7187E789">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每学期开学前一周，全面检查公物，确保正常开学师生入住、教室、公共场所正常使用。</w:t>
            </w:r>
          </w:p>
        </w:tc>
        <w:tc>
          <w:tcPr>
            <w:tcW w:w="3180" w:type="dxa"/>
            <w:tcBorders>
              <w:top w:val="single" w:color="auto" w:sz="6" w:space="0"/>
              <w:left w:val="single" w:color="auto" w:sz="6" w:space="0"/>
              <w:bottom w:val="single" w:color="auto" w:sz="6" w:space="0"/>
              <w:right w:val="single" w:color="auto" w:sz="6" w:space="0"/>
            </w:tcBorders>
            <w:noWrap w:val="0"/>
            <w:vAlign w:val="center"/>
          </w:tcPr>
          <w:p w14:paraId="514B483C">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影响</w:t>
            </w:r>
            <w:r>
              <w:rPr>
                <w:rFonts w:ascii="宋体" w:hAnsi="宋体" w:eastAsia="宋体" w:cs="Times New Roman"/>
                <w:color w:val="auto"/>
                <w:szCs w:val="21"/>
              </w:rPr>
              <w:t>1</w:t>
            </w:r>
            <w:r>
              <w:rPr>
                <w:rFonts w:hint="eastAsia" w:ascii="宋体" w:hAnsi="宋体" w:eastAsia="宋体" w:cs="Times New Roman"/>
                <w:color w:val="auto"/>
                <w:szCs w:val="21"/>
              </w:rPr>
              <w:t>项扣</w:t>
            </w:r>
            <w:r>
              <w:rPr>
                <w:rFonts w:ascii="宋体" w:hAnsi="宋体" w:eastAsia="宋体" w:cs="Times New Roman"/>
                <w:color w:val="auto"/>
                <w:szCs w:val="21"/>
              </w:rPr>
              <w:t>5</w:t>
            </w:r>
            <w:r>
              <w:rPr>
                <w:rFonts w:hint="eastAsia" w:ascii="宋体" w:hAnsi="宋体" w:eastAsia="宋体" w:cs="Times New Roman"/>
                <w:color w:val="auto"/>
                <w:szCs w:val="21"/>
              </w:rPr>
              <w:t>分。</w:t>
            </w:r>
          </w:p>
        </w:tc>
        <w:tc>
          <w:tcPr>
            <w:tcW w:w="482" w:type="dxa"/>
            <w:tcBorders>
              <w:top w:val="single" w:color="auto" w:sz="6" w:space="0"/>
              <w:left w:val="single" w:color="auto" w:sz="6" w:space="0"/>
              <w:bottom w:val="single" w:color="auto" w:sz="6" w:space="0"/>
              <w:right w:val="single" w:color="auto" w:sz="6" w:space="0"/>
            </w:tcBorders>
            <w:noWrap w:val="0"/>
            <w:vAlign w:val="center"/>
          </w:tcPr>
          <w:p w14:paraId="32642A76">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05C5C2D3">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713E38E3">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CEF31FA">
        <w:tblPrEx>
          <w:tblCellMar>
            <w:top w:w="0" w:type="dxa"/>
            <w:left w:w="30" w:type="dxa"/>
            <w:bottom w:w="0" w:type="dxa"/>
            <w:right w:w="30" w:type="dxa"/>
          </w:tblCellMar>
        </w:tblPrEx>
        <w:trPr>
          <w:trHeight w:val="0" w:hRule="atLeast"/>
          <w:jc w:val="center"/>
        </w:trPr>
        <w:tc>
          <w:tcPr>
            <w:tcW w:w="720" w:type="dxa"/>
            <w:tcBorders>
              <w:top w:val="single" w:color="000000" w:sz="2" w:space="0"/>
              <w:left w:val="single" w:color="auto" w:sz="6" w:space="0"/>
              <w:bottom w:val="single" w:color="auto" w:sz="6" w:space="0"/>
              <w:right w:val="single" w:color="auto" w:sz="6" w:space="0"/>
            </w:tcBorders>
            <w:noWrap w:val="0"/>
            <w:vAlign w:val="center"/>
          </w:tcPr>
          <w:p w14:paraId="37F8B67C">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12</w:t>
            </w:r>
          </w:p>
        </w:tc>
        <w:tc>
          <w:tcPr>
            <w:tcW w:w="4486" w:type="dxa"/>
            <w:tcBorders>
              <w:top w:val="single" w:color="auto" w:sz="6" w:space="0"/>
              <w:left w:val="single" w:color="auto" w:sz="6" w:space="0"/>
              <w:bottom w:val="single" w:color="auto" w:sz="6" w:space="0"/>
              <w:right w:val="single" w:color="auto" w:sz="6" w:space="0"/>
            </w:tcBorders>
            <w:noWrap w:val="0"/>
            <w:vAlign w:val="center"/>
          </w:tcPr>
          <w:p w14:paraId="14637313">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接到报修后，必须</w:t>
            </w:r>
            <w:r>
              <w:rPr>
                <w:rFonts w:ascii="宋体" w:hAnsi="宋体" w:eastAsia="宋体" w:cs="Times New Roman"/>
                <w:color w:val="auto"/>
                <w:szCs w:val="21"/>
              </w:rPr>
              <w:t>5</w:t>
            </w:r>
            <w:r>
              <w:rPr>
                <w:rFonts w:hint="eastAsia" w:ascii="宋体" w:hAnsi="宋体" w:eastAsia="宋体" w:cs="Times New Roman"/>
                <w:color w:val="auto"/>
                <w:szCs w:val="21"/>
              </w:rPr>
              <w:t>分钟内到场，</w:t>
            </w:r>
            <w:r>
              <w:rPr>
                <w:rFonts w:ascii="宋体" w:hAnsi="宋体" w:eastAsia="宋体" w:cs="Times New Roman"/>
                <w:color w:val="auto"/>
                <w:szCs w:val="21"/>
              </w:rPr>
              <w:t>30</w:t>
            </w:r>
            <w:r>
              <w:rPr>
                <w:rFonts w:hint="eastAsia" w:ascii="宋体" w:hAnsi="宋体" w:eastAsia="宋体" w:cs="Times New Roman"/>
                <w:color w:val="auto"/>
                <w:szCs w:val="21"/>
              </w:rPr>
              <w:t>分钟内不能处理的，要及时报告学院主管部门，并告之客户原因。</w:t>
            </w:r>
          </w:p>
        </w:tc>
        <w:tc>
          <w:tcPr>
            <w:tcW w:w="3180" w:type="dxa"/>
            <w:tcBorders>
              <w:top w:val="single" w:color="auto" w:sz="6" w:space="0"/>
              <w:left w:val="single" w:color="auto" w:sz="6" w:space="0"/>
              <w:bottom w:val="single" w:color="auto" w:sz="6" w:space="0"/>
              <w:right w:val="single" w:color="auto" w:sz="6" w:space="0"/>
            </w:tcBorders>
            <w:noWrap w:val="0"/>
            <w:vAlign w:val="center"/>
          </w:tcPr>
          <w:p w14:paraId="7EB8193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迟到</w:t>
            </w:r>
            <w:r>
              <w:rPr>
                <w:rFonts w:ascii="宋体" w:hAnsi="宋体" w:eastAsia="宋体" w:cs="Times New Roman"/>
                <w:color w:val="auto"/>
                <w:szCs w:val="21"/>
              </w:rPr>
              <w:t>5</w:t>
            </w:r>
            <w:r>
              <w:rPr>
                <w:rFonts w:hint="eastAsia" w:ascii="宋体" w:hAnsi="宋体" w:eastAsia="宋体" w:cs="Times New Roman"/>
                <w:color w:val="auto"/>
                <w:szCs w:val="21"/>
              </w:rPr>
              <w:t>分钟扣</w:t>
            </w:r>
            <w:r>
              <w:rPr>
                <w:rFonts w:ascii="宋体" w:hAnsi="宋体" w:eastAsia="宋体" w:cs="Times New Roman"/>
                <w:color w:val="auto"/>
                <w:szCs w:val="21"/>
              </w:rPr>
              <w:t>1</w:t>
            </w:r>
            <w:r>
              <w:rPr>
                <w:rFonts w:hint="eastAsia" w:ascii="宋体" w:hAnsi="宋体" w:eastAsia="宋体" w:cs="Times New Roman"/>
                <w:color w:val="auto"/>
                <w:szCs w:val="21"/>
              </w:rPr>
              <w:t>分，迟到</w:t>
            </w:r>
            <w:r>
              <w:rPr>
                <w:rFonts w:ascii="宋体" w:hAnsi="宋体" w:eastAsia="宋体" w:cs="Times New Roman"/>
                <w:color w:val="auto"/>
                <w:szCs w:val="21"/>
              </w:rPr>
              <w:t>10</w:t>
            </w:r>
            <w:r>
              <w:rPr>
                <w:rFonts w:hint="eastAsia" w:ascii="宋体" w:hAnsi="宋体" w:eastAsia="宋体" w:cs="Times New Roman"/>
                <w:color w:val="auto"/>
                <w:szCs w:val="21"/>
              </w:rPr>
              <w:t>分钟扣</w:t>
            </w:r>
            <w:r>
              <w:rPr>
                <w:rFonts w:ascii="宋体" w:hAnsi="宋体" w:eastAsia="宋体" w:cs="Times New Roman"/>
                <w:color w:val="auto"/>
                <w:szCs w:val="21"/>
              </w:rPr>
              <w:t>5</w:t>
            </w:r>
            <w:r>
              <w:rPr>
                <w:rFonts w:hint="eastAsia" w:ascii="宋体" w:hAnsi="宋体" w:eastAsia="宋体" w:cs="Times New Roman"/>
                <w:color w:val="auto"/>
                <w:szCs w:val="21"/>
              </w:rPr>
              <w:t>分。</w:t>
            </w:r>
          </w:p>
        </w:tc>
        <w:tc>
          <w:tcPr>
            <w:tcW w:w="482" w:type="dxa"/>
            <w:tcBorders>
              <w:top w:val="single" w:color="auto" w:sz="6" w:space="0"/>
              <w:left w:val="single" w:color="auto" w:sz="6" w:space="0"/>
              <w:bottom w:val="single" w:color="auto" w:sz="6" w:space="0"/>
              <w:right w:val="single" w:color="auto" w:sz="6" w:space="0"/>
            </w:tcBorders>
            <w:noWrap w:val="0"/>
            <w:vAlign w:val="center"/>
          </w:tcPr>
          <w:p w14:paraId="385BCDBD">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247CAB3D">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3568B848">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332B6948">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000000" w:sz="2" w:space="0"/>
              <w:right w:val="single" w:color="auto" w:sz="6" w:space="0"/>
            </w:tcBorders>
            <w:noWrap w:val="0"/>
            <w:vAlign w:val="center"/>
          </w:tcPr>
          <w:p w14:paraId="23594148">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13</w:t>
            </w:r>
          </w:p>
        </w:tc>
        <w:tc>
          <w:tcPr>
            <w:tcW w:w="4486" w:type="dxa"/>
            <w:tcBorders>
              <w:top w:val="single" w:color="auto" w:sz="6" w:space="0"/>
              <w:left w:val="single" w:color="auto" w:sz="6" w:space="0"/>
              <w:bottom w:val="single" w:color="auto" w:sz="6" w:space="0"/>
              <w:right w:val="single" w:color="auto" w:sz="6" w:space="0"/>
            </w:tcBorders>
            <w:noWrap w:val="0"/>
            <w:vAlign w:val="center"/>
          </w:tcPr>
          <w:p w14:paraId="365D87F6">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安全作业：杜绝人身安全事故，爱护公共设施，避免出现设施设备损坏，工具丢失等现象。</w:t>
            </w:r>
          </w:p>
        </w:tc>
        <w:tc>
          <w:tcPr>
            <w:tcW w:w="3180" w:type="dxa"/>
            <w:tcBorders>
              <w:top w:val="single" w:color="auto" w:sz="6" w:space="0"/>
              <w:left w:val="single" w:color="auto" w:sz="6" w:space="0"/>
              <w:bottom w:val="single" w:color="auto" w:sz="6" w:space="0"/>
              <w:right w:val="single" w:color="auto" w:sz="6" w:space="0"/>
            </w:tcBorders>
            <w:noWrap w:val="0"/>
            <w:vAlign w:val="center"/>
          </w:tcPr>
          <w:p w14:paraId="76342FD2">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发生</w:t>
            </w:r>
            <w:r>
              <w:rPr>
                <w:rFonts w:ascii="宋体" w:hAnsi="宋体" w:eastAsia="宋体" w:cs="Times New Roman"/>
                <w:color w:val="auto"/>
                <w:szCs w:val="21"/>
              </w:rPr>
              <w:t>1</w:t>
            </w:r>
            <w:r>
              <w:rPr>
                <w:rFonts w:hint="eastAsia" w:ascii="宋体" w:hAnsi="宋体" w:eastAsia="宋体" w:cs="Times New Roman"/>
                <w:color w:val="auto"/>
                <w:szCs w:val="21"/>
              </w:rPr>
              <w:t>次扣</w:t>
            </w:r>
            <w:r>
              <w:rPr>
                <w:rFonts w:ascii="宋体" w:hAnsi="宋体" w:eastAsia="宋体" w:cs="Times New Roman"/>
                <w:color w:val="auto"/>
                <w:szCs w:val="21"/>
              </w:rPr>
              <w:t>10</w:t>
            </w:r>
            <w:r>
              <w:rPr>
                <w:rFonts w:hint="eastAsia" w:ascii="宋体" w:hAnsi="宋体" w:eastAsia="宋体" w:cs="Times New Roman"/>
                <w:color w:val="auto"/>
                <w:szCs w:val="21"/>
              </w:rPr>
              <w:t>分。</w:t>
            </w:r>
          </w:p>
        </w:tc>
        <w:tc>
          <w:tcPr>
            <w:tcW w:w="482" w:type="dxa"/>
            <w:tcBorders>
              <w:top w:val="single" w:color="auto" w:sz="6" w:space="0"/>
              <w:left w:val="single" w:color="auto" w:sz="6" w:space="0"/>
              <w:bottom w:val="single" w:color="auto" w:sz="6" w:space="0"/>
              <w:right w:val="single" w:color="auto" w:sz="6" w:space="0"/>
            </w:tcBorders>
            <w:noWrap w:val="0"/>
            <w:vAlign w:val="center"/>
          </w:tcPr>
          <w:p w14:paraId="704C6660">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2169C593">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74D0B7E6">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C4D3B6A">
        <w:tblPrEx>
          <w:tblCellMar>
            <w:top w:w="0" w:type="dxa"/>
            <w:left w:w="30" w:type="dxa"/>
            <w:bottom w:w="0" w:type="dxa"/>
            <w:right w:w="30" w:type="dxa"/>
          </w:tblCellMar>
        </w:tblPrEx>
        <w:trPr>
          <w:trHeight w:val="0" w:hRule="atLeast"/>
          <w:jc w:val="center"/>
        </w:trPr>
        <w:tc>
          <w:tcPr>
            <w:tcW w:w="720" w:type="dxa"/>
            <w:tcBorders>
              <w:top w:val="single" w:color="000000" w:sz="2" w:space="0"/>
              <w:left w:val="single" w:color="auto" w:sz="6" w:space="0"/>
              <w:bottom w:val="single" w:color="auto" w:sz="6" w:space="0"/>
              <w:right w:val="single" w:color="auto" w:sz="6" w:space="0"/>
            </w:tcBorders>
            <w:noWrap w:val="0"/>
            <w:vAlign w:val="center"/>
          </w:tcPr>
          <w:p w14:paraId="70CB8322">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14</w:t>
            </w:r>
          </w:p>
        </w:tc>
        <w:tc>
          <w:tcPr>
            <w:tcW w:w="4486" w:type="dxa"/>
            <w:tcBorders>
              <w:top w:val="single" w:color="auto" w:sz="6" w:space="0"/>
              <w:left w:val="single" w:color="auto" w:sz="6" w:space="0"/>
              <w:bottom w:val="single" w:color="auto" w:sz="6" w:space="0"/>
              <w:right w:val="single" w:color="auto" w:sz="6" w:space="0"/>
            </w:tcBorders>
            <w:noWrap w:val="0"/>
            <w:vAlign w:val="center"/>
          </w:tcPr>
          <w:p w14:paraId="10BBCB5F">
            <w:pPr>
              <w:snapToGrid w:val="0"/>
              <w:spacing w:line="240" w:lineRule="auto"/>
              <w:ind w:left="0" w:leftChars="0" w:right="0" w:rightChars="0" w:firstLine="0" w:firstLineChars="0"/>
              <w:jc w:val="left"/>
              <w:rPr>
                <w:rFonts w:hint="eastAsia" w:ascii="宋体" w:hAnsi="宋体" w:eastAsia="宋体" w:cs="Times New Roman"/>
                <w:color w:val="auto"/>
                <w:szCs w:val="21"/>
                <w:lang w:eastAsia="zh-CN"/>
              </w:rPr>
            </w:pPr>
            <w:r>
              <w:rPr>
                <w:rFonts w:hint="eastAsia" w:ascii="宋体" w:hAnsi="宋体" w:eastAsia="宋体" w:cs="Times New Roman"/>
                <w:color w:val="auto"/>
                <w:szCs w:val="21"/>
              </w:rPr>
              <w:t>其他临时任务：服从调配，保质保量完成</w:t>
            </w:r>
            <w:r>
              <w:rPr>
                <w:rFonts w:hint="eastAsia" w:ascii="宋体" w:hAnsi="宋体" w:eastAsia="宋体" w:cs="Times New Roman"/>
                <w:color w:val="auto"/>
                <w:szCs w:val="21"/>
                <w:lang w:eastAsia="zh-CN"/>
              </w:rPr>
              <w:t>。</w:t>
            </w:r>
          </w:p>
        </w:tc>
        <w:tc>
          <w:tcPr>
            <w:tcW w:w="3180" w:type="dxa"/>
            <w:tcBorders>
              <w:top w:val="single" w:color="auto" w:sz="6" w:space="0"/>
              <w:left w:val="single" w:color="auto" w:sz="6" w:space="0"/>
              <w:bottom w:val="single" w:color="auto" w:sz="6" w:space="0"/>
              <w:right w:val="single" w:color="auto" w:sz="6" w:space="0"/>
            </w:tcBorders>
            <w:noWrap w:val="0"/>
            <w:vAlign w:val="center"/>
          </w:tcPr>
          <w:p w14:paraId="3618D02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发生推诿扯皮</w:t>
            </w:r>
            <w:r>
              <w:rPr>
                <w:rFonts w:ascii="宋体" w:hAnsi="宋体" w:eastAsia="宋体" w:cs="Times New Roman"/>
                <w:color w:val="auto"/>
                <w:szCs w:val="21"/>
              </w:rPr>
              <w:t>1</w:t>
            </w:r>
            <w:r>
              <w:rPr>
                <w:rFonts w:hint="eastAsia" w:ascii="宋体" w:hAnsi="宋体" w:eastAsia="宋体" w:cs="Times New Roman"/>
                <w:color w:val="auto"/>
                <w:szCs w:val="21"/>
              </w:rPr>
              <w:t>次扣</w:t>
            </w:r>
            <w:r>
              <w:rPr>
                <w:rFonts w:ascii="宋体" w:hAnsi="宋体" w:eastAsia="宋体" w:cs="Times New Roman"/>
                <w:color w:val="auto"/>
                <w:szCs w:val="21"/>
              </w:rPr>
              <w:t>10</w:t>
            </w:r>
            <w:r>
              <w:rPr>
                <w:rFonts w:hint="eastAsia" w:ascii="宋体" w:hAnsi="宋体" w:eastAsia="宋体" w:cs="Times New Roman"/>
                <w:color w:val="auto"/>
                <w:szCs w:val="21"/>
              </w:rPr>
              <w:t>分。</w:t>
            </w:r>
          </w:p>
        </w:tc>
        <w:tc>
          <w:tcPr>
            <w:tcW w:w="482" w:type="dxa"/>
            <w:tcBorders>
              <w:top w:val="single" w:color="auto" w:sz="6" w:space="0"/>
              <w:left w:val="single" w:color="auto" w:sz="6" w:space="0"/>
              <w:bottom w:val="single" w:color="auto" w:sz="6" w:space="0"/>
              <w:right w:val="single" w:color="auto" w:sz="6" w:space="0"/>
            </w:tcBorders>
            <w:noWrap w:val="0"/>
            <w:vAlign w:val="center"/>
          </w:tcPr>
          <w:p w14:paraId="22745C60">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1CA37EAE">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648C3572">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57152159">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2B9A1F53">
            <w:pPr>
              <w:snapToGrid w:val="0"/>
              <w:spacing w:line="240" w:lineRule="auto"/>
              <w:ind w:left="0" w:leftChars="0" w:right="0" w:rightChars="0" w:firstLine="0" w:firstLineChars="0"/>
              <w:jc w:val="center"/>
              <w:rPr>
                <w:rFonts w:ascii="宋体" w:hAnsi="宋体" w:eastAsia="宋体" w:cs="Times New Roman"/>
                <w:b/>
                <w:color w:val="auto"/>
                <w:szCs w:val="21"/>
              </w:rPr>
            </w:pPr>
          </w:p>
        </w:tc>
        <w:tc>
          <w:tcPr>
            <w:tcW w:w="4486" w:type="dxa"/>
            <w:tcBorders>
              <w:top w:val="single" w:color="auto" w:sz="6" w:space="0"/>
              <w:left w:val="single" w:color="auto" w:sz="6" w:space="0"/>
              <w:bottom w:val="single" w:color="auto" w:sz="6" w:space="0"/>
              <w:right w:val="single" w:color="auto" w:sz="6" w:space="0"/>
            </w:tcBorders>
            <w:noWrap w:val="0"/>
            <w:vAlign w:val="center"/>
          </w:tcPr>
          <w:p w14:paraId="0FB2715D">
            <w:pPr>
              <w:snapToGrid w:val="0"/>
              <w:spacing w:line="240" w:lineRule="auto"/>
              <w:ind w:left="0" w:leftChars="0" w:right="0" w:rightChars="0" w:firstLine="0" w:firstLineChars="0"/>
              <w:jc w:val="left"/>
              <w:rPr>
                <w:rFonts w:ascii="宋体" w:hAnsi="宋体" w:eastAsia="宋体" w:cs="Times New Roman"/>
                <w:b/>
                <w:color w:val="auto"/>
                <w:szCs w:val="21"/>
              </w:rPr>
            </w:pPr>
            <w:r>
              <w:rPr>
                <w:rFonts w:hint="eastAsia" w:ascii="宋体" w:hAnsi="宋体" w:eastAsia="宋体" w:cs="Times New Roman"/>
                <w:b/>
                <w:color w:val="auto"/>
                <w:szCs w:val="21"/>
              </w:rPr>
              <w:t>合计</w:t>
            </w:r>
          </w:p>
        </w:tc>
        <w:tc>
          <w:tcPr>
            <w:tcW w:w="3180" w:type="dxa"/>
            <w:tcBorders>
              <w:top w:val="single" w:color="auto" w:sz="6" w:space="0"/>
              <w:left w:val="single" w:color="auto" w:sz="6" w:space="0"/>
              <w:bottom w:val="single" w:color="auto" w:sz="6" w:space="0"/>
              <w:right w:val="single" w:color="auto" w:sz="6" w:space="0"/>
            </w:tcBorders>
            <w:noWrap w:val="0"/>
            <w:vAlign w:val="center"/>
          </w:tcPr>
          <w:p w14:paraId="12C4506C">
            <w:pPr>
              <w:snapToGrid w:val="0"/>
              <w:spacing w:line="240" w:lineRule="auto"/>
              <w:ind w:left="0" w:leftChars="0" w:right="0" w:rightChars="0" w:firstLine="0" w:firstLineChars="0"/>
              <w:jc w:val="left"/>
              <w:rPr>
                <w:rFonts w:ascii="宋体" w:hAnsi="宋体" w:eastAsia="宋体" w:cs="Times New Roman"/>
                <w:b/>
                <w:color w:val="auto"/>
                <w:szCs w:val="21"/>
              </w:rPr>
            </w:pPr>
          </w:p>
        </w:tc>
        <w:tc>
          <w:tcPr>
            <w:tcW w:w="482" w:type="dxa"/>
            <w:tcBorders>
              <w:top w:val="single" w:color="auto" w:sz="6" w:space="0"/>
              <w:left w:val="single" w:color="auto" w:sz="6" w:space="0"/>
              <w:bottom w:val="single" w:color="auto" w:sz="6" w:space="0"/>
              <w:right w:val="single" w:color="auto" w:sz="6" w:space="0"/>
            </w:tcBorders>
            <w:noWrap w:val="0"/>
            <w:vAlign w:val="center"/>
          </w:tcPr>
          <w:p w14:paraId="29BB4EF5">
            <w:pPr>
              <w:snapToGrid w:val="0"/>
              <w:spacing w:line="240" w:lineRule="auto"/>
              <w:ind w:left="0" w:leftChars="0" w:right="0" w:rightChars="0" w:firstLine="0" w:firstLineChars="0"/>
              <w:jc w:val="right"/>
              <w:rPr>
                <w:rFonts w:ascii="宋体" w:hAnsi="宋体" w:eastAsia="宋体" w:cs="Times New Roman"/>
                <w:b/>
                <w:color w:val="auto"/>
                <w:szCs w:val="21"/>
              </w:rPr>
            </w:pPr>
            <w:r>
              <w:rPr>
                <w:rFonts w:ascii="宋体" w:hAnsi="宋体" w:eastAsia="宋体" w:cs="Times New Roman"/>
                <w:b/>
                <w:color w:val="auto"/>
                <w:szCs w:val="21"/>
              </w:rPr>
              <w:t>100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7D27A4C0">
            <w:pPr>
              <w:snapToGrid w:val="0"/>
              <w:spacing w:line="240" w:lineRule="auto"/>
              <w:ind w:left="0" w:leftChars="0" w:right="0" w:rightChars="0" w:firstLine="0" w:firstLineChars="0"/>
              <w:jc w:val="center"/>
              <w:rPr>
                <w:rFonts w:hint="default" w:ascii="宋体" w:hAnsi="宋体" w:eastAsia="宋体" w:cs="Times New Roman"/>
                <w:b/>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67147559">
            <w:pPr>
              <w:snapToGrid w:val="0"/>
              <w:spacing w:line="240" w:lineRule="auto"/>
              <w:ind w:left="0" w:leftChars="0" w:right="0" w:rightChars="0" w:firstLine="0" w:firstLineChars="0"/>
              <w:jc w:val="center"/>
              <w:rPr>
                <w:rFonts w:ascii="宋体" w:hAnsi="宋体" w:eastAsia="宋体" w:cs="Times New Roman"/>
                <w:b/>
                <w:color w:val="auto"/>
                <w:szCs w:val="21"/>
              </w:rPr>
            </w:pPr>
          </w:p>
        </w:tc>
      </w:tr>
      <w:tr w14:paraId="4205761A">
        <w:tblPrEx>
          <w:tblCellMar>
            <w:top w:w="0" w:type="dxa"/>
            <w:left w:w="30" w:type="dxa"/>
            <w:bottom w:w="0" w:type="dxa"/>
            <w:right w:w="30" w:type="dxa"/>
          </w:tblCellMar>
        </w:tblPrEx>
        <w:trPr>
          <w:trHeight w:val="0" w:hRule="atLeast"/>
          <w:jc w:val="center"/>
        </w:trPr>
        <w:tc>
          <w:tcPr>
            <w:tcW w:w="720" w:type="dxa"/>
            <w:gridSpan w:val="6"/>
            <w:tcBorders>
              <w:top w:val="single" w:color="auto" w:sz="6" w:space="0"/>
              <w:left w:val="single" w:color="auto" w:sz="6" w:space="0"/>
              <w:bottom w:val="single" w:color="auto" w:sz="6" w:space="0"/>
              <w:right w:val="single" w:color="auto" w:sz="6" w:space="0"/>
            </w:tcBorders>
            <w:noWrap w:val="0"/>
            <w:vAlign w:val="center"/>
          </w:tcPr>
          <w:p w14:paraId="4C4A035E">
            <w:pPr>
              <w:snapToGrid w:val="0"/>
              <w:spacing w:line="240" w:lineRule="auto"/>
              <w:ind w:left="0" w:leftChars="0" w:right="0" w:rightChars="0" w:firstLine="0" w:firstLineChars="0"/>
              <w:jc w:val="center"/>
              <w:rPr>
                <w:rFonts w:ascii="宋体" w:hAnsi="宋体" w:eastAsia="宋体" w:cs="Times New Roman"/>
                <w:color w:val="auto"/>
                <w:szCs w:val="21"/>
              </w:rPr>
            </w:pPr>
            <w:r>
              <w:rPr>
                <w:rFonts w:hint="eastAsia" w:ascii="宋体" w:hAnsi="宋体" w:eastAsia="宋体" w:cs="Times New Roman"/>
                <w:color w:val="auto"/>
                <w:szCs w:val="21"/>
              </w:rPr>
              <w:t>考核说明：该项目考核分共</w:t>
            </w:r>
            <w:r>
              <w:rPr>
                <w:rFonts w:ascii="宋体" w:hAnsi="宋体" w:eastAsia="宋体" w:cs="Times New Roman"/>
                <w:color w:val="auto"/>
                <w:szCs w:val="21"/>
              </w:rPr>
              <w:t>1</w:t>
            </w:r>
            <w:r>
              <w:rPr>
                <w:rFonts w:hint="eastAsia" w:ascii="宋体" w:hAnsi="宋体" w:eastAsia="宋体" w:cs="Times New Roman"/>
                <w:color w:val="auto"/>
                <w:szCs w:val="21"/>
              </w:rPr>
              <w:t>0</w:t>
            </w:r>
            <w:r>
              <w:rPr>
                <w:rFonts w:ascii="宋体" w:hAnsi="宋体" w:eastAsia="宋体" w:cs="Times New Roman"/>
                <w:color w:val="auto"/>
                <w:szCs w:val="21"/>
              </w:rPr>
              <w:t>0</w:t>
            </w:r>
            <w:r>
              <w:rPr>
                <w:rFonts w:hint="eastAsia" w:ascii="宋体" w:hAnsi="宋体" w:eastAsia="宋体" w:cs="Times New Roman"/>
                <w:color w:val="auto"/>
                <w:szCs w:val="21"/>
              </w:rPr>
              <w:t>分，由学院管理部门在每天工作时间段内随机抽查考核，若当月同一考核项目连续不达标，则扣分项不受分值限制，直到扣完100分为止。学院按实际扣除分数扣减服务费（即被扣分数</w:t>
            </w:r>
            <w:r>
              <w:rPr>
                <w:rFonts w:ascii="宋体" w:hAnsi="宋体" w:eastAsia="宋体" w:cs="Arial"/>
                <w:color w:val="auto"/>
                <w:szCs w:val="21"/>
              </w:rPr>
              <w:t>×</w:t>
            </w:r>
            <w:r>
              <w:rPr>
                <w:rFonts w:hint="eastAsia" w:ascii="宋体" w:hAnsi="宋体" w:eastAsia="宋体" w:cs="宋体"/>
                <w:color w:val="auto"/>
                <w:szCs w:val="21"/>
              </w:rPr>
              <w:t>分值）</w:t>
            </w:r>
            <w:r>
              <w:rPr>
                <w:rFonts w:hint="eastAsia" w:ascii="宋体" w:hAnsi="宋体" w:eastAsia="宋体" w:cs="Times New Roman"/>
                <w:color w:val="auto"/>
                <w:szCs w:val="21"/>
              </w:rPr>
              <w:t>。</w:t>
            </w:r>
          </w:p>
        </w:tc>
      </w:tr>
      <w:tr w14:paraId="42D8A052">
        <w:tblPrEx>
          <w:tblCellMar>
            <w:top w:w="0" w:type="dxa"/>
            <w:left w:w="30" w:type="dxa"/>
            <w:bottom w:w="0" w:type="dxa"/>
            <w:right w:w="30" w:type="dxa"/>
          </w:tblCellMar>
        </w:tblPrEx>
        <w:trPr>
          <w:trHeight w:val="0" w:hRule="atLeast"/>
          <w:jc w:val="center"/>
        </w:trPr>
        <w:tc>
          <w:tcPr>
            <w:tcW w:w="720" w:type="dxa"/>
            <w:gridSpan w:val="6"/>
            <w:tcBorders>
              <w:top w:val="single" w:color="auto" w:sz="6" w:space="0"/>
              <w:left w:val="single" w:color="auto" w:sz="6" w:space="0"/>
              <w:bottom w:val="single" w:color="auto" w:sz="6" w:space="0"/>
              <w:right w:val="single" w:color="auto" w:sz="6" w:space="0"/>
            </w:tcBorders>
            <w:noWrap w:val="0"/>
            <w:vAlign w:val="center"/>
          </w:tcPr>
          <w:p w14:paraId="60F5AAB9">
            <w:pPr>
              <w:snapToGrid w:val="0"/>
              <w:spacing w:line="240" w:lineRule="auto"/>
              <w:ind w:left="0" w:leftChars="0" w:right="0" w:rightChars="0" w:firstLine="0" w:firstLineChars="0"/>
              <w:jc w:val="center"/>
              <w:rPr>
                <w:rFonts w:hint="eastAsia" w:ascii="宋体" w:hAnsi="宋体" w:eastAsia="宋体" w:cs="Times New Roman"/>
                <w:color w:val="auto"/>
                <w:szCs w:val="21"/>
              </w:rPr>
            </w:pPr>
            <w:r>
              <w:rPr>
                <w:rFonts w:hint="eastAsia" w:ascii="宋体" w:hAnsi="宋体" w:eastAsia="宋体" w:cs="Times New Roman"/>
                <w:color w:val="auto"/>
                <w:szCs w:val="21"/>
                <w:lang w:eastAsia="zh-CN"/>
              </w:rPr>
              <w:t>考核人：</w:t>
            </w:r>
            <w:r>
              <w:rPr>
                <w:rFonts w:hint="eastAsia" w:ascii="宋体" w:hAnsi="宋体" w:eastAsia="宋体" w:cs="Times New Roman"/>
                <w:color w:val="auto"/>
                <w:szCs w:val="21"/>
                <w:lang w:val="en-US" w:eastAsia="zh-CN"/>
              </w:rPr>
              <w:t xml:space="preserve">           责任人：           制表人:</w:t>
            </w:r>
          </w:p>
        </w:tc>
      </w:tr>
    </w:tbl>
    <w:p w14:paraId="234AA5FA">
      <w:pPr>
        <w:spacing w:line="360" w:lineRule="auto"/>
        <w:jc w:val="both"/>
        <w:rPr>
          <w:rFonts w:hint="eastAsia" w:ascii="黑体" w:hAnsi="黑体" w:eastAsia="黑体" w:cs="Times New Roman"/>
          <w:b/>
          <w:bCs/>
          <w:color w:val="auto"/>
          <w:sz w:val="32"/>
          <w:szCs w:val="32"/>
        </w:rPr>
      </w:pPr>
      <w:r>
        <w:rPr>
          <w:rFonts w:hint="eastAsia" w:ascii="黑体" w:hAnsi="黑体" w:eastAsia="黑体" w:cs="黑体"/>
          <w:b/>
          <w:color w:val="auto"/>
          <w:sz w:val="32"/>
          <w:szCs w:val="32"/>
          <w:lang w:val="en-US" w:eastAsia="zh-CN"/>
        </w:rPr>
        <w:br w:type="page"/>
      </w:r>
      <w:r>
        <w:rPr>
          <w:rFonts w:hint="eastAsia" w:ascii="黑体" w:hAnsi="黑体" w:eastAsia="黑体" w:cs="黑体"/>
          <w:b/>
          <w:color w:val="auto"/>
          <w:sz w:val="32"/>
          <w:szCs w:val="32"/>
          <w:lang w:val="en-US" w:eastAsia="zh-CN"/>
        </w:rPr>
        <w:t>建筑主体检查</w:t>
      </w:r>
      <w:r>
        <w:rPr>
          <w:rFonts w:hint="eastAsia" w:ascii="黑体" w:hAnsi="黑体" w:eastAsia="黑体" w:cs="Times New Roman"/>
          <w:b/>
          <w:bCs/>
          <w:color w:val="auto"/>
          <w:sz w:val="32"/>
          <w:szCs w:val="32"/>
        </w:rPr>
        <w:t>质量考核表</w:t>
      </w:r>
    </w:p>
    <w:tbl>
      <w:tblPr>
        <w:tblStyle w:val="33"/>
        <w:tblW w:w="10305" w:type="dxa"/>
        <w:jc w:val="center"/>
        <w:tblLayout w:type="autofit"/>
        <w:tblCellMar>
          <w:top w:w="0" w:type="dxa"/>
          <w:left w:w="30" w:type="dxa"/>
          <w:bottom w:w="0" w:type="dxa"/>
          <w:right w:w="30" w:type="dxa"/>
        </w:tblCellMar>
      </w:tblPr>
      <w:tblGrid>
        <w:gridCol w:w="720"/>
        <w:gridCol w:w="3765"/>
        <w:gridCol w:w="3421"/>
        <w:gridCol w:w="1140"/>
        <w:gridCol w:w="539"/>
        <w:gridCol w:w="720"/>
      </w:tblGrid>
      <w:tr w14:paraId="4610148A">
        <w:tblPrEx>
          <w:tblCellMar>
            <w:top w:w="0" w:type="dxa"/>
            <w:left w:w="30" w:type="dxa"/>
            <w:bottom w:w="0" w:type="dxa"/>
            <w:right w:w="30" w:type="dxa"/>
          </w:tblCellMar>
        </w:tblPrEx>
        <w:trPr>
          <w:trHeight w:val="0" w:hRule="atLeast"/>
          <w:tblHeader/>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29E6C839">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序号</w:t>
            </w:r>
          </w:p>
        </w:tc>
        <w:tc>
          <w:tcPr>
            <w:tcW w:w="3765" w:type="dxa"/>
            <w:tcBorders>
              <w:top w:val="single" w:color="auto" w:sz="6" w:space="0"/>
              <w:left w:val="single" w:color="auto" w:sz="6" w:space="0"/>
              <w:bottom w:val="single" w:color="auto" w:sz="6" w:space="0"/>
              <w:right w:val="single" w:color="auto" w:sz="6" w:space="0"/>
            </w:tcBorders>
            <w:noWrap w:val="0"/>
            <w:vAlign w:val="center"/>
          </w:tcPr>
          <w:p w14:paraId="5F421B93">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作业要求</w:t>
            </w:r>
          </w:p>
        </w:tc>
        <w:tc>
          <w:tcPr>
            <w:tcW w:w="3421" w:type="dxa"/>
            <w:tcBorders>
              <w:top w:val="single" w:color="auto" w:sz="6" w:space="0"/>
              <w:left w:val="single" w:color="auto" w:sz="6" w:space="0"/>
              <w:bottom w:val="single" w:color="auto" w:sz="6" w:space="0"/>
              <w:right w:val="single" w:color="auto" w:sz="6" w:space="0"/>
            </w:tcBorders>
            <w:noWrap w:val="0"/>
            <w:vAlign w:val="center"/>
          </w:tcPr>
          <w:p w14:paraId="72D82740">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考核标准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5BAD3207">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核定分值</w:t>
            </w:r>
          </w:p>
        </w:tc>
        <w:tc>
          <w:tcPr>
            <w:tcW w:w="539" w:type="dxa"/>
            <w:tcBorders>
              <w:top w:val="single" w:color="auto" w:sz="6" w:space="0"/>
              <w:left w:val="single" w:color="auto" w:sz="6" w:space="0"/>
              <w:bottom w:val="single" w:color="auto" w:sz="6" w:space="0"/>
              <w:right w:val="single" w:color="auto" w:sz="6" w:space="0"/>
            </w:tcBorders>
            <w:noWrap w:val="0"/>
            <w:vAlign w:val="center"/>
          </w:tcPr>
          <w:p w14:paraId="27CC9E87">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抽检得分</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45D12339">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备注</w:t>
            </w:r>
          </w:p>
        </w:tc>
      </w:tr>
      <w:tr w14:paraId="46B2FD5B">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000000" w:sz="2" w:space="0"/>
              <w:right w:val="single" w:color="auto" w:sz="6" w:space="0"/>
            </w:tcBorders>
            <w:noWrap w:val="0"/>
            <w:vAlign w:val="center"/>
          </w:tcPr>
          <w:p w14:paraId="571B42C9">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w:t>
            </w:r>
          </w:p>
        </w:tc>
        <w:tc>
          <w:tcPr>
            <w:tcW w:w="3765" w:type="dxa"/>
            <w:tcBorders>
              <w:top w:val="single" w:color="auto" w:sz="6" w:space="0"/>
              <w:left w:val="single" w:color="auto" w:sz="6" w:space="0"/>
              <w:bottom w:val="single" w:color="auto" w:sz="6" w:space="0"/>
              <w:right w:val="single" w:color="auto" w:sz="6" w:space="0"/>
            </w:tcBorders>
            <w:noWrap w:val="0"/>
            <w:vAlign w:val="center"/>
          </w:tcPr>
          <w:p w14:paraId="0BB32FB3">
            <w:pPr>
              <w:snapToGrid w:val="0"/>
              <w:spacing w:line="240" w:lineRule="auto"/>
              <w:ind w:left="0" w:leftChars="0" w:right="0" w:rightChars="0" w:firstLine="0" w:firstLineChars="0"/>
              <w:jc w:val="left"/>
              <w:rPr>
                <w:rFonts w:hint="eastAsia" w:ascii="宋体" w:hAnsi="宋体" w:eastAsia="宋体" w:cs="Times New Roman"/>
                <w:color w:val="auto"/>
                <w:szCs w:val="21"/>
                <w:lang w:eastAsia="zh-CN"/>
              </w:rPr>
            </w:pPr>
            <w:r>
              <w:rPr>
                <w:rFonts w:hint="eastAsia" w:ascii="宋体" w:hAnsi="宋体" w:eastAsia="宋体" w:cs="Times New Roman"/>
                <w:color w:val="auto"/>
                <w:szCs w:val="21"/>
              </w:rPr>
              <w:t>精神面貌好，文明礼貌；服装统一、佩戴统一标识。</w:t>
            </w:r>
          </w:p>
        </w:tc>
        <w:tc>
          <w:tcPr>
            <w:tcW w:w="3421" w:type="dxa"/>
            <w:tcBorders>
              <w:top w:val="single" w:color="auto" w:sz="6" w:space="0"/>
              <w:left w:val="single" w:color="auto" w:sz="6" w:space="0"/>
              <w:bottom w:val="single" w:color="auto" w:sz="6" w:space="0"/>
              <w:right w:val="single" w:color="auto" w:sz="6" w:space="0"/>
            </w:tcBorders>
            <w:noWrap w:val="0"/>
            <w:vAlign w:val="center"/>
          </w:tcPr>
          <w:p w14:paraId="1D0ADF5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整齐、统一、文明礼貌。不符合</w:t>
            </w:r>
            <w:r>
              <w:rPr>
                <w:rFonts w:ascii="宋体" w:hAnsi="宋体" w:eastAsia="宋体" w:cs="Times New Roman"/>
                <w:color w:val="auto"/>
                <w:szCs w:val="21"/>
              </w:rPr>
              <w:t>1</w:t>
            </w:r>
            <w:r>
              <w:rPr>
                <w:rFonts w:hint="eastAsia" w:ascii="宋体" w:hAnsi="宋体" w:eastAsia="宋体" w:cs="Times New Roman"/>
                <w:color w:val="auto"/>
                <w:szCs w:val="21"/>
              </w:rPr>
              <w:t>项扣</w:t>
            </w:r>
            <w:r>
              <w:rPr>
                <w:rFonts w:ascii="宋体" w:hAnsi="宋体" w:eastAsia="宋体" w:cs="Times New Roman"/>
                <w:color w:val="auto"/>
                <w:szCs w:val="21"/>
              </w:rPr>
              <w:t>5</w:t>
            </w:r>
            <w:r>
              <w:rPr>
                <w:rFonts w:hint="eastAsia" w:ascii="宋体" w:hAnsi="宋体" w:eastAsia="宋体" w:cs="Times New Roman"/>
                <w:color w:val="auto"/>
                <w:szCs w:val="21"/>
              </w:rPr>
              <w:t>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593D52A2">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539" w:type="dxa"/>
            <w:tcBorders>
              <w:top w:val="single" w:color="auto" w:sz="6" w:space="0"/>
              <w:left w:val="single" w:color="auto" w:sz="6" w:space="0"/>
              <w:bottom w:val="single" w:color="auto" w:sz="6" w:space="0"/>
              <w:right w:val="single" w:color="auto" w:sz="6" w:space="0"/>
            </w:tcBorders>
            <w:noWrap w:val="0"/>
            <w:vAlign w:val="center"/>
          </w:tcPr>
          <w:p w14:paraId="28C52B8E">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0CA11454">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158F32E8">
        <w:tblPrEx>
          <w:tblCellMar>
            <w:top w:w="0" w:type="dxa"/>
            <w:left w:w="30" w:type="dxa"/>
            <w:bottom w:w="0" w:type="dxa"/>
            <w:right w:w="30" w:type="dxa"/>
          </w:tblCellMar>
        </w:tblPrEx>
        <w:trPr>
          <w:trHeight w:val="0" w:hRule="atLeast"/>
          <w:jc w:val="center"/>
        </w:trPr>
        <w:tc>
          <w:tcPr>
            <w:tcW w:w="720" w:type="dxa"/>
            <w:tcBorders>
              <w:top w:val="single" w:color="000000" w:sz="2" w:space="0"/>
              <w:left w:val="single" w:color="auto" w:sz="6" w:space="0"/>
              <w:bottom w:val="single" w:color="auto" w:sz="6" w:space="0"/>
              <w:right w:val="single" w:color="auto" w:sz="6" w:space="0"/>
            </w:tcBorders>
            <w:noWrap w:val="0"/>
            <w:vAlign w:val="center"/>
          </w:tcPr>
          <w:p w14:paraId="28FC8F56">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2</w:t>
            </w:r>
          </w:p>
        </w:tc>
        <w:tc>
          <w:tcPr>
            <w:tcW w:w="3765" w:type="dxa"/>
            <w:tcBorders>
              <w:top w:val="single" w:color="auto" w:sz="6" w:space="0"/>
              <w:left w:val="single" w:color="auto" w:sz="6" w:space="0"/>
              <w:bottom w:val="single" w:color="auto" w:sz="6" w:space="0"/>
              <w:right w:val="single" w:color="auto" w:sz="6" w:space="0"/>
            </w:tcBorders>
            <w:noWrap w:val="0"/>
            <w:vAlign w:val="center"/>
          </w:tcPr>
          <w:p w14:paraId="0F8A2014">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外墙面玻璃安全巡查，建立相关巡查记录，发现破损或开裂及时上报学院。</w:t>
            </w:r>
          </w:p>
        </w:tc>
        <w:tc>
          <w:tcPr>
            <w:tcW w:w="3421" w:type="dxa"/>
            <w:tcBorders>
              <w:top w:val="single" w:color="auto" w:sz="6" w:space="0"/>
              <w:left w:val="single" w:color="auto" w:sz="6" w:space="0"/>
              <w:bottom w:val="single" w:color="auto" w:sz="6" w:space="0"/>
              <w:right w:val="single" w:color="auto" w:sz="6" w:space="0"/>
            </w:tcBorders>
            <w:noWrap w:val="0"/>
            <w:vAlign w:val="center"/>
          </w:tcPr>
          <w:p w14:paraId="744B51C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整齐、统一、文明礼貌。不符合</w:t>
            </w:r>
            <w:r>
              <w:rPr>
                <w:rFonts w:ascii="宋体" w:hAnsi="宋体" w:eastAsia="宋体" w:cs="Times New Roman"/>
                <w:color w:val="auto"/>
                <w:szCs w:val="21"/>
              </w:rPr>
              <w:t>1</w:t>
            </w:r>
            <w:r>
              <w:rPr>
                <w:rFonts w:hint="eastAsia" w:ascii="宋体" w:hAnsi="宋体" w:eastAsia="宋体" w:cs="Times New Roman"/>
                <w:color w:val="auto"/>
                <w:szCs w:val="21"/>
              </w:rPr>
              <w:t>项扣</w:t>
            </w:r>
            <w:r>
              <w:rPr>
                <w:rFonts w:ascii="宋体" w:hAnsi="宋体" w:eastAsia="宋体" w:cs="Times New Roman"/>
                <w:color w:val="auto"/>
                <w:szCs w:val="21"/>
              </w:rPr>
              <w:t>5</w:t>
            </w:r>
            <w:r>
              <w:rPr>
                <w:rFonts w:hint="eastAsia" w:ascii="宋体" w:hAnsi="宋体" w:eastAsia="宋体" w:cs="Times New Roman"/>
                <w:color w:val="auto"/>
                <w:szCs w:val="21"/>
              </w:rPr>
              <w:t>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6271BF57">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539" w:type="dxa"/>
            <w:tcBorders>
              <w:top w:val="single" w:color="auto" w:sz="6" w:space="0"/>
              <w:left w:val="single" w:color="auto" w:sz="6" w:space="0"/>
              <w:bottom w:val="single" w:color="auto" w:sz="6" w:space="0"/>
              <w:right w:val="single" w:color="auto" w:sz="6" w:space="0"/>
            </w:tcBorders>
            <w:noWrap w:val="0"/>
            <w:vAlign w:val="center"/>
          </w:tcPr>
          <w:p w14:paraId="767762D6">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6097B8F1">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1DC79660">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16403E26">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3</w:t>
            </w:r>
          </w:p>
        </w:tc>
        <w:tc>
          <w:tcPr>
            <w:tcW w:w="3765" w:type="dxa"/>
            <w:tcBorders>
              <w:top w:val="single" w:color="auto" w:sz="6" w:space="0"/>
              <w:left w:val="single" w:color="auto" w:sz="6" w:space="0"/>
              <w:bottom w:val="single" w:color="auto" w:sz="6" w:space="0"/>
              <w:right w:val="single" w:color="auto" w:sz="6" w:space="0"/>
            </w:tcBorders>
            <w:noWrap w:val="0"/>
            <w:vAlign w:val="center"/>
          </w:tcPr>
          <w:p w14:paraId="721DE8EB">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对主体结构全面检查一次/年，发现</w:t>
            </w:r>
            <w:r>
              <w:rPr>
                <w:rFonts w:hint="eastAsia" w:ascii="宋体" w:hAnsi="宋体" w:eastAsia="宋体" w:cs="Times New Roman"/>
                <w:color w:val="auto"/>
                <w:szCs w:val="21"/>
              </w:rPr>
              <w:t>倾斜、变形、剥落、</w:t>
            </w:r>
            <w:r>
              <w:rPr>
                <w:rFonts w:hint="eastAsia" w:ascii="宋体" w:hAnsi="宋体" w:eastAsia="宋体" w:cs="Times New Roman"/>
                <w:color w:val="auto"/>
                <w:szCs w:val="21"/>
                <w:lang w:val="en-US" w:eastAsia="zh-CN"/>
              </w:rPr>
              <w:t>防水、</w:t>
            </w:r>
            <w:r>
              <w:rPr>
                <w:rFonts w:hint="eastAsia" w:ascii="宋体" w:hAnsi="宋体" w:eastAsia="宋体" w:cs="Times New Roman"/>
                <w:color w:val="auto"/>
                <w:szCs w:val="21"/>
              </w:rPr>
              <w:t>开裂和非收缩性裂缝，钢筋裸露等</w:t>
            </w:r>
            <w:r>
              <w:rPr>
                <w:rFonts w:hint="eastAsia" w:ascii="宋体" w:hAnsi="宋体" w:eastAsia="宋体" w:cs="Times New Roman"/>
                <w:color w:val="auto"/>
                <w:szCs w:val="21"/>
                <w:lang w:val="en-US" w:eastAsia="zh-CN"/>
              </w:rPr>
              <w:t>及时上报学院。</w:t>
            </w:r>
          </w:p>
        </w:tc>
        <w:tc>
          <w:tcPr>
            <w:tcW w:w="3421" w:type="dxa"/>
            <w:tcBorders>
              <w:top w:val="single" w:color="auto" w:sz="6" w:space="0"/>
              <w:left w:val="single" w:color="auto" w:sz="6" w:space="0"/>
              <w:bottom w:val="single" w:color="auto" w:sz="6" w:space="0"/>
              <w:right w:val="single" w:color="auto" w:sz="6" w:space="0"/>
            </w:tcBorders>
            <w:noWrap w:val="0"/>
            <w:vAlign w:val="center"/>
          </w:tcPr>
          <w:p w14:paraId="35EFB31B">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未完成</w:t>
            </w:r>
            <w:r>
              <w:rPr>
                <w:rFonts w:hint="eastAsia" w:ascii="宋体" w:hAnsi="宋体" w:eastAsia="宋体" w:cs="Times New Roman"/>
                <w:color w:val="auto"/>
                <w:szCs w:val="21"/>
                <w:lang w:val="en-US" w:eastAsia="zh-CN"/>
              </w:rPr>
              <w:t>1项</w:t>
            </w:r>
            <w:r>
              <w:rPr>
                <w:rFonts w:hint="eastAsia" w:ascii="宋体" w:hAnsi="宋体" w:eastAsia="宋体" w:cs="Times New Roman"/>
                <w:color w:val="auto"/>
                <w:szCs w:val="21"/>
              </w:rPr>
              <w:t>扣</w:t>
            </w:r>
            <w:r>
              <w:rPr>
                <w:rFonts w:hint="eastAsia" w:ascii="宋体" w:hAnsi="宋体" w:eastAsia="宋体" w:cs="Times New Roman"/>
                <w:color w:val="auto"/>
                <w:szCs w:val="21"/>
                <w:lang w:val="en-US" w:eastAsia="zh-CN"/>
              </w:rPr>
              <w:t>2</w:t>
            </w:r>
            <w:r>
              <w:rPr>
                <w:rFonts w:hint="eastAsia" w:ascii="宋体" w:hAnsi="宋体" w:eastAsia="宋体" w:cs="Times New Roman"/>
                <w:color w:val="auto"/>
                <w:szCs w:val="21"/>
              </w:rPr>
              <w:t>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648330E3">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539" w:type="dxa"/>
            <w:tcBorders>
              <w:top w:val="single" w:color="auto" w:sz="6" w:space="0"/>
              <w:left w:val="single" w:color="auto" w:sz="6" w:space="0"/>
              <w:bottom w:val="single" w:color="auto" w:sz="6" w:space="0"/>
              <w:right w:val="single" w:color="auto" w:sz="6" w:space="0"/>
            </w:tcBorders>
            <w:noWrap w:val="0"/>
            <w:vAlign w:val="center"/>
          </w:tcPr>
          <w:p w14:paraId="3407640C">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205E42DD">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37552216">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000000" w:sz="2" w:space="0"/>
              <w:right w:val="single" w:color="auto" w:sz="6" w:space="0"/>
            </w:tcBorders>
            <w:noWrap w:val="0"/>
            <w:vAlign w:val="center"/>
          </w:tcPr>
          <w:p w14:paraId="6344DBDE">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4</w:t>
            </w:r>
          </w:p>
        </w:tc>
        <w:tc>
          <w:tcPr>
            <w:tcW w:w="3765" w:type="dxa"/>
            <w:tcBorders>
              <w:top w:val="single" w:color="auto" w:sz="6" w:space="0"/>
              <w:left w:val="single" w:color="auto" w:sz="6" w:space="0"/>
              <w:bottom w:val="single" w:color="auto" w:sz="6" w:space="0"/>
              <w:right w:val="single" w:color="auto" w:sz="6" w:space="0"/>
            </w:tcBorders>
            <w:noWrap w:val="0"/>
            <w:vAlign w:val="center"/>
          </w:tcPr>
          <w:p w14:paraId="5801EDBE">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对室外青石板路面及楼梯踏步清洗一次/学期。</w:t>
            </w:r>
          </w:p>
        </w:tc>
        <w:tc>
          <w:tcPr>
            <w:tcW w:w="3421" w:type="dxa"/>
            <w:tcBorders>
              <w:top w:val="single" w:color="auto" w:sz="6" w:space="0"/>
              <w:left w:val="single" w:color="auto" w:sz="6" w:space="0"/>
              <w:bottom w:val="single" w:color="auto" w:sz="6" w:space="0"/>
              <w:right w:val="single" w:color="auto" w:sz="6" w:space="0"/>
            </w:tcBorders>
            <w:noWrap w:val="0"/>
            <w:vAlign w:val="center"/>
          </w:tcPr>
          <w:p w14:paraId="14C92C6A">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未清洗扣10分。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61AFDCE3">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539" w:type="dxa"/>
            <w:tcBorders>
              <w:top w:val="single" w:color="auto" w:sz="6" w:space="0"/>
              <w:left w:val="single" w:color="auto" w:sz="6" w:space="0"/>
              <w:bottom w:val="single" w:color="auto" w:sz="6" w:space="0"/>
              <w:right w:val="single" w:color="auto" w:sz="6" w:space="0"/>
            </w:tcBorders>
            <w:noWrap w:val="0"/>
            <w:vAlign w:val="center"/>
          </w:tcPr>
          <w:p w14:paraId="1205B140">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5734FB9A">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51914429">
        <w:tblPrEx>
          <w:tblCellMar>
            <w:top w:w="0" w:type="dxa"/>
            <w:left w:w="30" w:type="dxa"/>
            <w:bottom w:w="0" w:type="dxa"/>
            <w:right w:w="30" w:type="dxa"/>
          </w:tblCellMar>
        </w:tblPrEx>
        <w:trPr>
          <w:trHeight w:val="0" w:hRule="atLeast"/>
          <w:jc w:val="center"/>
        </w:trPr>
        <w:tc>
          <w:tcPr>
            <w:tcW w:w="720" w:type="dxa"/>
            <w:tcBorders>
              <w:top w:val="single" w:color="000000" w:sz="2" w:space="0"/>
              <w:left w:val="single" w:color="auto" w:sz="6" w:space="0"/>
              <w:bottom w:val="single" w:color="auto" w:sz="6" w:space="0"/>
              <w:right w:val="single" w:color="auto" w:sz="6" w:space="0"/>
            </w:tcBorders>
            <w:noWrap w:val="0"/>
            <w:vAlign w:val="center"/>
          </w:tcPr>
          <w:p w14:paraId="0755BD95">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5</w:t>
            </w:r>
          </w:p>
        </w:tc>
        <w:tc>
          <w:tcPr>
            <w:tcW w:w="3765" w:type="dxa"/>
            <w:tcBorders>
              <w:top w:val="single" w:color="auto" w:sz="6" w:space="0"/>
              <w:left w:val="single" w:color="auto" w:sz="6" w:space="0"/>
              <w:bottom w:val="single" w:color="auto" w:sz="6" w:space="0"/>
              <w:right w:val="single" w:color="auto" w:sz="6" w:space="0"/>
            </w:tcBorders>
            <w:noWrap w:val="0"/>
            <w:vAlign w:val="center"/>
          </w:tcPr>
          <w:p w14:paraId="1A15AF68">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室内</w:t>
            </w:r>
            <w:r>
              <w:rPr>
                <w:rFonts w:hint="eastAsia" w:ascii="宋体" w:hAnsi="宋体" w:eastAsia="宋体" w:cs="Times New Roman"/>
                <w:color w:val="auto"/>
                <w:szCs w:val="21"/>
              </w:rPr>
              <w:t>楼板、地面砖</w:t>
            </w:r>
            <w:r>
              <w:rPr>
                <w:rFonts w:hint="eastAsia" w:ascii="宋体" w:hAnsi="宋体" w:eastAsia="宋体" w:cs="Times New Roman"/>
                <w:color w:val="auto"/>
                <w:szCs w:val="21"/>
                <w:lang w:val="en-US" w:eastAsia="zh-CN"/>
              </w:rPr>
              <w:t>出现</w:t>
            </w:r>
            <w:r>
              <w:rPr>
                <w:rFonts w:hint="eastAsia" w:ascii="宋体" w:hAnsi="宋体" w:eastAsia="宋体" w:cs="Times New Roman"/>
                <w:color w:val="auto"/>
                <w:szCs w:val="21"/>
              </w:rPr>
              <w:t>裂缝、起壳、空鼓、下陷，表面平整、破损，</w:t>
            </w:r>
            <w:r>
              <w:rPr>
                <w:rFonts w:hint="eastAsia" w:ascii="宋体" w:hAnsi="宋体" w:eastAsia="宋体" w:cs="Times New Roman"/>
                <w:color w:val="auto"/>
                <w:szCs w:val="21"/>
                <w:lang w:val="en-US" w:eastAsia="zh-CN"/>
              </w:rPr>
              <w:t>及时修复。</w:t>
            </w:r>
          </w:p>
        </w:tc>
        <w:tc>
          <w:tcPr>
            <w:tcW w:w="3421" w:type="dxa"/>
            <w:tcBorders>
              <w:top w:val="single" w:color="auto" w:sz="6" w:space="0"/>
              <w:left w:val="single" w:color="auto" w:sz="6" w:space="0"/>
              <w:bottom w:val="single" w:color="auto" w:sz="6" w:space="0"/>
              <w:right w:val="single" w:color="auto" w:sz="6" w:space="0"/>
            </w:tcBorders>
            <w:noWrap w:val="0"/>
            <w:vAlign w:val="center"/>
          </w:tcPr>
          <w:p w14:paraId="74A3219F">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未完成</w:t>
            </w:r>
            <w:r>
              <w:rPr>
                <w:rFonts w:hint="eastAsia" w:ascii="宋体" w:hAnsi="宋体" w:eastAsia="宋体" w:cs="Times New Roman"/>
                <w:color w:val="auto"/>
                <w:szCs w:val="21"/>
                <w:lang w:val="en-US" w:eastAsia="zh-CN"/>
              </w:rPr>
              <w:t>1项</w:t>
            </w:r>
            <w:r>
              <w:rPr>
                <w:rFonts w:hint="eastAsia" w:ascii="宋体" w:hAnsi="宋体" w:eastAsia="宋体" w:cs="Times New Roman"/>
                <w:color w:val="auto"/>
                <w:szCs w:val="21"/>
              </w:rPr>
              <w:t>扣</w:t>
            </w:r>
            <w:r>
              <w:rPr>
                <w:rFonts w:hint="eastAsia" w:ascii="宋体" w:hAnsi="宋体" w:eastAsia="宋体" w:cs="Times New Roman"/>
                <w:color w:val="auto"/>
                <w:szCs w:val="21"/>
                <w:lang w:val="en-US" w:eastAsia="zh-CN"/>
              </w:rPr>
              <w:t>2</w:t>
            </w:r>
            <w:r>
              <w:rPr>
                <w:rFonts w:hint="eastAsia" w:ascii="宋体" w:hAnsi="宋体" w:eastAsia="宋体" w:cs="Times New Roman"/>
                <w:color w:val="auto"/>
                <w:szCs w:val="21"/>
              </w:rPr>
              <w:t>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67047D4D">
            <w:pPr>
              <w:snapToGrid w:val="0"/>
              <w:spacing w:line="240" w:lineRule="auto"/>
              <w:ind w:left="0" w:leftChars="0" w:right="0" w:rightChars="0" w:firstLine="0" w:firstLineChars="0"/>
              <w:jc w:val="righ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10</w:t>
            </w:r>
          </w:p>
        </w:tc>
        <w:tc>
          <w:tcPr>
            <w:tcW w:w="539" w:type="dxa"/>
            <w:tcBorders>
              <w:top w:val="single" w:color="auto" w:sz="6" w:space="0"/>
              <w:left w:val="single" w:color="auto" w:sz="6" w:space="0"/>
              <w:bottom w:val="single" w:color="auto" w:sz="6" w:space="0"/>
              <w:right w:val="single" w:color="auto" w:sz="6" w:space="0"/>
            </w:tcBorders>
            <w:noWrap w:val="0"/>
            <w:vAlign w:val="center"/>
          </w:tcPr>
          <w:p w14:paraId="1D2013AA">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13E231AB">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49AECDBB">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47A06F25">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6</w:t>
            </w:r>
          </w:p>
        </w:tc>
        <w:tc>
          <w:tcPr>
            <w:tcW w:w="3765" w:type="dxa"/>
            <w:tcBorders>
              <w:top w:val="single" w:color="auto" w:sz="6" w:space="0"/>
              <w:left w:val="single" w:color="auto" w:sz="6" w:space="0"/>
              <w:bottom w:val="single" w:color="auto" w:sz="6" w:space="0"/>
              <w:right w:val="single" w:color="auto" w:sz="6" w:space="0"/>
            </w:tcBorders>
            <w:noWrap w:val="0"/>
            <w:vAlign w:val="center"/>
          </w:tcPr>
          <w:p w14:paraId="3AE57951">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屋面巡查每周一次，建立相关巡查记录。</w:t>
            </w:r>
          </w:p>
        </w:tc>
        <w:tc>
          <w:tcPr>
            <w:tcW w:w="3421" w:type="dxa"/>
            <w:tcBorders>
              <w:top w:val="single" w:color="auto" w:sz="6" w:space="0"/>
              <w:left w:val="single" w:color="auto" w:sz="6" w:space="0"/>
              <w:bottom w:val="single" w:color="auto" w:sz="6" w:space="0"/>
              <w:right w:val="single" w:color="auto" w:sz="6" w:space="0"/>
            </w:tcBorders>
            <w:noWrap w:val="0"/>
            <w:vAlign w:val="center"/>
          </w:tcPr>
          <w:p w14:paraId="60A116AD">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无巡查记录扣10分，漏查每次扣2分。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703F40D1">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539" w:type="dxa"/>
            <w:tcBorders>
              <w:top w:val="single" w:color="auto" w:sz="6" w:space="0"/>
              <w:left w:val="single" w:color="auto" w:sz="6" w:space="0"/>
              <w:bottom w:val="single" w:color="auto" w:sz="6" w:space="0"/>
              <w:right w:val="single" w:color="auto" w:sz="6" w:space="0"/>
            </w:tcBorders>
            <w:noWrap w:val="0"/>
            <w:vAlign w:val="center"/>
          </w:tcPr>
          <w:p w14:paraId="3632012E">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427BB72C">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3F394285">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000000" w:sz="2" w:space="0"/>
              <w:right w:val="single" w:color="auto" w:sz="6" w:space="0"/>
            </w:tcBorders>
            <w:noWrap w:val="0"/>
            <w:vAlign w:val="center"/>
          </w:tcPr>
          <w:p w14:paraId="6983833E">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7</w:t>
            </w:r>
          </w:p>
        </w:tc>
        <w:tc>
          <w:tcPr>
            <w:tcW w:w="3765" w:type="dxa"/>
            <w:tcBorders>
              <w:top w:val="single" w:color="auto" w:sz="6" w:space="0"/>
              <w:left w:val="single" w:color="auto" w:sz="6" w:space="0"/>
              <w:bottom w:val="single" w:color="auto" w:sz="6" w:space="0"/>
              <w:right w:val="single" w:color="auto" w:sz="6" w:space="0"/>
            </w:tcBorders>
            <w:noWrap w:val="0"/>
            <w:vAlign w:val="center"/>
          </w:tcPr>
          <w:p w14:paraId="7819C1CB">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对校园内井盖及明暗沟盖板巡查，出现</w:t>
            </w:r>
            <w:r>
              <w:rPr>
                <w:rFonts w:hint="eastAsia" w:ascii="宋体" w:hAnsi="宋体" w:eastAsia="宋体" w:cs="Times New Roman"/>
                <w:color w:val="auto"/>
                <w:szCs w:val="21"/>
              </w:rPr>
              <w:t>明显裂缝或破损</w:t>
            </w:r>
            <w:r>
              <w:rPr>
                <w:rFonts w:hint="eastAsia" w:ascii="宋体" w:hAnsi="宋体" w:eastAsia="宋体" w:cs="Times New Roman"/>
                <w:color w:val="auto"/>
                <w:szCs w:val="21"/>
                <w:lang w:val="en-US" w:eastAsia="zh-CN"/>
              </w:rPr>
              <w:t>及时更换。</w:t>
            </w:r>
          </w:p>
        </w:tc>
        <w:tc>
          <w:tcPr>
            <w:tcW w:w="3421" w:type="dxa"/>
            <w:tcBorders>
              <w:top w:val="single" w:color="auto" w:sz="6" w:space="0"/>
              <w:left w:val="single" w:color="auto" w:sz="6" w:space="0"/>
              <w:bottom w:val="single" w:color="auto" w:sz="6" w:space="0"/>
              <w:right w:val="single" w:color="auto" w:sz="6" w:space="0"/>
            </w:tcBorders>
            <w:noWrap w:val="0"/>
            <w:vAlign w:val="center"/>
          </w:tcPr>
          <w:p w14:paraId="7A9281BE">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rPr>
              <w:t>发现井盖破损超过4小时未更换，扣5分（学院未备材料的除外，但需设置警示标识）。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70DDA381">
            <w:pPr>
              <w:snapToGrid w:val="0"/>
              <w:spacing w:line="240" w:lineRule="auto"/>
              <w:ind w:left="0" w:leftChars="0" w:right="0" w:rightChars="0" w:firstLine="0" w:firstLineChars="0"/>
              <w:jc w:val="righ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10</w:t>
            </w:r>
          </w:p>
        </w:tc>
        <w:tc>
          <w:tcPr>
            <w:tcW w:w="539" w:type="dxa"/>
            <w:tcBorders>
              <w:top w:val="single" w:color="auto" w:sz="6" w:space="0"/>
              <w:left w:val="single" w:color="auto" w:sz="6" w:space="0"/>
              <w:bottom w:val="single" w:color="auto" w:sz="6" w:space="0"/>
              <w:right w:val="single" w:color="auto" w:sz="6" w:space="0"/>
            </w:tcBorders>
            <w:noWrap w:val="0"/>
            <w:vAlign w:val="center"/>
          </w:tcPr>
          <w:p w14:paraId="2855CDD4">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79DB1052">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5C08AC84">
        <w:tblPrEx>
          <w:tblCellMar>
            <w:top w:w="0" w:type="dxa"/>
            <w:left w:w="30" w:type="dxa"/>
            <w:bottom w:w="0" w:type="dxa"/>
            <w:right w:w="30" w:type="dxa"/>
          </w:tblCellMar>
        </w:tblPrEx>
        <w:trPr>
          <w:trHeight w:val="0" w:hRule="atLeast"/>
          <w:jc w:val="center"/>
        </w:trPr>
        <w:tc>
          <w:tcPr>
            <w:tcW w:w="720" w:type="dxa"/>
            <w:tcBorders>
              <w:top w:val="single" w:color="000000" w:sz="2" w:space="0"/>
              <w:left w:val="single" w:color="auto" w:sz="6" w:space="0"/>
              <w:bottom w:val="single" w:color="auto" w:sz="6" w:space="0"/>
              <w:right w:val="single" w:color="auto" w:sz="6" w:space="0"/>
            </w:tcBorders>
            <w:noWrap w:val="0"/>
            <w:vAlign w:val="center"/>
          </w:tcPr>
          <w:p w14:paraId="6AFCE576">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8</w:t>
            </w:r>
          </w:p>
        </w:tc>
        <w:tc>
          <w:tcPr>
            <w:tcW w:w="3765" w:type="dxa"/>
            <w:tcBorders>
              <w:top w:val="single" w:color="auto" w:sz="6" w:space="0"/>
              <w:left w:val="single" w:color="auto" w:sz="6" w:space="0"/>
              <w:bottom w:val="single" w:color="auto" w:sz="6" w:space="0"/>
              <w:right w:val="single" w:color="auto" w:sz="6" w:space="0"/>
            </w:tcBorders>
            <w:noWrap w:val="0"/>
            <w:vAlign w:val="center"/>
          </w:tcPr>
          <w:p w14:paraId="2D2B1829">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楼顶避雷带刷漆一次/学期。</w:t>
            </w:r>
          </w:p>
        </w:tc>
        <w:tc>
          <w:tcPr>
            <w:tcW w:w="3421" w:type="dxa"/>
            <w:tcBorders>
              <w:top w:val="single" w:color="auto" w:sz="6" w:space="0"/>
              <w:left w:val="single" w:color="auto" w:sz="6" w:space="0"/>
              <w:bottom w:val="single" w:color="auto" w:sz="6" w:space="0"/>
              <w:right w:val="single" w:color="auto" w:sz="6" w:space="0"/>
            </w:tcBorders>
            <w:noWrap w:val="0"/>
            <w:vAlign w:val="center"/>
          </w:tcPr>
          <w:p w14:paraId="27DA4454">
            <w:pPr>
              <w:snapToGrid w:val="0"/>
              <w:spacing w:line="240" w:lineRule="auto"/>
              <w:ind w:left="0" w:leftChars="0" w:right="0" w:rightChars="0" w:firstLine="0" w:firstLineChars="0"/>
              <w:jc w:val="left"/>
              <w:rPr>
                <w:rFonts w:hint="default"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无明显锈蚀，不符合扣5分。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0F02924E">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539" w:type="dxa"/>
            <w:tcBorders>
              <w:top w:val="single" w:color="auto" w:sz="6" w:space="0"/>
              <w:left w:val="single" w:color="auto" w:sz="6" w:space="0"/>
              <w:bottom w:val="single" w:color="auto" w:sz="6" w:space="0"/>
              <w:right w:val="single" w:color="auto" w:sz="6" w:space="0"/>
            </w:tcBorders>
            <w:noWrap w:val="0"/>
            <w:vAlign w:val="center"/>
          </w:tcPr>
          <w:p w14:paraId="5E755D4B">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2C5B8072">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5F8DB8DB">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1D2C7181">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9</w:t>
            </w:r>
          </w:p>
        </w:tc>
        <w:tc>
          <w:tcPr>
            <w:tcW w:w="3765" w:type="dxa"/>
            <w:tcBorders>
              <w:top w:val="single" w:color="auto" w:sz="6" w:space="0"/>
              <w:left w:val="single" w:color="auto" w:sz="6" w:space="0"/>
              <w:bottom w:val="single" w:color="auto" w:sz="6" w:space="0"/>
              <w:right w:val="single" w:color="auto" w:sz="6" w:space="0"/>
            </w:tcBorders>
            <w:noWrap w:val="0"/>
            <w:vAlign w:val="center"/>
          </w:tcPr>
          <w:p w14:paraId="246DF1C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安全作业：杜绝人身安全事故，爱护公共设施，避免出理设施设备损坏，工具、工作房间内物品丢失等现象。</w:t>
            </w:r>
          </w:p>
        </w:tc>
        <w:tc>
          <w:tcPr>
            <w:tcW w:w="3421" w:type="dxa"/>
            <w:tcBorders>
              <w:top w:val="single" w:color="auto" w:sz="6" w:space="0"/>
              <w:left w:val="single" w:color="auto" w:sz="6" w:space="0"/>
              <w:bottom w:val="single" w:color="auto" w:sz="6" w:space="0"/>
              <w:right w:val="single" w:color="auto" w:sz="6" w:space="0"/>
            </w:tcBorders>
            <w:noWrap w:val="0"/>
            <w:vAlign w:val="center"/>
          </w:tcPr>
          <w:p w14:paraId="2C7CA26A">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发生</w:t>
            </w:r>
            <w:r>
              <w:rPr>
                <w:rFonts w:ascii="宋体" w:hAnsi="宋体" w:eastAsia="宋体" w:cs="Times New Roman"/>
                <w:color w:val="auto"/>
                <w:szCs w:val="21"/>
              </w:rPr>
              <w:t>1</w:t>
            </w:r>
            <w:r>
              <w:rPr>
                <w:rFonts w:hint="eastAsia" w:ascii="宋体" w:hAnsi="宋体" w:eastAsia="宋体" w:cs="Times New Roman"/>
                <w:color w:val="auto"/>
                <w:szCs w:val="21"/>
              </w:rPr>
              <w:t>次扣</w:t>
            </w:r>
            <w:r>
              <w:rPr>
                <w:rFonts w:ascii="宋体" w:hAnsi="宋体" w:eastAsia="宋体" w:cs="Times New Roman"/>
                <w:color w:val="auto"/>
                <w:szCs w:val="21"/>
              </w:rPr>
              <w:t>5</w:t>
            </w:r>
            <w:r>
              <w:rPr>
                <w:rFonts w:hint="eastAsia" w:ascii="宋体" w:hAnsi="宋体" w:eastAsia="宋体" w:cs="Times New Roman"/>
                <w:color w:val="auto"/>
                <w:szCs w:val="21"/>
              </w:rPr>
              <w:t>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573D469F">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539" w:type="dxa"/>
            <w:tcBorders>
              <w:top w:val="single" w:color="auto" w:sz="6" w:space="0"/>
              <w:left w:val="single" w:color="auto" w:sz="6" w:space="0"/>
              <w:bottom w:val="single" w:color="auto" w:sz="6" w:space="0"/>
              <w:right w:val="single" w:color="auto" w:sz="6" w:space="0"/>
            </w:tcBorders>
            <w:noWrap w:val="0"/>
            <w:vAlign w:val="center"/>
          </w:tcPr>
          <w:p w14:paraId="13F6D18E">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289E6B99">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4134D8BC">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370B15C6">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10</w:t>
            </w:r>
          </w:p>
        </w:tc>
        <w:tc>
          <w:tcPr>
            <w:tcW w:w="3765" w:type="dxa"/>
            <w:tcBorders>
              <w:top w:val="single" w:color="auto" w:sz="6" w:space="0"/>
              <w:left w:val="single" w:color="auto" w:sz="6" w:space="0"/>
              <w:bottom w:val="single" w:color="auto" w:sz="6" w:space="0"/>
              <w:right w:val="single" w:color="auto" w:sz="6" w:space="0"/>
            </w:tcBorders>
            <w:noWrap w:val="0"/>
            <w:vAlign w:val="center"/>
          </w:tcPr>
          <w:p w14:paraId="7423536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其他临时任务：服从调配，保质保量完成</w:t>
            </w:r>
          </w:p>
        </w:tc>
        <w:tc>
          <w:tcPr>
            <w:tcW w:w="3421" w:type="dxa"/>
            <w:tcBorders>
              <w:top w:val="single" w:color="auto" w:sz="6" w:space="0"/>
              <w:left w:val="single" w:color="auto" w:sz="6" w:space="0"/>
              <w:bottom w:val="single" w:color="auto" w:sz="6" w:space="0"/>
              <w:right w:val="single" w:color="auto" w:sz="6" w:space="0"/>
            </w:tcBorders>
            <w:noWrap w:val="0"/>
            <w:vAlign w:val="center"/>
          </w:tcPr>
          <w:p w14:paraId="69DF9F1B">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发生推诿扯皮</w:t>
            </w:r>
            <w:r>
              <w:rPr>
                <w:rFonts w:ascii="宋体" w:hAnsi="宋体" w:eastAsia="宋体" w:cs="Times New Roman"/>
                <w:color w:val="auto"/>
                <w:szCs w:val="21"/>
              </w:rPr>
              <w:t>1</w:t>
            </w:r>
            <w:r>
              <w:rPr>
                <w:rFonts w:hint="eastAsia" w:ascii="宋体" w:hAnsi="宋体" w:eastAsia="宋体" w:cs="Times New Roman"/>
                <w:color w:val="auto"/>
                <w:szCs w:val="21"/>
              </w:rPr>
              <w:t>次扣</w:t>
            </w:r>
            <w:r>
              <w:rPr>
                <w:rFonts w:ascii="宋体" w:hAnsi="宋体" w:eastAsia="宋体" w:cs="Times New Roman"/>
                <w:color w:val="auto"/>
                <w:szCs w:val="21"/>
              </w:rPr>
              <w:t>10</w:t>
            </w:r>
            <w:r>
              <w:rPr>
                <w:rFonts w:hint="eastAsia" w:ascii="宋体" w:hAnsi="宋体" w:eastAsia="宋体" w:cs="Times New Roman"/>
                <w:color w:val="auto"/>
                <w:szCs w:val="21"/>
              </w:rPr>
              <w:t>分。</w:t>
            </w:r>
          </w:p>
        </w:tc>
        <w:tc>
          <w:tcPr>
            <w:tcW w:w="1140" w:type="dxa"/>
            <w:tcBorders>
              <w:top w:val="single" w:color="auto" w:sz="6" w:space="0"/>
              <w:left w:val="single" w:color="auto" w:sz="6" w:space="0"/>
              <w:bottom w:val="single" w:color="auto" w:sz="6" w:space="0"/>
              <w:right w:val="single" w:color="auto" w:sz="6" w:space="0"/>
            </w:tcBorders>
            <w:noWrap w:val="0"/>
            <w:vAlign w:val="center"/>
          </w:tcPr>
          <w:p w14:paraId="18994E1A">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539" w:type="dxa"/>
            <w:tcBorders>
              <w:top w:val="single" w:color="auto" w:sz="6" w:space="0"/>
              <w:left w:val="single" w:color="auto" w:sz="6" w:space="0"/>
              <w:bottom w:val="single" w:color="auto" w:sz="6" w:space="0"/>
              <w:right w:val="single" w:color="auto" w:sz="6" w:space="0"/>
            </w:tcBorders>
            <w:noWrap w:val="0"/>
            <w:vAlign w:val="center"/>
          </w:tcPr>
          <w:p w14:paraId="77D6F808">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4B3B321B">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6B4C5D6C">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4E272334">
            <w:pPr>
              <w:snapToGrid w:val="0"/>
              <w:spacing w:line="240" w:lineRule="auto"/>
              <w:ind w:left="0" w:leftChars="0" w:right="0" w:rightChars="0" w:firstLine="0" w:firstLineChars="0"/>
              <w:jc w:val="center"/>
              <w:rPr>
                <w:rFonts w:ascii="宋体" w:hAnsi="宋体" w:eastAsia="宋体" w:cs="Times New Roman"/>
                <w:b/>
                <w:color w:val="auto"/>
                <w:szCs w:val="21"/>
              </w:rPr>
            </w:pPr>
          </w:p>
        </w:tc>
        <w:tc>
          <w:tcPr>
            <w:tcW w:w="3765" w:type="dxa"/>
            <w:tcBorders>
              <w:top w:val="single" w:color="auto" w:sz="6" w:space="0"/>
              <w:left w:val="single" w:color="auto" w:sz="6" w:space="0"/>
              <w:bottom w:val="single" w:color="auto" w:sz="6" w:space="0"/>
              <w:right w:val="single" w:color="auto" w:sz="6" w:space="0"/>
            </w:tcBorders>
            <w:noWrap w:val="0"/>
            <w:vAlign w:val="center"/>
          </w:tcPr>
          <w:p w14:paraId="3B4016BE">
            <w:pPr>
              <w:snapToGrid w:val="0"/>
              <w:spacing w:line="240" w:lineRule="auto"/>
              <w:ind w:left="0" w:leftChars="0" w:right="0" w:rightChars="0" w:firstLine="0" w:firstLineChars="0"/>
              <w:jc w:val="left"/>
              <w:rPr>
                <w:rFonts w:ascii="宋体" w:hAnsi="宋体" w:eastAsia="宋体" w:cs="Times New Roman"/>
                <w:b/>
                <w:color w:val="auto"/>
                <w:szCs w:val="21"/>
              </w:rPr>
            </w:pPr>
            <w:r>
              <w:rPr>
                <w:rFonts w:hint="eastAsia" w:ascii="宋体" w:hAnsi="宋体" w:eastAsia="宋体" w:cs="Times New Roman"/>
                <w:b/>
                <w:color w:val="auto"/>
                <w:szCs w:val="21"/>
              </w:rPr>
              <w:t>合计</w:t>
            </w:r>
          </w:p>
        </w:tc>
        <w:tc>
          <w:tcPr>
            <w:tcW w:w="3421" w:type="dxa"/>
            <w:tcBorders>
              <w:top w:val="single" w:color="auto" w:sz="6" w:space="0"/>
              <w:left w:val="single" w:color="auto" w:sz="6" w:space="0"/>
              <w:bottom w:val="single" w:color="auto" w:sz="6" w:space="0"/>
              <w:right w:val="single" w:color="auto" w:sz="6" w:space="0"/>
            </w:tcBorders>
            <w:noWrap w:val="0"/>
            <w:vAlign w:val="center"/>
          </w:tcPr>
          <w:p w14:paraId="38AD829E">
            <w:pPr>
              <w:snapToGrid w:val="0"/>
              <w:spacing w:line="240" w:lineRule="auto"/>
              <w:ind w:left="0" w:leftChars="0" w:right="0" w:rightChars="0" w:firstLine="0" w:firstLineChars="0"/>
              <w:jc w:val="left"/>
              <w:rPr>
                <w:rFonts w:ascii="宋体" w:hAnsi="宋体" w:eastAsia="宋体" w:cs="Times New Roman"/>
                <w:b/>
                <w:color w:val="auto"/>
                <w:szCs w:val="21"/>
              </w:rPr>
            </w:pPr>
          </w:p>
        </w:tc>
        <w:tc>
          <w:tcPr>
            <w:tcW w:w="1140" w:type="dxa"/>
            <w:tcBorders>
              <w:top w:val="single" w:color="auto" w:sz="6" w:space="0"/>
              <w:left w:val="single" w:color="auto" w:sz="6" w:space="0"/>
              <w:bottom w:val="single" w:color="auto" w:sz="6" w:space="0"/>
              <w:right w:val="single" w:color="auto" w:sz="6" w:space="0"/>
            </w:tcBorders>
            <w:noWrap w:val="0"/>
            <w:vAlign w:val="center"/>
          </w:tcPr>
          <w:p w14:paraId="552180B8">
            <w:pPr>
              <w:snapToGrid w:val="0"/>
              <w:spacing w:line="240" w:lineRule="auto"/>
              <w:ind w:left="0" w:leftChars="0" w:right="0" w:rightChars="0" w:firstLine="0" w:firstLineChars="0"/>
              <w:jc w:val="right"/>
              <w:rPr>
                <w:rFonts w:ascii="宋体" w:hAnsi="宋体" w:eastAsia="宋体" w:cs="Times New Roman"/>
                <w:b/>
                <w:color w:val="auto"/>
                <w:szCs w:val="21"/>
              </w:rPr>
            </w:pPr>
            <w:r>
              <w:rPr>
                <w:rFonts w:ascii="宋体" w:hAnsi="宋体" w:eastAsia="宋体" w:cs="Times New Roman"/>
                <w:b/>
                <w:color w:val="auto"/>
                <w:szCs w:val="21"/>
              </w:rPr>
              <w:t>100</w:t>
            </w:r>
          </w:p>
        </w:tc>
        <w:tc>
          <w:tcPr>
            <w:tcW w:w="539" w:type="dxa"/>
            <w:tcBorders>
              <w:top w:val="single" w:color="auto" w:sz="6" w:space="0"/>
              <w:left w:val="single" w:color="auto" w:sz="6" w:space="0"/>
              <w:bottom w:val="single" w:color="auto" w:sz="6" w:space="0"/>
              <w:right w:val="single" w:color="auto" w:sz="6" w:space="0"/>
            </w:tcBorders>
            <w:noWrap w:val="0"/>
            <w:vAlign w:val="center"/>
          </w:tcPr>
          <w:p w14:paraId="340156A8">
            <w:pPr>
              <w:snapToGrid w:val="0"/>
              <w:spacing w:line="240" w:lineRule="auto"/>
              <w:ind w:left="0" w:leftChars="0" w:right="0" w:rightChars="0" w:firstLine="0" w:firstLineChars="0"/>
              <w:jc w:val="center"/>
              <w:rPr>
                <w:rFonts w:hint="default" w:ascii="宋体" w:hAnsi="宋体" w:eastAsia="宋体" w:cs="Times New Roman"/>
                <w:b/>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2FD40CF8">
            <w:pPr>
              <w:snapToGrid w:val="0"/>
              <w:spacing w:line="240" w:lineRule="auto"/>
              <w:ind w:left="0" w:leftChars="0" w:right="0" w:rightChars="0" w:firstLine="0" w:firstLineChars="0"/>
              <w:jc w:val="center"/>
              <w:rPr>
                <w:rFonts w:ascii="宋体" w:hAnsi="宋体" w:eastAsia="宋体" w:cs="Times New Roman"/>
                <w:b/>
                <w:color w:val="auto"/>
                <w:szCs w:val="21"/>
              </w:rPr>
            </w:pPr>
          </w:p>
        </w:tc>
      </w:tr>
      <w:tr w14:paraId="71AE086D">
        <w:tblPrEx>
          <w:tblCellMar>
            <w:top w:w="0" w:type="dxa"/>
            <w:left w:w="30" w:type="dxa"/>
            <w:bottom w:w="0" w:type="dxa"/>
            <w:right w:w="30" w:type="dxa"/>
          </w:tblCellMar>
        </w:tblPrEx>
        <w:trPr>
          <w:trHeight w:val="0" w:hRule="atLeast"/>
          <w:jc w:val="center"/>
        </w:trPr>
        <w:tc>
          <w:tcPr>
            <w:tcW w:w="720" w:type="dxa"/>
            <w:gridSpan w:val="6"/>
            <w:tcBorders>
              <w:top w:val="single" w:color="auto" w:sz="6" w:space="0"/>
              <w:left w:val="single" w:color="auto" w:sz="6" w:space="0"/>
              <w:bottom w:val="single" w:color="auto" w:sz="6" w:space="0"/>
              <w:right w:val="single" w:color="auto" w:sz="6" w:space="0"/>
            </w:tcBorders>
            <w:noWrap w:val="0"/>
            <w:vAlign w:val="center"/>
          </w:tcPr>
          <w:p w14:paraId="4FBC8927">
            <w:pPr>
              <w:snapToGrid w:val="0"/>
              <w:spacing w:line="240" w:lineRule="auto"/>
              <w:ind w:left="0" w:leftChars="0" w:right="0" w:rightChars="0" w:firstLine="0" w:firstLineChars="0"/>
              <w:jc w:val="center"/>
              <w:rPr>
                <w:rFonts w:ascii="宋体" w:hAnsi="宋体" w:eastAsia="宋体" w:cs="Times New Roman"/>
                <w:color w:val="auto"/>
                <w:szCs w:val="21"/>
              </w:rPr>
            </w:pPr>
            <w:r>
              <w:rPr>
                <w:rFonts w:hint="eastAsia" w:ascii="宋体" w:hAnsi="宋体" w:eastAsia="宋体" w:cs="Times New Roman"/>
                <w:color w:val="auto"/>
                <w:szCs w:val="21"/>
              </w:rPr>
              <w:t>考核说明：该项目考核分共</w:t>
            </w:r>
            <w:r>
              <w:rPr>
                <w:rFonts w:ascii="宋体" w:hAnsi="宋体" w:eastAsia="宋体" w:cs="Times New Roman"/>
                <w:color w:val="auto"/>
                <w:szCs w:val="21"/>
              </w:rPr>
              <w:t>1</w:t>
            </w:r>
            <w:r>
              <w:rPr>
                <w:rFonts w:hint="eastAsia" w:ascii="宋体" w:hAnsi="宋体" w:eastAsia="宋体" w:cs="Times New Roman"/>
                <w:color w:val="auto"/>
                <w:szCs w:val="21"/>
              </w:rPr>
              <w:t>0</w:t>
            </w:r>
            <w:r>
              <w:rPr>
                <w:rFonts w:ascii="宋体" w:hAnsi="宋体" w:eastAsia="宋体" w:cs="Times New Roman"/>
                <w:color w:val="auto"/>
                <w:szCs w:val="21"/>
              </w:rPr>
              <w:t>0</w:t>
            </w:r>
            <w:r>
              <w:rPr>
                <w:rFonts w:hint="eastAsia" w:ascii="宋体" w:hAnsi="宋体" w:eastAsia="宋体" w:cs="Times New Roman"/>
                <w:color w:val="auto"/>
                <w:szCs w:val="21"/>
              </w:rPr>
              <w:t>分，由学院管理部门在每天工作时间段内随机抽查考核，若当月同一考核项目连续不达标，则扣分项不受分值限制，直到扣完100分为止。学院按实际扣除分数扣减服务费（即被扣分数</w:t>
            </w:r>
            <w:r>
              <w:rPr>
                <w:rFonts w:ascii="宋体" w:hAnsi="宋体" w:eastAsia="宋体" w:cs="Arial"/>
                <w:color w:val="auto"/>
                <w:szCs w:val="21"/>
              </w:rPr>
              <w:t>×</w:t>
            </w:r>
            <w:r>
              <w:rPr>
                <w:rFonts w:hint="eastAsia" w:ascii="宋体" w:hAnsi="宋体" w:eastAsia="宋体" w:cs="宋体"/>
                <w:color w:val="auto"/>
                <w:szCs w:val="21"/>
              </w:rPr>
              <w:t>分值）</w:t>
            </w:r>
            <w:r>
              <w:rPr>
                <w:rFonts w:hint="eastAsia" w:ascii="宋体" w:hAnsi="宋体" w:eastAsia="宋体" w:cs="Times New Roman"/>
                <w:color w:val="auto"/>
                <w:szCs w:val="21"/>
              </w:rPr>
              <w:t>。</w:t>
            </w:r>
          </w:p>
        </w:tc>
      </w:tr>
    </w:tbl>
    <w:p w14:paraId="16CCCEFA">
      <w:pPr>
        <w:spacing w:line="360" w:lineRule="auto"/>
        <w:jc w:val="center"/>
        <w:rPr>
          <w:rFonts w:hint="eastAsia" w:ascii="黑体" w:hAnsi="黑体" w:eastAsia="黑体" w:cs="Times New Roman"/>
          <w:b/>
          <w:bCs/>
          <w:color w:val="auto"/>
          <w:sz w:val="32"/>
          <w:szCs w:val="32"/>
        </w:rPr>
      </w:pPr>
      <w:r>
        <w:rPr>
          <w:rFonts w:hint="eastAsia" w:ascii="黑体" w:hAnsi="黑体" w:eastAsia="黑体" w:cs="Times New Roman"/>
          <w:b/>
          <w:bCs/>
          <w:color w:val="auto"/>
          <w:sz w:val="32"/>
          <w:szCs w:val="32"/>
        </w:rPr>
        <w:br w:type="page"/>
      </w:r>
      <w:r>
        <w:rPr>
          <w:rFonts w:hint="eastAsia" w:ascii="黑体" w:hAnsi="黑体" w:eastAsia="黑体" w:cs="Times New Roman"/>
          <w:b/>
          <w:bCs/>
          <w:color w:val="auto"/>
          <w:sz w:val="32"/>
          <w:szCs w:val="32"/>
        </w:rPr>
        <w:t>综合物业服务质量考核表</w:t>
      </w:r>
    </w:p>
    <w:tbl>
      <w:tblPr>
        <w:tblStyle w:val="33"/>
        <w:tblW w:w="10263" w:type="dxa"/>
        <w:jc w:val="center"/>
        <w:tblLayout w:type="autofit"/>
        <w:tblCellMar>
          <w:top w:w="0" w:type="dxa"/>
          <w:left w:w="30" w:type="dxa"/>
          <w:bottom w:w="0" w:type="dxa"/>
          <w:right w:w="30" w:type="dxa"/>
        </w:tblCellMar>
      </w:tblPr>
      <w:tblGrid>
        <w:gridCol w:w="720"/>
        <w:gridCol w:w="4304"/>
        <w:gridCol w:w="3362"/>
        <w:gridCol w:w="497"/>
        <w:gridCol w:w="660"/>
        <w:gridCol w:w="720"/>
      </w:tblGrid>
      <w:tr w14:paraId="1184EE42">
        <w:tblPrEx>
          <w:tblCellMar>
            <w:top w:w="0" w:type="dxa"/>
            <w:left w:w="30" w:type="dxa"/>
            <w:bottom w:w="0" w:type="dxa"/>
            <w:right w:w="30" w:type="dxa"/>
          </w:tblCellMar>
        </w:tblPrEx>
        <w:trPr>
          <w:trHeight w:val="0" w:hRule="atLeast"/>
          <w:tblHeader/>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37125420">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序号</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383FEF69">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作业要求</w:t>
            </w:r>
          </w:p>
        </w:tc>
        <w:tc>
          <w:tcPr>
            <w:tcW w:w="3362" w:type="dxa"/>
            <w:tcBorders>
              <w:top w:val="single" w:color="auto" w:sz="6" w:space="0"/>
              <w:left w:val="single" w:color="auto" w:sz="6" w:space="0"/>
              <w:bottom w:val="single" w:color="auto" w:sz="6" w:space="0"/>
              <w:right w:val="single" w:color="auto" w:sz="6" w:space="0"/>
            </w:tcBorders>
            <w:noWrap w:val="0"/>
            <w:vAlign w:val="center"/>
          </w:tcPr>
          <w:p w14:paraId="1F8A59E8">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考核标准</w:t>
            </w:r>
          </w:p>
        </w:tc>
        <w:tc>
          <w:tcPr>
            <w:tcW w:w="497" w:type="dxa"/>
            <w:tcBorders>
              <w:top w:val="single" w:color="auto" w:sz="6" w:space="0"/>
              <w:left w:val="single" w:color="auto" w:sz="6" w:space="0"/>
              <w:bottom w:val="single" w:color="auto" w:sz="6" w:space="0"/>
              <w:right w:val="single" w:color="auto" w:sz="6" w:space="0"/>
            </w:tcBorders>
            <w:noWrap w:val="0"/>
            <w:vAlign w:val="center"/>
          </w:tcPr>
          <w:p w14:paraId="2B586A7D">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核定分值</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307FACEB">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抽检得分</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2CE57FD9">
            <w:pPr>
              <w:snapToGrid w:val="0"/>
              <w:spacing w:line="240" w:lineRule="auto"/>
              <w:ind w:left="0" w:leftChars="0" w:right="0" w:rightChars="0" w:firstLine="0" w:firstLineChars="0"/>
              <w:jc w:val="center"/>
              <w:rPr>
                <w:rFonts w:ascii="宋体" w:hAnsi="宋体" w:eastAsia="宋体" w:cs="Times New Roman"/>
                <w:b/>
                <w:bCs/>
                <w:color w:val="auto"/>
                <w:szCs w:val="21"/>
              </w:rPr>
            </w:pPr>
            <w:r>
              <w:rPr>
                <w:rFonts w:hint="eastAsia" w:ascii="宋体" w:hAnsi="宋体" w:eastAsia="宋体" w:cs="Times New Roman"/>
                <w:b/>
                <w:bCs/>
                <w:color w:val="auto"/>
                <w:szCs w:val="21"/>
              </w:rPr>
              <w:t>备注</w:t>
            </w:r>
          </w:p>
        </w:tc>
      </w:tr>
      <w:tr w14:paraId="3D89F8B4">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73ED8131">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4D992A9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综合物业服务是指：校园公物管理、工具发放、学生用品发放、房产管理等工作。</w:t>
            </w:r>
          </w:p>
        </w:tc>
        <w:tc>
          <w:tcPr>
            <w:tcW w:w="3362" w:type="dxa"/>
            <w:tcBorders>
              <w:top w:val="single" w:color="auto" w:sz="6" w:space="0"/>
              <w:left w:val="single" w:color="auto" w:sz="6" w:space="0"/>
              <w:bottom w:val="single" w:color="auto" w:sz="6" w:space="0"/>
              <w:right w:val="single" w:color="auto" w:sz="6" w:space="0"/>
            </w:tcBorders>
            <w:noWrap w:val="0"/>
            <w:vAlign w:val="center"/>
          </w:tcPr>
          <w:p w14:paraId="60842CE4">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明确物业服务的内涵，主动服务。服务不及时影响工作的，每次扣</w:t>
            </w:r>
            <w:r>
              <w:rPr>
                <w:rFonts w:ascii="宋体" w:hAnsi="宋体" w:eastAsia="宋体" w:cs="Times New Roman"/>
                <w:color w:val="auto"/>
                <w:szCs w:val="21"/>
              </w:rPr>
              <w:t>10</w:t>
            </w:r>
            <w:r>
              <w:rPr>
                <w:rFonts w:hint="eastAsia" w:ascii="宋体" w:hAnsi="宋体" w:eastAsia="宋体" w:cs="Times New Roman"/>
                <w:color w:val="auto"/>
                <w:szCs w:val="21"/>
              </w:rPr>
              <w:t>分。</w:t>
            </w:r>
          </w:p>
        </w:tc>
        <w:tc>
          <w:tcPr>
            <w:tcW w:w="497" w:type="dxa"/>
            <w:tcBorders>
              <w:top w:val="single" w:color="auto" w:sz="6" w:space="0"/>
              <w:left w:val="single" w:color="auto" w:sz="6" w:space="0"/>
              <w:bottom w:val="single" w:color="auto" w:sz="6" w:space="0"/>
              <w:right w:val="single" w:color="auto" w:sz="6" w:space="0"/>
            </w:tcBorders>
            <w:noWrap w:val="0"/>
            <w:vAlign w:val="center"/>
          </w:tcPr>
          <w:p w14:paraId="421BAB90">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6D92006C">
            <w:pPr>
              <w:snapToGrid w:val="0"/>
              <w:spacing w:line="240" w:lineRule="auto"/>
              <w:ind w:left="0" w:leftChars="0" w:right="0" w:rightChars="0" w:firstLine="0" w:firstLineChars="0"/>
              <w:jc w:val="center"/>
              <w:rPr>
                <w:rFonts w:hint="default" w:ascii="宋体" w:hAnsi="宋体" w:eastAsia="宋体" w:cs="Times New Roman"/>
                <w:bCs/>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04AC1559">
            <w:pPr>
              <w:snapToGrid w:val="0"/>
              <w:spacing w:line="240" w:lineRule="auto"/>
              <w:ind w:left="0" w:leftChars="0" w:right="0" w:rightChars="0" w:firstLine="0" w:firstLineChars="0"/>
              <w:jc w:val="center"/>
              <w:rPr>
                <w:rFonts w:ascii="宋体" w:hAnsi="宋体" w:eastAsia="宋体" w:cs="Times New Roman"/>
                <w:bCs/>
                <w:color w:val="auto"/>
                <w:szCs w:val="21"/>
              </w:rPr>
            </w:pPr>
          </w:p>
        </w:tc>
      </w:tr>
      <w:tr w14:paraId="3D0CAE6A">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000000" w:sz="2" w:space="0"/>
              <w:right w:val="single" w:color="auto" w:sz="6" w:space="0"/>
            </w:tcBorders>
            <w:noWrap w:val="0"/>
            <w:vAlign w:val="center"/>
          </w:tcPr>
          <w:p w14:paraId="60126D0F">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2</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020A6227">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规章制度健全；有年度物业服务保障计划；组织结构有领班；有人员档案。</w:t>
            </w:r>
          </w:p>
        </w:tc>
        <w:tc>
          <w:tcPr>
            <w:tcW w:w="3362" w:type="dxa"/>
            <w:tcBorders>
              <w:top w:val="single" w:color="auto" w:sz="6" w:space="0"/>
              <w:left w:val="single" w:color="auto" w:sz="6" w:space="0"/>
              <w:bottom w:val="single" w:color="auto" w:sz="6" w:space="0"/>
              <w:right w:val="single" w:color="auto" w:sz="6" w:space="0"/>
            </w:tcBorders>
            <w:noWrap w:val="0"/>
            <w:vAlign w:val="center"/>
          </w:tcPr>
          <w:p w14:paraId="759D35B8">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健全（每项</w:t>
            </w:r>
            <w:r>
              <w:rPr>
                <w:rFonts w:ascii="宋体" w:hAnsi="宋体" w:eastAsia="宋体" w:cs="Times New Roman"/>
                <w:color w:val="auto"/>
                <w:szCs w:val="21"/>
              </w:rPr>
              <w:t>2.5</w:t>
            </w:r>
            <w:r>
              <w:rPr>
                <w:rFonts w:hint="eastAsia" w:ascii="宋体" w:hAnsi="宋体" w:eastAsia="宋体" w:cs="Times New Roman"/>
                <w:color w:val="auto"/>
                <w:szCs w:val="21"/>
              </w:rPr>
              <w:t>分）。</w:t>
            </w:r>
          </w:p>
        </w:tc>
        <w:tc>
          <w:tcPr>
            <w:tcW w:w="497" w:type="dxa"/>
            <w:tcBorders>
              <w:top w:val="single" w:color="auto" w:sz="6" w:space="0"/>
              <w:left w:val="single" w:color="auto" w:sz="6" w:space="0"/>
              <w:bottom w:val="single" w:color="auto" w:sz="6" w:space="0"/>
              <w:right w:val="single" w:color="auto" w:sz="6" w:space="0"/>
            </w:tcBorders>
            <w:noWrap w:val="0"/>
            <w:vAlign w:val="center"/>
          </w:tcPr>
          <w:p w14:paraId="1FDDD1DC">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63880F8A">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0BED15F1">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23885A5">
        <w:tblPrEx>
          <w:tblCellMar>
            <w:top w:w="0" w:type="dxa"/>
            <w:left w:w="30" w:type="dxa"/>
            <w:bottom w:w="0" w:type="dxa"/>
            <w:right w:w="30" w:type="dxa"/>
          </w:tblCellMar>
        </w:tblPrEx>
        <w:trPr>
          <w:trHeight w:val="0" w:hRule="atLeast"/>
          <w:jc w:val="center"/>
        </w:trPr>
        <w:tc>
          <w:tcPr>
            <w:tcW w:w="720" w:type="dxa"/>
            <w:tcBorders>
              <w:top w:val="single" w:color="000000" w:sz="2" w:space="0"/>
              <w:left w:val="single" w:color="auto" w:sz="6" w:space="0"/>
              <w:bottom w:val="single" w:color="auto" w:sz="6" w:space="0"/>
              <w:right w:val="single" w:color="auto" w:sz="6" w:space="0"/>
            </w:tcBorders>
            <w:noWrap w:val="0"/>
            <w:vAlign w:val="center"/>
          </w:tcPr>
          <w:p w14:paraId="3C25DDD6">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3</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60761BAF">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精神面貌好，服装统一、佩戴统一标识。</w:t>
            </w:r>
          </w:p>
        </w:tc>
        <w:tc>
          <w:tcPr>
            <w:tcW w:w="3362" w:type="dxa"/>
            <w:tcBorders>
              <w:top w:val="single" w:color="auto" w:sz="6" w:space="0"/>
              <w:left w:val="single" w:color="auto" w:sz="6" w:space="0"/>
              <w:bottom w:val="single" w:color="auto" w:sz="6" w:space="0"/>
              <w:right w:val="single" w:color="auto" w:sz="6" w:space="0"/>
            </w:tcBorders>
            <w:noWrap w:val="0"/>
            <w:vAlign w:val="center"/>
          </w:tcPr>
          <w:p w14:paraId="56B60F9D">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整齐、统一（每项</w:t>
            </w:r>
            <w:r>
              <w:rPr>
                <w:rFonts w:ascii="宋体" w:hAnsi="宋体" w:eastAsia="宋体" w:cs="Times New Roman"/>
                <w:color w:val="auto"/>
                <w:szCs w:val="21"/>
              </w:rPr>
              <w:t>1</w:t>
            </w:r>
            <w:r>
              <w:rPr>
                <w:rFonts w:hint="eastAsia" w:ascii="宋体" w:hAnsi="宋体" w:eastAsia="宋体" w:cs="Times New Roman"/>
                <w:color w:val="auto"/>
                <w:szCs w:val="21"/>
              </w:rPr>
              <w:t>分）。</w:t>
            </w:r>
          </w:p>
        </w:tc>
        <w:tc>
          <w:tcPr>
            <w:tcW w:w="497" w:type="dxa"/>
            <w:tcBorders>
              <w:top w:val="single" w:color="auto" w:sz="6" w:space="0"/>
              <w:left w:val="single" w:color="auto" w:sz="6" w:space="0"/>
              <w:bottom w:val="single" w:color="auto" w:sz="6" w:space="0"/>
              <w:right w:val="single" w:color="auto" w:sz="6" w:space="0"/>
            </w:tcBorders>
            <w:noWrap w:val="0"/>
            <w:vAlign w:val="center"/>
          </w:tcPr>
          <w:p w14:paraId="444B8BA8">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5A2EBAB5">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52195701">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6E8E31DA">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765D0BA6">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4</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3717E3B8">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全面掌握校内房屋使用情况，每学期开学前一周，根据学院工作计划，合理分配学生宿舍、教室，清理房门钥匙，及时配齐和发放到各部门或班级。</w:t>
            </w:r>
          </w:p>
        </w:tc>
        <w:tc>
          <w:tcPr>
            <w:tcW w:w="3362" w:type="dxa"/>
            <w:tcBorders>
              <w:top w:val="single" w:color="auto" w:sz="6" w:space="0"/>
              <w:left w:val="single" w:color="auto" w:sz="6" w:space="0"/>
              <w:bottom w:val="single" w:color="auto" w:sz="6" w:space="0"/>
              <w:right w:val="single" w:color="auto" w:sz="6" w:space="0"/>
            </w:tcBorders>
            <w:noWrap w:val="0"/>
            <w:vAlign w:val="center"/>
          </w:tcPr>
          <w:p w14:paraId="4AD728A9">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绘制房屋使用平面图，清晰直观，及时发放钥匙和跟踪使用情况，及时配合房屋或钥匙使用过程中出现的问题。每出现失误</w:t>
            </w:r>
            <w:r>
              <w:rPr>
                <w:rFonts w:ascii="宋体" w:hAnsi="宋体" w:eastAsia="宋体" w:cs="Times New Roman"/>
                <w:color w:val="auto"/>
                <w:szCs w:val="21"/>
              </w:rPr>
              <w:t>1</w:t>
            </w:r>
            <w:r>
              <w:rPr>
                <w:rFonts w:hint="eastAsia" w:ascii="宋体" w:hAnsi="宋体" w:eastAsia="宋体" w:cs="Times New Roman"/>
                <w:color w:val="auto"/>
                <w:szCs w:val="21"/>
              </w:rPr>
              <w:t>次（项）扣</w:t>
            </w:r>
            <w:r>
              <w:rPr>
                <w:rFonts w:ascii="宋体" w:hAnsi="宋体" w:eastAsia="宋体" w:cs="Times New Roman"/>
                <w:color w:val="auto"/>
                <w:szCs w:val="21"/>
              </w:rPr>
              <w:t>5</w:t>
            </w:r>
            <w:r>
              <w:rPr>
                <w:rFonts w:hint="eastAsia" w:ascii="宋体" w:hAnsi="宋体" w:eastAsia="宋体" w:cs="Times New Roman"/>
                <w:color w:val="auto"/>
                <w:szCs w:val="21"/>
              </w:rPr>
              <w:t>分。</w:t>
            </w:r>
          </w:p>
        </w:tc>
        <w:tc>
          <w:tcPr>
            <w:tcW w:w="497" w:type="dxa"/>
            <w:tcBorders>
              <w:top w:val="single" w:color="auto" w:sz="6" w:space="0"/>
              <w:left w:val="single" w:color="auto" w:sz="6" w:space="0"/>
              <w:bottom w:val="single" w:color="auto" w:sz="6" w:space="0"/>
              <w:right w:val="single" w:color="auto" w:sz="6" w:space="0"/>
            </w:tcBorders>
            <w:noWrap w:val="0"/>
            <w:vAlign w:val="center"/>
          </w:tcPr>
          <w:p w14:paraId="18C310EC">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704BEFDE">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078B8732">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089B5600">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423EE827">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5</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7FD14C60">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每学期分</w:t>
            </w:r>
            <w:r>
              <w:rPr>
                <w:rFonts w:ascii="宋体" w:hAnsi="宋体" w:eastAsia="宋体" w:cs="Times New Roman"/>
                <w:color w:val="auto"/>
                <w:szCs w:val="21"/>
              </w:rPr>
              <w:t>2</w:t>
            </w:r>
            <w:r>
              <w:rPr>
                <w:rFonts w:hint="eastAsia" w:ascii="宋体" w:hAnsi="宋体" w:eastAsia="宋体" w:cs="Times New Roman"/>
                <w:color w:val="auto"/>
                <w:szCs w:val="21"/>
              </w:rPr>
              <w:t>次检查校内房屋使用情况，发现异常，及时报告和处理。每学期末，要全面清查房屋使用情况，需维修的，及时报告物管公司领导，使用有变动的，要及时登记并办理变更手续，学生毕业或房屋收回，要及时将钥匙收回。</w:t>
            </w:r>
          </w:p>
        </w:tc>
        <w:tc>
          <w:tcPr>
            <w:tcW w:w="3362" w:type="dxa"/>
            <w:tcBorders>
              <w:top w:val="single" w:color="auto" w:sz="6" w:space="0"/>
              <w:left w:val="single" w:color="auto" w:sz="6" w:space="0"/>
              <w:bottom w:val="single" w:color="auto" w:sz="6" w:space="0"/>
              <w:right w:val="single" w:color="auto" w:sz="6" w:space="0"/>
            </w:tcBorders>
            <w:noWrap w:val="0"/>
            <w:vAlign w:val="center"/>
          </w:tcPr>
          <w:p w14:paraId="3EECD5D5">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发现</w:t>
            </w:r>
            <w:r>
              <w:rPr>
                <w:rFonts w:ascii="宋体" w:hAnsi="宋体" w:eastAsia="宋体" w:cs="Times New Roman"/>
                <w:color w:val="auto"/>
                <w:szCs w:val="21"/>
              </w:rPr>
              <w:t>1</w:t>
            </w:r>
            <w:r>
              <w:rPr>
                <w:rFonts w:hint="eastAsia" w:ascii="宋体" w:hAnsi="宋体" w:eastAsia="宋体" w:cs="Times New Roman"/>
                <w:color w:val="auto"/>
                <w:szCs w:val="21"/>
              </w:rPr>
              <w:t>项失误扣</w:t>
            </w:r>
            <w:r>
              <w:rPr>
                <w:rFonts w:ascii="宋体" w:hAnsi="宋体" w:eastAsia="宋体" w:cs="Times New Roman"/>
                <w:color w:val="auto"/>
                <w:szCs w:val="21"/>
              </w:rPr>
              <w:t>5</w:t>
            </w:r>
            <w:r>
              <w:rPr>
                <w:rFonts w:hint="eastAsia" w:ascii="宋体" w:hAnsi="宋体" w:eastAsia="宋体" w:cs="Times New Roman"/>
                <w:color w:val="auto"/>
                <w:szCs w:val="21"/>
              </w:rPr>
              <w:t>分。</w:t>
            </w:r>
          </w:p>
        </w:tc>
        <w:tc>
          <w:tcPr>
            <w:tcW w:w="497" w:type="dxa"/>
            <w:tcBorders>
              <w:top w:val="single" w:color="auto" w:sz="6" w:space="0"/>
              <w:left w:val="single" w:color="auto" w:sz="6" w:space="0"/>
              <w:bottom w:val="single" w:color="auto" w:sz="6" w:space="0"/>
              <w:right w:val="single" w:color="auto" w:sz="6" w:space="0"/>
            </w:tcBorders>
            <w:noWrap w:val="0"/>
            <w:vAlign w:val="center"/>
          </w:tcPr>
          <w:p w14:paraId="6666138B">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06C233D6">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3A1CE5E9">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6B5CC20E">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000000" w:sz="2" w:space="0"/>
              <w:right w:val="single" w:color="auto" w:sz="6" w:space="0"/>
            </w:tcBorders>
            <w:noWrap w:val="0"/>
            <w:vAlign w:val="center"/>
          </w:tcPr>
          <w:p w14:paraId="7610E02C">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6</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4AE00FC8">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新生开学时，按照学院工作计划和主管部门安排，及时将新生用物品（钥匙、卫生工具、学生行李）等及时发放给学生。</w:t>
            </w:r>
          </w:p>
        </w:tc>
        <w:tc>
          <w:tcPr>
            <w:tcW w:w="3362" w:type="dxa"/>
            <w:tcBorders>
              <w:top w:val="single" w:color="auto" w:sz="6" w:space="0"/>
              <w:left w:val="single" w:color="auto" w:sz="6" w:space="0"/>
              <w:bottom w:val="single" w:color="auto" w:sz="6" w:space="0"/>
              <w:right w:val="single" w:color="auto" w:sz="6" w:space="0"/>
            </w:tcBorders>
            <w:noWrap w:val="0"/>
            <w:vAlign w:val="center"/>
          </w:tcPr>
          <w:p w14:paraId="34DB4D6C">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工作无失误（每出现</w:t>
            </w:r>
            <w:r>
              <w:rPr>
                <w:rFonts w:ascii="宋体" w:hAnsi="宋体" w:eastAsia="宋体" w:cs="Times New Roman"/>
                <w:color w:val="auto"/>
                <w:szCs w:val="21"/>
              </w:rPr>
              <w:t>1</w:t>
            </w:r>
            <w:r>
              <w:rPr>
                <w:rFonts w:hint="eastAsia" w:ascii="宋体" w:hAnsi="宋体" w:eastAsia="宋体" w:cs="Times New Roman"/>
                <w:color w:val="auto"/>
                <w:szCs w:val="21"/>
              </w:rPr>
              <w:t>次扣</w:t>
            </w:r>
            <w:r>
              <w:rPr>
                <w:rFonts w:ascii="宋体" w:hAnsi="宋体" w:eastAsia="宋体" w:cs="Times New Roman"/>
                <w:color w:val="auto"/>
                <w:szCs w:val="21"/>
              </w:rPr>
              <w:t>5</w:t>
            </w:r>
            <w:r>
              <w:rPr>
                <w:rFonts w:hint="eastAsia" w:ascii="宋体" w:hAnsi="宋体" w:eastAsia="宋体" w:cs="Times New Roman"/>
                <w:color w:val="auto"/>
                <w:szCs w:val="21"/>
              </w:rPr>
              <w:t>分），物品差错负责赔偿。</w:t>
            </w:r>
          </w:p>
        </w:tc>
        <w:tc>
          <w:tcPr>
            <w:tcW w:w="497" w:type="dxa"/>
            <w:tcBorders>
              <w:top w:val="single" w:color="auto" w:sz="6" w:space="0"/>
              <w:left w:val="single" w:color="auto" w:sz="6" w:space="0"/>
              <w:bottom w:val="single" w:color="auto" w:sz="6" w:space="0"/>
              <w:right w:val="single" w:color="auto" w:sz="6" w:space="0"/>
            </w:tcBorders>
            <w:noWrap w:val="0"/>
            <w:vAlign w:val="center"/>
          </w:tcPr>
          <w:p w14:paraId="751451AD">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0D7C66FD">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345813BD">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4B744579">
        <w:tblPrEx>
          <w:tblCellMar>
            <w:top w:w="0" w:type="dxa"/>
            <w:left w:w="30" w:type="dxa"/>
            <w:bottom w:w="0" w:type="dxa"/>
            <w:right w:w="30" w:type="dxa"/>
          </w:tblCellMar>
        </w:tblPrEx>
        <w:trPr>
          <w:trHeight w:val="0" w:hRule="atLeast"/>
          <w:jc w:val="center"/>
        </w:trPr>
        <w:tc>
          <w:tcPr>
            <w:tcW w:w="720" w:type="dxa"/>
            <w:tcBorders>
              <w:top w:val="single" w:color="000000" w:sz="2" w:space="0"/>
              <w:left w:val="single" w:color="auto" w:sz="6" w:space="0"/>
              <w:bottom w:val="single" w:color="auto" w:sz="6" w:space="0"/>
              <w:right w:val="single" w:color="auto" w:sz="6" w:space="0"/>
            </w:tcBorders>
            <w:noWrap w:val="0"/>
            <w:vAlign w:val="center"/>
          </w:tcPr>
          <w:p w14:paraId="64580D14">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7</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7643AD2E">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结合学院物业服务特点，制定全方面后勤保障工作计划，涵盖日常全部物业服务工作，不留死角，并组织实施，确保学院后勤保障工作顺利开展。</w:t>
            </w:r>
          </w:p>
        </w:tc>
        <w:tc>
          <w:tcPr>
            <w:tcW w:w="3362" w:type="dxa"/>
            <w:tcBorders>
              <w:top w:val="single" w:color="auto" w:sz="6" w:space="0"/>
              <w:left w:val="single" w:color="auto" w:sz="6" w:space="0"/>
              <w:bottom w:val="single" w:color="auto" w:sz="6" w:space="0"/>
              <w:right w:val="single" w:color="auto" w:sz="6" w:space="0"/>
            </w:tcBorders>
            <w:noWrap w:val="0"/>
            <w:vAlign w:val="center"/>
          </w:tcPr>
          <w:p w14:paraId="58677B43">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缺计划扣</w:t>
            </w:r>
            <w:r>
              <w:rPr>
                <w:rFonts w:ascii="宋体" w:hAnsi="宋体" w:eastAsia="宋体" w:cs="Times New Roman"/>
                <w:color w:val="auto"/>
                <w:szCs w:val="21"/>
              </w:rPr>
              <w:t>5</w:t>
            </w:r>
            <w:r>
              <w:rPr>
                <w:rFonts w:hint="eastAsia" w:ascii="宋体" w:hAnsi="宋体" w:eastAsia="宋体" w:cs="Times New Roman"/>
                <w:color w:val="auto"/>
                <w:szCs w:val="21"/>
              </w:rPr>
              <w:t>分，日常物业服务保障不及时的，发现</w:t>
            </w:r>
            <w:r>
              <w:rPr>
                <w:rFonts w:ascii="宋体" w:hAnsi="宋体" w:eastAsia="宋体" w:cs="Times New Roman"/>
                <w:color w:val="auto"/>
                <w:szCs w:val="21"/>
              </w:rPr>
              <w:t>1</w:t>
            </w:r>
            <w:r>
              <w:rPr>
                <w:rFonts w:hint="eastAsia" w:ascii="宋体" w:hAnsi="宋体" w:eastAsia="宋体" w:cs="Times New Roman"/>
                <w:color w:val="auto"/>
                <w:szCs w:val="21"/>
              </w:rPr>
              <w:t>次扣</w:t>
            </w:r>
            <w:r>
              <w:rPr>
                <w:rFonts w:ascii="宋体" w:hAnsi="宋体" w:eastAsia="宋体" w:cs="Times New Roman"/>
                <w:color w:val="auto"/>
                <w:szCs w:val="21"/>
              </w:rPr>
              <w:t>5</w:t>
            </w:r>
            <w:r>
              <w:rPr>
                <w:rFonts w:hint="eastAsia" w:ascii="宋体" w:hAnsi="宋体" w:eastAsia="宋体" w:cs="Times New Roman"/>
                <w:color w:val="auto"/>
                <w:szCs w:val="21"/>
              </w:rPr>
              <w:t>分。</w:t>
            </w:r>
          </w:p>
        </w:tc>
        <w:tc>
          <w:tcPr>
            <w:tcW w:w="497" w:type="dxa"/>
            <w:tcBorders>
              <w:top w:val="single" w:color="auto" w:sz="6" w:space="0"/>
              <w:left w:val="single" w:color="auto" w:sz="6" w:space="0"/>
              <w:bottom w:val="single" w:color="auto" w:sz="6" w:space="0"/>
              <w:right w:val="single" w:color="auto" w:sz="6" w:space="0"/>
            </w:tcBorders>
            <w:noWrap w:val="0"/>
            <w:vAlign w:val="center"/>
          </w:tcPr>
          <w:p w14:paraId="631BFB7E">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1B489CC7">
            <w:pPr>
              <w:snapToGrid w:val="0"/>
              <w:spacing w:line="240" w:lineRule="auto"/>
              <w:ind w:left="0" w:leftChars="0" w:right="0" w:rightChars="0" w:firstLine="0" w:firstLineChars="0"/>
              <w:jc w:val="center"/>
              <w:rPr>
                <w:rFonts w:hint="default" w:ascii="宋体" w:hAnsi="宋体" w:eastAsia="宋体" w:cs="Times New Roman"/>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40C23206">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7DAADFFB">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4A05A8A1">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8</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48054BCA">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每学期开学前一周，全面检查公物，确保学正常生入住教室、宿舍。按照</w:t>
            </w:r>
            <w:r>
              <w:rPr>
                <w:rFonts w:hint="eastAsia" w:ascii="宋体" w:hAnsi="宋体" w:eastAsia="宋体" w:cs="Times New Roman"/>
                <w:color w:val="auto"/>
                <w:szCs w:val="21"/>
                <w:lang w:eastAsia="zh-CN"/>
              </w:rPr>
              <w:t>后勤基建处</w:t>
            </w:r>
            <w:r>
              <w:rPr>
                <w:rFonts w:hint="eastAsia" w:ascii="宋体" w:hAnsi="宋体" w:eastAsia="宋体" w:cs="Times New Roman"/>
                <w:color w:val="auto"/>
                <w:szCs w:val="21"/>
              </w:rPr>
              <w:t>安排，及时与各系、班级办理教室、宿舍移交手续，以移交清单为依据管理教室、宿舍内资产，落实日常管理和维修维护责任。</w:t>
            </w:r>
          </w:p>
        </w:tc>
        <w:tc>
          <w:tcPr>
            <w:tcW w:w="3362" w:type="dxa"/>
            <w:tcBorders>
              <w:top w:val="single" w:color="auto" w:sz="6" w:space="0"/>
              <w:left w:val="single" w:color="auto" w:sz="6" w:space="0"/>
              <w:bottom w:val="single" w:color="auto" w:sz="6" w:space="0"/>
              <w:right w:val="single" w:color="auto" w:sz="6" w:space="0"/>
            </w:tcBorders>
            <w:noWrap w:val="0"/>
            <w:vAlign w:val="center"/>
          </w:tcPr>
          <w:p w14:paraId="4FDD8912">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影响</w:t>
            </w:r>
            <w:r>
              <w:rPr>
                <w:rFonts w:ascii="宋体" w:hAnsi="宋体" w:eastAsia="宋体" w:cs="Times New Roman"/>
                <w:color w:val="auto"/>
                <w:szCs w:val="21"/>
              </w:rPr>
              <w:t>1</w:t>
            </w:r>
            <w:r>
              <w:rPr>
                <w:rFonts w:hint="eastAsia" w:ascii="宋体" w:hAnsi="宋体" w:eastAsia="宋体" w:cs="Times New Roman"/>
                <w:color w:val="auto"/>
                <w:szCs w:val="21"/>
              </w:rPr>
              <w:t>项扣</w:t>
            </w:r>
            <w:r>
              <w:rPr>
                <w:rFonts w:ascii="宋体" w:hAnsi="宋体" w:eastAsia="宋体" w:cs="Times New Roman"/>
                <w:color w:val="auto"/>
                <w:szCs w:val="21"/>
              </w:rPr>
              <w:t>5</w:t>
            </w:r>
            <w:r>
              <w:rPr>
                <w:rFonts w:hint="eastAsia" w:ascii="宋体" w:hAnsi="宋体" w:eastAsia="宋体" w:cs="Times New Roman"/>
                <w:color w:val="auto"/>
                <w:szCs w:val="21"/>
              </w:rPr>
              <w:t>分。</w:t>
            </w:r>
          </w:p>
        </w:tc>
        <w:tc>
          <w:tcPr>
            <w:tcW w:w="497" w:type="dxa"/>
            <w:tcBorders>
              <w:top w:val="single" w:color="auto" w:sz="6" w:space="0"/>
              <w:left w:val="single" w:color="auto" w:sz="6" w:space="0"/>
              <w:bottom w:val="single" w:color="auto" w:sz="6" w:space="0"/>
              <w:right w:val="single" w:color="auto" w:sz="6" w:space="0"/>
            </w:tcBorders>
            <w:noWrap w:val="0"/>
            <w:vAlign w:val="center"/>
          </w:tcPr>
          <w:p w14:paraId="5D645013">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4FA5CD78">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12855630">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13A53B2F">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3FFD184D">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9</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09BA72F2">
            <w:pPr>
              <w:keepNext w:val="0"/>
              <w:keepLines w:val="0"/>
              <w:pageBreakBefore w:val="0"/>
              <w:widowControl/>
              <w:numPr>
                <w:ilvl w:val="0"/>
                <w:numId w:val="13"/>
              </w:numPr>
              <w:kinsoku w:val="0"/>
              <w:wordWrap/>
              <w:overflowPunct/>
              <w:topLinePunct w:val="0"/>
              <w:autoSpaceDE/>
              <w:autoSpaceDN w:val="0"/>
              <w:bidi w:val="0"/>
              <w:adjustRightInd w:val="0"/>
              <w:snapToGrid w:val="0"/>
              <w:spacing w:line="240" w:lineRule="auto"/>
              <w:ind w:left="0" w:leftChars="0" w:firstLine="425" w:firstLineChars="0"/>
              <w:jc w:val="left"/>
              <w:textAlignment w:val="auto"/>
              <w:rPr>
                <w:rFonts w:hint="eastAsia" w:ascii="宋体" w:hAnsi="宋体" w:eastAsia="宋体" w:cs="宋体"/>
                <w:color w:val="000000"/>
                <w:kern w:val="0"/>
                <w:sz w:val="21"/>
                <w:szCs w:val="21"/>
              </w:rPr>
            </w:pPr>
            <w:r>
              <w:rPr>
                <w:rFonts w:hint="eastAsia" w:ascii="宋体" w:hAnsi="宋体" w:eastAsia="宋体" w:cs="Times New Roman"/>
                <w:color w:val="auto"/>
                <w:szCs w:val="21"/>
                <w:lang w:eastAsia="zh-CN"/>
              </w:rPr>
              <w:t>会议保障服务</w:t>
            </w:r>
            <w:r>
              <w:rPr>
                <w:rFonts w:hint="eastAsia" w:ascii="宋体" w:hAnsi="宋体" w:eastAsia="宋体" w:cs="Times New Roman"/>
                <w:color w:val="auto"/>
                <w:szCs w:val="21"/>
              </w:rPr>
              <w:t>：</w:t>
            </w:r>
            <w:r>
              <w:rPr>
                <w:rFonts w:hint="eastAsia" w:ascii="宋体" w:hAnsi="宋体" w:eastAsia="宋体" w:cs="宋体"/>
                <w:color w:val="000000"/>
                <w:kern w:val="0"/>
                <w:sz w:val="21"/>
                <w:szCs w:val="21"/>
              </w:rPr>
              <w:t>会前按需求完成会场清洁消杀、桌椅摆放、灯光/空调调试，确保场地无杂物、设施正常运行；会后1小时内完成会场复原、垃圾清运。</w:t>
            </w:r>
          </w:p>
          <w:p w14:paraId="6AF8E818">
            <w:pPr>
              <w:keepNext w:val="0"/>
              <w:keepLines w:val="0"/>
              <w:pageBreakBefore w:val="0"/>
              <w:widowControl/>
              <w:numPr>
                <w:ilvl w:val="0"/>
                <w:numId w:val="13"/>
              </w:numPr>
              <w:kinsoku w:val="0"/>
              <w:wordWrap/>
              <w:overflowPunct/>
              <w:topLinePunct w:val="0"/>
              <w:autoSpaceDE/>
              <w:autoSpaceDN w:val="0"/>
              <w:bidi w:val="0"/>
              <w:adjustRightInd w:val="0"/>
              <w:snapToGrid w:val="0"/>
              <w:spacing w:line="240" w:lineRule="auto"/>
              <w:ind w:left="0" w:leftChars="0" w:firstLine="425"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配合</w:t>
            </w:r>
            <w:r>
              <w:rPr>
                <w:rFonts w:hint="eastAsia" w:ascii="宋体" w:hAnsi="宋体" w:eastAsia="宋体" w:cs="宋体"/>
                <w:color w:val="000000"/>
                <w:kern w:val="0"/>
                <w:sz w:val="21"/>
                <w:szCs w:val="21"/>
                <w:lang w:eastAsia="zh-CN"/>
              </w:rPr>
              <w:t>学院</w:t>
            </w:r>
            <w:r>
              <w:rPr>
                <w:rFonts w:hint="eastAsia" w:ascii="宋体" w:hAnsi="宋体" w:eastAsia="宋体" w:cs="宋体"/>
                <w:color w:val="000000"/>
                <w:kern w:val="0"/>
                <w:sz w:val="21"/>
                <w:szCs w:val="21"/>
              </w:rPr>
              <w:t>做好音响、投影、麦克风、签到设备调试。</w:t>
            </w:r>
          </w:p>
          <w:p w14:paraId="2DE415FC">
            <w:pPr>
              <w:keepNext w:val="0"/>
              <w:keepLines w:val="0"/>
              <w:pageBreakBefore w:val="0"/>
              <w:widowControl/>
              <w:numPr>
                <w:ilvl w:val="0"/>
                <w:numId w:val="13"/>
              </w:numPr>
              <w:kinsoku w:val="0"/>
              <w:wordWrap/>
              <w:overflowPunct/>
              <w:topLinePunct w:val="0"/>
              <w:autoSpaceDE/>
              <w:autoSpaceDN w:val="0"/>
              <w:bidi w:val="0"/>
              <w:adjustRightInd w:val="0"/>
              <w:snapToGrid w:val="0"/>
              <w:spacing w:line="240" w:lineRule="auto"/>
              <w:ind w:left="0" w:leftChars="0" w:firstLine="425"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配备专属会务对接人+现场服务团队（含接待、引导、秩序维护），人员着装统一、服务规范、形象良好，熟悉会务流程及场地布局。</w:t>
            </w:r>
          </w:p>
          <w:p w14:paraId="67334D59">
            <w:pPr>
              <w:keepNext w:val="0"/>
              <w:keepLines w:val="0"/>
              <w:pageBreakBefore w:val="0"/>
              <w:widowControl/>
              <w:numPr>
                <w:ilvl w:val="0"/>
                <w:numId w:val="13"/>
              </w:numPr>
              <w:kinsoku w:val="0"/>
              <w:wordWrap/>
              <w:overflowPunct/>
              <w:topLinePunct w:val="0"/>
              <w:autoSpaceDE/>
              <w:autoSpaceDN w:val="0"/>
              <w:bidi w:val="0"/>
              <w:adjustRightInd w:val="0"/>
              <w:snapToGrid w:val="0"/>
              <w:spacing w:line="240" w:lineRule="auto"/>
              <w:ind w:left="0" w:leftChars="0" w:firstLine="425" w:firstLineChars="0"/>
              <w:jc w:val="left"/>
              <w:textAlignment w:val="auto"/>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精准对接会务需求，细化流程方案，做好茶水、物料、嘉宾接待等工作。</w:t>
            </w:r>
          </w:p>
          <w:p w14:paraId="4DF81349">
            <w:pPr>
              <w:keepNext w:val="0"/>
              <w:keepLines w:val="0"/>
              <w:pageBreakBefore w:val="0"/>
              <w:widowControl/>
              <w:numPr>
                <w:ilvl w:val="0"/>
                <w:numId w:val="13"/>
              </w:numPr>
              <w:kinsoku w:val="0"/>
              <w:wordWrap/>
              <w:overflowPunct/>
              <w:topLinePunct w:val="0"/>
              <w:autoSpaceDE/>
              <w:autoSpaceDN w:val="0"/>
              <w:bidi w:val="0"/>
              <w:adjustRightInd w:val="0"/>
              <w:snapToGrid w:val="0"/>
              <w:spacing w:line="240" w:lineRule="auto"/>
              <w:ind w:left="0" w:leftChars="0" w:firstLine="425" w:firstLineChars="0"/>
              <w:jc w:val="left"/>
              <w:textAlignment w:val="auto"/>
              <w:rPr>
                <w:rFonts w:hint="eastAsia" w:ascii="宋体" w:hAnsi="宋体" w:eastAsia="宋体" w:cs="宋体"/>
                <w:color w:val="000000"/>
                <w:spacing w:val="8"/>
                <w:sz w:val="21"/>
                <w:szCs w:val="21"/>
                <w:lang w:eastAsia="zh-CN"/>
              </w:rPr>
            </w:pPr>
            <w:r>
              <w:rPr>
                <w:rFonts w:hint="eastAsia" w:ascii="宋体" w:hAnsi="宋体" w:eastAsia="宋体" w:cs="宋体"/>
                <w:color w:val="000000"/>
                <w:kern w:val="0"/>
                <w:sz w:val="21"/>
                <w:szCs w:val="21"/>
                <w:lang w:val="en-US" w:eastAsia="zh-CN"/>
              </w:rPr>
              <w:t>做好</w:t>
            </w:r>
            <w:r>
              <w:rPr>
                <w:rFonts w:hint="eastAsia" w:ascii="宋体" w:hAnsi="宋体" w:eastAsia="宋体" w:cs="宋体"/>
                <w:color w:val="000000"/>
                <w:spacing w:val="8"/>
                <w:sz w:val="21"/>
                <w:szCs w:val="21"/>
                <w:lang w:eastAsia="zh-CN"/>
              </w:rPr>
              <w:t>会议保密管理。</w:t>
            </w:r>
          </w:p>
          <w:p w14:paraId="0E9DD2C0">
            <w:pPr>
              <w:snapToGrid w:val="0"/>
              <w:spacing w:line="240" w:lineRule="auto"/>
              <w:ind w:left="0" w:leftChars="0" w:right="0" w:rightChars="0" w:firstLine="0" w:firstLineChars="0"/>
              <w:jc w:val="left"/>
              <w:rPr>
                <w:rFonts w:ascii="宋体" w:hAnsi="宋体" w:eastAsia="宋体" w:cs="Times New Roman"/>
                <w:color w:val="auto"/>
                <w:szCs w:val="21"/>
              </w:rPr>
            </w:pPr>
          </w:p>
        </w:tc>
        <w:tc>
          <w:tcPr>
            <w:tcW w:w="3362" w:type="dxa"/>
            <w:tcBorders>
              <w:top w:val="single" w:color="auto" w:sz="6" w:space="0"/>
              <w:left w:val="single" w:color="auto" w:sz="6" w:space="0"/>
              <w:bottom w:val="single" w:color="auto" w:sz="6" w:space="0"/>
              <w:right w:val="single" w:color="auto" w:sz="6" w:space="0"/>
            </w:tcBorders>
            <w:noWrap w:val="0"/>
            <w:vAlign w:val="center"/>
          </w:tcPr>
          <w:p w14:paraId="76162192">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lang w:eastAsia="zh-CN"/>
              </w:rPr>
              <w:t>未保障好会议</w:t>
            </w:r>
            <w:r>
              <w:rPr>
                <w:rFonts w:hint="eastAsia" w:ascii="宋体" w:hAnsi="宋体" w:eastAsia="宋体" w:cs="Times New Roman"/>
                <w:color w:val="auto"/>
                <w:szCs w:val="21"/>
              </w:rPr>
              <w:t>发生</w:t>
            </w:r>
            <w:r>
              <w:rPr>
                <w:rFonts w:ascii="宋体" w:hAnsi="宋体" w:eastAsia="宋体" w:cs="Times New Roman"/>
                <w:color w:val="auto"/>
                <w:szCs w:val="21"/>
              </w:rPr>
              <w:t>1</w:t>
            </w:r>
            <w:r>
              <w:rPr>
                <w:rFonts w:hint="eastAsia" w:ascii="宋体" w:hAnsi="宋体" w:eastAsia="宋体" w:cs="Times New Roman"/>
                <w:color w:val="auto"/>
                <w:szCs w:val="21"/>
              </w:rPr>
              <w:t>次扣</w:t>
            </w:r>
            <w:r>
              <w:rPr>
                <w:rFonts w:ascii="宋体" w:hAnsi="宋体" w:eastAsia="宋体" w:cs="Times New Roman"/>
                <w:color w:val="auto"/>
                <w:szCs w:val="21"/>
              </w:rPr>
              <w:t>10</w:t>
            </w:r>
            <w:r>
              <w:rPr>
                <w:rFonts w:hint="eastAsia" w:ascii="宋体" w:hAnsi="宋体" w:eastAsia="宋体" w:cs="Times New Roman"/>
                <w:color w:val="auto"/>
                <w:szCs w:val="21"/>
              </w:rPr>
              <w:t>分。</w:t>
            </w:r>
          </w:p>
        </w:tc>
        <w:tc>
          <w:tcPr>
            <w:tcW w:w="497" w:type="dxa"/>
            <w:tcBorders>
              <w:top w:val="single" w:color="auto" w:sz="6" w:space="0"/>
              <w:left w:val="single" w:color="auto" w:sz="6" w:space="0"/>
              <w:bottom w:val="single" w:color="auto" w:sz="6" w:space="0"/>
              <w:right w:val="single" w:color="auto" w:sz="6" w:space="0"/>
            </w:tcBorders>
            <w:noWrap w:val="0"/>
            <w:vAlign w:val="center"/>
          </w:tcPr>
          <w:p w14:paraId="59727649">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1B976E88">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0319EBE2">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30A1E1A8">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28FE5072">
            <w:pPr>
              <w:snapToGrid w:val="0"/>
              <w:spacing w:line="240" w:lineRule="auto"/>
              <w:ind w:left="0" w:leftChars="0" w:right="0" w:rightChars="0" w:firstLine="0" w:firstLineChars="0"/>
              <w:jc w:val="center"/>
              <w:rPr>
                <w:rFonts w:ascii="宋体" w:hAnsi="宋体" w:eastAsia="宋体" w:cs="Times New Roman"/>
                <w:color w:val="auto"/>
                <w:szCs w:val="21"/>
              </w:rPr>
            </w:pPr>
            <w:r>
              <w:rPr>
                <w:rFonts w:ascii="宋体" w:hAnsi="宋体" w:eastAsia="宋体" w:cs="Times New Roman"/>
                <w:color w:val="auto"/>
                <w:szCs w:val="21"/>
              </w:rPr>
              <w:t>10</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7B77AADC">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其他临时任务：服从调配，保质保量完成</w:t>
            </w:r>
          </w:p>
        </w:tc>
        <w:tc>
          <w:tcPr>
            <w:tcW w:w="3362" w:type="dxa"/>
            <w:tcBorders>
              <w:top w:val="single" w:color="auto" w:sz="6" w:space="0"/>
              <w:left w:val="single" w:color="auto" w:sz="6" w:space="0"/>
              <w:bottom w:val="single" w:color="auto" w:sz="6" w:space="0"/>
              <w:right w:val="single" w:color="auto" w:sz="6" w:space="0"/>
            </w:tcBorders>
            <w:noWrap w:val="0"/>
            <w:vAlign w:val="center"/>
          </w:tcPr>
          <w:p w14:paraId="71A2D619">
            <w:pPr>
              <w:snapToGrid w:val="0"/>
              <w:spacing w:line="240" w:lineRule="auto"/>
              <w:ind w:left="0" w:leftChars="0" w:right="0" w:rightChars="0" w:firstLine="0" w:firstLineChars="0"/>
              <w:jc w:val="left"/>
              <w:rPr>
                <w:rFonts w:ascii="宋体" w:hAnsi="宋体" w:eastAsia="宋体" w:cs="Times New Roman"/>
                <w:color w:val="auto"/>
                <w:szCs w:val="21"/>
              </w:rPr>
            </w:pPr>
            <w:r>
              <w:rPr>
                <w:rFonts w:hint="eastAsia" w:ascii="宋体" w:hAnsi="宋体" w:eastAsia="宋体" w:cs="Times New Roman"/>
                <w:color w:val="auto"/>
                <w:szCs w:val="21"/>
              </w:rPr>
              <w:t>发生推诿扯皮</w:t>
            </w:r>
            <w:r>
              <w:rPr>
                <w:rFonts w:ascii="宋体" w:hAnsi="宋体" w:eastAsia="宋体" w:cs="Times New Roman"/>
                <w:color w:val="auto"/>
                <w:szCs w:val="21"/>
              </w:rPr>
              <w:t>1</w:t>
            </w:r>
            <w:r>
              <w:rPr>
                <w:rFonts w:hint="eastAsia" w:ascii="宋体" w:hAnsi="宋体" w:eastAsia="宋体" w:cs="Times New Roman"/>
                <w:color w:val="auto"/>
                <w:szCs w:val="21"/>
              </w:rPr>
              <w:t>次扣</w:t>
            </w:r>
            <w:r>
              <w:rPr>
                <w:rFonts w:ascii="宋体" w:hAnsi="宋体" w:eastAsia="宋体" w:cs="Times New Roman"/>
                <w:color w:val="auto"/>
                <w:szCs w:val="21"/>
              </w:rPr>
              <w:t>10</w:t>
            </w:r>
            <w:r>
              <w:rPr>
                <w:rFonts w:hint="eastAsia" w:ascii="宋体" w:hAnsi="宋体" w:eastAsia="宋体" w:cs="Times New Roman"/>
                <w:color w:val="auto"/>
                <w:szCs w:val="21"/>
              </w:rPr>
              <w:t>分。</w:t>
            </w:r>
          </w:p>
        </w:tc>
        <w:tc>
          <w:tcPr>
            <w:tcW w:w="497" w:type="dxa"/>
            <w:tcBorders>
              <w:top w:val="single" w:color="auto" w:sz="6" w:space="0"/>
              <w:left w:val="single" w:color="auto" w:sz="6" w:space="0"/>
              <w:bottom w:val="single" w:color="auto" w:sz="6" w:space="0"/>
              <w:right w:val="single" w:color="auto" w:sz="6" w:space="0"/>
            </w:tcBorders>
            <w:noWrap w:val="0"/>
            <w:vAlign w:val="center"/>
          </w:tcPr>
          <w:p w14:paraId="297D9E91">
            <w:pPr>
              <w:snapToGrid w:val="0"/>
              <w:spacing w:line="240" w:lineRule="auto"/>
              <w:ind w:left="0" w:leftChars="0" w:right="0" w:rightChars="0" w:firstLine="0" w:firstLineChars="0"/>
              <w:jc w:val="right"/>
              <w:rPr>
                <w:rFonts w:ascii="宋体" w:hAnsi="宋体" w:eastAsia="宋体" w:cs="Times New Roman"/>
                <w:color w:val="auto"/>
                <w:szCs w:val="21"/>
              </w:rPr>
            </w:pPr>
            <w:r>
              <w:rPr>
                <w:rFonts w:ascii="宋体" w:hAnsi="宋体" w:eastAsia="宋体" w:cs="Times New Roman"/>
                <w:color w:val="auto"/>
                <w:szCs w:val="21"/>
              </w:rPr>
              <w:t>10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292E0257">
            <w:pPr>
              <w:snapToGrid w:val="0"/>
              <w:spacing w:line="240" w:lineRule="auto"/>
              <w:ind w:left="0" w:leftChars="0" w:right="0" w:rightChars="0" w:firstLine="0" w:firstLineChars="0"/>
              <w:jc w:val="center"/>
              <w:rPr>
                <w:rFonts w:ascii="宋体" w:hAnsi="宋体" w:eastAsia="宋体" w:cs="Times New Roman"/>
                <w:color w:val="auto"/>
                <w:szCs w:val="21"/>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623D137A">
            <w:pPr>
              <w:snapToGrid w:val="0"/>
              <w:spacing w:line="240" w:lineRule="auto"/>
              <w:ind w:left="0" w:leftChars="0" w:right="0" w:rightChars="0" w:firstLine="0" w:firstLineChars="0"/>
              <w:jc w:val="center"/>
              <w:rPr>
                <w:rFonts w:ascii="宋体" w:hAnsi="宋体" w:eastAsia="宋体" w:cs="Times New Roman"/>
                <w:color w:val="auto"/>
                <w:szCs w:val="21"/>
              </w:rPr>
            </w:pPr>
          </w:p>
        </w:tc>
      </w:tr>
      <w:tr w14:paraId="5B24C2C1">
        <w:tblPrEx>
          <w:tblCellMar>
            <w:top w:w="0" w:type="dxa"/>
            <w:left w:w="30" w:type="dxa"/>
            <w:bottom w:w="0" w:type="dxa"/>
            <w:right w:w="30" w:type="dxa"/>
          </w:tblCellMar>
        </w:tblPrEx>
        <w:trPr>
          <w:trHeight w:val="0" w:hRule="atLeast"/>
          <w:jc w:val="center"/>
        </w:trPr>
        <w:tc>
          <w:tcPr>
            <w:tcW w:w="720" w:type="dxa"/>
            <w:tcBorders>
              <w:top w:val="single" w:color="auto" w:sz="6" w:space="0"/>
              <w:left w:val="single" w:color="auto" w:sz="6" w:space="0"/>
              <w:bottom w:val="single" w:color="auto" w:sz="6" w:space="0"/>
              <w:right w:val="single" w:color="auto" w:sz="6" w:space="0"/>
            </w:tcBorders>
            <w:noWrap w:val="0"/>
            <w:vAlign w:val="center"/>
          </w:tcPr>
          <w:p w14:paraId="50131F75">
            <w:pPr>
              <w:snapToGrid w:val="0"/>
              <w:spacing w:line="240" w:lineRule="auto"/>
              <w:ind w:left="0" w:leftChars="0" w:right="0" w:rightChars="0" w:firstLine="0" w:firstLineChars="0"/>
              <w:jc w:val="center"/>
              <w:rPr>
                <w:rFonts w:ascii="宋体" w:hAnsi="宋体" w:eastAsia="宋体" w:cs="Times New Roman"/>
                <w:b/>
                <w:color w:val="auto"/>
                <w:szCs w:val="21"/>
              </w:rPr>
            </w:pPr>
          </w:p>
        </w:tc>
        <w:tc>
          <w:tcPr>
            <w:tcW w:w="4304" w:type="dxa"/>
            <w:tcBorders>
              <w:top w:val="single" w:color="auto" w:sz="6" w:space="0"/>
              <w:left w:val="single" w:color="auto" w:sz="6" w:space="0"/>
              <w:bottom w:val="single" w:color="auto" w:sz="6" w:space="0"/>
              <w:right w:val="single" w:color="auto" w:sz="6" w:space="0"/>
            </w:tcBorders>
            <w:noWrap w:val="0"/>
            <w:vAlign w:val="center"/>
          </w:tcPr>
          <w:p w14:paraId="398C599F">
            <w:pPr>
              <w:snapToGrid w:val="0"/>
              <w:spacing w:line="240" w:lineRule="auto"/>
              <w:ind w:left="0" w:leftChars="0" w:right="0" w:rightChars="0" w:firstLine="0" w:firstLineChars="0"/>
              <w:jc w:val="left"/>
              <w:rPr>
                <w:rFonts w:ascii="宋体" w:hAnsi="宋体" w:eastAsia="宋体" w:cs="Times New Roman"/>
                <w:b/>
                <w:color w:val="auto"/>
                <w:szCs w:val="21"/>
              </w:rPr>
            </w:pPr>
            <w:r>
              <w:rPr>
                <w:rFonts w:hint="eastAsia" w:ascii="宋体" w:hAnsi="宋体" w:eastAsia="宋体" w:cs="Times New Roman"/>
                <w:b/>
                <w:color w:val="auto"/>
                <w:szCs w:val="21"/>
              </w:rPr>
              <w:t>合计</w:t>
            </w:r>
          </w:p>
        </w:tc>
        <w:tc>
          <w:tcPr>
            <w:tcW w:w="3362" w:type="dxa"/>
            <w:tcBorders>
              <w:top w:val="single" w:color="auto" w:sz="6" w:space="0"/>
              <w:left w:val="single" w:color="auto" w:sz="6" w:space="0"/>
              <w:bottom w:val="single" w:color="auto" w:sz="6" w:space="0"/>
              <w:right w:val="single" w:color="auto" w:sz="6" w:space="0"/>
            </w:tcBorders>
            <w:noWrap w:val="0"/>
            <w:vAlign w:val="center"/>
          </w:tcPr>
          <w:p w14:paraId="3320065E">
            <w:pPr>
              <w:snapToGrid w:val="0"/>
              <w:spacing w:line="240" w:lineRule="auto"/>
              <w:ind w:left="0" w:leftChars="0" w:right="0" w:rightChars="0" w:firstLine="0" w:firstLineChars="0"/>
              <w:jc w:val="left"/>
              <w:rPr>
                <w:rFonts w:ascii="宋体" w:hAnsi="宋体" w:eastAsia="宋体" w:cs="Times New Roman"/>
                <w:b/>
                <w:color w:val="auto"/>
                <w:szCs w:val="21"/>
              </w:rPr>
            </w:pPr>
          </w:p>
        </w:tc>
        <w:tc>
          <w:tcPr>
            <w:tcW w:w="497" w:type="dxa"/>
            <w:tcBorders>
              <w:top w:val="single" w:color="auto" w:sz="6" w:space="0"/>
              <w:left w:val="single" w:color="auto" w:sz="6" w:space="0"/>
              <w:bottom w:val="single" w:color="auto" w:sz="6" w:space="0"/>
              <w:right w:val="single" w:color="auto" w:sz="6" w:space="0"/>
            </w:tcBorders>
            <w:noWrap w:val="0"/>
            <w:vAlign w:val="center"/>
          </w:tcPr>
          <w:p w14:paraId="7FF266F3">
            <w:pPr>
              <w:snapToGrid w:val="0"/>
              <w:spacing w:line="240" w:lineRule="auto"/>
              <w:ind w:left="0" w:leftChars="0" w:right="0" w:rightChars="0" w:firstLine="0" w:firstLineChars="0"/>
              <w:jc w:val="right"/>
              <w:rPr>
                <w:rFonts w:ascii="宋体" w:hAnsi="宋体" w:eastAsia="宋体" w:cs="Times New Roman"/>
                <w:b/>
                <w:color w:val="auto"/>
                <w:szCs w:val="21"/>
              </w:rPr>
            </w:pPr>
            <w:r>
              <w:rPr>
                <w:rFonts w:ascii="宋体" w:hAnsi="宋体" w:eastAsia="宋体" w:cs="Times New Roman"/>
                <w:b/>
                <w:color w:val="auto"/>
                <w:szCs w:val="21"/>
              </w:rPr>
              <w:t>100</w:t>
            </w:r>
          </w:p>
        </w:tc>
        <w:tc>
          <w:tcPr>
            <w:tcW w:w="660" w:type="dxa"/>
            <w:tcBorders>
              <w:top w:val="single" w:color="auto" w:sz="6" w:space="0"/>
              <w:left w:val="single" w:color="auto" w:sz="6" w:space="0"/>
              <w:bottom w:val="single" w:color="auto" w:sz="6" w:space="0"/>
              <w:right w:val="single" w:color="auto" w:sz="6" w:space="0"/>
            </w:tcBorders>
            <w:noWrap w:val="0"/>
            <w:vAlign w:val="center"/>
          </w:tcPr>
          <w:p w14:paraId="1D3325BC">
            <w:pPr>
              <w:snapToGrid w:val="0"/>
              <w:spacing w:line="240" w:lineRule="auto"/>
              <w:ind w:left="0" w:leftChars="0" w:right="0" w:rightChars="0" w:firstLine="0" w:firstLineChars="0"/>
              <w:jc w:val="center"/>
              <w:rPr>
                <w:rFonts w:hint="default" w:ascii="宋体" w:hAnsi="宋体" w:eastAsia="宋体" w:cs="Times New Roman"/>
                <w:b/>
                <w:color w:val="auto"/>
                <w:szCs w:val="21"/>
                <w:lang w:val="en-US" w:eastAsia="zh-CN"/>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70D199E1">
            <w:pPr>
              <w:snapToGrid w:val="0"/>
              <w:spacing w:line="240" w:lineRule="auto"/>
              <w:ind w:left="0" w:leftChars="0" w:right="0" w:rightChars="0" w:firstLine="0" w:firstLineChars="0"/>
              <w:jc w:val="center"/>
              <w:rPr>
                <w:rFonts w:ascii="宋体" w:hAnsi="宋体" w:eastAsia="宋体" w:cs="Times New Roman"/>
                <w:b/>
                <w:color w:val="auto"/>
                <w:szCs w:val="21"/>
              </w:rPr>
            </w:pPr>
          </w:p>
        </w:tc>
      </w:tr>
      <w:tr w14:paraId="039FBFD7">
        <w:tblPrEx>
          <w:tblCellMar>
            <w:top w:w="0" w:type="dxa"/>
            <w:left w:w="30" w:type="dxa"/>
            <w:bottom w:w="0" w:type="dxa"/>
            <w:right w:w="30" w:type="dxa"/>
          </w:tblCellMar>
        </w:tblPrEx>
        <w:trPr>
          <w:trHeight w:val="0" w:hRule="atLeast"/>
          <w:jc w:val="center"/>
        </w:trPr>
        <w:tc>
          <w:tcPr>
            <w:tcW w:w="720" w:type="dxa"/>
            <w:gridSpan w:val="6"/>
            <w:tcBorders>
              <w:top w:val="single" w:color="auto" w:sz="6" w:space="0"/>
              <w:left w:val="single" w:color="auto" w:sz="6" w:space="0"/>
              <w:bottom w:val="single" w:color="auto" w:sz="6" w:space="0"/>
              <w:right w:val="single" w:color="auto" w:sz="6" w:space="0"/>
            </w:tcBorders>
            <w:noWrap w:val="0"/>
            <w:vAlign w:val="center"/>
          </w:tcPr>
          <w:p w14:paraId="0D873D40">
            <w:pPr>
              <w:snapToGrid w:val="0"/>
              <w:spacing w:line="240" w:lineRule="auto"/>
              <w:ind w:left="0" w:leftChars="0" w:right="0" w:rightChars="0" w:firstLine="0" w:firstLineChars="0"/>
              <w:jc w:val="center"/>
              <w:rPr>
                <w:rFonts w:ascii="宋体" w:hAnsi="宋体" w:eastAsia="宋体" w:cs="Times New Roman"/>
                <w:color w:val="auto"/>
                <w:szCs w:val="21"/>
              </w:rPr>
            </w:pPr>
            <w:r>
              <w:rPr>
                <w:rFonts w:hint="eastAsia" w:ascii="宋体" w:hAnsi="宋体" w:eastAsia="宋体" w:cs="Times New Roman"/>
                <w:color w:val="auto"/>
                <w:szCs w:val="21"/>
              </w:rPr>
              <w:t>考核说明：该项目考核分共</w:t>
            </w:r>
            <w:r>
              <w:rPr>
                <w:rFonts w:ascii="宋体" w:hAnsi="宋体" w:eastAsia="宋体" w:cs="Times New Roman"/>
                <w:color w:val="auto"/>
                <w:szCs w:val="21"/>
              </w:rPr>
              <w:t>1</w:t>
            </w:r>
            <w:r>
              <w:rPr>
                <w:rFonts w:hint="eastAsia" w:ascii="宋体" w:hAnsi="宋体" w:eastAsia="宋体" w:cs="Times New Roman"/>
                <w:color w:val="auto"/>
                <w:szCs w:val="21"/>
              </w:rPr>
              <w:t>0</w:t>
            </w:r>
            <w:r>
              <w:rPr>
                <w:rFonts w:ascii="宋体" w:hAnsi="宋体" w:eastAsia="宋体" w:cs="Times New Roman"/>
                <w:color w:val="auto"/>
                <w:szCs w:val="21"/>
              </w:rPr>
              <w:t>0</w:t>
            </w:r>
            <w:r>
              <w:rPr>
                <w:rFonts w:hint="eastAsia" w:ascii="宋体" w:hAnsi="宋体" w:eastAsia="宋体" w:cs="Times New Roman"/>
                <w:color w:val="auto"/>
                <w:szCs w:val="21"/>
              </w:rPr>
              <w:t>分，由学院管理部门在每天工作时间段内随机抽查考核，若当月同一考核项目连续不达标，则扣分项不受分值限制，直到扣完100分为止。学院按实际扣除分数扣减服务费（即被扣分数</w:t>
            </w:r>
            <w:r>
              <w:rPr>
                <w:rFonts w:ascii="宋体" w:hAnsi="宋体" w:eastAsia="宋体" w:cs="Arial"/>
                <w:color w:val="auto"/>
                <w:szCs w:val="21"/>
              </w:rPr>
              <w:t>×</w:t>
            </w:r>
            <w:r>
              <w:rPr>
                <w:rFonts w:hint="eastAsia" w:ascii="宋体" w:hAnsi="宋体" w:eastAsia="宋体" w:cs="宋体"/>
                <w:color w:val="auto"/>
                <w:szCs w:val="21"/>
              </w:rPr>
              <w:t>分值）</w:t>
            </w:r>
            <w:r>
              <w:rPr>
                <w:rFonts w:hint="eastAsia" w:ascii="宋体" w:hAnsi="宋体" w:eastAsia="宋体" w:cs="Times New Roman"/>
                <w:color w:val="auto"/>
                <w:szCs w:val="21"/>
              </w:rPr>
              <w:t>。</w:t>
            </w:r>
          </w:p>
        </w:tc>
      </w:tr>
      <w:tr w14:paraId="2920BDDB">
        <w:tblPrEx>
          <w:tblCellMar>
            <w:top w:w="0" w:type="dxa"/>
            <w:left w:w="30" w:type="dxa"/>
            <w:bottom w:w="0" w:type="dxa"/>
            <w:right w:w="30" w:type="dxa"/>
          </w:tblCellMar>
        </w:tblPrEx>
        <w:trPr>
          <w:trHeight w:val="0" w:hRule="atLeast"/>
          <w:jc w:val="center"/>
        </w:trPr>
        <w:tc>
          <w:tcPr>
            <w:tcW w:w="720" w:type="dxa"/>
            <w:gridSpan w:val="6"/>
            <w:tcBorders>
              <w:top w:val="single" w:color="auto" w:sz="6" w:space="0"/>
              <w:left w:val="single" w:color="auto" w:sz="6" w:space="0"/>
              <w:bottom w:val="single" w:color="auto" w:sz="6" w:space="0"/>
              <w:right w:val="single" w:color="auto" w:sz="6" w:space="0"/>
            </w:tcBorders>
            <w:noWrap w:val="0"/>
            <w:vAlign w:val="center"/>
          </w:tcPr>
          <w:p w14:paraId="2A51ADC3">
            <w:pPr>
              <w:snapToGrid w:val="0"/>
              <w:spacing w:line="240" w:lineRule="auto"/>
              <w:ind w:left="0" w:leftChars="0" w:right="0" w:rightChars="0" w:firstLine="0" w:firstLineChars="0"/>
              <w:jc w:val="center"/>
              <w:rPr>
                <w:rFonts w:hint="eastAsia" w:ascii="宋体" w:hAnsi="宋体" w:eastAsia="宋体" w:cs="Times New Roman"/>
                <w:color w:val="auto"/>
                <w:szCs w:val="21"/>
              </w:rPr>
            </w:pPr>
            <w:r>
              <w:rPr>
                <w:rFonts w:hint="eastAsia" w:ascii="宋体" w:hAnsi="宋体" w:eastAsia="宋体" w:cs="Times New Roman"/>
                <w:color w:val="auto"/>
                <w:szCs w:val="21"/>
                <w:lang w:eastAsia="zh-CN"/>
              </w:rPr>
              <w:t>考核人：</w:t>
            </w:r>
            <w:r>
              <w:rPr>
                <w:rFonts w:hint="eastAsia" w:ascii="宋体" w:hAnsi="宋体" w:eastAsia="宋体" w:cs="Times New Roman"/>
                <w:color w:val="auto"/>
                <w:szCs w:val="21"/>
                <w:lang w:val="en-US" w:eastAsia="zh-CN"/>
              </w:rPr>
              <w:t xml:space="preserve">             责任人：             制表人:</w:t>
            </w:r>
          </w:p>
        </w:tc>
      </w:tr>
    </w:tbl>
    <w:p w14:paraId="65E7E1FF">
      <w:pPr>
        <w:spacing w:line="360" w:lineRule="auto"/>
        <w:ind w:firstLine="480" w:firstLineChars="200"/>
        <w:rPr>
          <w:rFonts w:hint="eastAsia" w:asciiTheme="minorEastAsia" w:hAnsiTheme="minorEastAsia" w:eastAsiaTheme="minorEastAsia" w:cstheme="minorEastAsia"/>
          <w:b w:val="0"/>
          <w:bCs w:val="0"/>
          <w:color w:val="auto"/>
          <w:sz w:val="24"/>
          <w:highlight w:val="none"/>
          <w:lang w:val="en-US" w:eastAsia="zh-CN"/>
        </w:rPr>
        <w:sectPr>
          <w:headerReference r:id="rId8" w:type="default"/>
          <w:footerReference r:id="rId9" w:type="default"/>
          <w:pgSz w:w="11906" w:h="16838"/>
          <w:pgMar w:top="1418" w:right="1134" w:bottom="1134" w:left="1418" w:header="935" w:footer="720" w:gutter="0"/>
          <w:cols w:space="720" w:num="1"/>
          <w:rtlGutter w:val="1"/>
          <w:docGrid w:type="linesAndChars" w:linePitch="331" w:charSpace="0"/>
        </w:sectPr>
      </w:pPr>
    </w:p>
    <w:p w14:paraId="33028F46">
      <w:pPr>
        <w:pStyle w:val="2"/>
        <w:numPr>
          <w:ilvl w:val="0"/>
          <w:numId w:val="0"/>
        </w:numPr>
        <w:jc w:val="center"/>
        <w:rPr>
          <w:rFonts w:hint="eastAsia" w:ascii="宋体" w:hAnsi="宋体" w:eastAsia="宋体" w:cs="宋体"/>
          <w:color w:val="auto"/>
          <w:sz w:val="36"/>
          <w:szCs w:val="22"/>
          <w:highlight w:val="none"/>
        </w:rPr>
      </w:pPr>
      <w:bookmarkStart w:id="505" w:name="_Toc25340"/>
      <w:bookmarkStart w:id="506" w:name="_Toc32094"/>
      <w:r>
        <w:rPr>
          <w:rFonts w:hint="eastAsia" w:ascii="宋体" w:hAnsi="宋体" w:eastAsia="宋体" w:cs="宋体"/>
          <w:color w:val="auto"/>
          <w:sz w:val="36"/>
          <w:szCs w:val="22"/>
          <w:highlight w:val="none"/>
        </w:rPr>
        <w:t>第六章  资格审查</w:t>
      </w:r>
      <w:bookmarkEnd w:id="433"/>
      <w:bookmarkEnd w:id="434"/>
      <w:bookmarkEnd w:id="505"/>
      <w:bookmarkEnd w:id="506"/>
    </w:p>
    <w:p w14:paraId="414CD36C">
      <w:pPr>
        <w:pStyle w:val="3"/>
        <w:numPr>
          <w:ilvl w:val="0"/>
          <w:numId w:val="0"/>
        </w:numPr>
        <w:spacing w:before="0"/>
        <w:jc w:val="center"/>
        <w:rPr>
          <w:rFonts w:hint="eastAsia" w:ascii="宋体" w:hAnsi="宋体" w:eastAsia="宋体"/>
          <w:color w:val="auto"/>
          <w:szCs w:val="28"/>
          <w:highlight w:val="none"/>
        </w:rPr>
      </w:pPr>
      <w:bookmarkStart w:id="507" w:name="_Toc12980"/>
      <w:bookmarkStart w:id="508" w:name="_Toc32060"/>
      <w:bookmarkStart w:id="509" w:name="_Toc20843"/>
      <w:bookmarkStart w:id="510" w:name="_Toc129"/>
      <w:r>
        <w:rPr>
          <w:rFonts w:hint="eastAsia" w:ascii="宋体" w:hAnsi="宋体" w:eastAsia="宋体"/>
          <w:color w:val="auto"/>
          <w:szCs w:val="28"/>
          <w:highlight w:val="none"/>
        </w:rPr>
        <w:t>资格审查前附表</w:t>
      </w:r>
      <w:bookmarkEnd w:id="507"/>
      <w:bookmarkEnd w:id="508"/>
      <w:bookmarkEnd w:id="509"/>
      <w:bookmarkEnd w:id="510"/>
    </w:p>
    <w:tbl>
      <w:tblPr>
        <w:tblStyle w:val="33"/>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964"/>
        <w:gridCol w:w="1417"/>
        <w:gridCol w:w="1276"/>
        <w:gridCol w:w="5639"/>
      </w:tblGrid>
      <w:tr w14:paraId="75498A5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Align w:val="center"/>
          </w:tcPr>
          <w:p w14:paraId="45F0D693">
            <w:pPr>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1417" w:type="dxa"/>
            <w:vAlign w:val="center"/>
          </w:tcPr>
          <w:p w14:paraId="52A4B788">
            <w:pPr>
              <w:jc w:val="center"/>
              <w:rPr>
                <w:rFonts w:hint="eastAsia" w:ascii="宋体" w:hAnsi="宋体" w:cs="宋体"/>
                <w:b/>
                <w:color w:val="auto"/>
                <w:szCs w:val="21"/>
                <w:highlight w:val="none"/>
              </w:rPr>
            </w:pPr>
            <w:r>
              <w:rPr>
                <w:rFonts w:hint="eastAsia" w:ascii="宋体" w:hAnsi="宋体" w:cs="宋体"/>
                <w:b/>
                <w:color w:val="auto"/>
                <w:szCs w:val="21"/>
                <w:highlight w:val="none"/>
              </w:rPr>
              <w:t>审 查 因 素</w:t>
            </w:r>
          </w:p>
        </w:tc>
        <w:tc>
          <w:tcPr>
            <w:tcW w:w="6915" w:type="dxa"/>
            <w:gridSpan w:val="2"/>
            <w:vAlign w:val="center"/>
          </w:tcPr>
          <w:p w14:paraId="19AF8117">
            <w:pPr>
              <w:jc w:val="center"/>
              <w:rPr>
                <w:rFonts w:hint="eastAsia" w:ascii="宋体" w:hAnsi="宋体" w:cs="宋体"/>
                <w:b/>
                <w:color w:val="auto"/>
                <w:szCs w:val="21"/>
                <w:highlight w:val="none"/>
              </w:rPr>
            </w:pPr>
            <w:r>
              <w:rPr>
                <w:rFonts w:hint="eastAsia" w:ascii="宋体" w:hAnsi="宋体" w:cs="宋体"/>
                <w:b/>
                <w:color w:val="auto"/>
                <w:szCs w:val="21"/>
                <w:highlight w:val="none"/>
              </w:rPr>
              <w:t>审 查 标 准</w:t>
            </w:r>
          </w:p>
        </w:tc>
      </w:tr>
      <w:tr w14:paraId="68417C2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25" w:hRule="atLeast"/>
          <w:jc w:val="center"/>
        </w:trPr>
        <w:tc>
          <w:tcPr>
            <w:tcW w:w="964" w:type="dxa"/>
            <w:vMerge w:val="restart"/>
            <w:vAlign w:val="center"/>
          </w:tcPr>
          <w:p w14:paraId="68C3D7DE">
            <w:pPr>
              <w:jc w:val="center"/>
              <w:rPr>
                <w:rFonts w:hint="eastAsia" w:ascii="宋体" w:hAnsi="宋体" w:cs="宋体"/>
                <w:color w:val="auto"/>
                <w:sz w:val="36"/>
                <w:highlight w:val="none"/>
              </w:rPr>
            </w:pPr>
            <w:r>
              <w:rPr>
                <w:rFonts w:hint="eastAsia" w:ascii="宋体" w:hAnsi="宋体" w:cs="宋体"/>
                <w:b/>
                <w:color w:val="auto"/>
                <w:szCs w:val="21"/>
                <w:highlight w:val="none"/>
              </w:rPr>
              <w:t>2</w:t>
            </w:r>
          </w:p>
        </w:tc>
        <w:tc>
          <w:tcPr>
            <w:tcW w:w="1417" w:type="dxa"/>
            <w:vMerge w:val="restart"/>
            <w:vAlign w:val="center"/>
          </w:tcPr>
          <w:p w14:paraId="5323310E">
            <w:pPr>
              <w:jc w:val="center"/>
              <w:rPr>
                <w:rFonts w:hint="eastAsia" w:ascii="宋体" w:hAnsi="宋体" w:cs="宋体"/>
                <w:b/>
                <w:color w:val="auto"/>
                <w:szCs w:val="21"/>
                <w:highlight w:val="none"/>
              </w:rPr>
            </w:pPr>
            <w:r>
              <w:rPr>
                <w:rFonts w:hint="eastAsia" w:ascii="宋体" w:hAnsi="宋体" w:cs="宋体"/>
                <w:b/>
                <w:color w:val="auto"/>
                <w:szCs w:val="21"/>
                <w:highlight w:val="none"/>
              </w:rPr>
              <w:t>资格条件</w:t>
            </w:r>
          </w:p>
        </w:tc>
        <w:tc>
          <w:tcPr>
            <w:tcW w:w="1276" w:type="dxa"/>
            <w:vMerge w:val="restart"/>
            <w:tcBorders>
              <w:right w:val="single" w:color="auto" w:sz="4" w:space="0"/>
            </w:tcBorders>
            <w:vAlign w:val="center"/>
          </w:tcPr>
          <w:p w14:paraId="4E6DA888">
            <w:pPr>
              <w:jc w:val="center"/>
              <w:rPr>
                <w:rFonts w:hint="eastAsia" w:ascii="宋体" w:hAnsi="宋体" w:cs="宋体"/>
                <w:b/>
                <w:color w:val="auto"/>
                <w:szCs w:val="21"/>
                <w:highlight w:val="none"/>
              </w:rPr>
            </w:pPr>
            <w:r>
              <w:rPr>
                <w:rFonts w:hint="eastAsia" w:ascii="宋体" w:hAnsi="宋体" w:cs="宋体"/>
                <w:color w:val="auto"/>
                <w:szCs w:val="21"/>
                <w:highlight w:val="none"/>
              </w:rPr>
              <w:t>符合《中华人民共和国政府采购法》第二十二条规定的条件，并提供资格证明文件</w:t>
            </w:r>
          </w:p>
        </w:tc>
        <w:tc>
          <w:tcPr>
            <w:tcW w:w="5639" w:type="dxa"/>
            <w:tcBorders>
              <w:left w:val="single" w:color="auto" w:sz="4" w:space="0"/>
            </w:tcBorders>
            <w:vAlign w:val="center"/>
          </w:tcPr>
          <w:p w14:paraId="258138CA">
            <w:pPr>
              <w:autoSpaceDE w:val="0"/>
              <w:autoSpaceDN w:val="0"/>
              <w:snapToGrid w:val="0"/>
              <w:spacing w:line="400" w:lineRule="exact"/>
              <w:textAlignment w:val="bottom"/>
              <w:rPr>
                <w:rFonts w:hint="eastAsia" w:ascii="宋体" w:hAnsi="宋体"/>
                <w:b/>
                <w:color w:val="auto"/>
                <w:szCs w:val="21"/>
                <w:highlight w:val="none"/>
              </w:rPr>
            </w:pPr>
            <w:r>
              <w:rPr>
                <w:rFonts w:hint="eastAsia" w:ascii="宋体" w:hAnsi="宋体"/>
                <w:b/>
                <w:color w:val="auto"/>
                <w:szCs w:val="21"/>
                <w:highlight w:val="none"/>
              </w:rPr>
              <w:t>1、投标人为企业（包括合伙企业）的，应提供有效的“营业执照”；投标人为事业单位的，应提供有效的“事业单位法人证书”；投标人为非企业专业服务机构的，应提供有效的“执业许可证”、“登记证书”等证明文件；投标人是个体工商户的，应提供有效的“个体工商户营业执照”；投标人是自然人的，应提供有效的自然人身份证明。分支机构参加投标的，应提供该分支机构或其所属法人/其他组织的相应证明文件，同时还应提供其所属法人/其他组织出具的授权其参与本项目的授权书（格式自拟，须加盖其所属法人/其他组织的公章）。</w:t>
            </w:r>
          </w:p>
        </w:tc>
      </w:tr>
      <w:tr w14:paraId="0A44923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25" w:hRule="atLeast"/>
          <w:jc w:val="center"/>
        </w:trPr>
        <w:tc>
          <w:tcPr>
            <w:tcW w:w="964" w:type="dxa"/>
            <w:vMerge w:val="continue"/>
            <w:vAlign w:val="center"/>
          </w:tcPr>
          <w:p w14:paraId="449A72FE">
            <w:pPr>
              <w:autoSpaceDE w:val="0"/>
              <w:autoSpaceDN w:val="0"/>
              <w:snapToGrid w:val="0"/>
              <w:spacing w:line="400" w:lineRule="exact"/>
              <w:textAlignment w:val="bottom"/>
              <w:rPr>
                <w:color w:val="auto"/>
                <w:highlight w:val="none"/>
              </w:rPr>
            </w:pPr>
          </w:p>
        </w:tc>
        <w:tc>
          <w:tcPr>
            <w:tcW w:w="1417" w:type="dxa"/>
            <w:vMerge w:val="continue"/>
            <w:vAlign w:val="center"/>
          </w:tcPr>
          <w:p w14:paraId="11813252">
            <w:pPr>
              <w:autoSpaceDE w:val="0"/>
              <w:autoSpaceDN w:val="0"/>
              <w:snapToGrid w:val="0"/>
              <w:spacing w:line="400" w:lineRule="exact"/>
              <w:textAlignment w:val="bottom"/>
              <w:rPr>
                <w:color w:val="auto"/>
                <w:highlight w:val="none"/>
              </w:rPr>
            </w:pPr>
          </w:p>
        </w:tc>
        <w:tc>
          <w:tcPr>
            <w:tcW w:w="1276" w:type="dxa"/>
            <w:vMerge w:val="continue"/>
            <w:tcBorders>
              <w:right w:val="single" w:color="auto" w:sz="4" w:space="0"/>
            </w:tcBorders>
            <w:vAlign w:val="center"/>
          </w:tcPr>
          <w:p w14:paraId="0122DE0E">
            <w:pPr>
              <w:autoSpaceDE w:val="0"/>
              <w:autoSpaceDN w:val="0"/>
              <w:snapToGrid w:val="0"/>
              <w:spacing w:line="400" w:lineRule="exact"/>
              <w:textAlignment w:val="bottom"/>
              <w:rPr>
                <w:color w:val="auto"/>
                <w:highlight w:val="none"/>
              </w:rPr>
            </w:pPr>
          </w:p>
        </w:tc>
        <w:tc>
          <w:tcPr>
            <w:tcW w:w="5639" w:type="dxa"/>
            <w:tcBorders>
              <w:left w:val="single" w:color="auto" w:sz="4" w:space="0"/>
            </w:tcBorders>
            <w:vAlign w:val="center"/>
          </w:tcPr>
          <w:p w14:paraId="36902727">
            <w:pPr>
              <w:autoSpaceDE w:val="0"/>
              <w:autoSpaceDN w:val="0"/>
              <w:snapToGrid w:val="0"/>
              <w:spacing w:line="400" w:lineRule="exact"/>
              <w:textAlignment w:val="bottom"/>
              <w:rPr>
                <w:rFonts w:hint="eastAsia" w:ascii="宋体" w:hAnsi="宋体"/>
                <w:b/>
                <w:color w:val="auto"/>
                <w:szCs w:val="21"/>
                <w:highlight w:val="none"/>
              </w:rPr>
            </w:pPr>
            <w:r>
              <w:rPr>
                <w:rFonts w:hint="eastAsia" w:ascii="宋体" w:hAnsi="宋体"/>
                <w:b/>
                <w:color w:val="auto"/>
                <w:szCs w:val="21"/>
                <w:highlight w:val="none"/>
              </w:rPr>
              <w:t>2、投标人应提供202</w:t>
            </w:r>
            <w:r>
              <w:rPr>
                <w:rFonts w:hint="eastAsia" w:ascii="宋体" w:hAnsi="宋体"/>
                <w:b/>
                <w:color w:val="auto"/>
                <w:szCs w:val="21"/>
                <w:highlight w:val="none"/>
                <w:lang w:val="en-US" w:eastAsia="zh-CN"/>
              </w:rPr>
              <w:t>4</w:t>
            </w:r>
            <w:r>
              <w:rPr>
                <w:rFonts w:hint="eastAsia" w:ascii="宋体" w:hAnsi="宋体"/>
                <w:b/>
                <w:color w:val="auto"/>
                <w:szCs w:val="21"/>
                <w:highlight w:val="none"/>
              </w:rPr>
              <w:t>年1月至今期间（税款所属时期）任意1个月的税务局税收通用缴款书复印件或银行电子缴税凭证复印件或税务局出具的纳税情况相关证明复印件；依法免税的投标人，应提供相应文件证明其依法免税；新成立企业尚未缴纳税款的，应出具情况证明。</w:t>
            </w:r>
          </w:p>
        </w:tc>
      </w:tr>
      <w:tr w14:paraId="7EDE200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25" w:hRule="atLeast"/>
          <w:jc w:val="center"/>
        </w:trPr>
        <w:tc>
          <w:tcPr>
            <w:tcW w:w="964" w:type="dxa"/>
            <w:vMerge w:val="continue"/>
            <w:vAlign w:val="center"/>
          </w:tcPr>
          <w:p w14:paraId="5F85D2C7">
            <w:pPr>
              <w:autoSpaceDE w:val="0"/>
              <w:autoSpaceDN w:val="0"/>
              <w:snapToGrid w:val="0"/>
              <w:spacing w:line="400" w:lineRule="exact"/>
              <w:textAlignment w:val="bottom"/>
              <w:rPr>
                <w:rFonts w:hint="eastAsia" w:ascii="宋体" w:hAnsi="宋体"/>
                <w:b/>
                <w:color w:val="auto"/>
                <w:szCs w:val="21"/>
                <w:highlight w:val="none"/>
                <w:u w:val="single"/>
              </w:rPr>
            </w:pPr>
          </w:p>
        </w:tc>
        <w:tc>
          <w:tcPr>
            <w:tcW w:w="1417" w:type="dxa"/>
            <w:vMerge w:val="continue"/>
            <w:vAlign w:val="center"/>
          </w:tcPr>
          <w:p w14:paraId="7E17DA62">
            <w:pPr>
              <w:autoSpaceDE w:val="0"/>
              <w:autoSpaceDN w:val="0"/>
              <w:snapToGrid w:val="0"/>
              <w:spacing w:line="400" w:lineRule="exact"/>
              <w:textAlignment w:val="bottom"/>
              <w:rPr>
                <w:rFonts w:hint="eastAsia" w:ascii="宋体" w:hAnsi="宋体"/>
                <w:b/>
                <w:color w:val="auto"/>
                <w:szCs w:val="21"/>
                <w:highlight w:val="none"/>
                <w:u w:val="single"/>
              </w:rPr>
            </w:pPr>
          </w:p>
        </w:tc>
        <w:tc>
          <w:tcPr>
            <w:tcW w:w="1276" w:type="dxa"/>
            <w:vMerge w:val="continue"/>
            <w:tcBorders>
              <w:right w:val="single" w:color="auto" w:sz="4" w:space="0"/>
            </w:tcBorders>
            <w:vAlign w:val="center"/>
          </w:tcPr>
          <w:p w14:paraId="055B8FD8">
            <w:pPr>
              <w:autoSpaceDE w:val="0"/>
              <w:autoSpaceDN w:val="0"/>
              <w:snapToGrid w:val="0"/>
              <w:spacing w:line="400" w:lineRule="exact"/>
              <w:textAlignment w:val="bottom"/>
              <w:rPr>
                <w:rFonts w:hint="eastAsia" w:ascii="宋体" w:hAnsi="宋体"/>
                <w:b/>
                <w:color w:val="auto"/>
                <w:szCs w:val="21"/>
                <w:highlight w:val="none"/>
                <w:u w:val="single"/>
              </w:rPr>
            </w:pPr>
          </w:p>
        </w:tc>
        <w:tc>
          <w:tcPr>
            <w:tcW w:w="5639" w:type="dxa"/>
            <w:tcBorders>
              <w:left w:val="single" w:color="auto" w:sz="4" w:space="0"/>
            </w:tcBorders>
            <w:vAlign w:val="center"/>
          </w:tcPr>
          <w:p w14:paraId="4EADC594">
            <w:pPr>
              <w:autoSpaceDE w:val="0"/>
              <w:autoSpaceDN w:val="0"/>
              <w:snapToGrid w:val="0"/>
              <w:spacing w:line="400" w:lineRule="exact"/>
              <w:textAlignment w:val="bottom"/>
              <w:rPr>
                <w:rFonts w:hint="eastAsia" w:ascii="宋体" w:hAnsi="宋体"/>
                <w:b/>
                <w:color w:val="auto"/>
                <w:szCs w:val="21"/>
                <w:highlight w:val="none"/>
              </w:rPr>
            </w:pPr>
            <w:r>
              <w:rPr>
                <w:rFonts w:hint="eastAsia" w:ascii="宋体" w:hAnsi="宋体"/>
                <w:b/>
                <w:color w:val="auto"/>
                <w:szCs w:val="21"/>
                <w:highlight w:val="none"/>
              </w:rPr>
              <w:t>3、投标人应提供202</w:t>
            </w:r>
            <w:r>
              <w:rPr>
                <w:rFonts w:hint="eastAsia" w:ascii="宋体" w:hAnsi="宋体"/>
                <w:b/>
                <w:color w:val="auto"/>
                <w:szCs w:val="21"/>
                <w:highlight w:val="none"/>
                <w:lang w:val="en-US" w:eastAsia="zh-CN"/>
              </w:rPr>
              <w:t>4</w:t>
            </w:r>
            <w:r>
              <w:rPr>
                <w:rFonts w:hint="eastAsia" w:ascii="宋体" w:hAnsi="宋体"/>
                <w:b/>
                <w:color w:val="auto"/>
                <w:szCs w:val="21"/>
                <w:highlight w:val="none"/>
              </w:rPr>
              <w:t>年1月至今期间（费款所属时期）任意1个月的社会保险费缴款书复印件或银行电子缴费凭证复印件或社保管理部门出具的有效缴款证明复印件；依法不需要缴纳社会保障资金的投标人，应提供相应文件证明其不需要缴纳社会保障资金；新成立企业尚未缴纳社保的，应出具情况证明。</w:t>
            </w:r>
          </w:p>
        </w:tc>
      </w:tr>
      <w:tr w14:paraId="756D6CB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25" w:hRule="atLeast"/>
          <w:jc w:val="center"/>
        </w:trPr>
        <w:tc>
          <w:tcPr>
            <w:tcW w:w="964" w:type="dxa"/>
            <w:vMerge w:val="continue"/>
            <w:vAlign w:val="center"/>
          </w:tcPr>
          <w:p w14:paraId="625A5C16">
            <w:pPr>
              <w:autoSpaceDE w:val="0"/>
              <w:autoSpaceDN w:val="0"/>
              <w:snapToGrid w:val="0"/>
              <w:spacing w:line="400" w:lineRule="exact"/>
              <w:textAlignment w:val="bottom"/>
              <w:rPr>
                <w:rFonts w:hint="eastAsia" w:ascii="宋体" w:hAnsi="宋体"/>
                <w:b/>
                <w:color w:val="auto"/>
                <w:szCs w:val="21"/>
                <w:highlight w:val="none"/>
                <w:u w:val="single"/>
              </w:rPr>
            </w:pPr>
          </w:p>
        </w:tc>
        <w:tc>
          <w:tcPr>
            <w:tcW w:w="1417" w:type="dxa"/>
            <w:vMerge w:val="continue"/>
            <w:vAlign w:val="center"/>
          </w:tcPr>
          <w:p w14:paraId="3220DE41">
            <w:pPr>
              <w:autoSpaceDE w:val="0"/>
              <w:autoSpaceDN w:val="0"/>
              <w:snapToGrid w:val="0"/>
              <w:spacing w:line="400" w:lineRule="exact"/>
              <w:textAlignment w:val="bottom"/>
              <w:rPr>
                <w:rFonts w:hint="eastAsia" w:ascii="宋体" w:hAnsi="宋体"/>
                <w:b/>
                <w:color w:val="auto"/>
                <w:szCs w:val="21"/>
                <w:highlight w:val="none"/>
                <w:u w:val="single"/>
              </w:rPr>
            </w:pPr>
          </w:p>
        </w:tc>
        <w:tc>
          <w:tcPr>
            <w:tcW w:w="1276" w:type="dxa"/>
            <w:vMerge w:val="continue"/>
            <w:tcBorders>
              <w:right w:val="single" w:color="auto" w:sz="4" w:space="0"/>
            </w:tcBorders>
            <w:vAlign w:val="center"/>
          </w:tcPr>
          <w:p w14:paraId="7EEECB6E">
            <w:pPr>
              <w:autoSpaceDE w:val="0"/>
              <w:autoSpaceDN w:val="0"/>
              <w:snapToGrid w:val="0"/>
              <w:spacing w:line="400" w:lineRule="exact"/>
              <w:textAlignment w:val="bottom"/>
              <w:rPr>
                <w:rFonts w:hint="eastAsia" w:ascii="宋体" w:hAnsi="宋体"/>
                <w:b/>
                <w:color w:val="auto"/>
                <w:szCs w:val="21"/>
                <w:highlight w:val="none"/>
                <w:u w:val="single"/>
              </w:rPr>
            </w:pPr>
          </w:p>
        </w:tc>
        <w:tc>
          <w:tcPr>
            <w:tcW w:w="5639" w:type="dxa"/>
            <w:tcBorders>
              <w:left w:val="single" w:color="auto" w:sz="4" w:space="0"/>
            </w:tcBorders>
            <w:vAlign w:val="center"/>
          </w:tcPr>
          <w:p w14:paraId="28663AF1">
            <w:pPr>
              <w:autoSpaceDE w:val="0"/>
              <w:autoSpaceDN w:val="0"/>
              <w:snapToGrid w:val="0"/>
              <w:spacing w:line="400" w:lineRule="exact"/>
              <w:textAlignment w:val="bottom"/>
              <w:rPr>
                <w:rFonts w:hint="eastAsia" w:ascii="宋体" w:hAnsi="宋体"/>
                <w:b/>
                <w:color w:val="auto"/>
                <w:szCs w:val="21"/>
                <w:highlight w:val="none"/>
              </w:rPr>
            </w:pPr>
            <w:r>
              <w:rPr>
                <w:rFonts w:hint="eastAsia" w:ascii="宋体" w:hAnsi="宋体"/>
                <w:b/>
                <w:color w:val="auto"/>
                <w:szCs w:val="21"/>
                <w:highlight w:val="none"/>
              </w:rPr>
              <w:t>4、投标人应提供202</w:t>
            </w:r>
            <w:r>
              <w:rPr>
                <w:rFonts w:hint="eastAsia" w:ascii="宋体" w:hAnsi="宋体"/>
                <w:b/>
                <w:color w:val="auto"/>
                <w:szCs w:val="21"/>
                <w:highlight w:val="none"/>
                <w:lang w:val="en-US" w:eastAsia="zh-CN"/>
              </w:rPr>
              <w:t>4</w:t>
            </w:r>
            <w:r>
              <w:rPr>
                <w:rFonts w:hint="eastAsia" w:ascii="宋体" w:hAnsi="宋体"/>
                <w:b/>
                <w:color w:val="auto"/>
                <w:szCs w:val="21"/>
                <w:highlight w:val="none"/>
              </w:rPr>
              <w:t>年至今任意一年度</w:t>
            </w:r>
            <w:r>
              <w:rPr>
                <w:rFonts w:hint="eastAsia" w:ascii="宋体" w:hAnsi="宋体"/>
                <w:b/>
                <w:color w:val="auto"/>
                <w:szCs w:val="21"/>
                <w:highlight w:val="none"/>
                <w:lang w:val="en-US" w:eastAsia="zh-CN"/>
              </w:rPr>
              <w:t>经审计</w:t>
            </w:r>
            <w:r>
              <w:rPr>
                <w:rFonts w:hint="eastAsia" w:ascii="宋体" w:hAnsi="宋体"/>
                <w:b/>
                <w:color w:val="auto"/>
                <w:szCs w:val="21"/>
                <w:highlight w:val="none"/>
              </w:rPr>
              <w:t>的财务状况报告复印件（包括但不限于资产负债表、现金流量表、利润表）或提供投标文件提交截止时间前三个月内基本开户银行出具的资信证明。</w:t>
            </w:r>
          </w:p>
          <w:p w14:paraId="7543BFE1">
            <w:pPr>
              <w:autoSpaceDE w:val="0"/>
              <w:autoSpaceDN w:val="0"/>
              <w:snapToGrid w:val="0"/>
              <w:spacing w:line="400" w:lineRule="exact"/>
              <w:textAlignment w:val="bottom"/>
              <w:rPr>
                <w:rFonts w:hint="eastAsia" w:ascii="宋体" w:hAnsi="宋体"/>
                <w:b/>
                <w:color w:val="auto"/>
                <w:szCs w:val="21"/>
                <w:highlight w:val="none"/>
              </w:rPr>
            </w:pPr>
            <w:r>
              <w:rPr>
                <w:rFonts w:hint="eastAsia" w:ascii="宋体" w:hAnsi="宋体"/>
                <w:b/>
                <w:color w:val="auto"/>
                <w:szCs w:val="21"/>
                <w:highlight w:val="none"/>
              </w:rPr>
              <w:t>注：资信证明中未明确为基本开户银行的，需同时提供《基本存款账号信息》或《开户许可证》</w:t>
            </w:r>
          </w:p>
        </w:tc>
      </w:tr>
      <w:tr w14:paraId="4C3BFFB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525" w:hRule="atLeast"/>
          <w:jc w:val="center"/>
        </w:trPr>
        <w:tc>
          <w:tcPr>
            <w:tcW w:w="964" w:type="dxa"/>
            <w:vMerge w:val="continue"/>
            <w:vAlign w:val="center"/>
          </w:tcPr>
          <w:p w14:paraId="15052B26">
            <w:pPr>
              <w:autoSpaceDE w:val="0"/>
              <w:autoSpaceDN w:val="0"/>
              <w:snapToGrid w:val="0"/>
              <w:spacing w:line="400" w:lineRule="exact"/>
              <w:textAlignment w:val="bottom"/>
              <w:rPr>
                <w:rFonts w:hint="eastAsia" w:ascii="宋体" w:hAnsi="宋体"/>
                <w:b/>
                <w:color w:val="auto"/>
                <w:szCs w:val="21"/>
                <w:highlight w:val="none"/>
                <w:u w:val="single"/>
              </w:rPr>
            </w:pPr>
          </w:p>
        </w:tc>
        <w:tc>
          <w:tcPr>
            <w:tcW w:w="1417" w:type="dxa"/>
            <w:vMerge w:val="continue"/>
            <w:vAlign w:val="center"/>
          </w:tcPr>
          <w:p w14:paraId="098B6EFB">
            <w:pPr>
              <w:autoSpaceDE w:val="0"/>
              <w:autoSpaceDN w:val="0"/>
              <w:snapToGrid w:val="0"/>
              <w:spacing w:line="400" w:lineRule="exact"/>
              <w:textAlignment w:val="bottom"/>
              <w:rPr>
                <w:rFonts w:hint="eastAsia" w:ascii="宋体" w:hAnsi="宋体"/>
                <w:b/>
                <w:color w:val="auto"/>
                <w:szCs w:val="21"/>
                <w:highlight w:val="none"/>
                <w:u w:val="single"/>
              </w:rPr>
            </w:pPr>
          </w:p>
        </w:tc>
        <w:tc>
          <w:tcPr>
            <w:tcW w:w="1276" w:type="dxa"/>
            <w:vMerge w:val="continue"/>
            <w:tcBorders>
              <w:right w:val="single" w:color="auto" w:sz="4" w:space="0"/>
            </w:tcBorders>
            <w:vAlign w:val="center"/>
          </w:tcPr>
          <w:p w14:paraId="4518CA92">
            <w:pPr>
              <w:autoSpaceDE w:val="0"/>
              <w:autoSpaceDN w:val="0"/>
              <w:snapToGrid w:val="0"/>
              <w:spacing w:line="400" w:lineRule="exact"/>
              <w:textAlignment w:val="bottom"/>
              <w:rPr>
                <w:rFonts w:hint="eastAsia" w:ascii="宋体" w:hAnsi="宋体"/>
                <w:b/>
                <w:color w:val="auto"/>
                <w:szCs w:val="21"/>
                <w:highlight w:val="none"/>
                <w:u w:val="single"/>
              </w:rPr>
            </w:pPr>
          </w:p>
        </w:tc>
        <w:tc>
          <w:tcPr>
            <w:tcW w:w="5639" w:type="dxa"/>
            <w:tcBorders>
              <w:left w:val="single" w:color="auto" w:sz="4" w:space="0"/>
            </w:tcBorders>
            <w:vAlign w:val="center"/>
          </w:tcPr>
          <w:p w14:paraId="7D009E22">
            <w:pPr>
              <w:autoSpaceDE w:val="0"/>
              <w:autoSpaceDN w:val="0"/>
              <w:snapToGrid w:val="0"/>
              <w:spacing w:line="400" w:lineRule="exact"/>
              <w:textAlignment w:val="bottom"/>
              <w:rPr>
                <w:rFonts w:hint="eastAsia" w:ascii="宋体" w:hAnsi="宋体"/>
                <w:b/>
                <w:color w:val="auto"/>
                <w:szCs w:val="21"/>
                <w:highlight w:val="none"/>
              </w:rPr>
            </w:pPr>
            <w:r>
              <w:rPr>
                <w:rFonts w:hint="eastAsia" w:ascii="宋体" w:hAnsi="宋体"/>
                <w:b/>
                <w:color w:val="auto"/>
                <w:szCs w:val="21"/>
                <w:highlight w:val="none"/>
              </w:rPr>
              <w:t>5、投标人书面声明原件。</w:t>
            </w:r>
          </w:p>
        </w:tc>
      </w:tr>
      <w:tr w14:paraId="084C5CC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3C3246BA">
            <w:pPr>
              <w:jc w:val="center"/>
              <w:rPr>
                <w:rFonts w:hint="eastAsia" w:ascii="宋体" w:hAnsi="宋体" w:cs="宋体"/>
                <w:color w:val="auto"/>
                <w:sz w:val="36"/>
                <w:highlight w:val="none"/>
              </w:rPr>
            </w:pPr>
          </w:p>
        </w:tc>
        <w:tc>
          <w:tcPr>
            <w:tcW w:w="1417" w:type="dxa"/>
            <w:vMerge w:val="continue"/>
            <w:vAlign w:val="center"/>
          </w:tcPr>
          <w:p w14:paraId="2F2CFBD1">
            <w:pPr>
              <w:jc w:val="center"/>
              <w:rPr>
                <w:rFonts w:hint="eastAsia" w:ascii="宋体" w:hAnsi="宋体" w:cs="宋体"/>
                <w:b/>
                <w:color w:val="auto"/>
                <w:szCs w:val="21"/>
                <w:highlight w:val="none"/>
              </w:rPr>
            </w:pPr>
          </w:p>
        </w:tc>
        <w:tc>
          <w:tcPr>
            <w:tcW w:w="6915" w:type="dxa"/>
            <w:gridSpan w:val="2"/>
            <w:vAlign w:val="center"/>
          </w:tcPr>
          <w:p w14:paraId="0993165C">
            <w:pPr>
              <w:jc w:val="left"/>
              <w:rPr>
                <w:rFonts w:hint="eastAsia" w:ascii="宋体" w:hAnsi="宋体" w:cs="宋体"/>
                <w:b/>
                <w:color w:val="auto"/>
                <w:szCs w:val="21"/>
                <w:highlight w:val="none"/>
              </w:rPr>
            </w:pPr>
            <w:r>
              <w:rPr>
                <w:rFonts w:hint="eastAsia" w:ascii="宋体" w:hAnsi="宋体" w:cs="宋体"/>
                <w:color w:val="auto"/>
                <w:szCs w:val="21"/>
                <w:highlight w:val="none"/>
              </w:rPr>
              <w:t>符合采购人根据本项目的特殊要求规定投标人应具备的特定条件，详见招标文件第一章的投标邀请资格要求。</w:t>
            </w:r>
          </w:p>
        </w:tc>
      </w:tr>
      <w:tr w14:paraId="336224F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7C0CE189">
            <w:pPr>
              <w:jc w:val="center"/>
              <w:rPr>
                <w:rFonts w:hint="eastAsia" w:ascii="宋体" w:hAnsi="宋体" w:cs="宋体"/>
                <w:color w:val="auto"/>
                <w:sz w:val="36"/>
                <w:highlight w:val="none"/>
              </w:rPr>
            </w:pPr>
          </w:p>
        </w:tc>
        <w:tc>
          <w:tcPr>
            <w:tcW w:w="1417" w:type="dxa"/>
            <w:vMerge w:val="continue"/>
            <w:vAlign w:val="center"/>
          </w:tcPr>
          <w:p w14:paraId="056F8AA5">
            <w:pPr>
              <w:jc w:val="center"/>
              <w:rPr>
                <w:rFonts w:hint="eastAsia" w:ascii="宋体" w:hAnsi="宋体" w:cs="宋体"/>
                <w:b/>
                <w:color w:val="auto"/>
                <w:szCs w:val="21"/>
                <w:highlight w:val="none"/>
              </w:rPr>
            </w:pPr>
          </w:p>
        </w:tc>
        <w:tc>
          <w:tcPr>
            <w:tcW w:w="6915" w:type="dxa"/>
            <w:gridSpan w:val="2"/>
            <w:vAlign w:val="center"/>
          </w:tcPr>
          <w:p w14:paraId="6F494451">
            <w:pPr>
              <w:jc w:val="left"/>
              <w:rPr>
                <w:rFonts w:hint="eastAsia" w:ascii="宋体" w:hAnsi="宋体" w:cs="宋体"/>
                <w:b/>
                <w:color w:val="auto"/>
                <w:szCs w:val="21"/>
                <w:highlight w:val="none"/>
              </w:rPr>
            </w:pPr>
            <w:r>
              <w:rPr>
                <w:rFonts w:hint="eastAsia" w:ascii="宋体" w:hAnsi="宋体" w:cs="宋体"/>
                <w:color w:val="auto"/>
                <w:szCs w:val="21"/>
                <w:highlight w:val="none"/>
              </w:rPr>
              <w:t>投标人在投标截止时间前未被列入“失信被执行人”、“重大税收违法失信主体”、“政府采购严重违法失信名单”，采购人或采购代理机构将通过“信用中国”网站(www.creditchina.gov.cn)、“中国政府采购网”网站（www.ccgp.gov.cn）查询投标人信用记录。</w:t>
            </w:r>
          </w:p>
        </w:tc>
      </w:tr>
      <w:tr w14:paraId="550E538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21" w:hRule="atLeast"/>
          <w:jc w:val="center"/>
        </w:trPr>
        <w:tc>
          <w:tcPr>
            <w:tcW w:w="964" w:type="dxa"/>
            <w:vMerge w:val="continue"/>
            <w:vAlign w:val="center"/>
          </w:tcPr>
          <w:p w14:paraId="6FF06AE0">
            <w:pPr>
              <w:jc w:val="center"/>
              <w:rPr>
                <w:rFonts w:hint="eastAsia" w:ascii="宋体" w:hAnsi="宋体" w:cs="宋体"/>
                <w:color w:val="auto"/>
                <w:sz w:val="36"/>
                <w:highlight w:val="none"/>
              </w:rPr>
            </w:pPr>
          </w:p>
        </w:tc>
        <w:tc>
          <w:tcPr>
            <w:tcW w:w="1417" w:type="dxa"/>
            <w:vMerge w:val="continue"/>
            <w:vAlign w:val="center"/>
          </w:tcPr>
          <w:p w14:paraId="4E8E7283">
            <w:pPr>
              <w:jc w:val="center"/>
              <w:rPr>
                <w:rFonts w:hint="eastAsia" w:ascii="宋体" w:hAnsi="宋体" w:cs="宋体"/>
                <w:b/>
                <w:color w:val="auto"/>
                <w:szCs w:val="21"/>
                <w:highlight w:val="none"/>
              </w:rPr>
            </w:pPr>
          </w:p>
        </w:tc>
        <w:tc>
          <w:tcPr>
            <w:tcW w:w="6915" w:type="dxa"/>
            <w:gridSpan w:val="2"/>
            <w:vAlign w:val="center"/>
          </w:tcPr>
          <w:p w14:paraId="10827133">
            <w:pPr>
              <w:jc w:val="left"/>
              <w:rPr>
                <w:rFonts w:hint="eastAsia" w:ascii="宋体" w:hAnsi="宋体" w:cs="宋体"/>
                <w:b/>
                <w:color w:val="auto"/>
                <w:szCs w:val="21"/>
                <w:highlight w:val="none"/>
              </w:rPr>
            </w:pPr>
            <w:r>
              <w:rPr>
                <w:rFonts w:hint="eastAsia" w:ascii="宋体" w:hAnsi="宋体" w:cs="宋体"/>
                <w:color w:val="auto"/>
                <w:szCs w:val="21"/>
                <w:highlight w:val="none"/>
              </w:rPr>
              <w:t>符合招标文件关于联合体投标的有关规定。</w:t>
            </w:r>
          </w:p>
        </w:tc>
      </w:tr>
      <w:tr w14:paraId="4B32917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964" w:type="dxa"/>
            <w:vMerge w:val="continue"/>
            <w:vAlign w:val="center"/>
          </w:tcPr>
          <w:p w14:paraId="78813938">
            <w:pPr>
              <w:jc w:val="center"/>
              <w:rPr>
                <w:rFonts w:hint="eastAsia" w:ascii="宋体" w:hAnsi="宋体" w:cs="宋体"/>
                <w:color w:val="auto"/>
                <w:sz w:val="36"/>
                <w:highlight w:val="none"/>
              </w:rPr>
            </w:pPr>
          </w:p>
        </w:tc>
        <w:tc>
          <w:tcPr>
            <w:tcW w:w="1417" w:type="dxa"/>
            <w:vAlign w:val="center"/>
          </w:tcPr>
          <w:p w14:paraId="24D44DF2">
            <w:pPr>
              <w:jc w:val="center"/>
              <w:rPr>
                <w:rFonts w:hint="eastAsia" w:ascii="宋体" w:hAnsi="宋体" w:cs="宋体"/>
                <w:b/>
                <w:color w:val="auto"/>
                <w:szCs w:val="21"/>
                <w:highlight w:val="none"/>
              </w:rPr>
            </w:pPr>
            <w:r>
              <w:rPr>
                <w:rFonts w:hint="eastAsia" w:ascii="宋体" w:hAnsi="宋体" w:cs="宋体"/>
                <w:b/>
                <w:color w:val="auto"/>
                <w:szCs w:val="21"/>
                <w:highlight w:val="none"/>
              </w:rPr>
              <w:t>投标保证金</w:t>
            </w:r>
          </w:p>
        </w:tc>
        <w:tc>
          <w:tcPr>
            <w:tcW w:w="6915" w:type="dxa"/>
            <w:gridSpan w:val="2"/>
            <w:vAlign w:val="center"/>
          </w:tcPr>
          <w:p w14:paraId="23787D60">
            <w:pPr>
              <w:jc w:val="left"/>
              <w:rPr>
                <w:rFonts w:hint="eastAsia" w:ascii="宋体" w:hAnsi="宋体" w:cs="宋体"/>
                <w:b/>
                <w:color w:val="auto"/>
                <w:szCs w:val="21"/>
                <w:highlight w:val="none"/>
              </w:rPr>
            </w:pPr>
            <w:r>
              <w:rPr>
                <w:rFonts w:hint="eastAsia" w:ascii="宋体" w:hAnsi="宋体" w:cs="宋体"/>
                <w:b/>
                <w:color w:val="auto"/>
                <w:szCs w:val="21"/>
                <w:highlight w:val="none"/>
              </w:rPr>
              <w:t>无。</w:t>
            </w:r>
          </w:p>
        </w:tc>
      </w:tr>
    </w:tbl>
    <w:p w14:paraId="6A73E2C9">
      <w:pPr>
        <w:pStyle w:val="3"/>
        <w:numPr>
          <w:ilvl w:val="0"/>
          <w:numId w:val="0"/>
        </w:numPr>
        <w:spacing w:before="0"/>
        <w:rPr>
          <w:rFonts w:hint="eastAsia" w:ascii="宋体" w:hAnsi="宋体" w:eastAsia="宋体" w:cs="宋体"/>
          <w:color w:val="auto"/>
          <w:szCs w:val="28"/>
          <w:highlight w:val="none"/>
        </w:rPr>
      </w:pPr>
      <w:bookmarkStart w:id="511" w:name="_Toc17689"/>
      <w:bookmarkStart w:id="512" w:name="_Toc30703"/>
      <w:bookmarkStart w:id="513" w:name="_Toc19778"/>
      <w:bookmarkStart w:id="514" w:name="_Toc202"/>
      <w:r>
        <w:rPr>
          <w:rFonts w:hint="eastAsia" w:ascii="宋体" w:hAnsi="宋体" w:eastAsia="宋体" w:cs="宋体"/>
          <w:color w:val="auto"/>
          <w:szCs w:val="28"/>
          <w:highlight w:val="none"/>
        </w:rPr>
        <w:t>1. 资格审查</w:t>
      </w:r>
      <w:bookmarkEnd w:id="511"/>
      <w:bookmarkEnd w:id="512"/>
      <w:bookmarkEnd w:id="513"/>
      <w:bookmarkEnd w:id="514"/>
    </w:p>
    <w:p w14:paraId="53C34553">
      <w:pPr>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公开招标采购项目开标结束后，采购人或者采购代理机构依法对投标人的资格进行审查。</w:t>
      </w:r>
    </w:p>
    <w:p w14:paraId="4EEE3A83">
      <w:pPr>
        <w:pStyle w:val="3"/>
        <w:numPr>
          <w:ilvl w:val="0"/>
          <w:numId w:val="0"/>
        </w:numPr>
        <w:spacing w:before="0"/>
        <w:rPr>
          <w:rFonts w:hint="eastAsia" w:ascii="宋体" w:hAnsi="宋体" w:eastAsia="宋体" w:cs="宋体"/>
          <w:color w:val="auto"/>
          <w:szCs w:val="28"/>
          <w:highlight w:val="none"/>
        </w:rPr>
      </w:pPr>
      <w:bookmarkStart w:id="515" w:name="_Toc15209"/>
      <w:bookmarkStart w:id="516" w:name="_Toc18694"/>
      <w:bookmarkStart w:id="517" w:name="_Toc2323"/>
      <w:bookmarkStart w:id="518" w:name="_Toc12794"/>
      <w:r>
        <w:rPr>
          <w:rFonts w:hint="eastAsia" w:ascii="宋体" w:hAnsi="宋体" w:eastAsia="宋体" w:cs="宋体"/>
          <w:color w:val="auto"/>
          <w:szCs w:val="28"/>
          <w:highlight w:val="none"/>
        </w:rPr>
        <w:t>2. 资格审查标准</w:t>
      </w:r>
      <w:bookmarkEnd w:id="515"/>
      <w:bookmarkEnd w:id="516"/>
      <w:bookmarkEnd w:id="517"/>
      <w:bookmarkEnd w:id="518"/>
    </w:p>
    <w:p w14:paraId="78F16EFA">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资格审查标准：依据法律法规和招标文件的规定，对投标文件中的资格条件以及证明文件、投标保证金等进行审查，以确定投标人是否具备投标资格；见资格审查前附表。</w:t>
      </w:r>
    </w:p>
    <w:p w14:paraId="1DA5FFBD">
      <w:pPr>
        <w:pStyle w:val="3"/>
        <w:numPr>
          <w:ilvl w:val="0"/>
          <w:numId w:val="0"/>
        </w:numPr>
        <w:spacing w:before="0"/>
        <w:rPr>
          <w:rFonts w:hint="eastAsia" w:ascii="宋体" w:hAnsi="宋体" w:eastAsia="宋体" w:cs="宋体"/>
          <w:color w:val="auto"/>
          <w:szCs w:val="28"/>
          <w:highlight w:val="none"/>
        </w:rPr>
      </w:pPr>
      <w:bookmarkStart w:id="519" w:name="_Toc31078"/>
      <w:bookmarkStart w:id="520" w:name="_Toc9221"/>
      <w:bookmarkStart w:id="521" w:name="_Toc3396"/>
      <w:bookmarkStart w:id="522" w:name="_Toc5600"/>
      <w:r>
        <w:rPr>
          <w:rFonts w:hint="eastAsia" w:ascii="宋体" w:hAnsi="宋体" w:eastAsia="宋体" w:cs="宋体"/>
          <w:color w:val="auto"/>
          <w:szCs w:val="28"/>
          <w:highlight w:val="none"/>
        </w:rPr>
        <w:t>3. 资格审查程序</w:t>
      </w:r>
      <w:bookmarkEnd w:id="519"/>
      <w:bookmarkEnd w:id="520"/>
      <w:bookmarkEnd w:id="521"/>
      <w:bookmarkEnd w:id="522"/>
    </w:p>
    <w:p w14:paraId="7FDCF881">
      <w:pPr>
        <w:pStyle w:val="16"/>
        <w:tabs>
          <w:tab w:val="left" w:pos="2472"/>
        </w:tabs>
        <w:spacing w:line="360" w:lineRule="auto"/>
        <w:ind w:firstLine="420" w:firstLineChars="200"/>
        <w:rPr>
          <w:rFonts w:hint="eastAsia" w:hAnsi="宋体" w:cs="宋体"/>
          <w:b/>
          <w:color w:val="auto"/>
          <w:szCs w:val="21"/>
          <w:highlight w:val="none"/>
          <w:u w:val="single"/>
        </w:rPr>
      </w:pPr>
      <w:r>
        <w:rPr>
          <w:rFonts w:hint="eastAsia" w:hAnsi="宋体" w:cs="宋体"/>
          <w:color w:val="auto"/>
          <w:szCs w:val="21"/>
          <w:highlight w:val="none"/>
        </w:rPr>
        <w:t>采购人或采购代理机构依据本章第2项规定的标准对投标文件进行资格审查。有一项不符合审查标准的，投标无效。</w:t>
      </w:r>
      <w:r>
        <w:rPr>
          <w:rFonts w:hint="eastAsia" w:hAnsi="宋体" w:cs="宋体"/>
          <w:b/>
          <w:color w:val="auto"/>
          <w:szCs w:val="21"/>
          <w:highlight w:val="none"/>
          <w:u w:val="single"/>
        </w:rPr>
        <w:t>注：合格投标人不足3家的，不再进入评标程序，作废标处理。</w:t>
      </w:r>
    </w:p>
    <w:p w14:paraId="1A4F8845">
      <w:pPr>
        <w:pStyle w:val="16"/>
        <w:tabs>
          <w:tab w:val="left" w:pos="2472"/>
        </w:tabs>
        <w:spacing w:line="360" w:lineRule="auto"/>
        <w:ind w:firstLine="420" w:firstLineChars="200"/>
        <w:rPr>
          <w:rFonts w:hint="eastAsia" w:hAnsi="宋体" w:cs="宋体"/>
          <w:color w:val="auto"/>
          <w:szCs w:val="21"/>
          <w:highlight w:val="none"/>
        </w:rPr>
      </w:pPr>
      <w:r>
        <w:rPr>
          <w:rFonts w:hint="eastAsia" w:hAnsi="宋体" w:cs="宋体"/>
          <w:b/>
          <w:color w:val="auto"/>
          <w:szCs w:val="21"/>
          <w:highlight w:val="none"/>
          <w:u w:val="single"/>
        </w:rPr>
        <w:br w:type="page"/>
      </w:r>
    </w:p>
    <w:p w14:paraId="4E081FFA">
      <w:pPr>
        <w:pStyle w:val="2"/>
        <w:numPr>
          <w:ilvl w:val="0"/>
          <w:numId w:val="0"/>
        </w:numPr>
        <w:spacing w:before="0"/>
        <w:jc w:val="center"/>
        <w:rPr>
          <w:rFonts w:hint="eastAsia" w:ascii="宋体" w:hAnsi="宋体" w:eastAsia="宋体"/>
          <w:color w:val="auto"/>
          <w:sz w:val="36"/>
          <w:highlight w:val="none"/>
        </w:rPr>
      </w:pPr>
      <w:bookmarkStart w:id="523" w:name="_Toc2229"/>
      <w:bookmarkStart w:id="524" w:name="_Toc18342"/>
      <w:bookmarkStart w:id="525" w:name="_Toc1736"/>
      <w:bookmarkStart w:id="526" w:name="_Toc24529"/>
      <w:r>
        <w:rPr>
          <w:rFonts w:hint="eastAsia" w:ascii="宋体" w:hAnsi="宋体" w:eastAsia="宋体" w:cs="宋体"/>
          <w:color w:val="auto"/>
          <w:sz w:val="36"/>
          <w:highlight w:val="none"/>
        </w:rPr>
        <w:t>第七章  评标办法（综合评分法）</w:t>
      </w:r>
      <w:bookmarkEnd w:id="523"/>
      <w:bookmarkEnd w:id="524"/>
      <w:bookmarkEnd w:id="525"/>
      <w:bookmarkEnd w:id="526"/>
    </w:p>
    <w:p w14:paraId="46F74FBA">
      <w:pPr>
        <w:pStyle w:val="3"/>
        <w:numPr>
          <w:ilvl w:val="0"/>
          <w:numId w:val="0"/>
        </w:numPr>
        <w:spacing w:before="0"/>
        <w:jc w:val="center"/>
        <w:rPr>
          <w:rFonts w:hint="eastAsia" w:ascii="宋体" w:hAnsi="宋体" w:eastAsia="宋体"/>
          <w:color w:val="auto"/>
          <w:szCs w:val="28"/>
          <w:highlight w:val="none"/>
        </w:rPr>
      </w:pPr>
      <w:bookmarkStart w:id="527" w:name="_Toc8005"/>
      <w:bookmarkStart w:id="528" w:name="_Toc23354"/>
      <w:bookmarkStart w:id="529" w:name="_Toc7261"/>
      <w:bookmarkStart w:id="530" w:name="_Toc31418"/>
      <w:bookmarkStart w:id="531" w:name="_Toc9856"/>
      <w:bookmarkStart w:id="532" w:name="_Toc1866"/>
      <w:r>
        <w:rPr>
          <w:rFonts w:hint="eastAsia" w:ascii="宋体" w:hAnsi="宋体" w:eastAsia="宋体"/>
          <w:color w:val="auto"/>
          <w:szCs w:val="28"/>
          <w:highlight w:val="none"/>
        </w:rPr>
        <w:t>评</w:t>
      </w:r>
      <w:r>
        <w:rPr>
          <w:rFonts w:hint="eastAsia" w:ascii="宋体" w:hAnsi="宋体" w:eastAsia="宋体" w:cs="宋体"/>
          <w:color w:val="auto"/>
          <w:szCs w:val="28"/>
          <w:highlight w:val="none"/>
        </w:rPr>
        <w:t>标办法前附表</w:t>
      </w:r>
      <w:bookmarkEnd w:id="527"/>
      <w:bookmarkEnd w:id="528"/>
      <w:bookmarkEnd w:id="529"/>
      <w:bookmarkEnd w:id="530"/>
      <w:bookmarkEnd w:id="531"/>
      <w:bookmarkEnd w:id="532"/>
    </w:p>
    <w:tbl>
      <w:tblPr>
        <w:tblStyle w:val="33"/>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397"/>
        <w:gridCol w:w="6265"/>
      </w:tblGrid>
      <w:tr w14:paraId="4C70557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634" w:type="dxa"/>
            <w:gridSpan w:val="2"/>
            <w:vAlign w:val="center"/>
          </w:tcPr>
          <w:p w14:paraId="6B98DD88">
            <w:pPr>
              <w:jc w:val="center"/>
              <w:rPr>
                <w:rFonts w:hint="eastAsia" w:ascii="宋体" w:hAnsi="宋体" w:cs="宋体"/>
                <w:b/>
                <w:color w:val="auto"/>
                <w:szCs w:val="21"/>
                <w:highlight w:val="none"/>
              </w:rPr>
            </w:pPr>
            <w:r>
              <w:rPr>
                <w:rFonts w:hint="eastAsia" w:ascii="宋体" w:hAnsi="宋体" w:cs="宋体"/>
                <w:b/>
                <w:color w:val="auto"/>
                <w:szCs w:val="21"/>
                <w:highlight w:val="none"/>
              </w:rPr>
              <w:t>条款号</w:t>
            </w:r>
          </w:p>
        </w:tc>
        <w:tc>
          <w:tcPr>
            <w:tcW w:w="1397" w:type="dxa"/>
            <w:vAlign w:val="center"/>
          </w:tcPr>
          <w:p w14:paraId="772BC121">
            <w:pPr>
              <w:jc w:val="center"/>
              <w:rPr>
                <w:rFonts w:hint="eastAsia" w:ascii="宋体" w:hAnsi="宋体" w:cs="宋体"/>
                <w:b/>
                <w:color w:val="auto"/>
                <w:szCs w:val="21"/>
                <w:highlight w:val="none"/>
              </w:rPr>
            </w:pPr>
            <w:r>
              <w:rPr>
                <w:rFonts w:hint="eastAsia" w:ascii="宋体" w:hAnsi="宋体" w:cs="宋体"/>
                <w:b/>
                <w:color w:val="auto"/>
                <w:szCs w:val="21"/>
                <w:highlight w:val="none"/>
              </w:rPr>
              <w:t>评 审 因 素</w:t>
            </w:r>
          </w:p>
        </w:tc>
        <w:tc>
          <w:tcPr>
            <w:tcW w:w="6265" w:type="dxa"/>
            <w:vAlign w:val="center"/>
          </w:tcPr>
          <w:p w14:paraId="569A543C">
            <w:pPr>
              <w:jc w:val="center"/>
              <w:rPr>
                <w:rFonts w:hint="eastAsia" w:ascii="宋体" w:hAnsi="宋体" w:cs="宋体"/>
                <w:b/>
                <w:color w:val="auto"/>
                <w:szCs w:val="21"/>
                <w:highlight w:val="none"/>
              </w:rPr>
            </w:pPr>
            <w:r>
              <w:rPr>
                <w:rFonts w:hint="eastAsia" w:ascii="宋体" w:hAnsi="宋体" w:cs="宋体"/>
                <w:b/>
                <w:color w:val="auto"/>
                <w:szCs w:val="21"/>
                <w:highlight w:val="none"/>
              </w:rPr>
              <w:t>评 审 标 准</w:t>
            </w:r>
          </w:p>
        </w:tc>
      </w:tr>
      <w:tr w14:paraId="62BE6D5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restart"/>
            <w:vAlign w:val="center"/>
          </w:tcPr>
          <w:p w14:paraId="373C73C0">
            <w:pPr>
              <w:jc w:val="center"/>
              <w:rPr>
                <w:rFonts w:hint="eastAsia" w:ascii="宋体" w:hAnsi="宋体" w:cs="宋体"/>
                <w:color w:val="auto"/>
                <w:szCs w:val="21"/>
                <w:highlight w:val="none"/>
              </w:rPr>
            </w:pPr>
            <w:r>
              <w:rPr>
                <w:rFonts w:hint="eastAsia" w:ascii="宋体" w:hAnsi="宋体" w:cs="宋体"/>
                <w:color w:val="auto"/>
                <w:szCs w:val="21"/>
                <w:highlight w:val="none"/>
              </w:rPr>
              <w:t>2.1</w:t>
            </w:r>
          </w:p>
        </w:tc>
        <w:tc>
          <w:tcPr>
            <w:tcW w:w="817" w:type="dxa"/>
            <w:vMerge w:val="restart"/>
            <w:vAlign w:val="center"/>
          </w:tcPr>
          <w:p w14:paraId="3B525227">
            <w:pPr>
              <w:jc w:val="center"/>
              <w:rPr>
                <w:rFonts w:hint="eastAsia" w:ascii="宋体" w:hAnsi="宋体" w:cs="宋体"/>
                <w:color w:val="auto"/>
                <w:szCs w:val="21"/>
                <w:highlight w:val="none"/>
              </w:rPr>
            </w:pPr>
            <w:r>
              <w:rPr>
                <w:rFonts w:hint="eastAsia" w:ascii="宋体" w:hAnsi="宋体" w:cs="宋体"/>
                <w:color w:val="auto"/>
                <w:szCs w:val="21"/>
                <w:highlight w:val="none"/>
              </w:rPr>
              <w:t>符合</w:t>
            </w:r>
          </w:p>
          <w:p w14:paraId="71EEEAE7">
            <w:pPr>
              <w:jc w:val="center"/>
              <w:rPr>
                <w:rFonts w:hint="eastAsia" w:ascii="宋体" w:hAnsi="宋体" w:cs="宋体"/>
                <w:color w:val="auto"/>
                <w:szCs w:val="21"/>
                <w:highlight w:val="none"/>
              </w:rPr>
            </w:pPr>
            <w:r>
              <w:rPr>
                <w:rFonts w:hint="eastAsia" w:ascii="宋体" w:hAnsi="宋体" w:cs="宋体"/>
                <w:color w:val="auto"/>
                <w:szCs w:val="21"/>
                <w:highlight w:val="none"/>
              </w:rPr>
              <w:t>性审查标</w:t>
            </w:r>
          </w:p>
          <w:p w14:paraId="12221268">
            <w:pPr>
              <w:jc w:val="center"/>
              <w:rPr>
                <w:rFonts w:hint="eastAsia" w:ascii="宋体" w:hAnsi="宋体" w:cs="宋体"/>
                <w:color w:val="auto"/>
                <w:szCs w:val="21"/>
                <w:highlight w:val="none"/>
              </w:rPr>
            </w:pPr>
            <w:r>
              <w:rPr>
                <w:rFonts w:hint="eastAsia" w:ascii="宋体" w:hAnsi="宋体" w:cs="宋体"/>
                <w:color w:val="auto"/>
                <w:szCs w:val="21"/>
                <w:highlight w:val="none"/>
              </w:rPr>
              <w:t>准</w:t>
            </w:r>
          </w:p>
        </w:tc>
        <w:tc>
          <w:tcPr>
            <w:tcW w:w="1397" w:type="dxa"/>
            <w:vAlign w:val="center"/>
          </w:tcPr>
          <w:p w14:paraId="00A3369F">
            <w:pPr>
              <w:jc w:val="center"/>
              <w:rPr>
                <w:rFonts w:hint="eastAsia" w:ascii="宋体" w:hAnsi="宋体" w:cs="宋体"/>
                <w:color w:val="auto"/>
                <w:szCs w:val="21"/>
                <w:highlight w:val="none"/>
              </w:rPr>
            </w:pPr>
            <w:r>
              <w:rPr>
                <w:rFonts w:hint="eastAsia" w:ascii="宋体" w:hAnsi="宋体" w:cs="宋体"/>
                <w:color w:val="auto"/>
                <w:szCs w:val="21"/>
                <w:highlight w:val="none"/>
              </w:rPr>
              <w:t>投标文件格式</w:t>
            </w:r>
          </w:p>
        </w:tc>
        <w:tc>
          <w:tcPr>
            <w:tcW w:w="6265" w:type="dxa"/>
            <w:vAlign w:val="center"/>
          </w:tcPr>
          <w:p w14:paraId="42F112C3">
            <w:pPr>
              <w:rPr>
                <w:rFonts w:hint="eastAsia" w:ascii="宋体" w:hAnsi="宋体" w:cs="宋体"/>
                <w:color w:val="auto"/>
                <w:szCs w:val="21"/>
                <w:highlight w:val="none"/>
              </w:rPr>
            </w:pPr>
            <w:r>
              <w:rPr>
                <w:rFonts w:hint="eastAsia" w:ascii="宋体" w:hAnsi="宋体" w:cs="宋体"/>
                <w:color w:val="auto"/>
                <w:szCs w:val="21"/>
                <w:highlight w:val="none"/>
              </w:rPr>
              <w:t>投标文件按招标文件格式及内容要求签署、盖章</w:t>
            </w:r>
          </w:p>
        </w:tc>
      </w:tr>
      <w:tr w14:paraId="5680EBE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4F099ED6">
            <w:pPr>
              <w:rPr>
                <w:rFonts w:hint="eastAsia" w:ascii="宋体" w:hAnsi="宋体" w:cs="宋体"/>
                <w:color w:val="auto"/>
                <w:highlight w:val="none"/>
              </w:rPr>
            </w:pPr>
          </w:p>
        </w:tc>
        <w:tc>
          <w:tcPr>
            <w:tcW w:w="817" w:type="dxa"/>
            <w:vMerge w:val="continue"/>
            <w:vAlign w:val="center"/>
          </w:tcPr>
          <w:p w14:paraId="14AAA5CC">
            <w:pPr>
              <w:rPr>
                <w:rFonts w:hint="eastAsia" w:ascii="宋体" w:hAnsi="宋体" w:cs="宋体"/>
                <w:color w:val="auto"/>
                <w:highlight w:val="none"/>
              </w:rPr>
            </w:pPr>
          </w:p>
        </w:tc>
        <w:tc>
          <w:tcPr>
            <w:tcW w:w="1397" w:type="dxa"/>
            <w:vAlign w:val="center"/>
          </w:tcPr>
          <w:p w14:paraId="67A68178">
            <w:pPr>
              <w:jc w:val="center"/>
              <w:rPr>
                <w:rFonts w:hint="eastAsia" w:ascii="宋体" w:hAnsi="宋体" w:cs="宋体"/>
                <w:color w:val="auto"/>
                <w:highlight w:val="none"/>
              </w:rPr>
            </w:pPr>
            <w:r>
              <w:rPr>
                <w:rFonts w:hint="eastAsia" w:ascii="宋体" w:hAnsi="宋体" w:cs="宋体"/>
                <w:color w:val="auto"/>
                <w:highlight w:val="none"/>
              </w:rPr>
              <w:t>投标函</w:t>
            </w:r>
          </w:p>
        </w:tc>
        <w:tc>
          <w:tcPr>
            <w:tcW w:w="6265" w:type="dxa"/>
            <w:vAlign w:val="center"/>
          </w:tcPr>
          <w:p w14:paraId="632C9DDE">
            <w:pPr>
              <w:rPr>
                <w:rFonts w:hint="eastAsia" w:ascii="宋体" w:hAnsi="宋体" w:cs="宋体"/>
                <w:color w:val="auto"/>
                <w:highlight w:val="none"/>
              </w:rPr>
            </w:pPr>
            <w:r>
              <w:rPr>
                <w:rFonts w:hint="eastAsia" w:ascii="宋体" w:hAnsi="宋体" w:cs="宋体"/>
                <w:color w:val="auto"/>
                <w:highlight w:val="none"/>
              </w:rPr>
              <w:t xml:space="preserve">有法定代表人签名或盖章，并加盖单位公章；符合招标文件给定格式及内容； </w:t>
            </w:r>
          </w:p>
        </w:tc>
      </w:tr>
      <w:tr w14:paraId="2BD939B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3874881A">
            <w:pPr>
              <w:rPr>
                <w:rFonts w:hint="eastAsia" w:ascii="宋体" w:hAnsi="宋体" w:cs="宋体"/>
                <w:color w:val="auto"/>
                <w:highlight w:val="none"/>
              </w:rPr>
            </w:pPr>
          </w:p>
        </w:tc>
        <w:tc>
          <w:tcPr>
            <w:tcW w:w="817" w:type="dxa"/>
            <w:vMerge w:val="continue"/>
            <w:vAlign w:val="center"/>
          </w:tcPr>
          <w:p w14:paraId="342DF3C2">
            <w:pPr>
              <w:rPr>
                <w:rFonts w:hint="eastAsia" w:ascii="宋体" w:hAnsi="宋体" w:cs="宋体"/>
                <w:color w:val="auto"/>
                <w:highlight w:val="none"/>
              </w:rPr>
            </w:pPr>
          </w:p>
        </w:tc>
        <w:tc>
          <w:tcPr>
            <w:tcW w:w="1397" w:type="dxa"/>
            <w:vAlign w:val="center"/>
          </w:tcPr>
          <w:p w14:paraId="5BC17374">
            <w:pPr>
              <w:jc w:val="center"/>
              <w:rPr>
                <w:rFonts w:hint="eastAsia" w:ascii="宋体" w:hAnsi="宋体" w:cs="宋体"/>
                <w:color w:val="auto"/>
                <w:highlight w:val="none"/>
              </w:rPr>
            </w:pPr>
            <w:r>
              <w:rPr>
                <w:rFonts w:hint="eastAsia" w:ascii="宋体" w:hAnsi="宋体" w:cs="宋体"/>
                <w:color w:val="auto"/>
                <w:highlight w:val="none"/>
              </w:rPr>
              <w:t>法定代表人资格证明书</w:t>
            </w:r>
          </w:p>
        </w:tc>
        <w:tc>
          <w:tcPr>
            <w:tcW w:w="6265" w:type="dxa"/>
            <w:vAlign w:val="center"/>
          </w:tcPr>
          <w:p w14:paraId="001C0F02">
            <w:pPr>
              <w:rPr>
                <w:rFonts w:hint="eastAsia" w:ascii="宋体" w:hAnsi="宋体" w:cs="宋体"/>
                <w:color w:val="auto"/>
                <w:highlight w:val="none"/>
              </w:rPr>
            </w:pPr>
            <w:r>
              <w:rPr>
                <w:rFonts w:hint="eastAsia" w:ascii="宋体" w:hAnsi="宋体" w:cs="宋体"/>
                <w:color w:val="auto"/>
                <w:highlight w:val="none"/>
              </w:rPr>
              <w:t xml:space="preserve">符合招标文件给定格式及内容,并加盖单位公章； </w:t>
            </w:r>
          </w:p>
        </w:tc>
      </w:tr>
      <w:tr w14:paraId="59180DC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0284F128">
            <w:pPr>
              <w:rPr>
                <w:rFonts w:hint="eastAsia" w:ascii="宋体" w:hAnsi="宋体" w:cs="宋体"/>
                <w:color w:val="auto"/>
                <w:highlight w:val="none"/>
              </w:rPr>
            </w:pPr>
          </w:p>
        </w:tc>
        <w:tc>
          <w:tcPr>
            <w:tcW w:w="817" w:type="dxa"/>
            <w:vMerge w:val="continue"/>
            <w:vAlign w:val="center"/>
          </w:tcPr>
          <w:p w14:paraId="3938C481">
            <w:pPr>
              <w:rPr>
                <w:rFonts w:hint="eastAsia" w:ascii="宋体" w:hAnsi="宋体" w:cs="宋体"/>
                <w:color w:val="auto"/>
                <w:highlight w:val="none"/>
              </w:rPr>
            </w:pPr>
          </w:p>
        </w:tc>
        <w:tc>
          <w:tcPr>
            <w:tcW w:w="1397" w:type="dxa"/>
            <w:vMerge w:val="restart"/>
            <w:vAlign w:val="center"/>
          </w:tcPr>
          <w:p w14:paraId="5432EF5C">
            <w:pPr>
              <w:jc w:val="center"/>
              <w:rPr>
                <w:rFonts w:hint="eastAsia" w:ascii="宋体" w:hAnsi="宋体" w:cs="宋体"/>
                <w:color w:val="auto"/>
                <w:highlight w:val="none"/>
              </w:rPr>
            </w:pPr>
            <w:r>
              <w:rPr>
                <w:rFonts w:hint="eastAsia" w:ascii="宋体" w:hAnsi="宋体" w:cs="宋体"/>
                <w:color w:val="auto"/>
                <w:highlight w:val="none"/>
              </w:rPr>
              <w:t>法定代表人授权委托书</w:t>
            </w:r>
          </w:p>
        </w:tc>
        <w:tc>
          <w:tcPr>
            <w:tcW w:w="6265" w:type="dxa"/>
            <w:vAlign w:val="center"/>
          </w:tcPr>
          <w:p w14:paraId="177C340D">
            <w:pPr>
              <w:rPr>
                <w:rFonts w:hint="eastAsia" w:ascii="宋体" w:hAnsi="宋体" w:cs="宋体"/>
                <w:color w:val="auto"/>
                <w:highlight w:val="none"/>
              </w:rPr>
            </w:pPr>
            <w:r>
              <w:rPr>
                <w:rFonts w:hint="eastAsia" w:ascii="宋体" w:hAnsi="宋体" w:cs="宋体"/>
                <w:color w:val="auto"/>
                <w:highlight w:val="none"/>
              </w:rPr>
              <w:t xml:space="preserve">有法定代表人签名或盖章，并加盖单位公章；符合招标文件给定格式及内容； </w:t>
            </w:r>
          </w:p>
        </w:tc>
      </w:tr>
      <w:tr w14:paraId="3A702A6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3F70FF06">
            <w:pPr>
              <w:rPr>
                <w:rFonts w:hint="eastAsia" w:ascii="宋体" w:hAnsi="宋体" w:cs="宋体"/>
                <w:color w:val="auto"/>
                <w:highlight w:val="none"/>
              </w:rPr>
            </w:pPr>
          </w:p>
        </w:tc>
        <w:tc>
          <w:tcPr>
            <w:tcW w:w="817" w:type="dxa"/>
            <w:vMerge w:val="continue"/>
            <w:vAlign w:val="center"/>
          </w:tcPr>
          <w:p w14:paraId="2C480B01">
            <w:pPr>
              <w:rPr>
                <w:rFonts w:hint="eastAsia" w:ascii="宋体" w:hAnsi="宋体" w:cs="宋体"/>
                <w:color w:val="auto"/>
                <w:highlight w:val="none"/>
              </w:rPr>
            </w:pPr>
          </w:p>
        </w:tc>
        <w:tc>
          <w:tcPr>
            <w:tcW w:w="1397" w:type="dxa"/>
            <w:vMerge w:val="continue"/>
            <w:vAlign w:val="center"/>
          </w:tcPr>
          <w:p w14:paraId="5C2F9749">
            <w:pPr>
              <w:jc w:val="center"/>
              <w:rPr>
                <w:rFonts w:hint="eastAsia" w:ascii="宋体" w:hAnsi="宋体" w:cs="宋体"/>
                <w:color w:val="auto"/>
                <w:highlight w:val="none"/>
              </w:rPr>
            </w:pPr>
          </w:p>
        </w:tc>
        <w:tc>
          <w:tcPr>
            <w:tcW w:w="6265" w:type="dxa"/>
            <w:vAlign w:val="center"/>
          </w:tcPr>
          <w:p w14:paraId="6350E601">
            <w:pPr>
              <w:rPr>
                <w:rFonts w:hint="eastAsia" w:ascii="宋体" w:hAnsi="宋体" w:cs="宋体"/>
                <w:color w:val="auto"/>
                <w:highlight w:val="none"/>
              </w:rPr>
            </w:pPr>
            <w:r>
              <w:rPr>
                <w:rFonts w:hint="eastAsia" w:ascii="宋体" w:hAnsi="宋体" w:cs="宋体"/>
                <w:color w:val="auto"/>
                <w:highlight w:val="none"/>
              </w:rPr>
              <w:t>注：投标文件（包括评标过程中的澄清、说明或者补正）由法定代表人签署的，不审查该项。</w:t>
            </w:r>
          </w:p>
        </w:tc>
      </w:tr>
      <w:tr w14:paraId="7B8B364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3BDD56C4">
            <w:pPr>
              <w:rPr>
                <w:rFonts w:hint="eastAsia" w:ascii="宋体" w:hAnsi="宋体" w:cs="宋体"/>
                <w:color w:val="auto"/>
                <w:highlight w:val="none"/>
              </w:rPr>
            </w:pPr>
          </w:p>
        </w:tc>
        <w:tc>
          <w:tcPr>
            <w:tcW w:w="817" w:type="dxa"/>
            <w:vMerge w:val="continue"/>
            <w:vAlign w:val="center"/>
          </w:tcPr>
          <w:p w14:paraId="6CB096D6">
            <w:pPr>
              <w:rPr>
                <w:rFonts w:hint="eastAsia" w:ascii="宋体" w:hAnsi="宋体" w:cs="宋体"/>
                <w:color w:val="auto"/>
                <w:highlight w:val="none"/>
              </w:rPr>
            </w:pPr>
          </w:p>
        </w:tc>
        <w:tc>
          <w:tcPr>
            <w:tcW w:w="1397" w:type="dxa"/>
            <w:vAlign w:val="center"/>
          </w:tcPr>
          <w:p w14:paraId="5327524F">
            <w:pPr>
              <w:jc w:val="center"/>
              <w:rPr>
                <w:rFonts w:hint="eastAsia" w:ascii="宋体" w:hAnsi="宋体" w:cs="宋体"/>
                <w:color w:val="auto"/>
                <w:highlight w:val="none"/>
              </w:rPr>
            </w:pPr>
            <w:r>
              <w:rPr>
                <w:rFonts w:hint="eastAsia" w:ascii="宋体" w:hAnsi="宋体" w:cs="宋体"/>
                <w:color w:val="auto"/>
                <w:szCs w:val="21"/>
                <w:highlight w:val="none"/>
              </w:rPr>
              <w:t>投标报价</w:t>
            </w:r>
          </w:p>
        </w:tc>
        <w:tc>
          <w:tcPr>
            <w:tcW w:w="6265" w:type="dxa"/>
            <w:vAlign w:val="center"/>
          </w:tcPr>
          <w:p w14:paraId="1BEDCEED">
            <w:pPr>
              <w:rPr>
                <w:rFonts w:hint="eastAsia" w:ascii="宋体" w:hAnsi="宋体" w:cs="宋体"/>
                <w:color w:val="auto"/>
                <w:highlight w:val="none"/>
              </w:rPr>
            </w:pPr>
            <w:r>
              <w:rPr>
                <w:rFonts w:hint="eastAsia" w:ascii="宋体" w:hAnsi="宋体" w:cs="宋体"/>
                <w:color w:val="auto"/>
                <w:highlight w:val="none"/>
              </w:rPr>
              <w:t>完整，只有一个有效报价且</w:t>
            </w:r>
            <w:r>
              <w:rPr>
                <w:rFonts w:hint="eastAsia" w:ascii="宋体" w:hAnsi="宋体" w:cs="宋体"/>
                <w:color w:val="auto"/>
                <w:szCs w:val="21"/>
                <w:highlight w:val="none"/>
              </w:rPr>
              <w:t>未超过招标文件中规定的预算金额或者最高限价</w:t>
            </w:r>
          </w:p>
        </w:tc>
      </w:tr>
      <w:tr w14:paraId="2B50837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415BDB8F">
            <w:pPr>
              <w:rPr>
                <w:rFonts w:hint="eastAsia" w:ascii="宋体" w:hAnsi="宋体" w:cs="宋体"/>
                <w:color w:val="auto"/>
                <w:highlight w:val="none"/>
              </w:rPr>
            </w:pPr>
          </w:p>
        </w:tc>
        <w:tc>
          <w:tcPr>
            <w:tcW w:w="817" w:type="dxa"/>
            <w:vMerge w:val="continue"/>
            <w:vAlign w:val="center"/>
          </w:tcPr>
          <w:p w14:paraId="03FCE7A2">
            <w:pPr>
              <w:rPr>
                <w:rFonts w:hint="eastAsia" w:ascii="宋体" w:hAnsi="宋体" w:cs="宋体"/>
                <w:color w:val="auto"/>
                <w:highlight w:val="none"/>
              </w:rPr>
            </w:pPr>
          </w:p>
        </w:tc>
        <w:tc>
          <w:tcPr>
            <w:tcW w:w="1397" w:type="dxa"/>
            <w:vAlign w:val="center"/>
          </w:tcPr>
          <w:p w14:paraId="312CBB76">
            <w:pPr>
              <w:jc w:val="center"/>
              <w:rPr>
                <w:rFonts w:hint="eastAsia" w:ascii="宋体" w:hAnsi="宋体" w:cs="宋体"/>
                <w:color w:val="auto"/>
                <w:szCs w:val="21"/>
                <w:highlight w:val="none"/>
              </w:rPr>
            </w:pPr>
            <w:r>
              <w:rPr>
                <w:rFonts w:hint="eastAsia" w:ascii="宋体" w:hAnsi="宋体" w:cs="宋体"/>
                <w:color w:val="auto"/>
                <w:szCs w:val="21"/>
                <w:highlight w:val="none"/>
              </w:rPr>
              <w:t>投标有效期</w:t>
            </w:r>
          </w:p>
        </w:tc>
        <w:tc>
          <w:tcPr>
            <w:tcW w:w="6265" w:type="dxa"/>
            <w:vAlign w:val="center"/>
          </w:tcPr>
          <w:p w14:paraId="21F437D0">
            <w:pPr>
              <w:rPr>
                <w:rFonts w:hint="eastAsia" w:ascii="宋体" w:hAnsi="宋体" w:cs="宋体"/>
                <w:color w:val="auto"/>
                <w:szCs w:val="21"/>
                <w:highlight w:val="none"/>
              </w:rPr>
            </w:pPr>
            <w:r>
              <w:rPr>
                <w:rFonts w:hint="eastAsia" w:ascii="宋体" w:hAnsi="宋体" w:cs="宋体"/>
                <w:color w:val="auto"/>
                <w:szCs w:val="21"/>
                <w:highlight w:val="none"/>
              </w:rPr>
              <w:t>符合第二章“投标人须知”第17.1项规定</w:t>
            </w:r>
          </w:p>
        </w:tc>
      </w:tr>
      <w:tr w14:paraId="01CEC5E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757EDFA7">
            <w:pPr>
              <w:rPr>
                <w:rFonts w:hint="eastAsia" w:ascii="宋体" w:hAnsi="宋体" w:cs="宋体"/>
                <w:color w:val="auto"/>
                <w:highlight w:val="none"/>
              </w:rPr>
            </w:pPr>
          </w:p>
        </w:tc>
        <w:tc>
          <w:tcPr>
            <w:tcW w:w="817" w:type="dxa"/>
            <w:vMerge w:val="continue"/>
            <w:vAlign w:val="center"/>
          </w:tcPr>
          <w:p w14:paraId="340742ED">
            <w:pPr>
              <w:rPr>
                <w:rFonts w:hint="eastAsia" w:ascii="宋体" w:hAnsi="宋体" w:cs="宋体"/>
                <w:color w:val="auto"/>
                <w:highlight w:val="none"/>
              </w:rPr>
            </w:pPr>
          </w:p>
        </w:tc>
        <w:tc>
          <w:tcPr>
            <w:tcW w:w="1397" w:type="dxa"/>
            <w:vAlign w:val="center"/>
          </w:tcPr>
          <w:p w14:paraId="76B36170">
            <w:pPr>
              <w:jc w:val="center"/>
              <w:rPr>
                <w:rFonts w:hint="eastAsia" w:ascii="宋体" w:hAnsi="宋体" w:cs="宋体"/>
                <w:color w:val="auto"/>
                <w:szCs w:val="21"/>
                <w:highlight w:val="none"/>
              </w:rPr>
            </w:pPr>
            <w:r>
              <w:rPr>
                <w:rFonts w:hint="eastAsia" w:ascii="宋体" w:hAnsi="宋体" w:cs="宋体"/>
                <w:color w:val="auto"/>
                <w:szCs w:val="21"/>
                <w:highlight w:val="none"/>
              </w:rPr>
              <w:t>实质性条件</w:t>
            </w:r>
          </w:p>
        </w:tc>
        <w:tc>
          <w:tcPr>
            <w:tcW w:w="6265" w:type="dxa"/>
            <w:vAlign w:val="center"/>
          </w:tcPr>
          <w:p w14:paraId="2CF9661B">
            <w:pPr>
              <w:rPr>
                <w:rFonts w:hint="eastAsia" w:ascii="宋体" w:hAnsi="宋体" w:cs="宋体"/>
                <w:color w:val="auto"/>
                <w:szCs w:val="21"/>
                <w:highlight w:val="none"/>
              </w:rPr>
            </w:pPr>
            <w:r>
              <w:rPr>
                <w:rFonts w:hint="eastAsia" w:ascii="宋体" w:hAnsi="宋体" w:cs="宋体"/>
                <w:color w:val="auto"/>
                <w:szCs w:val="21"/>
                <w:highlight w:val="none"/>
              </w:rPr>
              <w:t>实质性响应招标文件中标注★条款内容</w:t>
            </w:r>
          </w:p>
        </w:tc>
      </w:tr>
      <w:tr w14:paraId="2AE6E0D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vAlign w:val="center"/>
          </w:tcPr>
          <w:p w14:paraId="35EEEB3A">
            <w:pPr>
              <w:rPr>
                <w:rFonts w:hint="eastAsia" w:ascii="宋体" w:hAnsi="宋体" w:cs="宋体"/>
                <w:color w:val="auto"/>
                <w:highlight w:val="none"/>
              </w:rPr>
            </w:pPr>
          </w:p>
        </w:tc>
        <w:tc>
          <w:tcPr>
            <w:tcW w:w="817" w:type="dxa"/>
            <w:vMerge w:val="continue"/>
            <w:vAlign w:val="center"/>
          </w:tcPr>
          <w:p w14:paraId="404ACC16">
            <w:pPr>
              <w:rPr>
                <w:rFonts w:hint="eastAsia" w:ascii="宋体" w:hAnsi="宋体" w:cs="宋体"/>
                <w:color w:val="auto"/>
                <w:highlight w:val="none"/>
              </w:rPr>
            </w:pPr>
          </w:p>
        </w:tc>
        <w:tc>
          <w:tcPr>
            <w:tcW w:w="1397" w:type="dxa"/>
            <w:vAlign w:val="center"/>
          </w:tcPr>
          <w:p w14:paraId="4C9E2625">
            <w:pPr>
              <w:jc w:val="center"/>
              <w:rPr>
                <w:rFonts w:hint="eastAsia" w:ascii="宋体" w:hAnsi="宋体" w:cs="宋体"/>
                <w:color w:val="auto"/>
                <w:szCs w:val="21"/>
                <w:highlight w:val="none"/>
              </w:rPr>
            </w:pPr>
            <w:r>
              <w:rPr>
                <w:rFonts w:hint="eastAsia" w:ascii="宋体" w:hAnsi="宋体" w:cs="宋体"/>
                <w:color w:val="auto"/>
                <w:szCs w:val="21"/>
                <w:highlight w:val="none"/>
              </w:rPr>
              <w:t>投标无效</w:t>
            </w:r>
          </w:p>
        </w:tc>
        <w:tc>
          <w:tcPr>
            <w:tcW w:w="6265" w:type="dxa"/>
            <w:vAlign w:val="center"/>
          </w:tcPr>
          <w:p w14:paraId="082564F8">
            <w:pPr>
              <w:rPr>
                <w:rFonts w:hint="eastAsia" w:ascii="宋体" w:hAnsi="宋体" w:cs="宋体"/>
                <w:color w:val="auto"/>
                <w:szCs w:val="21"/>
                <w:highlight w:val="none"/>
              </w:rPr>
            </w:pPr>
            <w:r>
              <w:rPr>
                <w:rFonts w:hint="eastAsia" w:ascii="宋体" w:hAnsi="宋体" w:cs="宋体"/>
                <w:color w:val="auto"/>
                <w:szCs w:val="21"/>
                <w:highlight w:val="none"/>
              </w:rPr>
              <w:t>无招标文件规定的其他投标无效情形</w:t>
            </w:r>
          </w:p>
        </w:tc>
      </w:tr>
      <w:tr w14:paraId="57B3940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634" w:type="dxa"/>
            <w:gridSpan w:val="2"/>
            <w:vAlign w:val="center"/>
          </w:tcPr>
          <w:p w14:paraId="73F43911">
            <w:pPr>
              <w:jc w:val="center"/>
              <w:rPr>
                <w:rFonts w:hint="eastAsia" w:ascii="宋体" w:hAnsi="宋体" w:cs="宋体"/>
                <w:color w:val="auto"/>
                <w:szCs w:val="21"/>
                <w:highlight w:val="none"/>
              </w:rPr>
            </w:pPr>
            <w:r>
              <w:rPr>
                <w:rFonts w:hint="eastAsia" w:ascii="宋体" w:hAnsi="宋体" w:cs="宋体"/>
                <w:b/>
                <w:color w:val="auto"/>
                <w:szCs w:val="21"/>
                <w:highlight w:val="none"/>
              </w:rPr>
              <w:t>条款号</w:t>
            </w:r>
          </w:p>
        </w:tc>
        <w:tc>
          <w:tcPr>
            <w:tcW w:w="1397" w:type="dxa"/>
            <w:vAlign w:val="center"/>
          </w:tcPr>
          <w:p w14:paraId="351CF923">
            <w:pPr>
              <w:jc w:val="center"/>
              <w:rPr>
                <w:rFonts w:hint="eastAsia" w:ascii="宋体" w:hAnsi="宋体" w:cs="宋体"/>
                <w:b/>
                <w:color w:val="auto"/>
                <w:szCs w:val="21"/>
                <w:highlight w:val="none"/>
              </w:rPr>
            </w:pPr>
            <w:r>
              <w:rPr>
                <w:rFonts w:hint="eastAsia" w:ascii="宋体" w:hAnsi="宋体" w:cs="宋体"/>
                <w:b/>
                <w:color w:val="auto"/>
                <w:szCs w:val="21"/>
                <w:highlight w:val="none"/>
              </w:rPr>
              <w:t>条款内容</w:t>
            </w:r>
          </w:p>
        </w:tc>
        <w:tc>
          <w:tcPr>
            <w:tcW w:w="6265" w:type="dxa"/>
            <w:vAlign w:val="center"/>
          </w:tcPr>
          <w:p w14:paraId="32DB4F4A">
            <w:pPr>
              <w:jc w:val="center"/>
              <w:rPr>
                <w:rFonts w:hint="eastAsia" w:ascii="宋体" w:hAnsi="宋体" w:cs="宋体"/>
                <w:b/>
                <w:color w:val="auto"/>
                <w:szCs w:val="21"/>
                <w:highlight w:val="none"/>
              </w:rPr>
            </w:pPr>
            <w:r>
              <w:rPr>
                <w:rFonts w:hint="eastAsia" w:ascii="宋体" w:hAnsi="宋体" w:cs="宋体"/>
                <w:b/>
                <w:color w:val="auto"/>
                <w:szCs w:val="21"/>
                <w:highlight w:val="none"/>
              </w:rPr>
              <w:t>编列内容</w:t>
            </w:r>
          </w:p>
        </w:tc>
      </w:tr>
      <w:tr w14:paraId="2C52711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634" w:type="dxa"/>
            <w:gridSpan w:val="2"/>
            <w:vMerge w:val="restart"/>
            <w:vAlign w:val="center"/>
          </w:tcPr>
          <w:p w14:paraId="0106BBE2">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2.2.1</w:t>
            </w:r>
          </w:p>
        </w:tc>
        <w:tc>
          <w:tcPr>
            <w:tcW w:w="1397" w:type="dxa"/>
            <w:vMerge w:val="restart"/>
            <w:vAlign w:val="center"/>
          </w:tcPr>
          <w:p w14:paraId="54D43967">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分值构成</w:t>
            </w:r>
          </w:p>
          <w:p w14:paraId="61D6B354">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（满分100分）</w:t>
            </w:r>
          </w:p>
        </w:tc>
        <w:tc>
          <w:tcPr>
            <w:tcW w:w="6265" w:type="dxa"/>
            <w:vAlign w:val="center"/>
          </w:tcPr>
          <w:p w14:paraId="34DD278D">
            <w:pP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投标人的评审总得分＝F1＋F2＋F3</w:t>
            </w:r>
          </w:p>
          <w:p w14:paraId="4BE8A816">
            <w:pP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其中：</w:t>
            </w:r>
          </w:p>
          <w:p w14:paraId="1F9C1C69">
            <w:pP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F1、F2、F3分别为技术部分、商务部分、投标报价3项评分因素的汇总得分；</w:t>
            </w:r>
          </w:p>
        </w:tc>
      </w:tr>
      <w:tr w14:paraId="2FC47F6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634" w:type="dxa"/>
            <w:gridSpan w:val="2"/>
            <w:vMerge w:val="continue"/>
            <w:vAlign w:val="center"/>
          </w:tcPr>
          <w:p w14:paraId="6AC4FFEB">
            <w:pPr>
              <w:rPr>
                <w:rFonts w:hint="eastAsia" w:ascii="宋体" w:hAnsi="宋体" w:eastAsia="宋体" w:cs="宋体"/>
                <w:b w:val="0"/>
                <w:bCs w:val="0"/>
                <w:color w:val="auto"/>
                <w:highlight w:val="none"/>
              </w:rPr>
            </w:pPr>
          </w:p>
        </w:tc>
        <w:tc>
          <w:tcPr>
            <w:tcW w:w="1397" w:type="dxa"/>
            <w:vMerge w:val="continue"/>
            <w:vAlign w:val="center"/>
          </w:tcPr>
          <w:p w14:paraId="1AF7FB4A">
            <w:pPr>
              <w:rPr>
                <w:rFonts w:hint="eastAsia" w:ascii="宋体" w:hAnsi="宋体" w:eastAsia="宋体" w:cs="宋体"/>
                <w:b w:val="0"/>
                <w:bCs w:val="0"/>
                <w:color w:val="auto"/>
                <w:highlight w:val="none"/>
              </w:rPr>
            </w:pPr>
          </w:p>
        </w:tc>
        <w:tc>
          <w:tcPr>
            <w:tcW w:w="6265" w:type="dxa"/>
            <w:vAlign w:val="center"/>
          </w:tcPr>
          <w:p w14:paraId="544A074D">
            <w:pP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技术部分F1：</w:t>
            </w:r>
            <w:r>
              <w:rPr>
                <w:rFonts w:hint="eastAsia" w:ascii="宋体" w:hAnsi="宋体" w:cs="宋体"/>
                <w:b w:val="0"/>
                <w:bCs w:val="0"/>
                <w:color w:val="auto"/>
                <w:szCs w:val="21"/>
                <w:highlight w:val="none"/>
                <w:lang w:val="en-US" w:eastAsia="zh-CN"/>
              </w:rPr>
              <w:t>40</w:t>
            </w:r>
            <w:r>
              <w:rPr>
                <w:rFonts w:hint="eastAsia" w:ascii="宋体" w:hAnsi="宋体" w:eastAsia="宋体" w:cs="宋体"/>
                <w:b w:val="0"/>
                <w:bCs w:val="0"/>
                <w:color w:val="auto"/>
                <w:szCs w:val="21"/>
                <w:highlight w:val="none"/>
              </w:rPr>
              <w:t>分。</w:t>
            </w:r>
          </w:p>
          <w:p w14:paraId="7F8C8C70">
            <w:pP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商务部分F2：</w:t>
            </w:r>
            <w:r>
              <w:rPr>
                <w:rFonts w:hint="eastAsia" w:ascii="宋体" w:hAnsi="宋体" w:cs="宋体"/>
                <w:b w:val="0"/>
                <w:bCs w:val="0"/>
                <w:color w:val="auto"/>
                <w:szCs w:val="21"/>
                <w:highlight w:val="none"/>
                <w:lang w:val="en-US" w:eastAsia="zh-CN"/>
              </w:rPr>
              <w:t>40</w:t>
            </w:r>
            <w:r>
              <w:rPr>
                <w:rFonts w:hint="eastAsia" w:ascii="宋体" w:hAnsi="宋体" w:eastAsia="宋体" w:cs="宋体"/>
                <w:b w:val="0"/>
                <w:bCs w:val="0"/>
                <w:color w:val="auto"/>
                <w:szCs w:val="21"/>
                <w:highlight w:val="none"/>
              </w:rPr>
              <w:t>分。</w:t>
            </w:r>
          </w:p>
          <w:p w14:paraId="7498E9DF">
            <w:pPr>
              <w:rPr>
                <w:rFonts w:hint="eastAsia" w:ascii="宋体" w:hAnsi="宋体" w:eastAsia="宋体" w:cs="宋体"/>
                <w:b w:val="0"/>
                <w:bCs w:val="0"/>
                <w:color w:val="auto"/>
                <w:highlight w:val="none"/>
              </w:rPr>
            </w:pPr>
            <w:r>
              <w:rPr>
                <w:rFonts w:hint="eastAsia" w:ascii="宋体" w:hAnsi="宋体" w:eastAsia="宋体" w:cs="宋体"/>
                <w:b w:val="0"/>
                <w:bCs w:val="0"/>
                <w:color w:val="auto"/>
                <w:szCs w:val="21"/>
                <w:highlight w:val="none"/>
              </w:rPr>
              <w:t>投标报价F3：</w:t>
            </w:r>
            <w:r>
              <w:rPr>
                <w:rFonts w:hint="eastAsia" w:ascii="宋体" w:hAnsi="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lang w:val="en-US" w:eastAsia="zh-CN"/>
              </w:rPr>
              <w:t>0</w:t>
            </w:r>
            <w:r>
              <w:rPr>
                <w:rFonts w:hint="eastAsia" w:ascii="宋体" w:hAnsi="宋体" w:eastAsia="宋体" w:cs="宋体"/>
                <w:b w:val="0"/>
                <w:bCs w:val="0"/>
                <w:color w:val="auto"/>
                <w:szCs w:val="21"/>
                <w:highlight w:val="none"/>
              </w:rPr>
              <w:t>分。</w:t>
            </w:r>
          </w:p>
        </w:tc>
      </w:tr>
    </w:tbl>
    <w:p w14:paraId="3923EB5A">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br w:type="page"/>
      </w:r>
    </w:p>
    <w:tbl>
      <w:tblPr>
        <w:tblStyle w:val="33"/>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435"/>
        <w:gridCol w:w="6227"/>
      </w:tblGrid>
      <w:tr w14:paraId="2B0F19B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095" w:hRule="atLeast"/>
          <w:jc w:val="center"/>
        </w:trPr>
        <w:tc>
          <w:tcPr>
            <w:tcW w:w="817" w:type="dxa"/>
            <w:vMerge w:val="restart"/>
            <w:tcBorders>
              <w:top w:val="single" w:color="auto" w:sz="12" w:space="0"/>
              <w:left w:val="single" w:color="auto" w:sz="4" w:space="0"/>
              <w:right w:val="single" w:color="auto" w:sz="4" w:space="0"/>
            </w:tcBorders>
            <w:vAlign w:val="center"/>
          </w:tcPr>
          <w:p w14:paraId="165260BA">
            <w:pPr>
              <w:jc w:val="center"/>
              <w:rPr>
                <w:rFonts w:hint="eastAsia" w:ascii="宋体" w:hAnsi="宋体" w:eastAsia="宋体" w:cs="宋体"/>
                <w:b w:val="0"/>
                <w:bCs w:val="0"/>
                <w:color w:val="auto"/>
                <w:szCs w:val="21"/>
                <w:highlight w:val="none"/>
              </w:rPr>
            </w:pPr>
            <w:bookmarkStart w:id="533" w:name="_Hlk199946751"/>
            <w:r>
              <w:rPr>
                <w:rFonts w:hint="eastAsia" w:ascii="宋体" w:hAnsi="宋体" w:eastAsia="宋体" w:cs="宋体"/>
                <w:b w:val="0"/>
                <w:bCs w:val="0"/>
                <w:color w:val="auto"/>
                <w:szCs w:val="21"/>
                <w:highlight w:val="none"/>
              </w:rPr>
              <w:t>2.2.2</w:t>
            </w:r>
          </w:p>
          <w:p w14:paraId="3F3BAD47">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（1）</w:t>
            </w:r>
          </w:p>
        </w:tc>
        <w:tc>
          <w:tcPr>
            <w:tcW w:w="817" w:type="dxa"/>
            <w:vMerge w:val="restart"/>
            <w:tcBorders>
              <w:top w:val="single" w:color="auto" w:sz="12" w:space="0"/>
              <w:left w:val="single" w:color="auto" w:sz="4" w:space="0"/>
            </w:tcBorders>
            <w:vAlign w:val="center"/>
          </w:tcPr>
          <w:p w14:paraId="374B197D">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技术部分</w:t>
            </w:r>
          </w:p>
          <w:p w14:paraId="3E0A56B3">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F1</w:t>
            </w:r>
          </w:p>
          <w:p w14:paraId="0DE8C3F0">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评分标准</w:t>
            </w:r>
          </w:p>
        </w:tc>
        <w:tc>
          <w:tcPr>
            <w:tcW w:w="1435" w:type="dxa"/>
            <w:vAlign w:val="center"/>
          </w:tcPr>
          <w:p w14:paraId="668C5081">
            <w:pPr>
              <w:widowControl/>
              <w:snapToGrid w:val="0"/>
              <w:jc w:val="left"/>
              <w:rPr>
                <w:rFonts w:hint="eastAsia" w:ascii="宋体" w:hAnsi="宋体" w:eastAsia="宋体" w:cs="宋体"/>
                <w:b w:val="0"/>
                <w:bCs w:val="0"/>
                <w:color w:val="auto"/>
                <w:szCs w:val="21"/>
                <w:highlight w:val="none"/>
              </w:rPr>
            </w:pPr>
            <w:r>
              <w:rPr>
                <w:rFonts w:hint="eastAsia" w:ascii="宋体" w:hAnsi="宋体" w:eastAsia="宋体" w:cs="宋体"/>
                <w:color w:val="000000"/>
                <w:sz w:val="21"/>
                <w:szCs w:val="21"/>
                <w:lang w:val="en-US" w:eastAsia="zh-CN"/>
              </w:rPr>
              <w:t>楼宇管理及公用设施设备维护服务方案（满分7分）</w:t>
            </w:r>
          </w:p>
        </w:tc>
        <w:tc>
          <w:tcPr>
            <w:tcW w:w="6227" w:type="dxa"/>
            <w:vAlign w:val="center"/>
          </w:tcPr>
          <w:p w14:paraId="6AFF1217">
            <w:pPr>
              <w:widowControl w:val="0"/>
              <w:snapToGrid w:val="0"/>
              <w:ind w:left="0" w:leftChars="0" w:right="0" w:rightChars="0" w:firstLine="0" w:firstLineChars="0"/>
              <w:jc w:val="left"/>
              <w:rPr>
                <w:rFonts w:hint="default" w:ascii="宋体" w:hAnsi="宋体" w:eastAsia="宋体" w:cs="宋体"/>
                <w:snapToGrid w:val="0"/>
                <w:color w:val="000000"/>
                <w:kern w:val="0"/>
                <w:sz w:val="21"/>
                <w:szCs w:val="21"/>
                <w:highlight w:val="none"/>
                <w:lang w:val="en-US" w:eastAsia="zh-CN" w:bidi="ar-SA"/>
              </w:rPr>
            </w:pPr>
            <w:r>
              <w:rPr>
                <w:rFonts w:hint="eastAsia" w:ascii="宋体" w:hAnsi="宋体" w:eastAsia="宋体" w:cs="宋体"/>
                <w:snapToGrid w:val="0"/>
                <w:color w:val="000000"/>
                <w:kern w:val="0"/>
                <w:sz w:val="21"/>
                <w:szCs w:val="21"/>
                <w:highlight w:val="none"/>
                <w:lang w:val="en-US" w:eastAsia="zh-CN" w:bidi="ar-SA"/>
              </w:rPr>
              <w:t>根据投标人提供的楼宇管理及公用</w:t>
            </w:r>
            <w:r>
              <w:rPr>
                <w:rFonts w:hint="eastAsia" w:ascii="宋体" w:hAnsi="宋体" w:eastAsia="宋体" w:cs="宋体"/>
                <w:color w:val="000000"/>
                <w:kern w:val="2"/>
                <w:sz w:val="21"/>
                <w:szCs w:val="21"/>
                <w:lang w:val="en-US" w:eastAsia="zh-CN" w:bidi="ar-SA"/>
              </w:rPr>
              <w:t>设施设备维护服务方案</w:t>
            </w:r>
            <w:r>
              <w:rPr>
                <w:rFonts w:hint="eastAsia" w:ascii="宋体" w:hAnsi="宋体" w:eastAsia="宋体" w:cs="宋体"/>
                <w:snapToGrid w:val="0"/>
                <w:color w:val="000000"/>
                <w:kern w:val="0"/>
                <w:sz w:val="21"/>
                <w:szCs w:val="21"/>
                <w:highlight w:val="none"/>
                <w:lang w:val="en-US" w:eastAsia="zh-CN" w:bidi="ar-SA"/>
              </w:rPr>
              <w:t>进行评审，①楼宇管理服务；②电梯运行维护服务；③水电气维修维护服务；④办公家具维修服务；⑤室内外公共设施维护；⑥30元及以下维修耗材保障；⑦校园零星修缮等内容。</w:t>
            </w:r>
          </w:p>
          <w:p w14:paraId="6DF8B966">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评标委员会根据投标人提供的以上</w:t>
            </w:r>
            <w:r>
              <w:rPr>
                <w:rFonts w:hint="eastAsia" w:ascii="宋体" w:hAnsi="宋体" w:eastAsia="宋体" w:cs="宋体"/>
                <w:snapToGrid w:val="0"/>
                <w:color w:val="000000"/>
                <w:kern w:val="0"/>
                <w:sz w:val="21"/>
                <w:szCs w:val="21"/>
                <w:highlight w:val="none"/>
                <w:lang w:val="en-US" w:eastAsia="zh-CN"/>
              </w:rPr>
              <w:t>7</w:t>
            </w:r>
            <w:r>
              <w:rPr>
                <w:rFonts w:hint="eastAsia" w:ascii="宋体" w:hAnsi="宋体" w:eastAsia="宋体" w:cs="宋体"/>
                <w:snapToGrid w:val="0"/>
                <w:color w:val="000000"/>
                <w:kern w:val="0"/>
                <w:sz w:val="21"/>
                <w:szCs w:val="21"/>
                <w:highlight w:val="none"/>
              </w:rPr>
              <w:t>个方面内容进行综合评审，完全满足以上</w:t>
            </w:r>
            <w:r>
              <w:rPr>
                <w:rFonts w:hint="eastAsia" w:ascii="宋体" w:hAnsi="宋体" w:eastAsia="宋体" w:cs="宋体"/>
                <w:snapToGrid w:val="0"/>
                <w:color w:val="000000"/>
                <w:kern w:val="0"/>
                <w:sz w:val="21"/>
                <w:szCs w:val="21"/>
                <w:highlight w:val="none"/>
                <w:lang w:val="en-US" w:eastAsia="zh-CN"/>
              </w:rPr>
              <w:t>7</w:t>
            </w:r>
            <w:r>
              <w:rPr>
                <w:rFonts w:hint="eastAsia" w:ascii="宋体" w:hAnsi="宋体" w:eastAsia="宋体" w:cs="宋体"/>
                <w:snapToGrid w:val="0"/>
                <w:color w:val="000000"/>
                <w:kern w:val="0"/>
                <w:sz w:val="21"/>
                <w:szCs w:val="21"/>
                <w:highlight w:val="none"/>
              </w:rPr>
              <w:t>个方面内容得</w:t>
            </w:r>
            <w:r>
              <w:rPr>
                <w:rFonts w:hint="eastAsia" w:ascii="宋体" w:hAnsi="宋体" w:eastAsia="宋体" w:cs="宋体"/>
                <w:snapToGrid w:val="0"/>
                <w:color w:val="000000"/>
                <w:kern w:val="0"/>
                <w:sz w:val="21"/>
                <w:szCs w:val="21"/>
                <w:highlight w:val="none"/>
                <w:lang w:val="en-US" w:eastAsia="zh-CN"/>
              </w:rPr>
              <w:t>7</w:t>
            </w:r>
            <w:r>
              <w:rPr>
                <w:rFonts w:hint="eastAsia" w:ascii="宋体" w:hAnsi="宋体" w:eastAsia="宋体" w:cs="宋体"/>
                <w:snapToGrid w:val="0"/>
                <w:color w:val="000000"/>
                <w:kern w:val="0"/>
                <w:sz w:val="21"/>
                <w:szCs w:val="21"/>
                <w:highlight w:val="none"/>
              </w:rPr>
              <w:t>分，每缺少一个方面内容扣1分，每个方面有内容存在不足的扣0.5分。</w:t>
            </w:r>
          </w:p>
          <w:p w14:paraId="34C7A865">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注：完全满足是指：1.投标人针对本项目提出的</w:t>
            </w:r>
            <w:r>
              <w:rPr>
                <w:rFonts w:hint="eastAsia"/>
              </w:rPr>
              <w:t>楼宇管理及公用设施设备维护服</w:t>
            </w:r>
            <w:r>
              <w:rPr>
                <w:rFonts w:hint="eastAsia"/>
                <w:lang w:eastAsia="zh-CN"/>
              </w:rPr>
              <w:t>方案</w:t>
            </w:r>
            <w:r>
              <w:rPr>
                <w:rFonts w:hint="eastAsia" w:ascii="宋体" w:hAnsi="宋体" w:eastAsia="宋体" w:cs="宋体"/>
                <w:snapToGrid w:val="0"/>
                <w:color w:val="000000"/>
                <w:kern w:val="0"/>
                <w:sz w:val="21"/>
                <w:szCs w:val="21"/>
                <w:highlight w:val="none"/>
              </w:rPr>
              <w:t>内容全面、完整详细，对涉及的相关工作安排均有详细说明；</w:t>
            </w:r>
          </w:p>
          <w:p w14:paraId="277453CF">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2.思路及条理清晰，科学、合理；</w:t>
            </w:r>
          </w:p>
          <w:p w14:paraId="7F8401CD">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3.具有针对性及可行性；</w:t>
            </w:r>
          </w:p>
          <w:p w14:paraId="13404C3D">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4.贴合项目实际，能满足采购人实际需求；</w:t>
            </w:r>
          </w:p>
          <w:p w14:paraId="2FEA3232">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5.有明确具体的服务措施。</w:t>
            </w:r>
          </w:p>
          <w:p w14:paraId="014EA704">
            <w:pPr>
              <w:snapToGrid w:val="0"/>
              <w:ind w:left="0" w:leftChars="0" w:right="0" w:rightChars="0" w:firstLine="0" w:firstLineChars="0"/>
              <w:jc w:val="left"/>
              <w:rPr>
                <w:rFonts w:hint="eastAsia" w:ascii="宋体" w:hAnsi="宋体" w:eastAsia="宋体" w:cs="宋体"/>
                <w:b w:val="0"/>
                <w:bCs w:val="0"/>
                <w:color w:val="auto"/>
                <w:szCs w:val="21"/>
                <w:highlight w:val="none"/>
                <w:lang w:eastAsia="zh-CN"/>
              </w:rPr>
            </w:pPr>
            <w:r>
              <w:rPr>
                <w:rFonts w:hint="eastAsia" w:ascii="宋体" w:hAnsi="宋体" w:eastAsia="宋体" w:cs="宋体"/>
                <w:snapToGrid w:val="0"/>
                <w:color w:val="000000"/>
                <w:kern w:val="0"/>
                <w:sz w:val="21"/>
                <w:szCs w:val="21"/>
                <w:highlight w:val="none"/>
              </w:rPr>
              <w:t>不足是指：以上5</w:t>
            </w:r>
            <w:r>
              <w:rPr>
                <w:rFonts w:hint="eastAsia" w:ascii="宋体" w:hAnsi="宋体" w:eastAsia="宋体" w:cs="宋体"/>
                <w:snapToGrid w:val="0"/>
                <w:color w:val="000000"/>
                <w:kern w:val="0"/>
                <w:sz w:val="21"/>
                <w:szCs w:val="21"/>
                <w:highlight w:val="none"/>
                <w:lang w:val="en-US" w:eastAsia="zh-CN"/>
              </w:rPr>
              <w:t>个</w:t>
            </w:r>
            <w:r>
              <w:rPr>
                <w:rFonts w:hint="eastAsia" w:ascii="宋体" w:hAnsi="宋体" w:eastAsia="宋体" w:cs="宋体"/>
                <w:snapToGrid w:val="0"/>
                <w:color w:val="000000"/>
                <w:kern w:val="0"/>
                <w:sz w:val="21"/>
                <w:szCs w:val="21"/>
                <w:highlight w:val="none"/>
              </w:rPr>
              <w:t>方面任意1方面有缺陷或瑕疵。</w:t>
            </w:r>
          </w:p>
        </w:tc>
      </w:tr>
      <w:tr w14:paraId="2A9563A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513" w:hRule="atLeast"/>
          <w:jc w:val="center"/>
        </w:trPr>
        <w:tc>
          <w:tcPr>
            <w:tcW w:w="817" w:type="dxa"/>
            <w:vMerge w:val="continue"/>
            <w:tcBorders>
              <w:left w:val="single" w:color="auto" w:sz="4" w:space="0"/>
              <w:right w:val="single" w:color="auto" w:sz="4" w:space="0"/>
            </w:tcBorders>
            <w:vAlign w:val="center"/>
          </w:tcPr>
          <w:p w14:paraId="4C737563">
            <w:pPr>
              <w:rPr>
                <w:rFonts w:hint="eastAsia" w:ascii="宋体" w:hAnsi="宋体" w:eastAsia="宋体" w:cs="宋体"/>
                <w:b w:val="0"/>
                <w:bCs w:val="0"/>
                <w:color w:val="auto"/>
                <w:szCs w:val="21"/>
                <w:highlight w:val="none"/>
              </w:rPr>
            </w:pPr>
          </w:p>
        </w:tc>
        <w:tc>
          <w:tcPr>
            <w:tcW w:w="817" w:type="dxa"/>
            <w:vMerge w:val="continue"/>
            <w:tcBorders>
              <w:left w:val="single" w:color="auto" w:sz="4" w:space="0"/>
            </w:tcBorders>
            <w:vAlign w:val="center"/>
          </w:tcPr>
          <w:p w14:paraId="181A5061">
            <w:pPr>
              <w:rPr>
                <w:rFonts w:hint="eastAsia" w:ascii="宋体" w:hAnsi="宋体" w:eastAsia="宋体" w:cs="宋体"/>
                <w:b w:val="0"/>
                <w:bCs w:val="0"/>
                <w:color w:val="auto"/>
                <w:szCs w:val="21"/>
                <w:highlight w:val="none"/>
              </w:rPr>
            </w:pPr>
          </w:p>
        </w:tc>
        <w:tc>
          <w:tcPr>
            <w:tcW w:w="1435" w:type="dxa"/>
            <w:vAlign w:val="center"/>
          </w:tcPr>
          <w:p w14:paraId="4C50DE77">
            <w:pPr>
              <w:snapToGrid w:val="0"/>
              <w:ind w:left="0" w:leftChars="0" w:right="0" w:rightChars="0" w:firstLine="0" w:firstLineChars="0"/>
              <w:jc w:val="left"/>
              <w:rPr>
                <w:rFonts w:hint="eastAsia" w:ascii="宋体" w:hAnsi="宋体" w:eastAsia="宋体" w:cs="宋体"/>
                <w:b w:val="0"/>
                <w:bCs w:val="0"/>
                <w:color w:val="auto"/>
                <w:szCs w:val="21"/>
                <w:highlight w:val="none"/>
              </w:rPr>
            </w:pPr>
            <w:r>
              <w:rPr>
                <w:rFonts w:hint="eastAsia" w:ascii="宋体" w:hAnsi="宋体" w:eastAsia="宋体" w:cs="宋体"/>
                <w:color w:val="000000"/>
                <w:sz w:val="21"/>
                <w:szCs w:val="21"/>
                <w:highlight w:val="none"/>
                <w:lang w:val="en-US" w:eastAsia="zh-CN"/>
              </w:rPr>
              <w:t>保洁服务方案（满分7分）</w:t>
            </w:r>
          </w:p>
        </w:tc>
        <w:tc>
          <w:tcPr>
            <w:tcW w:w="6227" w:type="dxa"/>
            <w:vAlign w:val="center"/>
          </w:tcPr>
          <w:p w14:paraId="5734D37D">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left"/>
              <w:textAlignment w:val="baseline"/>
              <w:rPr>
                <w:rFonts w:hint="eastAsia" w:ascii="宋体" w:hAnsi="宋体" w:eastAsia="宋体" w:cs="宋体"/>
                <w:color w:val="auto"/>
                <w:kern w:val="0"/>
                <w:sz w:val="21"/>
                <w:szCs w:val="21"/>
                <w:highlight w:val="none"/>
                <w:shd w:val="clear" w:color="auto" w:fill="FFFFFF"/>
                <w:lang w:val="en-US" w:eastAsia="zh-CN"/>
              </w:rPr>
            </w:pPr>
            <w:r>
              <w:rPr>
                <w:rFonts w:hint="eastAsia" w:ascii="宋体" w:hAnsi="宋体" w:eastAsia="宋体" w:cs="宋体"/>
                <w:snapToGrid w:val="0"/>
                <w:color w:val="000000"/>
                <w:kern w:val="0"/>
                <w:sz w:val="21"/>
                <w:szCs w:val="21"/>
                <w:highlight w:val="none"/>
              </w:rPr>
              <w:t>根据投标人提供的</w:t>
            </w:r>
            <w:r>
              <w:rPr>
                <w:rFonts w:hint="eastAsia" w:ascii="宋体" w:hAnsi="宋体" w:eastAsia="宋体" w:cs="宋体"/>
                <w:color w:val="000000"/>
                <w:sz w:val="21"/>
                <w:szCs w:val="21"/>
                <w:highlight w:val="none"/>
                <w:lang w:val="en-US" w:eastAsia="zh-CN"/>
              </w:rPr>
              <w:t>保洁服务方案</w:t>
            </w:r>
            <w:r>
              <w:rPr>
                <w:rFonts w:hint="eastAsia" w:ascii="宋体" w:hAnsi="宋体" w:eastAsia="宋体" w:cs="宋体"/>
                <w:snapToGrid w:val="0"/>
                <w:color w:val="000000"/>
                <w:kern w:val="0"/>
                <w:sz w:val="21"/>
                <w:szCs w:val="21"/>
                <w:highlight w:val="none"/>
              </w:rPr>
              <w:t>进行评审</w:t>
            </w:r>
            <w:r>
              <w:rPr>
                <w:rFonts w:hint="eastAsia" w:ascii="宋体" w:hAnsi="宋体" w:eastAsia="宋体" w:cs="宋体"/>
                <w:snapToGrid w:val="0"/>
                <w:color w:val="000000"/>
                <w:kern w:val="0"/>
                <w:sz w:val="21"/>
                <w:szCs w:val="21"/>
                <w:highlight w:val="none"/>
                <w:lang w:eastAsia="zh-CN"/>
              </w:rPr>
              <w:t>，</w:t>
            </w:r>
            <w:r>
              <w:rPr>
                <w:rFonts w:hint="eastAsia" w:ascii="宋体" w:hAnsi="宋体" w:eastAsia="宋体" w:cs="宋体"/>
                <w:snapToGrid w:val="0"/>
                <w:color w:val="000000"/>
                <w:kern w:val="0"/>
                <w:sz w:val="21"/>
                <w:szCs w:val="21"/>
                <w:highlight w:val="none"/>
              </w:rPr>
              <w:t>①</w:t>
            </w:r>
            <w:r>
              <w:rPr>
                <w:rFonts w:hint="eastAsia" w:ascii="宋体" w:hAnsi="宋体" w:eastAsia="宋体" w:cs="宋体"/>
                <w:snapToGrid w:val="0"/>
                <w:color w:val="000000"/>
                <w:kern w:val="0"/>
                <w:sz w:val="21"/>
                <w:szCs w:val="21"/>
                <w:highlight w:val="none"/>
                <w:lang w:eastAsia="zh-CN"/>
              </w:rPr>
              <w:t>室内</w:t>
            </w:r>
            <w:r>
              <w:rPr>
                <w:rFonts w:hint="eastAsia" w:ascii="宋体" w:hAnsi="宋体" w:eastAsia="宋体" w:cs="宋体"/>
                <w:snapToGrid w:val="0"/>
                <w:color w:val="000000"/>
                <w:kern w:val="0"/>
                <w:sz w:val="21"/>
                <w:szCs w:val="21"/>
                <w:highlight w:val="none"/>
              </w:rPr>
              <w:t>卫生</w:t>
            </w:r>
            <w:r>
              <w:rPr>
                <w:rFonts w:hint="eastAsia" w:ascii="宋体" w:hAnsi="宋体" w:eastAsia="宋体" w:cs="宋体"/>
                <w:snapToGrid w:val="0"/>
                <w:color w:val="000000"/>
                <w:kern w:val="0"/>
                <w:sz w:val="21"/>
                <w:szCs w:val="21"/>
                <w:highlight w:val="none"/>
                <w:lang w:eastAsia="zh-CN"/>
              </w:rPr>
              <w:t>及卫生间</w:t>
            </w:r>
            <w:r>
              <w:rPr>
                <w:rFonts w:hint="eastAsia" w:ascii="宋体" w:hAnsi="宋体" w:eastAsia="宋体" w:cs="宋体"/>
                <w:snapToGrid w:val="0"/>
                <w:color w:val="000000"/>
                <w:kern w:val="0"/>
                <w:sz w:val="21"/>
                <w:szCs w:val="21"/>
                <w:highlight w:val="none"/>
              </w:rPr>
              <w:t>保洁；②室外</w:t>
            </w:r>
            <w:r>
              <w:rPr>
                <w:rFonts w:hint="eastAsia" w:ascii="宋体" w:hAnsi="宋体" w:eastAsia="宋体" w:cs="宋体"/>
                <w:snapToGrid w:val="0"/>
                <w:color w:val="000000"/>
                <w:kern w:val="0"/>
                <w:sz w:val="21"/>
                <w:szCs w:val="21"/>
                <w:highlight w:val="none"/>
                <w:lang w:val="en-US" w:eastAsia="zh-CN"/>
              </w:rPr>
              <w:t>保洁</w:t>
            </w:r>
            <w:r>
              <w:rPr>
                <w:rFonts w:hint="eastAsia" w:ascii="宋体" w:hAnsi="宋体" w:eastAsia="宋体" w:cs="宋体"/>
                <w:snapToGrid w:val="0"/>
                <w:color w:val="000000"/>
                <w:kern w:val="0"/>
                <w:sz w:val="21"/>
                <w:szCs w:val="21"/>
                <w:highlight w:val="none"/>
              </w:rPr>
              <w:t>；③会议室卫生</w:t>
            </w:r>
            <w:r>
              <w:rPr>
                <w:rFonts w:hint="eastAsia" w:ascii="宋体" w:hAnsi="宋体" w:eastAsia="宋体" w:cs="宋体"/>
                <w:snapToGrid w:val="0"/>
                <w:color w:val="000000"/>
                <w:kern w:val="0"/>
                <w:sz w:val="21"/>
                <w:szCs w:val="21"/>
                <w:highlight w:val="none"/>
                <w:lang w:val="en-US" w:eastAsia="zh-CN"/>
              </w:rPr>
              <w:t>保洁；</w:t>
            </w:r>
            <w:r>
              <w:rPr>
                <w:rFonts w:hint="eastAsia" w:ascii="宋体" w:hAnsi="宋体" w:eastAsia="宋体" w:cs="宋体"/>
                <w:snapToGrid w:val="0"/>
                <w:color w:val="000000"/>
                <w:kern w:val="0"/>
                <w:sz w:val="21"/>
                <w:szCs w:val="21"/>
                <w:highlight w:val="none"/>
              </w:rPr>
              <w:t>④</w:t>
            </w:r>
            <w:r>
              <w:rPr>
                <w:rFonts w:hint="eastAsia" w:ascii="宋体" w:hAnsi="宋体" w:eastAsia="宋体" w:cs="宋体"/>
                <w:snapToGrid w:val="0"/>
                <w:color w:val="000000"/>
                <w:kern w:val="0"/>
                <w:sz w:val="21"/>
                <w:szCs w:val="21"/>
                <w:highlight w:val="none"/>
                <w:lang w:eastAsia="zh-CN"/>
              </w:rPr>
              <w:t>建筑物外玻璃幕墙清洁</w:t>
            </w:r>
            <w:r>
              <w:rPr>
                <w:rFonts w:hint="eastAsia" w:ascii="宋体" w:hAnsi="宋体" w:eastAsia="宋体" w:cs="宋体"/>
                <w:snapToGrid w:val="0"/>
                <w:color w:val="000000"/>
                <w:kern w:val="0"/>
                <w:sz w:val="21"/>
                <w:szCs w:val="21"/>
                <w:highlight w:val="none"/>
              </w:rPr>
              <w:t>；</w:t>
            </w:r>
            <w:r>
              <w:rPr>
                <w:rFonts w:hint="eastAsia" w:ascii="宋体" w:hAnsi="宋体" w:eastAsia="宋体" w:cs="宋体"/>
                <w:snapToGrid w:val="0"/>
                <w:color w:val="000000"/>
                <w:kern w:val="0"/>
                <w:sz w:val="21"/>
                <w:szCs w:val="21"/>
                <w:highlight w:val="none"/>
                <w:lang w:val="en-US" w:eastAsia="zh-CN" w:bidi="ar-SA"/>
              </w:rPr>
              <w:t>⑤垃圾收集清运；⑥病媒生物防治；⑦大型活动保洁方案</w:t>
            </w:r>
            <w:r>
              <w:rPr>
                <w:rFonts w:hint="eastAsia" w:ascii="宋体" w:hAnsi="宋体" w:eastAsia="宋体" w:cs="宋体"/>
                <w:color w:val="auto"/>
                <w:kern w:val="0"/>
                <w:sz w:val="21"/>
                <w:szCs w:val="21"/>
                <w:highlight w:val="none"/>
                <w:shd w:val="clear" w:color="auto" w:fill="FFFFFF"/>
                <w:lang w:val="en-US" w:eastAsia="zh-CN"/>
              </w:rPr>
              <w:t>等内容。</w:t>
            </w:r>
          </w:p>
          <w:p w14:paraId="399116F1">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评标委员会根据投标人提供的以上</w:t>
            </w:r>
            <w:r>
              <w:rPr>
                <w:rFonts w:hint="eastAsia" w:ascii="宋体" w:hAnsi="宋体" w:eastAsia="宋体" w:cs="宋体"/>
                <w:snapToGrid w:val="0"/>
                <w:color w:val="000000"/>
                <w:kern w:val="0"/>
                <w:sz w:val="21"/>
                <w:szCs w:val="21"/>
                <w:highlight w:val="none"/>
                <w:lang w:val="en-US" w:eastAsia="zh-CN"/>
              </w:rPr>
              <w:t>7</w:t>
            </w:r>
            <w:r>
              <w:rPr>
                <w:rFonts w:hint="eastAsia" w:ascii="宋体" w:hAnsi="宋体" w:eastAsia="宋体" w:cs="宋体"/>
                <w:snapToGrid w:val="0"/>
                <w:color w:val="000000"/>
                <w:kern w:val="0"/>
                <w:sz w:val="21"/>
                <w:szCs w:val="21"/>
                <w:highlight w:val="none"/>
              </w:rPr>
              <w:t>个方面内容进行综合评审，完全满足以上</w:t>
            </w:r>
            <w:r>
              <w:rPr>
                <w:rFonts w:hint="eastAsia" w:ascii="宋体" w:hAnsi="宋体" w:eastAsia="宋体" w:cs="宋体"/>
                <w:snapToGrid w:val="0"/>
                <w:color w:val="000000"/>
                <w:kern w:val="0"/>
                <w:sz w:val="21"/>
                <w:szCs w:val="21"/>
                <w:highlight w:val="none"/>
                <w:lang w:val="en-US" w:eastAsia="zh-CN"/>
              </w:rPr>
              <w:t>7</w:t>
            </w:r>
            <w:r>
              <w:rPr>
                <w:rFonts w:hint="eastAsia" w:ascii="宋体" w:hAnsi="宋体" w:eastAsia="宋体" w:cs="宋体"/>
                <w:snapToGrid w:val="0"/>
                <w:color w:val="000000"/>
                <w:kern w:val="0"/>
                <w:sz w:val="21"/>
                <w:szCs w:val="21"/>
                <w:highlight w:val="none"/>
              </w:rPr>
              <w:t>个方面内容得</w:t>
            </w:r>
            <w:r>
              <w:rPr>
                <w:rFonts w:hint="eastAsia" w:ascii="宋体" w:hAnsi="宋体" w:eastAsia="宋体" w:cs="宋体"/>
                <w:snapToGrid w:val="0"/>
                <w:color w:val="000000"/>
                <w:kern w:val="0"/>
                <w:sz w:val="21"/>
                <w:szCs w:val="21"/>
                <w:highlight w:val="none"/>
                <w:lang w:val="en-US" w:eastAsia="zh-CN"/>
              </w:rPr>
              <w:t>7</w:t>
            </w:r>
            <w:r>
              <w:rPr>
                <w:rFonts w:hint="eastAsia" w:ascii="宋体" w:hAnsi="宋体" w:eastAsia="宋体" w:cs="宋体"/>
                <w:snapToGrid w:val="0"/>
                <w:color w:val="000000"/>
                <w:kern w:val="0"/>
                <w:sz w:val="21"/>
                <w:szCs w:val="21"/>
                <w:highlight w:val="none"/>
              </w:rPr>
              <w:t>分，每缺少一个方面内容扣</w:t>
            </w:r>
            <w:r>
              <w:rPr>
                <w:rFonts w:hint="eastAsia" w:ascii="宋体" w:hAnsi="宋体" w:eastAsia="宋体" w:cs="宋体"/>
                <w:snapToGrid w:val="0"/>
                <w:color w:val="000000"/>
                <w:kern w:val="0"/>
                <w:sz w:val="21"/>
                <w:szCs w:val="21"/>
                <w:highlight w:val="none"/>
                <w:lang w:val="en-US" w:eastAsia="zh-CN"/>
              </w:rPr>
              <w:t>1</w:t>
            </w:r>
            <w:r>
              <w:rPr>
                <w:rFonts w:hint="eastAsia" w:ascii="宋体" w:hAnsi="宋体" w:eastAsia="宋体" w:cs="宋体"/>
                <w:snapToGrid w:val="0"/>
                <w:color w:val="000000"/>
                <w:kern w:val="0"/>
                <w:sz w:val="21"/>
                <w:szCs w:val="21"/>
                <w:highlight w:val="none"/>
              </w:rPr>
              <w:t>分，每个方面有内容存在不足的扣</w:t>
            </w:r>
            <w:r>
              <w:rPr>
                <w:rFonts w:hint="eastAsia" w:ascii="宋体" w:hAnsi="宋体" w:eastAsia="宋体" w:cs="宋体"/>
                <w:snapToGrid w:val="0"/>
                <w:color w:val="000000"/>
                <w:kern w:val="0"/>
                <w:sz w:val="21"/>
                <w:szCs w:val="21"/>
                <w:highlight w:val="none"/>
                <w:lang w:val="en-US" w:eastAsia="zh-CN"/>
              </w:rPr>
              <w:t>0.5</w:t>
            </w:r>
            <w:r>
              <w:rPr>
                <w:rFonts w:hint="eastAsia" w:ascii="宋体" w:hAnsi="宋体" w:eastAsia="宋体" w:cs="宋体"/>
                <w:snapToGrid w:val="0"/>
                <w:color w:val="000000"/>
                <w:kern w:val="0"/>
                <w:sz w:val="21"/>
                <w:szCs w:val="21"/>
                <w:highlight w:val="none"/>
              </w:rPr>
              <w:t>分。</w:t>
            </w:r>
          </w:p>
          <w:p w14:paraId="7B175F81">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注：完全满足是指：1.投标人针对本项目提出的</w:t>
            </w:r>
            <w:r>
              <w:rPr>
                <w:rFonts w:hint="eastAsia" w:ascii="宋体" w:hAnsi="宋体" w:eastAsia="宋体" w:cs="宋体"/>
                <w:snapToGrid w:val="0"/>
                <w:color w:val="000000"/>
                <w:kern w:val="0"/>
                <w:sz w:val="21"/>
                <w:szCs w:val="21"/>
                <w:highlight w:val="none"/>
                <w:lang w:val="en-US" w:eastAsia="zh-CN"/>
              </w:rPr>
              <w:t>保洁</w:t>
            </w:r>
            <w:r>
              <w:rPr>
                <w:rFonts w:hint="eastAsia" w:ascii="宋体" w:hAnsi="宋体" w:eastAsia="宋体" w:cs="宋体"/>
                <w:snapToGrid w:val="0"/>
                <w:color w:val="000000"/>
                <w:kern w:val="0"/>
                <w:sz w:val="21"/>
                <w:szCs w:val="21"/>
                <w:highlight w:val="none"/>
              </w:rPr>
              <w:t>服务方案内容全面、完整详细，对涉及的相关工作安排均有详细说明；</w:t>
            </w:r>
          </w:p>
          <w:p w14:paraId="31AC7B00">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2.思路及条理清晰，科学、合理；</w:t>
            </w:r>
          </w:p>
          <w:p w14:paraId="50859915">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3.具有针对性及可行性；</w:t>
            </w:r>
          </w:p>
          <w:p w14:paraId="25749FC4">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4.贴合项目实际，能满足采购人实际需求；</w:t>
            </w:r>
          </w:p>
          <w:p w14:paraId="19BFA577">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5.有明确具体的服务措施。</w:t>
            </w:r>
          </w:p>
          <w:p w14:paraId="0966907A">
            <w:pPr>
              <w:snapToGrid w:val="0"/>
              <w:ind w:left="0" w:leftChars="0" w:right="0" w:rightChars="0" w:firstLine="0" w:firstLineChars="0"/>
              <w:jc w:val="left"/>
              <w:rPr>
                <w:rFonts w:hint="eastAsia" w:ascii="宋体" w:hAnsi="宋体" w:eastAsia="宋体" w:cs="宋体"/>
                <w:b w:val="0"/>
                <w:bCs w:val="0"/>
                <w:color w:val="auto"/>
                <w:szCs w:val="21"/>
                <w:highlight w:val="none"/>
              </w:rPr>
            </w:pPr>
            <w:r>
              <w:rPr>
                <w:rFonts w:hint="eastAsia" w:ascii="宋体" w:hAnsi="宋体" w:eastAsia="宋体" w:cs="宋体"/>
                <w:snapToGrid w:val="0"/>
                <w:color w:val="000000"/>
                <w:kern w:val="0"/>
                <w:sz w:val="21"/>
                <w:szCs w:val="21"/>
                <w:highlight w:val="none"/>
              </w:rPr>
              <w:t>不足是指：以上5</w:t>
            </w:r>
            <w:r>
              <w:rPr>
                <w:rFonts w:hint="eastAsia" w:ascii="宋体" w:hAnsi="宋体" w:eastAsia="宋体" w:cs="宋体"/>
                <w:snapToGrid w:val="0"/>
                <w:color w:val="000000"/>
                <w:kern w:val="0"/>
                <w:sz w:val="21"/>
                <w:szCs w:val="21"/>
                <w:highlight w:val="none"/>
                <w:lang w:val="en-US" w:eastAsia="zh-CN"/>
              </w:rPr>
              <w:t>个</w:t>
            </w:r>
            <w:r>
              <w:rPr>
                <w:rFonts w:hint="eastAsia" w:ascii="宋体" w:hAnsi="宋体" w:eastAsia="宋体" w:cs="宋体"/>
                <w:snapToGrid w:val="0"/>
                <w:color w:val="000000"/>
                <w:kern w:val="0"/>
                <w:sz w:val="21"/>
                <w:szCs w:val="21"/>
                <w:highlight w:val="none"/>
              </w:rPr>
              <w:t>方面任意1方面有缺陷或瑕疵。</w:t>
            </w:r>
          </w:p>
        </w:tc>
      </w:tr>
      <w:tr w14:paraId="6486B52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7" w:hRule="atLeast"/>
          <w:jc w:val="center"/>
        </w:trPr>
        <w:tc>
          <w:tcPr>
            <w:tcW w:w="817" w:type="dxa"/>
            <w:vMerge w:val="continue"/>
            <w:tcBorders>
              <w:left w:val="single" w:color="auto" w:sz="4" w:space="0"/>
              <w:right w:val="single" w:color="auto" w:sz="4" w:space="0"/>
            </w:tcBorders>
            <w:vAlign w:val="center"/>
          </w:tcPr>
          <w:p w14:paraId="5E2835A2">
            <w:pPr>
              <w:rPr>
                <w:rFonts w:hint="eastAsia" w:ascii="宋体" w:hAnsi="宋体" w:eastAsia="宋体" w:cs="宋体"/>
                <w:b w:val="0"/>
                <w:bCs w:val="0"/>
                <w:color w:val="auto"/>
                <w:szCs w:val="21"/>
                <w:highlight w:val="none"/>
              </w:rPr>
            </w:pPr>
          </w:p>
        </w:tc>
        <w:tc>
          <w:tcPr>
            <w:tcW w:w="817" w:type="dxa"/>
            <w:vMerge w:val="continue"/>
            <w:tcBorders>
              <w:left w:val="single" w:color="auto" w:sz="4" w:space="0"/>
            </w:tcBorders>
            <w:vAlign w:val="center"/>
          </w:tcPr>
          <w:p w14:paraId="7001E0A1">
            <w:pPr>
              <w:rPr>
                <w:rFonts w:hint="eastAsia" w:ascii="宋体" w:hAnsi="宋体" w:eastAsia="宋体" w:cs="宋体"/>
                <w:b w:val="0"/>
                <w:bCs w:val="0"/>
                <w:color w:val="auto"/>
                <w:szCs w:val="21"/>
                <w:highlight w:val="none"/>
              </w:rPr>
            </w:pPr>
          </w:p>
        </w:tc>
        <w:tc>
          <w:tcPr>
            <w:tcW w:w="1435" w:type="dxa"/>
            <w:vAlign w:val="center"/>
          </w:tcPr>
          <w:p w14:paraId="0EDE5DD7">
            <w:pPr>
              <w:snapToGrid w:val="0"/>
              <w:ind w:left="0" w:leftChars="0" w:right="0" w:rightChars="0" w:firstLine="0" w:firstLineChars="0"/>
              <w:jc w:val="left"/>
              <w:rPr>
                <w:rFonts w:hint="eastAsia" w:ascii="宋体" w:hAnsi="宋体" w:eastAsia="宋体" w:cs="宋体"/>
                <w:b w:val="0"/>
                <w:bCs w:val="0"/>
                <w:color w:val="auto"/>
                <w:szCs w:val="21"/>
                <w:highlight w:val="none"/>
              </w:rPr>
            </w:pPr>
            <w:r>
              <w:rPr>
                <w:rFonts w:hint="eastAsia" w:ascii="宋体" w:hAnsi="宋体" w:eastAsia="宋体" w:cs="宋体"/>
                <w:color w:val="000000"/>
                <w:sz w:val="21"/>
                <w:szCs w:val="21"/>
                <w:highlight w:val="none"/>
                <w:lang w:val="en-US" w:eastAsia="zh-CN"/>
              </w:rPr>
              <w:t>供电保障服务方案（满分4分）</w:t>
            </w:r>
          </w:p>
        </w:tc>
        <w:tc>
          <w:tcPr>
            <w:tcW w:w="6227" w:type="dxa"/>
            <w:vAlign w:val="center"/>
          </w:tcPr>
          <w:p w14:paraId="332F8007">
            <w:pPr>
              <w:snapToGrid w:val="0"/>
              <w:spacing w:line="240" w:lineRule="auto"/>
              <w:ind w:left="0" w:leftChars="0" w:right="0" w:rightChars="0" w:firstLine="0" w:firstLineChars="0"/>
              <w:jc w:val="left"/>
              <w:rPr>
                <w:rFonts w:hint="default" w:ascii="宋体" w:hAnsi="Times New Roman" w:eastAsia="宋体" w:cs="宋体"/>
                <w:sz w:val="21"/>
                <w:highlight w:val="none"/>
                <w:lang w:val="en-US" w:eastAsia="zh-CN"/>
              </w:rPr>
            </w:pPr>
            <w:r>
              <w:rPr>
                <w:rFonts w:hint="eastAsia" w:ascii="宋体" w:hAnsi="宋体" w:eastAsia="宋体" w:cs="宋体"/>
                <w:snapToGrid w:val="0"/>
                <w:color w:val="000000"/>
                <w:kern w:val="0"/>
                <w:sz w:val="21"/>
                <w:szCs w:val="21"/>
                <w:highlight w:val="none"/>
              </w:rPr>
              <w:t>根据投标人提供的</w:t>
            </w:r>
            <w:r>
              <w:rPr>
                <w:rFonts w:hint="eastAsia" w:ascii="宋体" w:hAnsi="宋体" w:eastAsia="宋体" w:cs="宋体"/>
                <w:color w:val="000000"/>
                <w:sz w:val="21"/>
                <w:szCs w:val="21"/>
                <w:highlight w:val="none"/>
                <w:lang w:val="en-US" w:eastAsia="zh-CN"/>
              </w:rPr>
              <w:t>供电保障服务方案进行评审，</w:t>
            </w:r>
            <w:r>
              <w:rPr>
                <w:rFonts w:hint="eastAsia" w:ascii="宋体" w:hAnsi="Times New Roman" w:eastAsia="宋体" w:cs="宋体"/>
                <w:sz w:val="21"/>
                <w:highlight w:val="none"/>
              </w:rPr>
              <w:t>①</w:t>
            </w:r>
            <w:r>
              <w:rPr>
                <w:rFonts w:hint="eastAsia" w:ascii="宋体" w:hAnsi="Times New Roman" w:eastAsia="宋体" w:cs="宋体"/>
                <w:sz w:val="21"/>
                <w:highlight w:val="none"/>
                <w:lang w:eastAsia="zh-CN"/>
              </w:rPr>
              <w:t>供电设施设备维修维护</w:t>
            </w:r>
            <w:r>
              <w:rPr>
                <w:rFonts w:hint="eastAsia" w:ascii="宋体" w:hAnsi="Times New Roman" w:eastAsia="宋体" w:cs="宋体"/>
                <w:sz w:val="21"/>
                <w:highlight w:val="none"/>
                <w:lang w:val="en-US" w:eastAsia="zh-CN"/>
              </w:rPr>
              <w:t>；</w:t>
            </w:r>
            <w:r>
              <w:rPr>
                <w:rFonts w:hint="eastAsia" w:ascii="宋体" w:hAnsi="Times New Roman" w:eastAsia="宋体" w:cs="宋体"/>
                <w:sz w:val="21"/>
                <w:highlight w:val="none"/>
              </w:rPr>
              <w:t>②</w:t>
            </w:r>
            <w:r>
              <w:rPr>
                <w:rFonts w:hint="eastAsia" w:ascii="宋体" w:hAnsi="Times New Roman" w:eastAsia="宋体" w:cs="宋体"/>
                <w:sz w:val="21"/>
                <w:highlight w:val="none"/>
                <w:lang w:eastAsia="zh-CN"/>
              </w:rPr>
              <w:t>配电室管理；</w:t>
            </w:r>
            <w:r>
              <w:rPr>
                <w:rFonts w:hint="eastAsia" w:ascii="宋体" w:hAnsi="宋体" w:eastAsia="宋体" w:cs="宋体"/>
                <w:sz w:val="21"/>
                <w:highlight w:val="none"/>
                <w:lang w:eastAsia="zh-CN"/>
              </w:rPr>
              <w:t>③供电服务保障及管理；</w:t>
            </w:r>
            <w:r>
              <w:rPr>
                <w:rFonts w:hint="eastAsia" w:ascii="宋体" w:hAnsi="宋体" w:eastAsia="宋体" w:cs="宋体"/>
                <w:snapToGrid w:val="0"/>
                <w:color w:val="000000"/>
                <w:kern w:val="0"/>
                <w:sz w:val="21"/>
                <w:szCs w:val="21"/>
                <w:highlight w:val="none"/>
              </w:rPr>
              <w:t>④</w:t>
            </w:r>
            <w:r>
              <w:rPr>
                <w:rFonts w:hint="eastAsia" w:ascii="宋体" w:hAnsi="宋体" w:eastAsia="宋体" w:cs="宋体"/>
                <w:snapToGrid w:val="0"/>
                <w:color w:val="000000"/>
                <w:kern w:val="0"/>
                <w:sz w:val="21"/>
                <w:szCs w:val="21"/>
                <w:highlight w:val="none"/>
                <w:lang w:eastAsia="zh-CN"/>
              </w:rPr>
              <w:t>应急保障等内容</w:t>
            </w:r>
            <w:r>
              <w:rPr>
                <w:rFonts w:hint="eastAsia" w:ascii="宋体" w:hAnsi="Times New Roman" w:eastAsia="宋体" w:cs="宋体"/>
                <w:sz w:val="21"/>
                <w:highlight w:val="none"/>
                <w:lang w:val="en-US" w:eastAsia="zh-CN"/>
              </w:rPr>
              <w:t>。</w:t>
            </w:r>
          </w:p>
          <w:p w14:paraId="4233DB05">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评标委员会根据投标人提供的以上</w:t>
            </w:r>
            <w:r>
              <w:rPr>
                <w:rFonts w:hint="eastAsia" w:ascii="宋体" w:hAnsi="宋体" w:eastAsia="宋体" w:cs="宋体"/>
                <w:snapToGrid w:val="0"/>
                <w:color w:val="000000"/>
                <w:kern w:val="0"/>
                <w:sz w:val="21"/>
                <w:szCs w:val="21"/>
                <w:highlight w:val="none"/>
                <w:lang w:val="en-US" w:eastAsia="zh-CN"/>
              </w:rPr>
              <w:t>4</w:t>
            </w:r>
            <w:r>
              <w:rPr>
                <w:rFonts w:hint="eastAsia" w:ascii="宋体" w:hAnsi="宋体" w:eastAsia="宋体" w:cs="宋体"/>
                <w:snapToGrid w:val="0"/>
                <w:color w:val="000000"/>
                <w:kern w:val="0"/>
                <w:sz w:val="21"/>
                <w:szCs w:val="21"/>
                <w:highlight w:val="none"/>
              </w:rPr>
              <w:t>个方面内容进行综合评审，完全满足以上</w:t>
            </w:r>
            <w:r>
              <w:rPr>
                <w:rFonts w:hint="eastAsia" w:ascii="宋体" w:hAnsi="宋体" w:eastAsia="宋体" w:cs="宋体"/>
                <w:snapToGrid w:val="0"/>
                <w:color w:val="000000"/>
                <w:kern w:val="0"/>
                <w:sz w:val="21"/>
                <w:szCs w:val="21"/>
                <w:highlight w:val="none"/>
                <w:lang w:val="en-US" w:eastAsia="zh-CN"/>
              </w:rPr>
              <w:t>4</w:t>
            </w:r>
            <w:r>
              <w:rPr>
                <w:rFonts w:hint="eastAsia" w:ascii="宋体" w:hAnsi="宋体" w:eastAsia="宋体" w:cs="宋体"/>
                <w:snapToGrid w:val="0"/>
                <w:color w:val="000000"/>
                <w:kern w:val="0"/>
                <w:sz w:val="21"/>
                <w:szCs w:val="21"/>
                <w:highlight w:val="none"/>
              </w:rPr>
              <w:t>个方面内容得</w:t>
            </w:r>
            <w:r>
              <w:rPr>
                <w:rFonts w:hint="eastAsia" w:ascii="宋体" w:hAnsi="宋体" w:eastAsia="宋体" w:cs="宋体"/>
                <w:snapToGrid w:val="0"/>
                <w:color w:val="000000"/>
                <w:kern w:val="0"/>
                <w:sz w:val="21"/>
                <w:szCs w:val="21"/>
                <w:highlight w:val="none"/>
                <w:lang w:val="en-US" w:eastAsia="zh-CN"/>
              </w:rPr>
              <w:t>4</w:t>
            </w:r>
            <w:r>
              <w:rPr>
                <w:rFonts w:hint="eastAsia" w:ascii="宋体" w:hAnsi="宋体" w:eastAsia="宋体" w:cs="宋体"/>
                <w:snapToGrid w:val="0"/>
                <w:color w:val="000000"/>
                <w:kern w:val="0"/>
                <w:sz w:val="21"/>
                <w:szCs w:val="21"/>
                <w:highlight w:val="none"/>
              </w:rPr>
              <w:t>分，每缺少一个方面内容扣</w:t>
            </w:r>
            <w:r>
              <w:rPr>
                <w:rFonts w:hint="eastAsia" w:ascii="宋体" w:hAnsi="宋体" w:eastAsia="宋体" w:cs="宋体"/>
                <w:snapToGrid w:val="0"/>
                <w:color w:val="000000"/>
                <w:kern w:val="0"/>
                <w:sz w:val="21"/>
                <w:szCs w:val="21"/>
                <w:highlight w:val="none"/>
                <w:lang w:val="en-US" w:eastAsia="zh-CN"/>
              </w:rPr>
              <w:t>1</w:t>
            </w:r>
            <w:r>
              <w:rPr>
                <w:rFonts w:hint="eastAsia" w:ascii="宋体" w:hAnsi="宋体" w:eastAsia="宋体" w:cs="宋体"/>
                <w:snapToGrid w:val="0"/>
                <w:color w:val="000000"/>
                <w:kern w:val="0"/>
                <w:sz w:val="21"/>
                <w:szCs w:val="21"/>
                <w:highlight w:val="none"/>
              </w:rPr>
              <w:t>分，每个方面有内容存在不足的扣</w:t>
            </w:r>
            <w:r>
              <w:rPr>
                <w:rFonts w:hint="eastAsia" w:ascii="宋体" w:hAnsi="宋体" w:eastAsia="宋体" w:cs="宋体"/>
                <w:snapToGrid w:val="0"/>
                <w:color w:val="000000"/>
                <w:kern w:val="0"/>
                <w:sz w:val="21"/>
                <w:szCs w:val="21"/>
                <w:highlight w:val="none"/>
                <w:lang w:val="en-US" w:eastAsia="zh-CN"/>
              </w:rPr>
              <w:t>0.5</w:t>
            </w:r>
            <w:r>
              <w:rPr>
                <w:rFonts w:hint="eastAsia" w:ascii="宋体" w:hAnsi="宋体" w:eastAsia="宋体" w:cs="宋体"/>
                <w:snapToGrid w:val="0"/>
                <w:color w:val="000000"/>
                <w:kern w:val="0"/>
                <w:sz w:val="21"/>
                <w:szCs w:val="21"/>
                <w:highlight w:val="none"/>
              </w:rPr>
              <w:t>分。</w:t>
            </w:r>
          </w:p>
          <w:p w14:paraId="5C03ABD6">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注：完全满足是指：1.投标人针对本项目提出的</w:t>
            </w:r>
            <w:r>
              <w:rPr>
                <w:rFonts w:hint="eastAsia" w:ascii="宋体" w:hAnsi="宋体" w:eastAsia="宋体" w:cs="宋体"/>
                <w:snapToGrid w:val="0"/>
                <w:color w:val="000000"/>
                <w:kern w:val="0"/>
                <w:sz w:val="21"/>
                <w:szCs w:val="21"/>
                <w:highlight w:val="none"/>
                <w:lang w:val="en-US" w:eastAsia="zh-CN"/>
              </w:rPr>
              <w:t>绿化</w:t>
            </w:r>
            <w:r>
              <w:rPr>
                <w:rFonts w:hint="eastAsia" w:ascii="宋体" w:hAnsi="宋体" w:eastAsia="宋体" w:cs="宋体"/>
                <w:snapToGrid w:val="0"/>
                <w:color w:val="000000"/>
                <w:kern w:val="0"/>
                <w:sz w:val="21"/>
                <w:szCs w:val="21"/>
                <w:highlight w:val="none"/>
              </w:rPr>
              <w:t>服务方案内容全面、完整详细，对涉及的相关工作安排均有详细说明；</w:t>
            </w:r>
          </w:p>
          <w:p w14:paraId="34A74E04">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2.思路及条理清晰，科学、合理；</w:t>
            </w:r>
          </w:p>
          <w:p w14:paraId="54F70EF5">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3.具有针对性及可行性；</w:t>
            </w:r>
          </w:p>
          <w:p w14:paraId="018ED593">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4.贴合项目实际，能满足采购人实际需求；</w:t>
            </w:r>
          </w:p>
          <w:p w14:paraId="4F9F0B09">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5.有明确具体的服务措施。</w:t>
            </w:r>
          </w:p>
          <w:p w14:paraId="6BF51533">
            <w:pPr>
              <w:snapToGrid w:val="0"/>
              <w:ind w:left="0" w:leftChars="0" w:right="0" w:rightChars="0" w:firstLine="0" w:firstLineChars="0"/>
              <w:jc w:val="left"/>
              <w:rPr>
                <w:rFonts w:hint="eastAsia" w:ascii="宋体" w:hAnsi="宋体" w:eastAsia="宋体" w:cs="宋体"/>
                <w:b w:val="0"/>
                <w:bCs w:val="0"/>
                <w:color w:val="auto"/>
                <w:szCs w:val="21"/>
                <w:highlight w:val="none"/>
              </w:rPr>
            </w:pPr>
            <w:r>
              <w:rPr>
                <w:rFonts w:hint="eastAsia" w:ascii="宋体" w:hAnsi="宋体" w:eastAsia="宋体" w:cs="宋体"/>
                <w:snapToGrid w:val="0"/>
                <w:color w:val="000000"/>
                <w:kern w:val="0"/>
                <w:sz w:val="21"/>
                <w:szCs w:val="21"/>
                <w:highlight w:val="none"/>
              </w:rPr>
              <w:t>不足是指：以上5</w:t>
            </w:r>
            <w:r>
              <w:rPr>
                <w:rFonts w:hint="eastAsia" w:ascii="宋体" w:hAnsi="宋体" w:eastAsia="宋体" w:cs="宋体"/>
                <w:snapToGrid w:val="0"/>
                <w:color w:val="000000"/>
                <w:kern w:val="0"/>
                <w:sz w:val="21"/>
                <w:szCs w:val="21"/>
                <w:highlight w:val="none"/>
                <w:lang w:val="en-US" w:eastAsia="zh-CN"/>
              </w:rPr>
              <w:t>个</w:t>
            </w:r>
            <w:r>
              <w:rPr>
                <w:rFonts w:hint="eastAsia" w:ascii="宋体" w:hAnsi="宋体" w:eastAsia="宋体" w:cs="宋体"/>
                <w:snapToGrid w:val="0"/>
                <w:color w:val="000000"/>
                <w:kern w:val="0"/>
                <w:sz w:val="21"/>
                <w:szCs w:val="21"/>
                <w:highlight w:val="none"/>
              </w:rPr>
              <w:t>方面任意1方面有缺陷或瑕疵。</w:t>
            </w:r>
          </w:p>
        </w:tc>
      </w:tr>
      <w:bookmarkEnd w:id="533"/>
      <w:tr w14:paraId="598A3F7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959" w:hRule="atLeast"/>
          <w:jc w:val="center"/>
        </w:trPr>
        <w:tc>
          <w:tcPr>
            <w:tcW w:w="817" w:type="dxa"/>
            <w:vMerge w:val="continue"/>
            <w:tcBorders>
              <w:left w:val="single" w:color="auto" w:sz="4" w:space="0"/>
              <w:right w:val="single" w:color="auto" w:sz="4" w:space="0"/>
            </w:tcBorders>
            <w:vAlign w:val="center"/>
          </w:tcPr>
          <w:p w14:paraId="093368AC">
            <w:pPr>
              <w:rPr>
                <w:rFonts w:hint="eastAsia" w:ascii="宋体" w:hAnsi="宋体" w:eastAsia="宋体" w:cs="宋体"/>
                <w:b w:val="0"/>
                <w:bCs w:val="0"/>
                <w:color w:val="auto"/>
                <w:szCs w:val="21"/>
                <w:highlight w:val="none"/>
              </w:rPr>
            </w:pPr>
          </w:p>
        </w:tc>
        <w:tc>
          <w:tcPr>
            <w:tcW w:w="817" w:type="dxa"/>
            <w:vMerge w:val="continue"/>
            <w:tcBorders>
              <w:left w:val="single" w:color="auto" w:sz="4" w:space="0"/>
            </w:tcBorders>
            <w:vAlign w:val="center"/>
          </w:tcPr>
          <w:p w14:paraId="614610F3">
            <w:pPr>
              <w:rPr>
                <w:rFonts w:hint="eastAsia" w:ascii="宋体" w:hAnsi="宋体" w:eastAsia="宋体" w:cs="宋体"/>
                <w:b w:val="0"/>
                <w:bCs w:val="0"/>
                <w:color w:val="auto"/>
                <w:szCs w:val="21"/>
                <w:highlight w:val="none"/>
              </w:rPr>
            </w:pPr>
          </w:p>
        </w:tc>
        <w:tc>
          <w:tcPr>
            <w:tcW w:w="1435" w:type="dxa"/>
            <w:vAlign w:val="center"/>
          </w:tcPr>
          <w:p w14:paraId="78FACA66">
            <w:pPr>
              <w:snapToGrid w:val="0"/>
              <w:ind w:left="0" w:leftChars="0" w:right="0" w:rightChars="0" w:firstLine="0" w:firstLineChars="0"/>
              <w:jc w:val="left"/>
              <w:rPr>
                <w:rFonts w:hint="eastAsia" w:ascii="宋体" w:hAnsi="宋体" w:eastAsia="宋体" w:cs="宋体"/>
                <w:b w:val="0"/>
                <w:bCs w:val="0"/>
                <w:color w:val="auto"/>
                <w:szCs w:val="21"/>
                <w:highlight w:val="none"/>
              </w:rPr>
            </w:pPr>
            <w:r>
              <w:rPr>
                <w:rFonts w:hint="eastAsia" w:ascii="宋体" w:hAnsi="宋体" w:eastAsia="宋体" w:cs="宋体"/>
                <w:color w:val="000000"/>
                <w:sz w:val="21"/>
                <w:szCs w:val="21"/>
                <w:highlight w:val="none"/>
                <w:lang w:val="en-US" w:eastAsia="zh-CN"/>
              </w:rPr>
              <w:t>给排水保障服务方案（满分4分）</w:t>
            </w:r>
          </w:p>
        </w:tc>
        <w:tc>
          <w:tcPr>
            <w:tcW w:w="6227" w:type="dxa"/>
            <w:vAlign w:val="center"/>
          </w:tcPr>
          <w:p w14:paraId="41C5B8A6">
            <w:pPr>
              <w:keepNext w:val="0"/>
              <w:keepLines w:val="0"/>
              <w:widowControl/>
              <w:suppressLineNumbers w:val="0"/>
              <w:kinsoku w:val="0"/>
              <w:autoSpaceDE w:val="0"/>
              <w:autoSpaceDN w:val="0"/>
              <w:adjustRightInd w:val="0"/>
              <w:snapToGrid w:val="0"/>
              <w:spacing w:before="0" w:beforeAutospacing="0" w:after="0" w:afterAutospacing="0"/>
              <w:ind w:left="0" w:leftChars="0" w:right="0" w:rightChars="0" w:firstLine="0" w:firstLineChars="0"/>
              <w:jc w:val="left"/>
              <w:textAlignment w:val="baseline"/>
              <w:rPr>
                <w:rFonts w:hint="default"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根据投标人提供的</w:t>
            </w:r>
            <w:r>
              <w:rPr>
                <w:rFonts w:hint="eastAsia" w:ascii="宋体" w:hAnsi="宋体" w:eastAsia="宋体" w:cs="宋体"/>
                <w:sz w:val="21"/>
                <w:szCs w:val="21"/>
                <w:highlight w:val="none"/>
                <w:lang w:val="en-US" w:eastAsia="zh-CN"/>
              </w:rPr>
              <w:t>给排水服务方案</w:t>
            </w:r>
            <w:r>
              <w:rPr>
                <w:rFonts w:hint="eastAsia" w:ascii="宋体" w:hAnsi="宋体" w:eastAsia="宋体" w:cs="宋体"/>
                <w:snapToGrid w:val="0"/>
                <w:color w:val="000000"/>
                <w:kern w:val="0"/>
                <w:sz w:val="21"/>
                <w:szCs w:val="21"/>
                <w:highlight w:val="none"/>
              </w:rPr>
              <w:t>进行评审</w:t>
            </w:r>
            <w:r>
              <w:rPr>
                <w:rFonts w:hint="eastAsia" w:ascii="宋体" w:hAnsi="宋体" w:eastAsia="宋体" w:cs="宋体"/>
                <w:snapToGrid w:val="0"/>
                <w:color w:val="000000"/>
                <w:kern w:val="0"/>
                <w:sz w:val="21"/>
                <w:szCs w:val="21"/>
                <w:highlight w:val="none"/>
                <w:lang w:eastAsia="zh-CN"/>
              </w:rPr>
              <w:t>，</w:t>
            </w:r>
            <w:r>
              <w:rPr>
                <w:rFonts w:hint="eastAsia" w:ascii="宋体" w:hAnsi="宋体" w:eastAsia="宋体" w:cs="宋体"/>
                <w:snapToGrid w:val="0"/>
                <w:color w:val="000000"/>
                <w:kern w:val="0"/>
                <w:sz w:val="21"/>
                <w:szCs w:val="21"/>
                <w:highlight w:val="none"/>
              </w:rPr>
              <w:t>①</w:t>
            </w:r>
            <w:r>
              <w:rPr>
                <w:rFonts w:hint="eastAsia" w:ascii="宋体" w:hAnsi="宋体" w:eastAsia="宋体"/>
                <w:color w:val="auto"/>
                <w:sz w:val="21"/>
                <w:szCs w:val="21"/>
                <w:highlight w:val="none"/>
              </w:rPr>
              <w:t>给排水保障及维修</w:t>
            </w:r>
            <w:r>
              <w:rPr>
                <w:rFonts w:hint="eastAsia" w:ascii="宋体" w:hAnsi="Times New Roman" w:eastAsia="宋体" w:cs="Times New Roman"/>
                <w:sz w:val="21"/>
                <w:highlight w:val="none"/>
                <w:lang w:val="en-US" w:eastAsia="zh-CN"/>
              </w:rPr>
              <w:t>维修保障</w:t>
            </w:r>
            <w:r>
              <w:rPr>
                <w:rFonts w:hint="eastAsia" w:ascii="宋体" w:hAnsi="宋体" w:eastAsia="宋体" w:cs="宋体"/>
                <w:snapToGrid w:val="0"/>
                <w:color w:val="000000"/>
                <w:kern w:val="0"/>
                <w:sz w:val="21"/>
                <w:szCs w:val="21"/>
                <w:highlight w:val="none"/>
              </w:rPr>
              <w:t>②</w:t>
            </w:r>
            <w:r>
              <w:rPr>
                <w:rFonts w:hint="eastAsia" w:ascii="宋体" w:hAnsi="Times New Roman" w:eastAsia="宋体" w:cs="Times New Roman"/>
                <w:sz w:val="21"/>
                <w:highlight w:val="none"/>
                <w:lang w:val="en-US" w:eastAsia="zh-CN"/>
              </w:rPr>
              <w:t>学生宿舍冷热水供应保障；</w:t>
            </w:r>
            <w:r>
              <w:rPr>
                <w:rFonts w:hint="eastAsia" w:ascii="宋体" w:hAnsi="宋体" w:eastAsia="宋体" w:cs="宋体"/>
                <w:snapToGrid w:val="0"/>
                <w:color w:val="000000"/>
                <w:kern w:val="0"/>
                <w:sz w:val="21"/>
                <w:szCs w:val="21"/>
                <w:highlight w:val="none"/>
              </w:rPr>
              <w:t>③</w:t>
            </w:r>
            <w:r>
              <w:rPr>
                <w:rFonts w:hint="eastAsia" w:ascii="宋体" w:hAnsi="宋体" w:eastAsia="宋体" w:cs="宋体"/>
                <w:snapToGrid w:val="0"/>
                <w:color w:val="000000"/>
                <w:kern w:val="0"/>
                <w:sz w:val="21"/>
                <w:szCs w:val="21"/>
                <w:highlight w:val="none"/>
                <w:lang w:val="en-US" w:eastAsia="zh-CN"/>
              </w:rPr>
              <w:t>供水安全管理</w:t>
            </w:r>
            <w:r>
              <w:rPr>
                <w:rFonts w:hint="eastAsia" w:ascii="宋体" w:hAnsi="Times New Roman" w:eastAsia="宋体" w:cs="Times New Roman"/>
                <w:sz w:val="21"/>
                <w:highlight w:val="none"/>
                <w:lang w:val="en-US" w:eastAsia="zh-CN"/>
              </w:rPr>
              <w:t>；</w:t>
            </w:r>
            <w:r>
              <w:rPr>
                <w:rFonts w:hint="eastAsia" w:ascii="宋体" w:hAnsi="宋体" w:eastAsia="宋体" w:cs="宋体"/>
                <w:snapToGrid w:val="0"/>
                <w:color w:val="000000"/>
                <w:kern w:val="0"/>
                <w:sz w:val="21"/>
                <w:szCs w:val="21"/>
                <w:highlight w:val="none"/>
              </w:rPr>
              <w:t>④</w:t>
            </w:r>
            <w:r>
              <w:rPr>
                <w:rFonts w:hint="eastAsia" w:ascii="宋体" w:hAnsi="宋体" w:eastAsia="宋体" w:cs="宋体"/>
                <w:snapToGrid w:val="0"/>
                <w:color w:val="000000"/>
                <w:kern w:val="0"/>
                <w:sz w:val="21"/>
                <w:szCs w:val="21"/>
                <w:highlight w:val="none"/>
                <w:lang w:val="en-US" w:eastAsia="zh-CN"/>
              </w:rPr>
              <w:t>给排水</w:t>
            </w:r>
            <w:r>
              <w:rPr>
                <w:rFonts w:hint="eastAsia" w:ascii="宋体" w:hAnsi="Times New Roman" w:eastAsia="宋体" w:cs="Times New Roman"/>
                <w:sz w:val="21"/>
                <w:highlight w:val="none"/>
                <w:lang w:val="en-US" w:eastAsia="zh-CN"/>
              </w:rPr>
              <w:t>突发事件及应急处置等内容。</w:t>
            </w:r>
          </w:p>
          <w:p w14:paraId="6A52D9F3">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评标委员会根据投标人提供的以上</w:t>
            </w:r>
            <w:r>
              <w:rPr>
                <w:rFonts w:hint="eastAsia" w:ascii="宋体" w:hAnsi="宋体" w:eastAsia="宋体" w:cs="宋体"/>
                <w:snapToGrid w:val="0"/>
                <w:color w:val="000000"/>
                <w:kern w:val="0"/>
                <w:sz w:val="21"/>
                <w:szCs w:val="21"/>
                <w:highlight w:val="none"/>
                <w:lang w:val="en-US" w:eastAsia="zh-CN"/>
              </w:rPr>
              <w:t>4</w:t>
            </w:r>
            <w:r>
              <w:rPr>
                <w:rFonts w:hint="eastAsia" w:ascii="宋体" w:hAnsi="宋体" w:eastAsia="宋体" w:cs="宋体"/>
                <w:snapToGrid w:val="0"/>
                <w:color w:val="000000"/>
                <w:kern w:val="0"/>
                <w:sz w:val="21"/>
                <w:szCs w:val="21"/>
                <w:highlight w:val="none"/>
              </w:rPr>
              <w:t>个方面内容进行综合评审，完全满足以上</w:t>
            </w:r>
            <w:r>
              <w:rPr>
                <w:rFonts w:hint="eastAsia" w:ascii="宋体" w:hAnsi="宋体" w:eastAsia="宋体" w:cs="宋体"/>
                <w:snapToGrid w:val="0"/>
                <w:color w:val="000000"/>
                <w:kern w:val="0"/>
                <w:sz w:val="21"/>
                <w:szCs w:val="21"/>
                <w:highlight w:val="none"/>
                <w:lang w:val="en-US" w:eastAsia="zh-CN"/>
              </w:rPr>
              <w:t>4</w:t>
            </w:r>
            <w:r>
              <w:rPr>
                <w:rFonts w:hint="eastAsia" w:ascii="宋体" w:hAnsi="宋体" w:eastAsia="宋体" w:cs="宋体"/>
                <w:snapToGrid w:val="0"/>
                <w:color w:val="000000"/>
                <w:kern w:val="0"/>
                <w:sz w:val="21"/>
                <w:szCs w:val="21"/>
                <w:highlight w:val="none"/>
              </w:rPr>
              <w:t>个方面内容得</w:t>
            </w:r>
            <w:r>
              <w:rPr>
                <w:rFonts w:hint="eastAsia" w:ascii="宋体" w:hAnsi="宋体" w:eastAsia="宋体" w:cs="宋体"/>
                <w:snapToGrid w:val="0"/>
                <w:color w:val="000000"/>
                <w:kern w:val="0"/>
                <w:sz w:val="21"/>
                <w:szCs w:val="21"/>
                <w:highlight w:val="none"/>
                <w:lang w:val="en-US" w:eastAsia="zh-CN"/>
              </w:rPr>
              <w:t>4</w:t>
            </w:r>
            <w:r>
              <w:rPr>
                <w:rFonts w:hint="eastAsia" w:ascii="宋体" w:hAnsi="宋体" w:eastAsia="宋体" w:cs="宋体"/>
                <w:snapToGrid w:val="0"/>
                <w:color w:val="000000"/>
                <w:kern w:val="0"/>
                <w:sz w:val="21"/>
                <w:szCs w:val="21"/>
                <w:highlight w:val="none"/>
              </w:rPr>
              <w:t>分，每缺少一个方面内容扣</w:t>
            </w:r>
            <w:r>
              <w:rPr>
                <w:rFonts w:hint="eastAsia" w:ascii="宋体" w:hAnsi="宋体" w:eastAsia="宋体" w:cs="宋体"/>
                <w:snapToGrid w:val="0"/>
                <w:color w:val="000000"/>
                <w:kern w:val="0"/>
                <w:sz w:val="21"/>
                <w:szCs w:val="21"/>
                <w:highlight w:val="none"/>
                <w:lang w:val="en-US" w:eastAsia="zh-CN"/>
              </w:rPr>
              <w:t>1</w:t>
            </w:r>
            <w:r>
              <w:rPr>
                <w:rFonts w:hint="eastAsia" w:ascii="宋体" w:hAnsi="宋体" w:eastAsia="宋体" w:cs="宋体"/>
                <w:snapToGrid w:val="0"/>
                <w:color w:val="000000"/>
                <w:kern w:val="0"/>
                <w:sz w:val="21"/>
                <w:szCs w:val="21"/>
                <w:highlight w:val="none"/>
              </w:rPr>
              <w:t>分，每个方面有内容存在不足的扣</w:t>
            </w:r>
            <w:r>
              <w:rPr>
                <w:rFonts w:hint="eastAsia" w:ascii="宋体" w:hAnsi="宋体" w:eastAsia="宋体" w:cs="宋体"/>
                <w:snapToGrid w:val="0"/>
                <w:color w:val="000000"/>
                <w:kern w:val="0"/>
                <w:sz w:val="21"/>
                <w:szCs w:val="21"/>
                <w:highlight w:val="none"/>
                <w:lang w:val="en-US" w:eastAsia="zh-CN"/>
              </w:rPr>
              <w:t>0.5</w:t>
            </w:r>
            <w:r>
              <w:rPr>
                <w:rFonts w:hint="eastAsia" w:ascii="宋体" w:hAnsi="宋体" w:eastAsia="宋体" w:cs="宋体"/>
                <w:snapToGrid w:val="0"/>
                <w:color w:val="000000"/>
                <w:kern w:val="0"/>
                <w:sz w:val="21"/>
                <w:szCs w:val="21"/>
                <w:highlight w:val="none"/>
              </w:rPr>
              <w:t>分。</w:t>
            </w:r>
          </w:p>
          <w:p w14:paraId="275356E3">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注：完全满足是指：1.投标人针对本项目提出的</w:t>
            </w:r>
            <w:r>
              <w:rPr>
                <w:rFonts w:hint="eastAsia" w:ascii="宋体" w:hAnsi="宋体" w:eastAsia="宋体" w:cs="宋体"/>
                <w:snapToGrid w:val="0"/>
                <w:color w:val="000000"/>
                <w:kern w:val="0"/>
                <w:sz w:val="21"/>
                <w:szCs w:val="21"/>
                <w:highlight w:val="none"/>
                <w:lang w:val="en-US" w:eastAsia="zh-CN"/>
              </w:rPr>
              <w:t>安全保卫</w:t>
            </w:r>
            <w:r>
              <w:rPr>
                <w:rFonts w:hint="eastAsia" w:ascii="宋体" w:hAnsi="宋体" w:eastAsia="宋体" w:cs="宋体"/>
                <w:snapToGrid w:val="0"/>
                <w:color w:val="000000"/>
                <w:kern w:val="0"/>
                <w:sz w:val="21"/>
                <w:szCs w:val="21"/>
                <w:highlight w:val="none"/>
              </w:rPr>
              <w:t>服务方案内容全面、完整详细，对涉及的相关工作安排均有详细说明；</w:t>
            </w:r>
          </w:p>
          <w:p w14:paraId="357F159A">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2.思路及条理清晰，科学、合理；</w:t>
            </w:r>
          </w:p>
          <w:p w14:paraId="37385CE4">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3.具有针对性及可行性；</w:t>
            </w:r>
          </w:p>
          <w:p w14:paraId="78721D2C">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4.贴合项目实际，能满足采购人实际需求；</w:t>
            </w:r>
          </w:p>
          <w:p w14:paraId="418132F5">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5.有明确具体的服务措施。</w:t>
            </w:r>
          </w:p>
          <w:p w14:paraId="5AC70CEF">
            <w:pPr>
              <w:snapToGrid w:val="0"/>
              <w:ind w:left="0" w:leftChars="0" w:right="0" w:rightChars="0" w:firstLine="0" w:firstLineChars="0"/>
              <w:jc w:val="left"/>
              <w:rPr>
                <w:rFonts w:hint="eastAsia" w:ascii="宋体" w:hAnsi="宋体" w:eastAsia="宋体" w:cs="宋体"/>
                <w:b w:val="0"/>
                <w:bCs w:val="0"/>
                <w:color w:val="auto"/>
                <w:szCs w:val="21"/>
                <w:highlight w:val="none"/>
              </w:rPr>
            </w:pPr>
            <w:r>
              <w:rPr>
                <w:rFonts w:hint="eastAsia" w:ascii="宋体" w:hAnsi="宋体" w:eastAsia="宋体" w:cs="宋体"/>
                <w:snapToGrid w:val="0"/>
                <w:color w:val="000000"/>
                <w:kern w:val="0"/>
                <w:sz w:val="21"/>
                <w:szCs w:val="21"/>
                <w:highlight w:val="none"/>
              </w:rPr>
              <w:t>不足是指：以上5</w:t>
            </w:r>
            <w:r>
              <w:rPr>
                <w:rFonts w:hint="eastAsia" w:ascii="宋体" w:hAnsi="宋体" w:eastAsia="宋体" w:cs="宋体"/>
                <w:snapToGrid w:val="0"/>
                <w:color w:val="000000"/>
                <w:kern w:val="0"/>
                <w:sz w:val="21"/>
                <w:szCs w:val="21"/>
                <w:highlight w:val="none"/>
                <w:lang w:val="en-US" w:eastAsia="zh-CN"/>
              </w:rPr>
              <w:t>个</w:t>
            </w:r>
            <w:r>
              <w:rPr>
                <w:rFonts w:hint="eastAsia" w:ascii="宋体" w:hAnsi="宋体" w:eastAsia="宋体" w:cs="宋体"/>
                <w:snapToGrid w:val="0"/>
                <w:color w:val="000000"/>
                <w:kern w:val="0"/>
                <w:sz w:val="21"/>
                <w:szCs w:val="21"/>
                <w:highlight w:val="none"/>
              </w:rPr>
              <w:t>方面任意1方面有缺陷或瑕疵。</w:t>
            </w:r>
          </w:p>
        </w:tc>
      </w:tr>
      <w:tr w14:paraId="08FC3E3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209" w:hRule="atLeast"/>
          <w:jc w:val="center"/>
        </w:trPr>
        <w:tc>
          <w:tcPr>
            <w:tcW w:w="817" w:type="dxa"/>
            <w:vMerge w:val="continue"/>
            <w:tcBorders>
              <w:left w:val="single" w:color="auto" w:sz="4" w:space="0"/>
              <w:right w:val="single" w:color="auto" w:sz="4" w:space="0"/>
            </w:tcBorders>
            <w:vAlign w:val="center"/>
          </w:tcPr>
          <w:p w14:paraId="1D799CD7">
            <w:pPr>
              <w:spacing w:line="440" w:lineRule="exact"/>
              <w:rPr>
                <w:rFonts w:hint="eastAsia" w:ascii="宋体" w:hAnsi="宋体" w:eastAsia="宋体" w:cs="宋体"/>
                <w:b w:val="0"/>
                <w:bCs w:val="0"/>
                <w:color w:val="auto"/>
                <w:highlight w:val="none"/>
              </w:rPr>
            </w:pPr>
          </w:p>
        </w:tc>
        <w:tc>
          <w:tcPr>
            <w:tcW w:w="817" w:type="dxa"/>
            <w:vMerge w:val="continue"/>
            <w:tcBorders>
              <w:left w:val="single" w:color="auto" w:sz="4" w:space="0"/>
            </w:tcBorders>
            <w:vAlign w:val="center"/>
          </w:tcPr>
          <w:p w14:paraId="5BEF1985">
            <w:pPr>
              <w:spacing w:line="440" w:lineRule="exact"/>
              <w:rPr>
                <w:rFonts w:hint="eastAsia" w:ascii="宋体" w:hAnsi="宋体" w:eastAsia="宋体" w:cs="宋体"/>
                <w:b w:val="0"/>
                <w:bCs w:val="0"/>
                <w:color w:val="auto"/>
                <w:highlight w:val="none"/>
              </w:rPr>
            </w:pPr>
          </w:p>
        </w:tc>
        <w:tc>
          <w:tcPr>
            <w:tcW w:w="1435" w:type="dxa"/>
            <w:vAlign w:val="center"/>
          </w:tcPr>
          <w:p w14:paraId="027C159F">
            <w:pPr>
              <w:snapToGrid w:val="0"/>
              <w:ind w:left="0" w:leftChars="0" w:right="0" w:rightChars="0" w:firstLine="0" w:firstLineChars="0"/>
              <w:jc w:val="left"/>
              <w:rPr>
                <w:rFonts w:hint="eastAsia" w:ascii="宋体" w:hAnsi="宋体" w:eastAsia="宋体" w:cs="宋体"/>
                <w:b w:val="0"/>
                <w:bCs w:val="0"/>
                <w:color w:val="auto"/>
                <w:szCs w:val="21"/>
                <w:highlight w:val="none"/>
              </w:rPr>
            </w:pPr>
            <w:r>
              <w:rPr>
                <w:rFonts w:hint="eastAsia" w:ascii="宋体" w:hAnsi="宋体" w:eastAsia="宋体" w:cs="宋体"/>
                <w:sz w:val="21"/>
                <w:szCs w:val="21"/>
                <w:highlight w:val="none"/>
                <w:lang w:val="en-US" w:eastAsia="zh-CN"/>
              </w:rPr>
              <w:t>中水站管理服务方案（满分3分）</w:t>
            </w:r>
          </w:p>
        </w:tc>
        <w:tc>
          <w:tcPr>
            <w:tcW w:w="6227" w:type="dxa"/>
            <w:vAlign w:val="center"/>
          </w:tcPr>
          <w:p w14:paraId="650C87C8">
            <w:pPr>
              <w:widowControl w:val="0"/>
              <w:snapToGrid w:val="0"/>
              <w:ind w:left="0" w:leftChars="0" w:right="0" w:rightChars="0" w:firstLine="0" w:firstLineChars="0"/>
              <w:jc w:val="left"/>
              <w:rPr>
                <w:rFonts w:hint="default" w:ascii="宋体" w:hAnsi="Times New Roman" w:eastAsia="宋体" w:cs="Times New Roman"/>
                <w:kern w:val="2"/>
                <w:sz w:val="21"/>
                <w:szCs w:val="24"/>
                <w:highlight w:val="none"/>
                <w:lang w:val="en-US" w:eastAsia="zh-CN" w:bidi="ar-SA"/>
              </w:rPr>
            </w:pPr>
            <w:r>
              <w:rPr>
                <w:rFonts w:hint="eastAsia" w:ascii="宋体" w:hAnsi="宋体" w:eastAsia="宋体" w:cs="宋体"/>
                <w:snapToGrid w:val="0"/>
                <w:color w:val="000000"/>
                <w:kern w:val="0"/>
                <w:sz w:val="21"/>
                <w:szCs w:val="21"/>
                <w:highlight w:val="none"/>
                <w:lang w:val="en-US" w:eastAsia="zh-CN" w:bidi="ar-SA"/>
              </w:rPr>
              <w:t>根据投标人提供的</w:t>
            </w:r>
            <w:r>
              <w:rPr>
                <w:rFonts w:hint="eastAsia" w:ascii="宋体" w:hAnsi="宋体" w:eastAsia="宋体" w:cs="宋体"/>
                <w:sz w:val="21"/>
                <w:szCs w:val="21"/>
                <w:highlight w:val="none"/>
                <w:lang w:val="en-US" w:eastAsia="zh-CN"/>
              </w:rPr>
              <w:t>中水站管理</w:t>
            </w:r>
            <w:r>
              <w:rPr>
                <w:rFonts w:hint="eastAsia" w:ascii="宋体" w:hAnsi="宋体" w:eastAsia="宋体" w:cs="宋体"/>
                <w:kern w:val="2"/>
                <w:sz w:val="21"/>
                <w:szCs w:val="21"/>
                <w:highlight w:val="none"/>
                <w:lang w:val="en-US" w:eastAsia="zh-CN" w:bidi="ar-SA"/>
              </w:rPr>
              <w:t>服务方案</w:t>
            </w:r>
            <w:r>
              <w:rPr>
                <w:rFonts w:hint="eastAsia" w:ascii="宋体" w:hAnsi="宋体" w:eastAsia="宋体" w:cs="宋体"/>
                <w:snapToGrid w:val="0"/>
                <w:color w:val="000000"/>
                <w:kern w:val="0"/>
                <w:sz w:val="21"/>
                <w:szCs w:val="21"/>
                <w:highlight w:val="none"/>
                <w:lang w:val="en-US" w:eastAsia="zh-CN" w:bidi="ar-SA"/>
              </w:rPr>
              <w:t>进行评审，</w:t>
            </w:r>
            <w:r>
              <w:rPr>
                <w:rFonts w:hint="eastAsia" w:ascii="宋体" w:hAnsi="宋体" w:eastAsia="宋体" w:cs="宋体"/>
                <w:kern w:val="2"/>
                <w:sz w:val="21"/>
                <w:szCs w:val="21"/>
                <w:highlight w:val="none"/>
                <w:lang w:val="en-US" w:eastAsia="zh-CN" w:bidi="ar-SA"/>
              </w:rPr>
              <w:t>①</w:t>
            </w:r>
            <w:r>
              <w:rPr>
                <w:rFonts w:hint="eastAsia" w:ascii="宋体" w:hAnsi="宋体" w:eastAsia="宋体" w:cs="宋体"/>
                <w:color w:val="auto"/>
                <w:kern w:val="2"/>
                <w:sz w:val="21"/>
                <w:szCs w:val="21"/>
                <w:highlight w:val="none"/>
                <w:lang w:val="en-US" w:eastAsia="zh-CN" w:bidi="ar-SA"/>
              </w:rPr>
              <w:t>中水设施设备管理及养护药剂管理</w:t>
            </w:r>
            <w:r>
              <w:rPr>
                <w:rFonts w:hint="eastAsia" w:ascii="宋体" w:hAnsi="宋体" w:eastAsia="宋体" w:cs="宋体"/>
                <w:kern w:val="2"/>
                <w:sz w:val="21"/>
                <w:szCs w:val="21"/>
                <w:highlight w:val="none"/>
                <w:lang w:val="en-US" w:eastAsia="zh-CN" w:bidi="ar-SA"/>
              </w:rPr>
              <w:t>②</w:t>
            </w:r>
            <w:r>
              <w:rPr>
                <w:rFonts w:hint="eastAsia" w:ascii="宋体" w:hAnsi="宋体" w:eastAsia="宋体" w:cs="宋体"/>
                <w:color w:val="auto"/>
                <w:kern w:val="2"/>
                <w:sz w:val="21"/>
                <w:szCs w:val="21"/>
                <w:highlight w:val="none"/>
                <w:lang w:val="en-US" w:eastAsia="zh-CN" w:bidi="ar-SA"/>
              </w:rPr>
              <w:t>中水站运行管理</w:t>
            </w:r>
            <w:r>
              <w:rPr>
                <w:rFonts w:hint="eastAsia" w:ascii="宋体" w:hAnsi="宋体" w:eastAsia="宋体" w:cs="宋体"/>
                <w:kern w:val="2"/>
                <w:sz w:val="21"/>
                <w:szCs w:val="21"/>
                <w:highlight w:val="none"/>
                <w:lang w:val="en-US" w:eastAsia="zh-CN" w:bidi="ar-SA"/>
              </w:rPr>
              <w:t>③</w:t>
            </w:r>
            <w:r>
              <w:rPr>
                <w:rFonts w:hint="eastAsia" w:ascii="宋体" w:hAnsi="宋体" w:eastAsia="宋体" w:cs="宋体"/>
                <w:color w:val="auto"/>
                <w:kern w:val="2"/>
                <w:sz w:val="21"/>
                <w:szCs w:val="21"/>
                <w:highlight w:val="none"/>
                <w:lang w:val="en-US" w:eastAsia="zh-CN" w:bidi="ar-SA"/>
              </w:rPr>
              <w:t>化粪池清理及废弃物处置等内容。</w:t>
            </w:r>
          </w:p>
          <w:p w14:paraId="74EF2553">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评标委员会根据投标人提供的以上</w:t>
            </w:r>
            <w:r>
              <w:rPr>
                <w:rFonts w:hint="eastAsia" w:ascii="宋体" w:hAnsi="宋体" w:eastAsia="宋体" w:cs="宋体"/>
                <w:snapToGrid w:val="0"/>
                <w:color w:val="000000"/>
                <w:kern w:val="0"/>
                <w:sz w:val="21"/>
                <w:szCs w:val="21"/>
                <w:highlight w:val="none"/>
                <w:lang w:val="en-US" w:eastAsia="zh-CN"/>
              </w:rPr>
              <w:t>3</w:t>
            </w:r>
            <w:r>
              <w:rPr>
                <w:rFonts w:hint="eastAsia" w:ascii="宋体" w:hAnsi="宋体" w:eastAsia="宋体" w:cs="宋体"/>
                <w:snapToGrid w:val="0"/>
                <w:color w:val="000000"/>
                <w:kern w:val="0"/>
                <w:sz w:val="21"/>
                <w:szCs w:val="21"/>
                <w:highlight w:val="none"/>
              </w:rPr>
              <w:t>个方面内容进行综合评审，完全满足以上</w:t>
            </w:r>
            <w:r>
              <w:rPr>
                <w:rFonts w:hint="eastAsia" w:ascii="宋体" w:hAnsi="宋体" w:eastAsia="宋体" w:cs="宋体"/>
                <w:snapToGrid w:val="0"/>
                <w:color w:val="000000"/>
                <w:kern w:val="0"/>
                <w:sz w:val="21"/>
                <w:szCs w:val="21"/>
                <w:highlight w:val="none"/>
                <w:lang w:val="en-US" w:eastAsia="zh-CN"/>
              </w:rPr>
              <w:t>3</w:t>
            </w:r>
            <w:r>
              <w:rPr>
                <w:rFonts w:hint="eastAsia" w:ascii="宋体" w:hAnsi="宋体" w:eastAsia="宋体" w:cs="宋体"/>
                <w:snapToGrid w:val="0"/>
                <w:color w:val="000000"/>
                <w:kern w:val="0"/>
                <w:sz w:val="21"/>
                <w:szCs w:val="21"/>
                <w:highlight w:val="none"/>
              </w:rPr>
              <w:t>个方面内容得</w:t>
            </w:r>
            <w:r>
              <w:rPr>
                <w:rFonts w:hint="eastAsia" w:ascii="宋体" w:hAnsi="宋体" w:eastAsia="宋体" w:cs="宋体"/>
                <w:snapToGrid w:val="0"/>
                <w:color w:val="000000"/>
                <w:kern w:val="0"/>
                <w:sz w:val="21"/>
                <w:szCs w:val="21"/>
                <w:highlight w:val="none"/>
                <w:lang w:val="en-US" w:eastAsia="zh-CN"/>
              </w:rPr>
              <w:t>3</w:t>
            </w:r>
            <w:r>
              <w:rPr>
                <w:rFonts w:hint="eastAsia" w:ascii="宋体" w:hAnsi="宋体" w:eastAsia="宋体" w:cs="宋体"/>
                <w:snapToGrid w:val="0"/>
                <w:color w:val="000000"/>
                <w:kern w:val="0"/>
                <w:sz w:val="21"/>
                <w:szCs w:val="21"/>
                <w:highlight w:val="none"/>
              </w:rPr>
              <w:t>分，每缺少一个方面内容扣</w:t>
            </w:r>
            <w:r>
              <w:rPr>
                <w:rFonts w:hint="eastAsia" w:ascii="宋体" w:hAnsi="宋体" w:eastAsia="宋体" w:cs="宋体"/>
                <w:snapToGrid w:val="0"/>
                <w:color w:val="000000"/>
                <w:kern w:val="0"/>
                <w:sz w:val="21"/>
                <w:szCs w:val="21"/>
                <w:highlight w:val="none"/>
                <w:lang w:val="en-US" w:eastAsia="zh-CN"/>
              </w:rPr>
              <w:t>1</w:t>
            </w:r>
            <w:r>
              <w:rPr>
                <w:rFonts w:hint="eastAsia" w:ascii="宋体" w:hAnsi="宋体" w:eastAsia="宋体" w:cs="宋体"/>
                <w:snapToGrid w:val="0"/>
                <w:color w:val="000000"/>
                <w:kern w:val="0"/>
                <w:sz w:val="21"/>
                <w:szCs w:val="21"/>
                <w:highlight w:val="none"/>
              </w:rPr>
              <w:t>分，每个方面有内容存在不足的扣</w:t>
            </w:r>
            <w:r>
              <w:rPr>
                <w:rFonts w:hint="eastAsia" w:ascii="宋体" w:hAnsi="宋体" w:eastAsia="宋体" w:cs="宋体"/>
                <w:snapToGrid w:val="0"/>
                <w:color w:val="000000"/>
                <w:kern w:val="0"/>
                <w:sz w:val="21"/>
                <w:szCs w:val="21"/>
                <w:highlight w:val="none"/>
                <w:lang w:val="en-US" w:eastAsia="zh-CN"/>
              </w:rPr>
              <w:t>0.5</w:t>
            </w:r>
            <w:r>
              <w:rPr>
                <w:rFonts w:hint="eastAsia" w:ascii="宋体" w:hAnsi="宋体" w:eastAsia="宋体" w:cs="宋体"/>
                <w:snapToGrid w:val="0"/>
                <w:color w:val="000000"/>
                <w:kern w:val="0"/>
                <w:sz w:val="21"/>
                <w:szCs w:val="21"/>
                <w:highlight w:val="none"/>
              </w:rPr>
              <w:t>分。</w:t>
            </w:r>
          </w:p>
          <w:p w14:paraId="5B9D6FBB">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注：完全满足是指：1.投标人针对本项目提出的</w:t>
            </w:r>
            <w:r>
              <w:rPr>
                <w:rFonts w:hint="eastAsia" w:ascii="宋体" w:hAnsi="宋体" w:eastAsia="宋体" w:cs="宋体"/>
                <w:snapToGrid w:val="0"/>
                <w:color w:val="000000"/>
                <w:kern w:val="0"/>
                <w:sz w:val="21"/>
                <w:szCs w:val="21"/>
                <w:highlight w:val="none"/>
                <w:lang w:val="en-US" w:eastAsia="zh-CN"/>
              </w:rPr>
              <w:t>餐饮</w:t>
            </w:r>
            <w:r>
              <w:rPr>
                <w:rFonts w:hint="eastAsia" w:ascii="宋体" w:hAnsi="宋体" w:eastAsia="宋体" w:cs="宋体"/>
                <w:snapToGrid w:val="0"/>
                <w:color w:val="000000"/>
                <w:kern w:val="0"/>
                <w:sz w:val="21"/>
                <w:szCs w:val="21"/>
                <w:highlight w:val="none"/>
              </w:rPr>
              <w:t>服务方案内容全面、完整详细，对涉及的相关工作安排均有详细说明；</w:t>
            </w:r>
          </w:p>
          <w:p w14:paraId="214F1290">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2.思路及条理清晰，科学、合理；</w:t>
            </w:r>
          </w:p>
          <w:p w14:paraId="08888CD5">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3.具有针对性及可行性；</w:t>
            </w:r>
          </w:p>
          <w:p w14:paraId="4D417803">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4.贴合项目实际，能满足采购人实际需求；</w:t>
            </w:r>
          </w:p>
          <w:p w14:paraId="1F5C7315">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5.有明确具体的服务措施。</w:t>
            </w:r>
          </w:p>
          <w:p w14:paraId="667E9F17">
            <w:pPr>
              <w:snapToGrid w:val="0"/>
              <w:ind w:left="0" w:leftChars="0" w:right="0" w:rightChars="0" w:firstLine="0" w:firstLineChars="0"/>
              <w:jc w:val="left"/>
              <w:rPr>
                <w:rFonts w:hint="eastAsia" w:ascii="宋体" w:hAnsi="宋体" w:eastAsia="宋体" w:cs="宋体"/>
                <w:b w:val="0"/>
                <w:bCs w:val="0"/>
                <w:color w:val="auto"/>
                <w:szCs w:val="21"/>
                <w:highlight w:val="none"/>
              </w:rPr>
            </w:pPr>
            <w:r>
              <w:rPr>
                <w:rFonts w:hint="eastAsia" w:ascii="宋体" w:hAnsi="宋体" w:eastAsia="宋体" w:cs="宋体"/>
                <w:snapToGrid w:val="0"/>
                <w:color w:val="000000"/>
                <w:kern w:val="0"/>
                <w:sz w:val="21"/>
                <w:szCs w:val="21"/>
                <w:highlight w:val="none"/>
              </w:rPr>
              <w:t>不足是指：以上5</w:t>
            </w:r>
            <w:r>
              <w:rPr>
                <w:rFonts w:hint="eastAsia" w:ascii="宋体" w:hAnsi="宋体" w:eastAsia="宋体" w:cs="宋体"/>
                <w:snapToGrid w:val="0"/>
                <w:color w:val="000000"/>
                <w:kern w:val="0"/>
                <w:sz w:val="21"/>
                <w:szCs w:val="21"/>
                <w:highlight w:val="none"/>
                <w:lang w:val="en-US" w:eastAsia="zh-CN"/>
              </w:rPr>
              <w:t>个</w:t>
            </w:r>
            <w:r>
              <w:rPr>
                <w:rFonts w:hint="eastAsia" w:ascii="宋体" w:hAnsi="宋体" w:eastAsia="宋体" w:cs="宋体"/>
                <w:snapToGrid w:val="0"/>
                <w:color w:val="000000"/>
                <w:kern w:val="0"/>
                <w:sz w:val="21"/>
                <w:szCs w:val="21"/>
                <w:highlight w:val="none"/>
              </w:rPr>
              <w:t>方面任意1方面有缺陷或瑕疵。</w:t>
            </w:r>
          </w:p>
        </w:tc>
      </w:tr>
      <w:tr w14:paraId="1D0F2A9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317" w:hRule="atLeast"/>
          <w:jc w:val="center"/>
        </w:trPr>
        <w:tc>
          <w:tcPr>
            <w:tcW w:w="817" w:type="dxa"/>
            <w:vMerge w:val="continue"/>
            <w:tcBorders>
              <w:left w:val="single" w:color="auto" w:sz="4" w:space="0"/>
              <w:right w:val="single" w:color="auto" w:sz="4" w:space="0"/>
            </w:tcBorders>
            <w:vAlign w:val="center"/>
          </w:tcPr>
          <w:p w14:paraId="6197F3D4">
            <w:pPr>
              <w:jc w:val="center"/>
              <w:rPr>
                <w:rFonts w:hint="eastAsia" w:ascii="宋体" w:hAnsi="宋体" w:eastAsia="宋体" w:cs="宋体"/>
                <w:b w:val="0"/>
                <w:bCs w:val="0"/>
                <w:color w:val="auto"/>
                <w:highlight w:val="none"/>
              </w:rPr>
            </w:pPr>
          </w:p>
        </w:tc>
        <w:tc>
          <w:tcPr>
            <w:tcW w:w="817" w:type="dxa"/>
            <w:vMerge w:val="continue"/>
            <w:tcBorders>
              <w:left w:val="single" w:color="auto" w:sz="4" w:space="0"/>
            </w:tcBorders>
            <w:vAlign w:val="center"/>
          </w:tcPr>
          <w:p w14:paraId="625CECBD">
            <w:pPr>
              <w:jc w:val="center"/>
              <w:rPr>
                <w:rFonts w:hint="eastAsia" w:ascii="宋体" w:hAnsi="宋体" w:eastAsia="宋体" w:cs="宋体"/>
                <w:b w:val="0"/>
                <w:bCs w:val="0"/>
                <w:color w:val="auto"/>
                <w:highlight w:val="none"/>
              </w:rPr>
            </w:pPr>
          </w:p>
        </w:tc>
        <w:tc>
          <w:tcPr>
            <w:tcW w:w="1435" w:type="dxa"/>
            <w:vAlign w:val="center"/>
          </w:tcPr>
          <w:p w14:paraId="16BEA7B5">
            <w:pPr>
              <w:snapToGrid w:val="0"/>
              <w:ind w:left="0" w:leftChars="0" w:right="0" w:rightChars="0" w:firstLine="0" w:firstLineChars="0"/>
              <w:jc w:val="left"/>
              <w:rPr>
                <w:rFonts w:hint="eastAsia" w:ascii="宋体" w:hAnsi="宋体" w:eastAsia="宋体" w:cs="宋体"/>
                <w:b w:val="0"/>
                <w:bCs w:val="0"/>
                <w:color w:val="auto"/>
                <w:szCs w:val="21"/>
                <w:highlight w:val="none"/>
              </w:rPr>
            </w:pPr>
            <w:r>
              <w:rPr>
                <w:rFonts w:hint="eastAsia" w:ascii="宋体" w:hAnsi="宋体" w:eastAsia="宋体" w:cs="宋体"/>
                <w:b w:val="0"/>
                <w:bCs w:val="0"/>
                <w:color w:val="auto"/>
                <w:kern w:val="0"/>
                <w:sz w:val="21"/>
                <w:szCs w:val="21"/>
                <w:highlight w:val="none"/>
                <w:lang w:val="en-US" w:eastAsia="zh-CN" w:bidi="ar-SA"/>
              </w:rPr>
              <w:t>客服及</w:t>
            </w:r>
            <w:r>
              <w:rPr>
                <w:rFonts w:hint="eastAsia" w:ascii="宋体" w:hAnsi="宋体" w:eastAsia="宋体" w:cs="宋体"/>
                <w:b w:val="0"/>
                <w:bCs w:val="0"/>
                <w:color w:val="000000"/>
                <w:kern w:val="0"/>
                <w:sz w:val="21"/>
                <w:szCs w:val="21"/>
                <w:highlight w:val="none"/>
              </w:rPr>
              <w:t>会务服务</w:t>
            </w:r>
            <w:r>
              <w:rPr>
                <w:rFonts w:hint="eastAsia" w:ascii="宋体" w:hAnsi="宋体" w:eastAsia="宋体" w:cs="宋体"/>
                <w:b w:val="0"/>
                <w:bCs w:val="0"/>
                <w:color w:val="000000"/>
                <w:kern w:val="0"/>
                <w:sz w:val="21"/>
                <w:szCs w:val="21"/>
                <w:highlight w:val="none"/>
                <w:lang w:eastAsia="zh-CN"/>
              </w:rPr>
              <w:t>方案</w:t>
            </w:r>
            <w:r>
              <w:rPr>
                <w:rFonts w:hint="eastAsia" w:ascii="宋体" w:hAnsi="宋体" w:eastAsia="宋体" w:cs="宋体"/>
                <w:sz w:val="21"/>
                <w:szCs w:val="21"/>
                <w:highlight w:val="none"/>
                <w:lang w:val="en-US" w:eastAsia="zh-CN"/>
              </w:rPr>
              <w:t>（满分3分）</w:t>
            </w:r>
          </w:p>
        </w:tc>
        <w:tc>
          <w:tcPr>
            <w:tcW w:w="6227" w:type="dxa"/>
            <w:vAlign w:val="center"/>
          </w:tcPr>
          <w:p w14:paraId="2E3620BF">
            <w:pPr>
              <w:widowControl w:val="0"/>
              <w:snapToGrid w:val="0"/>
              <w:ind w:left="0" w:leftChars="0" w:right="0" w:rightChars="0" w:firstLine="0" w:firstLineChars="0"/>
              <w:jc w:val="left"/>
              <w:rPr>
                <w:rFonts w:hint="default" w:ascii="宋体" w:hAnsi="Times New Roman" w:eastAsia="宋体" w:cs="Times New Roman"/>
                <w:kern w:val="2"/>
                <w:sz w:val="21"/>
                <w:szCs w:val="24"/>
                <w:highlight w:val="none"/>
                <w:lang w:val="en-US" w:eastAsia="zh-CN" w:bidi="ar-SA"/>
              </w:rPr>
            </w:pPr>
            <w:r>
              <w:rPr>
                <w:rFonts w:hint="eastAsia" w:ascii="宋体" w:hAnsi="宋体" w:eastAsia="宋体" w:cs="宋体"/>
                <w:snapToGrid w:val="0"/>
                <w:color w:val="000000"/>
                <w:kern w:val="0"/>
                <w:sz w:val="21"/>
                <w:szCs w:val="21"/>
                <w:highlight w:val="none"/>
                <w:lang w:val="en-US" w:eastAsia="zh-CN" w:bidi="ar-SA"/>
              </w:rPr>
              <w:t>根据投标人提供的</w:t>
            </w:r>
            <w:r>
              <w:rPr>
                <w:rFonts w:hint="eastAsia" w:ascii="宋体" w:hAnsi="宋体" w:eastAsia="宋体" w:cs="宋体"/>
                <w:sz w:val="21"/>
                <w:szCs w:val="21"/>
                <w:highlight w:val="none"/>
                <w:lang w:val="en-US" w:eastAsia="zh-CN"/>
              </w:rPr>
              <w:t>客服及会务</w:t>
            </w:r>
            <w:r>
              <w:rPr>
                <w:rFonts w:hint="eastAsia" w:ascii="宋体" w:hAnsi="宋体" w:eastAsia="宋体" w:cs="宋体"/>
                <w:kern w:val="2"/>
                <w:sz w:val="21"/>
                <w:szCs w:val="21"/>
                <w:highlight w:val="none"/>
                <w:lang w:val="en-US" w:eastAsia="zh-CN" w:bidi="ar-SA"/>
              </w:rPr>
              <w:t>服务方案</w:t>
            </w:r>
            <w:r>
              <w:rPr>
                <w:rFonts w:hint="eastAsia" w:ascii="宋体" w:hAnsi="宋体" w:eastAsia="宋体" w:cs="宋体"/>
                <w:snapToGrid w:val="0"/>
                <w:color w:val="000000"/>
                <w:kern w:val="0"/>
                <w:sz w:val="21"/>
                <w:szCs w:val="21"/>
                <w:highlight w:val="none"/>
                <w:lang w:val="en-US" w:eastAsia="zh-CN" w:bidi="ar-SA"/>
              </w:rPr>
              <w:t>进行评审，</w:t>
            </w:r>
            <w:r>
              <w:rPr>
                <w:rFonts w:hint="eastAsia" w:ascii="宋体" w:hAnsi="宋体" w:eastAsia="宋体" w:cs="宋体"/>
                <w:kern w:val="2"/>
                <w:sz w:val="21"/>
                <w:szCs w:val="21"/>
                <w:highlight w:val="none"/>
                <w:lang w:val="en-US" w:eastAsia="zh-CN" w:bidi="ar-SA"/>
              </w:rPr>
              <w:t>①</w:t>
            </w:r>
            <w:r>
              <w:rPr>
                <w:rFonts w:hint="eastAsia" w:ascii="宋体" w:hAnsi="宋体" w:eastAsia="宋体" w:cs="宋体"/>
                <w:color w:val="auto"/>
                <w:kern w:val="2"/>
                <w:sz w:val="21"/>
                <w:szCs w:val="21"/>
                <w:highlight w:val="none"/>
                <w:lang w:val="en-US" w:eastAsia="zh-CN" w:bidi="ar-SA"/>
              </w:rPr>
              <w:t>会议服务保障；</w:t>
            </w:r>
            <w:r>
              <w:rPr>
                <w:rFonts w:hint="eastAsia" w:ascii="宋体" w:hAnsi="宋体" w:eastAsia="宋体" w:cs="宋体"/>
                <w:kern w:val="2"/>
                <w:sz w:val="21"/>
                <w:szCs w:val="21"/>
                <w:highlight w:val="none"/>
                <w:lang w:val="en-US" w:eastAsia="zh-CN" w:bidi="ar-SA"/>
              </w:rPr>
              <w:t>②师生反映问题处置③</w:t>
            </w:r>
            <w:r>
              <w:rPr>
                <w:rFonts w:hint="eastAsia" w:ascii="宋体" w:hAnsi="宋体" w:eastAsia="宋体" w:cs="宋体"/>
                <w:color w:val="auto"/>
                <w:kern w:val="2"/>
                <w:sz w:val="21"/>
                <w:szCs w:val="21"/>
                <w:highlight w:val="none"/>
                <w:lang w:val="en-US" w:eastAsia="zh-CN" w:bidi="ar-SA"/>
              </w:rPr>
              <w:t>水电充值及收费服务等内容。</w:t>
            </w:r>
          </w:p>
          <w:p w14:paraId="0DBDFAE4">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评标委员会根据投标人提供的以上</w:t>
            </w:r>
            <w:r>
              <w:rPr>
                <w:rFonts w:hint="eastAsia" w:ascii="宋体" w:hAnsi="宋体" w:eastAsia="宋体" w:cs="宋体"/>
                <w:snapToGrid w:val="0"/>
                <w:color w:val="000000"/>
                <w:kern w:val="0"/>
                <w:sz w:val="21"/>
                <w:szCs w:val="21"/>
                <w:highlight w:val="none"/>
                <w:lang w:val="en-US" w:eastAsia="zh-CN"/>
              </w:rPr>
              <w:t>3</w:t>
            </w:r>
            <w:r>
              <w:rPr>
                <w:rFonts w:hint="eastAsia" w:ascii="宋体" w:hAnsi="宋体" w:eastAsia="宋体" w:cs="宋体"/>
                <w:snapToGrid w:val="0"/>
                <w:color w:val="000000"/>
                <w:kern w:val="0"/>
                <w:sz w:val="21"/>
                <w:szCs w:val="21"/>
                <w:highlight w:val="none"/>
              </w:rPr>
              <w:t>个方面内容进行综合评审，完全满足以上</w:t>
            </w:r>
            <w:r>
              <w:rPr>
                <w:rFonts w:hint="eastAsia" w:ascii="宋体" w:hAnsi="宋体" w:eastAsia="宋体" w:cs="宋体"/>
                <w:snapToGrid w:val="0"/>
                <w:color w:val="000000"/>
                <w:kern w:val="0"/>
                <w:sz w:val="21"/>
                <w:szCs w:val="21"/>
                <w:highlight w:val="none"/>
                <w:lang w:val="en-US" w:eastAsia="zh-CN"/>
              </w:rPr>
              <w:t>3</w:t>
            </w:r>
            <w:r>
              <w:rPr>
                <w:rFonts w:hint="eastAsia" w:ascii="宋体" w:hAnsi="宋体" w:eastAsia="宋体" w:cs="宋体"/>
                <w:snapToGrid w:val="0"/>
                <w:color w:val="000000"/>
                <w:kern w:val="0"/>
                <w:sz w:val="21"/>
                <w:szCs w:val="21"/>
                <w:highlight w:val="none"/>
              </w:rPr>
              <w:t>个方面内容得</w:t>
            </w:r>
            <w:r>
              <w:rPr>
                <w:rFonts w:hint="eastAsia" w:ascii="宋体" w:hAnsi="宋体" w:eastAsia="宋体" w:cs="宋体"/>
                <w:snapToGrid w:val="0"/>
                <w:color w:val="000000"/>
                <w:kern w:val="0"/>
                <w:sz w:val="21"/>
                <w:szCs w:val="21"/>
                <w:highlight w:val="none"/>
                <w:lang w:val="en-US" w:eastAsia="zh-CN"/>
              </w:rPr>
              <w:t>3</w:t>
            </w:r>
            <w:r>
              <w:rPr>
                <w:rFonts w:hint="eastAsia" w:ascii="宋体" w:hAnsi="宋体" w:eastAsia="宋体" w:cs="宋体"/>
                <w:snapToGrid w:val="0"/>
                <w:color w:val="000000"/>
                <w:kern w:val="0"/>
                <w:sz w:val="21"/>
                <w:szCs w:val="21"/>
                <w:highlight w:val="none"/>
              </w:rPr>
              <w:t>分，每缺少一个方面内容扣</w:t>
            </w:r>
            <w:r>
              <w:rPr>
                <w:rFonts w:hint="eastAsia" w:ascii="宋体" w:hAnsi="宋体" w:eastAsia="宋体" w:cs="宋体"/>
                <w:snapToGrid w:val="0"/>
                <w:color w:val="000000"/>
                <w:kern w:val="0"/>
                <w:sz w:val="21"/>
                <w:szCs w:val="21"/>
                <w:highlight w:val="none"/>
                <w:lang w:val="en-US" w:eastAsia="zh-CN"/>
              </w:rPr>
              <w:t>1</w:t>
            </w:r>
            <w:r>
              <w:rPr>
                <w:rFonts w:hint="eastAsia" w:ascii="宋体" w:hAnsi="宋体" w:eastAsia="宋体" w:cs="宋体"/>
                <w:snapToGrid w:val="0"/>
                <w:color w:val="000000"/>
                <w:kern w:val="0"/>
                <w:sz w:val="21"/>
                <w:szCs w:val="21"/>
                <w:highlight w:val="none"/>
              </w:rPr>
              <w:t>分，每个方面有内容存在不足的扣</w:t>
            </w:r>
            <w:r>
              <w:rPr>
                <w:rFonts w:hint="eastAsia" w:ascii="宋体" w:hAnsi="宋体" w:eastAsia="宋体" w:cs="宋体"/>
                <w:snapToGrid w:val="0"/>
                <w:color w:val="000000"/>
                <w:kern w:val="0"/>
                <w:sz w:val="21"/>
                <w:szCs w:val="21"/>
                <w:highlight w:val="none"/>
                <w:lang w:val="en-US" w:eastAsia="zh-CN"/>
              </w:rPr>
              <w:t>0.5</w:t>
            </w:r>
            <w:r>
              <w:rPr>
                <w:rFonts w:hint="eastAsia" w:ascii="宋体" w:hAnsi="宋体" w:eastAsia="宋体" w:cs="宋体"/>
                <w:snapToGrid w:val="0"/>
                <w:color w:val="000000"/>
                <w:kern w:val="0"/>
                <w:sz w:val="21"/>
                <w:szCs w:val="21"/>
                <w:highlight w:val="none"/>
              </w:rPr>
              <w:t>分。</w:t>
            </w:r>
          </w:p>
          <w:p w14:paraId="46415766">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注：完全满足是指：1.投标人针对本项目提出的</w:t>
            </w:r>
            <w:r>
              <w:rPr>
                <w:rFonts w:hint="eastAsia" w:ascii="宋体" w:hAnsi="宋体" w:eastAsia="宋体" w:cs="宋体"/>
                <w:snapToGrid w:val="0"/>
                <w:color w:val="000000"/>
                <w:kern w:val="0"/>
                <w:sz w:val="21"/>
                <w:szCs w:val="21"/>
                <w:highlight w:val="none"/>
                <w:lang w:val="en-US" w:eastAsia="zh-CN"/>
              </w:rPr>
              <w:t>餐饮</w:t>
            </w:r>
            <w:r>
              <w:rPr>
                <w:rFonts w:hint="eastAsia" w:ascii="宋体" w:hAnsi="宋体" w:eastAsia="宋体" w:cs="宋体"/>
                <w:snapToGrid w:val="0"/>
                <w:color w:val="000000"/>
                <w:kern w:val="0"/>
                <w:sz w:val="21"/>
                <w:szCs w:val="21"/>
                <w:highlight w:val="none"/>
              </w:rPr>
              <w:t>服务方案内容全面、完整详细，对涉及的相关工作安排均有详细说明；</w:t>
            </w:r>
          </w:p>
          <w:p w14:paraId="2DCC0677">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2.思路及条理清晰，科学、合理；</w:t>
            </w:r>
          </w:p>
          <w:p w14:paraId="3AD22D6D">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3.具有针对性及可行性；</w:t>
            </w:r>
          </w:p>
          <w:p w14:paraId="7A6908BD">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4.贴合项目实际，能满足采购人实际需求；</w:t>
            </w:r>
          </w:p>
          <w:p w14:paraId="3DE65C22">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5.有明确具体的服务措施。</w:t>
            </w:r>
          </w:p>
          <w:p w14:paraId="15F331D7">
            <w:pPr>
              <w:snapToGrid w:val="0"/>
              <w:jc w:val="left"/>
              <w:rPr>
                <w:rFonts w:hint="eastAsia" w:ascii="宋体" w:hAnsi="宋体" w:eastAsia="宋体" w:cs="宋体"/>
                <w:b w:val="0"/>
                <w:bCs w:val="0"/>
                <w:color w:val="auto"/>
                <w:szCs w:val="21"/>
                <w:highlight w:val="none"/>
              </w:rPr>
            </w:pPr>
            <w:r>
              <w:rPr>
                <w:rFonts w:hint="eastAsia" w:ascii="宋体" w:hAnsi="宋体" w:eastAsia="宋体" w:cs="宋体"/>
                <w:snapToGrid w:val="0"/>
                <w:color w:val="000000"/>
                <w:kern w:val="0"/>
                <w:sz w:val="21"/>
                <w:szCs w:val="21"/>
                <w:highlight w:val="none"/>
              </w:rPr>
              <w:t>不足是指：以上5</w:t>
            </w:r>
            <w:r>
              <w:rPr>
                <w:rFonts w:hint="eastAsia" w:ascii="宋体" w:hAnsi="宋体" w:eastAsia="宋体" w:cs="宋体"/>
                <w:snapToGrid w:val="0"/>
                <w:color w:val="000000"/>
                <w:kern w:val="0"/>
                <w:sz w:val="21"/>
                <w:szCs w:val="21"/>
                <w:highlight w:val="none"/>
                <w:lang w:val="en-US" w:eastAsia="zh-CN"/>
              </w:rPr>
              <w:t>个</w:t>
            </w:r>
            <w:r>
              <w:rPr>
                <w:rFonts w:hint="eastAsia" w:ascii="宋体" w:hAnsi="宋体" w:eastAsia="宋体" w:cs="宋体"/>
                <w:snapToGrid w:val="0"/>
                <w:color w:val="000000"/>
                <w:kern w:val="0"/>
                <w:sz w:val="21"/>
                <w:szCs w:val="21"/>
                <w:highlight w:val="none"/>
              </w:rPr>
              <w:t>方面任意1方面有缺陷或瑕疵。</w:t>
            </w:r>
          </w:p>
        </w:tc>
      </w:tr>
      <w:tr w14:paraId="5006EF6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1317" w:hRule="atLeast"/>
          <w:jc w:val="center"/>
        </w:trPr>
        <w:tc>
          <w:tcPr>
            <w:tcW w:w="817" w:type="dxa"/>
            <w:vMerge w:val="continue"/>
            <w:tcBorders>
              <w:left w:val="single" w:color="auto" w:sz="4" w:space="0"/>
              <w:right w:val="single" w:color="auto" w:sz="4" w:space="0"/>
            </w:tcBorders>
            <w:vAlign w:val="center"/>
          </w:tcPr>
          <w:p w14:paraId="24E8232A">
            <w:pPr>
              <w:jc w:val="center"/>
            </w:pPr>
          </w:p>
        </w:tc>
        <w:tc>
          <w:tcPr>
            <w:tcW w:w="817" w:type="dxa"/>
            <w:vMerge w:val="continue"/>
            <w:tcBorders>
              <w:left w:val="single" w:color="auto" w:sz="4" w:space="0"/>
            </w:tcBorders>
            <w:vAlign w:val="center"/>
          </w:tcPr>
          <w:p w14:paraId="2D9DEEA7">
            <w:pPr>
              <w:jc w:val="center"/>
            </w:pPr>
          </w:p>
        </w:tc>
        <w:tc>
          <w:tcPr>
            <w:tcW w:w="1435" w:type="dxa"/>
            <w:vAlign w:val="center"/>
          </w:tcPr>
          <w:p w14:paraId="02DED17B">
            <w:pPr>
              <w:snapToGrid w:val="0"/>
              <w:ind w:left="0" w:leftChars="0" w:right="0" w:rightChars="0" w:firstLine="0" w:firstLineChars="0"/>
              <w:jc w:val="left"/>
              <w:rPr>
                <w:rFonts w:hint="eastAsia" w:ascii="宋体" w:hAnsi="宋体" w:eastAsia="宋体" w:cs="宋体"/>
                <w:color w:val="auto"/>
                <w:szCs w:val="21"/>
                <w:highlight w:val="none"/>
                <w:lang w:val="en-US" w:eastAsia="zh-CN"/>
              </w:rPr>
            </w:pPr>
            <w:r>
              <w:rPr>
                <w:rFonts w:hint="eastAsia" w:ascii="宋体" w:hAnsi="宋体" w:eastAsia="宋体" w:cs="宋体"/>
                <w:sz w:val="21"/>
                <w:szCs w:val="21"/>
                <w:highlight w:val="none"/>
                <w:lang w:eastAsia="zh-CN"/>
              </w:rPr>
              <w:t>电瓶车运营服务方案（满分</w:t>
            </w:r>
            <w:r>
              <w:rPr>
                <w:rFonts w:hint="eastAsia" w:ascii="宋体" w:hAnsi="宋体" w:eastAsia="宋体" w:cs="宋体"/>
                <w:sz w:val="21"/>
                <w:szCs w:val="21"/>
                <w:highlight w:val="none"/>
                <w:lang w:val="en-US" w:eastAsia="zh-CN"/>
              </w:rPr>
              <w:t>2分</w:t>
            </w:r>
            <w:r>
              <w:rPr>
                <w:rFonts w:hint="eastAsia" w:ascii="宋体" w:hAnsi="宋体" w:eastAsia="宋体" w:cs="宋体"/>
                <w:sz w:val="21"/>
                <w:szCs w:val="21"/>
                <w:highlight w:val="none"/>
                <w:lang w:eastAsia="zh-CN"/>
              </w:rPr>
              <w:t>）</w:t>
            </w:r>
          </w:p>
        </w:tc>
        <w:tc>
          <w:tcPr>
            <w:tcW w:w="6227" w:type="dxa"/>
            <w:vAlign w:val="center"/>
          </w:tcPr>
          <w:p w14:paraId="6BDD9E74">
            <w:pPr>
              <w:widowControl w:val="0"/>
              <w:snapToGrid w:val="0"/>
              <w:ind w:left="0" w:leftChars="0" w:right="0" w:rightChars="0" w:firstLine="0" w:firstLineChars="0"/>
              <w:jc w:val="left"/>
              <w:rPr>
                <w:rFonts w:hint="default" w:ascii="宋体" w:hAnsi="Times New Roman" w:eastAsia="宋体" w:cs="Times New Roman"/>
                <w:kern w:val="2"/>
                <w:sz w:val="21"/>
                <w:szCs w:val="24"/>
                <w:highlight w:val="none"/>
                <w:lang w:val="en-US" w:eastAsia="zh-CN" w:bidi="ar-SA"/>
              </w:rPr>
            </w:pPr>
            <w:r>
              <w:rPr>
                <w:rFonts w:hint="eastAsia" w:ascii="宋体" w:hAnsi="宋体" w:eastAsia="宋体" w:cs="宋体"/>
                <w:snapToGrid w:val="0"/>
                <w:color w:val="000000"/>
                <w:kern w:val="0"/>
                <w:sz w:val="21"/>
                <w:szCs w:val="21"/>
                <w:highlight w:val="none"/>
                <w:lang w:val="en-US" w:eastAsia="zh-CN" w:bidi="ar-SA"/>
              </w:rPr>
              <w:t>根据投标人提供的</w:t>
            </w:r>
            <w:r>
              <w:rPr>
                <w:rFonts w:hint="eastAsia" w:ascii="宋体" w:hAnsi="宋体" w:eastAsia="宋体" w:cs="宋体"/>
                <w:sz w:val="21"/>
                <w:szCs w:val="21"/>
                <w:highlight w:val="none"/>
                <w:lang w:val="en-US" w:eastAsia="zh-CN"/>
              </w:rPr>
              <w:t>电瓶车运营服务</w:t>
            </w:r>
            <w:r>
              <w:rPr>
                <w:rFonts w:hint="eastAsia" w:ascii="宋体" w:hAnsi="宋体" w:eastAsia="宋体" w:cs="宋体"/>
                <w:kern w:val="2"/>
                <w:sz w:val="21"/>
                <w:szCs w:val="21"/>
                <w:highlight w:val="none"/>
                <w:lang w:val="en-US" w:eastAsia="zh-CN" w:bidi="ar-SA"/>
              </w:rPr>
              <w:t>服务方案</w:t>
            </w:r>
            <w:r>
              <w:rPr>
                <w:rFonts w:hint="eastAsia" w:ascii="宋体" w:hAnsi="宋体" w:eastAsia="宋体" w:cs="宋体"/>
                <w:snapToGrid w:val="0"/>
                <w:color w:val="000000"/>
                <w:kern w:val="0"/>
                <w:sz w:val="21"/>
                <w:szCs w:val="21"/>
                <w:highlight w:val="none"/>
                <w:lang w:val="en-US" w:eastAsia="zh-CN" w:bidi="ar-SA"/>
              </w:rPr>
              <w:t>进行评审，</w:t>
            </w:r>
            <w:r>
              <w:rPr>
                <w:rFonts w:hint="eastAsia" w:ascii="宋体" w:hAnsi="宋体" w:eastAsia="宋体" w:cs="宋体"/>
                <w:kern w:val="2"/>
                <w:sz w:val="21"/>
                <w:szCs w:val="21"/>
                <w:highlight w:val="none"/>
                <w:lang w:val="en-US" w:eastAsia="zh-CN" w:bidi="ar-SA"/>
              </w:rPr>
              <w:t>①</w:t>
            </w:r>
            <w:r>
              <w:rPr>
                <w:rFonts w:hint="eastAsia" w:ascii="宋体" w:hAnsi="宋体" w:eastAsia="宋体" w:cs="宋体"/>
                <w:color w:val="auto"/>
                <w:kern w:val="2"/>
                <w:sz w:val="21"/>
                <w:szCs w:val="21"/>
                <w:highlight w:val="none"/>
                <w:lang w:val="en-US" w:eastAsia="zh-CN" w:bidi="ar-SA"/>
              </w:rPr>
              <w:t>电瓶车保障；</w:t>
            </w:r>
            <w:r>
              <w:rPr>
                <w:rFonts w:hint="eastAsia" w:ascii="宋体" w:hAnsi="宋体" w:eastAsia="宋体" w:cs="宋体"/>
                <w:kern w:val="2"/>
                <w:sz w:val="21"/>
                <w:szCs w:val="21"/>
                <w:highlight w:val="none"/>
                <w:lang w:val="en-US" w:eastAsia="zh-CN" w:bidi="ar-SA"/>
              </w:rPr>
              <w:t>②电瓶车运营及管理</w:t>
            </w:r>
            <w:r>
              <w:rPr>
                <w:rFonts w:hint="eastAsia" w:ascii="宋体" w:hAnsi="宋体" w:eastAsia="宋体" w:cs="宋体"/>
                <w:color w:val="auto"/>
                <w:kern w:val="2"/>
                <w:sz w:val="21"/>
                <w:szCs w:val="21"/>
                <w:highlight w:val="none"/>
                <w:lang w:val="en-US" w:eastAsia="zh-CN" w:bidi="ar-SA"/>
              </w:rPr>
              <w:t>等内容。</w:t>
            </w:r>
          </w:p>
          <w:p w14:paraId="715B2438">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评标委员会根据投标人提供的以上</w:t>
            </w:r>
            <w:r>
              <w:rPr>
                <w:rFonts w:hint="eastAsia" w:ascii="宋体" w:hAnsi="宋体" w:eastAsia="宋体" w:cs="宋体"/>
                <w:snapToGrid w:val="0"/>
                <w:color w:val="000000"/>
                <w:kern w:val="0"/>
                <w:sz w:val="21"/>
                <w:szCs w:val="21"/>
                <w:highlight w:val="none"/>
                <w:lang w:val="en-US" w:eastAsia="zh-CN"/>
              </w:rPr>
              <w:t>2</w:t>
            </w:r>
            <w:r>
              <w:rPr>
                <w:rFonts w:hint="eastAsia" w:ascii="宋体" w:hAnsi="宋体" w:eastAsia="宋体" w:cs="宋体"/>
                <w:snapToGrid w:val="0"/>
                <w:color w:val="000000"/>
                <w:kern w:val="0"/>
                <w:sz w:val="21"/>
                <w:szCs w:val="21"/>
                <w:highlight w:val="none"/>
              </w:rPr>
              <w:t>个方面内容进行综合评审，完全满足以上</w:t>
            </w:r>
            <w:r>
              <w:rPr>
                <w:rFonts w:hint="eastAsia" w:ascii="宋体" w:hAnsi="宋体" w:eastAsia="宋体" w:cs="宋体"/>
                <w:snapToGrid w:val="0"/>
                <w:color w:val="000000"/>
                <w:kern w:val="0"/>
                <w:sz w:val="21"/>
                <w:szCs w:val="21"/>
                <w:highlight w:val="none"/>
                <w:lang w:val="en-US" w:eastAsia="zh-CN"/>
              </w:rPr>
              <w:t>2</w:t>
            </w:r>
            <w:r>
              <w:rPr>
                <w:rFonts w:hint="eastAsia" w:ascii="宋体" w:hAnsi="宋体" w:eastAsia="宋体" w:cs="宋体"/>
                <w:snapToGrid w:val="0"/>
                <w:color w:val="000000"/>
                <w:kern w:val="0"/>
                <w:sz w:val="21"/>
                <w:szCs w:val="21"/>
                <w:highlight w:val="none"/>
              </w:rPr>
              <w:t>个方面内容得</w:t>
            </w:r>
            <w:r>
              <w:rPr>
                <w:rFonts w:hint="eastAsia" w:ascii="宋体" w:hAnsi="宋体" w:eastAsia="宋体" w:cs="宋体"/>
                <w:snapToGrid w:val="0"/>
                <w:color w:val="000000"/>
                <w:kern w:val="0"/>
                <w:sz w:val="21"/>
                <w:szCs w:val="21"/>
                <w:highlight w:val="none"/>
                <w:lang w:val="en-US" w:eastAsia="zh-CN"/>
              </w:rPr>
              <w:t>2</w:t>
            </w:r>
            <w:r>
              <w:rPr>
                <w:rFonts w:hint="eastAsia" w:ascii="宋体" w:hAnsi="宋体" w:eastAsia="宋体" w:cs="宋体"/>
                <w:snapToGrid w:val="0"/>
                <w:color w:val="000000"/>
                <w:kern w:val="0"/>
                <w:sz w:val="21"/>
                <w:szCs w:val="21"/>
                <w:highlight w:val="none"/>
              </w:rPr>
              <w:t>分，每缺少一个方面内容扣</w:t>
            </w:r>
            <w:r>
              <w:rPr>
                <w:rFonts w:hint="eastAsia" w:ascii="宋体" w:hAnsi="宋体" w:eastAsia="宋体" w:cs="宋体"/>
                <w:snapToGrid w:val="0"/>
                <w:color w:val="000000"/>
                <w:kern w:val="0"/>
                <w:sz w:val="21"/>
                <w:szCs w:val="21"/>
                <w:highlight w:val="none"/>
                <w:lang w:val="en-US" w:eastAsia="zh-CN"/>
              </w:rPr>
              <w:t>1</w:t>
            </w:r>
            <w:r>
              <w:rPr>
                <w:rFonts w:hint="eastAsia" w:ascii="宋体" w:hAnsi="宋体" w:eastAsia="宋体" w:cs="宋体"/>
                <w:snapToGrid w:val="0"/>
                <w:color w:val="000000"/>
                <w:kern w:val="0"/>
                <w:sz w:val="21"/>
                <w:szCs w:val="21"/>
                <w:highlight w:val="none"/>
              </w:rPr>
              <w:t>分，每个方面有内容存在不足的扣</w:t>
            </w:r>
            <w:r>
              <w:rPr>
                <w:rFonts w:hint="eastAsia" w:ascii="宋体" w:hAnsi="宋体" w:eastAsia="宋体" w:cs="宋体"/>
                <w:snapToGrid w:val="0"/>
                <w:color w:val="000000"/>
                <w:kern w:val="0"/>
                <w:sz w:val="21"/>
                <w:szCs w:val="21"/>
                <w:highlight w:val="none"/>
                <w:lang w:val="en-US" w:eastAsia="zh-CN"/>
              </w:rPr>
              <w:t>0.5</w:t>
            </w:r>
            <w:r>
              <w:rPr>
                <w:rFonts w:hint="eastAsia" w:ascii="宋体" w:hAnsi="宋体" w:eastAsia="宋体" w:cs="宋体"/>
                <w:snapToGrid w:val="0"/>
                <w:color w:val="000000"/>
                <w:kern w:val="0"/>
                <w:sz w:val="21"/>
                <w:szCs w:val="21"/>
                <w:highlight w:val="none"/>
              </w:rPr>
              <w:t>分。</w:t>
            </w:r>
          </w:p>
          <w:p w14:paraId="60D7B851">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注：完全满足是指：1.投标人针对本项目提出的</w:t>
            </w:r>
            <w:r>
              <w:rPr>
                <w:rFonts w:hint="eastAsia" w:ascii="宋体" w:hAnsi="宋体" w:eastAsia="宋体" w:cs="宋体"/>
                <w:snapToGrid w:val="0"/>
                <w:color w:val="000000"/>
                <w:kern w:val="0"/>
                <w:sz w:val="21"/>
                <w:szCs w:val="21"/>
                <w:highlight w:val="none"/>
                <w:lang w:val="en-US" w:eastAsia="zh-CN"/>
              </w:rPr>
              <w:t>餐饮</w:t>
            </w:r>
            <w:r>
              <w:rPr>
                <w:rFonts w:hint="eastAsia" w:ascii="宋体" w:hAnsi="宋体" w:eastAsia="宋体" w:cs="宋体"/>
                <w:snapToGrid w:val="0"/>
                <w:color w:val="000000"/>
                <w:kern w:val="0"/>
                <w:sz w:val="21"/>
                <w:szCs w:val="21"/>
                <w:highlight w:val="none"/>
              </w:rPr>
              <w:t>服务方案内容全面、完整详细，对涉及的相关工作安排均有详细说明；</w:t>
            </w:r>
          </w:p>
          <w:p w14:paraId="7C1FF166">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2.思路及条理清晰，科学、合理；</w:t>
            </w:r>
          </w:p>
          <w:p w14:paraId="7C77D021">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3.具有针对性及可行性；</w:t>
            </w:r>
          </w:p>
          <w:p w14:paraId="3A698BAB">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4.贴合项目实际，能满足采购人实际需求；</w:t>
            </w:r>
          </w:p>
          <w:p w14:paraId="4E2B82A0">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5.有明确具体的服务措施。</w:t>
            </w:r>
          </w:p>
          <w:p w14:paraId="01394047">
            <w:pPr>
              <w:snapToGrid w:val="0"/>
              <w:ind w:left="0" w:leftChars="0" w:right="0" w:rightChars="0" w:firstLine="0" w:firstLineChars="0"/>
              <w:jc w:val="left"/>
              <w:rPr>
                <w:rFonts w:hint="eastAsia" w:ascii="宋体" w:hAnsi="宋体" w:eastAsia="宋体" w:cs="宋体"/>
                <w:color w:val="auto"/>
                <w:szCs w:val="21"/>
                <w:highlight w:val="none"/>
                <w:lang w:val="en-US" w:eastAsia="zh-CN"/>
              </w:rPr>
            </w:pPr>
            <w:r>
              <w:rPr>
                <w:rFonts w:hint="eastAsia" w:ascii="宋体" w:hAnsi="宋体" w:eastAsia="宋体" w:cs="宋体"/>
                <w:snapToGrid w:val="0"/>
                <w:color w:val="000000"/>
                <w:kern w:val="0"/>
                <w:sz w:val="21"/>
                <w:szCs w:val="21"/>
                <w:highlight w:val="none"/>
              </w:rPr>
              <w:t>不足是指：以上5</w:t>
            </w:r>
            <w:r>
              <w:rPr>
                <w:rFonts w:hint="eastAsia" w:ascii="宋体" w:hAnsi="宋体" w:eastAsia="宋体" w:cs="宋体"/>
                <w:snapToGrid w:val="0"/>
                <w:color w:val="000000"/>
                <w:kern w:val="0"/>
                <w:sz w:val="21"/>
                <w:szCs w:val="21"/>
                <w:highlight w:val="none"/>
                <w:lang w:val="en-US" w:eastAsia="zh-CN"/>
              </w:rPr>
              <w:t>个</w:t>
            </w:r>
            <w:r>
              <w:rPr>
                <w:rFonts w:hint="eastAsia" w:ascii="宋体" w:hAnsi="宋体" w:eastAsia="宋体" w:cs="宋体"/>
                <w:snapToGrid w:val="0"/>
                <w:color w:val="000000"/>
                <w:kern w:val="0"/>
                <w:sz w:val="21"/>
                <w:szCs w:val="21"/>
                <w:highlight w:val="none"/>
              </w:rPr>
              <w:t>方面任意1方面有缺陷或瑕疵</w:t>
            </w:r>
          </w:p>
        </w:tc>
      </w:tr>
      <w:tr w14:paraId="4E92786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48" w:hRule="atLeast"/>
          <w:jc w:val="center"/>
        </w:trPr>
        <w:tc>
          <w:tcPr>
            <w:tcW w:w="817" w:type="dxa"/>
            <w:vMerge w:val="continue"/>
            <w:tcBorders>
              <w:left w:val="single" w:color="auto" w:sz="4" w:space="0"/>
              <w:right w:val="single" w:color="auto" w:sz="4" w:space="0"/>
            </w:tcBorders>
            <w:vAlign w:val="center"/>
          </w:tcPr>
          <w:p w14:paraId="4DB931D3">
            <w:pPr>
              <w:jc w:val="center"/>
              <w:rPr>
                <w:rFonts w:hint="eastAsia" w:ascii="宋体" w:hAnsi="宋体" w:eastAsia="宋体" w:cs="宋体"/>
                <w:color w:val="auto"/>
                <w:szCs w:val="21"/>
                <w:highlight w:val="none"/>
                <w:lang w:val="en-US" w:eastAsia="zh-CN"/>
              </w:rPr>
            </w:pPr>
          </w:p>
        </w:tc>
        <w:tc>
          <w:tcPr>
            <w:tcW w:w="817" w:type="dxa"/>
            <w:vMerge w:val="continue"/>
            <w:tcBorders>
              <w:left w:val="single" w:color="auto" w:sz="4" w:space="0"/>
            </w:tcBorders>
            <w:vAlign w:val="center"/>
          </w:tcPr>
          <w:p w14:paraId="0ABB479A">
            <w:pPr>
              <w:jc w:val="center"/>
              <w:rPr>
                <w:rFonts w:hint="eastAsia" w:ascii="宋体" w:hAnsi="宋体" w:eastAsia="宋体" w:cs="宋体"/>
                <w:color w:val="auto"/>
                <w:szCs w:val="21"/>
                <w:highlight w:val="none"/>
                <w:lang w:val="en-US" w:eastAsia="zh-CN"/>
              </w:rPr>
            </w:pPr>
          </w:p>
        </w:tc>
        <w:tc>
          <w:tcPr>
            <w:tcW w:w="1435" w:type="dxa"/>
            <w:vAlign w:val="center"/>
          </w:tcPr>
          <w:p w14:paraId="1D41D1C1">
            <w:pPr>
              <w:snapToGrid w:val="0"/>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风险防控及</w:t>
            </w:r>
          </w:p>
          <w:p w14:paraId="3969E3E3">
            <w:pPr>
              <w:snapToGrid w:val="0"/>
              <w:ind w:left="0" w:leftChars="0" w:right="0" w:righ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应急处置措施</w:t>
            </w:r>
          </w:p>
          <w:p w14:paraId="0DBDA03A">
            <w:pPr>
              <w:snapToGrid w:val="0"/>
              <w:ind w:left="0" w:leftChars="0" w:right="0" w:rightChars="0" w:firstLine="0" w:firstLineChars="0"/>
              <w:jc w:val="left"/>
              <w:rPr>
                <w:rFonts w:hint="eastAsia" w:ascii="宋体" w:hAnsi="宋体" w:eastAsia="宋体" w:cs="宋体"/>
                <w:color w:val="auto"/>
                <w:szCs w:val="21"/>
                <w:highlight w:val="none"/>
                <w:lang w:val="en-US" w:eastAsia="zh-CN"/>
              </w:rPr>
            </w:pPr>
            <w:r>
              <w:rPr>
                <w:rFonts w:hint="eastAsia" w:ascii="宋体" w:hAnsi="宋体" w:eastAsia="宋体" w:cs="宋体"/>
                <w:sz w:val="21"/>
                <w:szCs w:val="21"/>
                <w:highlight w:val="none"/>
              </w:rPr>
              <w:t>（满分</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分）</w:t>
            </w:r>
          </w:p>
        </w:tc>
        <w:tc>
          <w:tcPr>
            <w:tcW w:w="6227" w:type="dxa"/>
            <w:vAlign w:val="center"/>
          </w:tcPr>
          <w:p w14:paraId="282317B3">
            <w:pPr>
              <w:snapToGrid w:val="0"/>
              <w:ind w:left="0" w:leftChars="0" w:right="0" w:rightChars="0" w:firstLine="0" w:firstLineChars="0"/>
              <w:jc w:val="left"/>
              <w:rPr>
                <w:rFonts w:hint="eastAsia" w:ascii="宋体" w:hAnsi="宋体" w:eastAsia="宋体" w:cs="宋体"/>
                <w:spacing w:val="-4"/>
                <w:sz w:val="21"/>
                <w:szCs w:val="21"/>
                <w:highlight w:val="none"/>
                <w:lang w:eastAsia="zh-CN"/>
              </w:rPr>
            </w:pPr>
            <w:r>
              <w:rPr>
                <w:rFonts w:hint="eastAsia" w:ascii="宋体" w:hAnsi="宋体" w:eastAsia="宋体" w:cs="宋体"/>
                <w:spacing w:val="-4"/>
                <w:sz w:val="21"/>
                <w:szCs w:val="21"/>
                <w:highlight w:val="none"/>
              </w:rPr>
              <w:t>投标人结合项目实际情况，</w:t>
            </w:r>
            <w:r>
              <w:rPr>
                <w:rFonts w:hint="eastAsia" w:ascii="宋体" w:hAnsi="宋体" w:eastAsia="宋体" w:cs="宋体"/>
                <w:spacing w:val="-4"/>
                <w:sz w:val="21"/>
                <w:szCs w:val="21"/>
                <w:highlight w:val="none"/>
                <w:lang w:val="en-US" w:eastAsia="zh-CN"/>
              </w:rPr>
              <w:t>至少包括：</w:t>
            </w:r>
            <w:r>
              <w:rPr>
                <w:rFonts w:hint="eastAsia" w:ascii="宋体" w:hAnsi="宋体" w:eastAsia="宋体" w:cs="宋体"/>
                <w:snapToGrid w:val="0"/>
                <w:color w:val="000000"/>
                <w:kern w:val="0"/>
                <w:sz w:val="21"/>
                <w:szCs w:val="21"/>
                <w:highlight w:val="none"/>
                <w:lang w:val="en-US" w:eastAsia="zh-CN"/>
              </w:rPr>
              <w:t>①</w:t>
            </w:r>
            <w:r>
              <w:rPr>
                <w:rFonts w:hint="eastAsia" w:ascii="宋体" w:hAnsi="宋体" w:eastAsia="宋体" w:cs="宋体"/>
                <w:spacing w:val="-4"/>
                <w:sz w:val="21"/>
                <w:szCs w:val="21"/>
                <w:highlight w:val="none"/>
              </w:rPr>
              <w:t>本项目的安全隐患，</w:t>
            </w:r>
            <w:r>
              <w:rPr>
                <w:rFonts w:hint="eastAsia" w:ascii="宋体" w:hAnsi="宋体" w:eastAsia="宋体" w:cs="宋体"/>
                <w:snapToGrid w:val="0"/>
                <w:color w:val="000000"/>
                <w:kern w:val="0"/>
                <w:sz w:val="21"/>
                <w:szCs w:val="21"/>
                <w:highlight w:val="none"/>
                <w:lang w:val="en-US" w:eastAsia="zh-CN"/>
              </w:rPr>
              <w:t>②</w:t>
            </w:r>
            <w:r>
              <w:rPr>
                <w:rFonts w:hint="eastAsia" w:ascii="宋体" w:hAnsi="宋体" w:eastAsia="宋体" w:cs="宋体"/>
                <w:spacing w:val="-4"/>
                <w:sz w:val="21"/>
                <w:szCs w:val="21"/>
                <w:highlight w:val="none"/>
              </w:rPr>
              <w:t>针对安全隐患提出风险防控措施</w:t>
            </w:r>
            <w:r>
              <w:rPr>
                <w:rFonts w:hint="eastAsia" w:ascii="宋体" w:hAnsi="宋体" w:eastAsia="宋体" w:cs="宋体"/>
                <w:spacing w:val="-4"/>
                <w:sz w:val="21"/>
                <w:szCs w:val="21"/>
                <w:highlight w:val="none"/>
                <w:lang w:eastAsia="zh-CN"/>
              </w:rPr>
              <w:t>，</w:t>
            </w:r>
            <w:r>
              <w:rPr>
                <w:rFonts w:hint="eastAsia" w:ascii="宋体" w:hAnsi="宋体" w:eastAsia="宋体" w:cs="宋体"/>
                <w:snapToGrid w:val="0"/>
                <w:color w:val="000000"/>
                <w:kern w:val="0"/>
                <w:sz w:val="21"/>
                <w:szCs w:val="21"/>
                <w:highlight w:val="none"/>
                <w:lang w:val="en-US" w:eastAsia="zh-CN"/>
              </w:rPr>
              <w:t>③</w:t>
            </w:r>
            <w:r>
              <w:rPr>
                <w:rFonts w:hint="eastAsia" w:ascii="宋体" w:hAnsi="宋体" w:eastAsia="宋体" w:cs="宋体"/>
                <w:spacing w:val="-4"/>
                <w:sz w:val="21"/>
                <w:szCs w:val="21"/>
                <w:highlight w:val="none"/>
              </w:rPr>
              <w:t>应急处置措施及处罚措施</w:t>
            </w:r>
            <w:r>
              <w:rPr>
                <w:rFonts w:hint="eastAsia" w:ascii="宋体" w:hAnsi="宋体" w:eastAsia="宋体" w:cs="宋体"/>
                <w:spacing w:val="-4"/>
                <w:sz w:val="21"/>
                <w:szCs w:val="21"/>
                <w:highlight w:val="none"/>
                <w:lang w:eastAsia="zh-CN"/>
              </w:rPr>
              <w:t>。</w:t>
            </w:r>
            <w:r>
              <w:rPr>
                <w:rFonts w:hint="eastAsia" w:ascii="宋体" w:hAnsi="宋体" w:eastAsia="宋体" w:cs="宋体"/>
                <w:color w:val="000000"/>
                <w:sz w:val="21"/>
                <w:szCs w:val="21"/>
                <w:highlight w:val="none"/>
              </w:rPr>
              <w:t>④重要活动</w:t>
            </w:r>
            <w:r>
              <w:rPr>
                <w:rFonts w:hint="eastAsia" w:ascii="宋体" w:hAnsi="宋体" w:eastAsia="宋体" w:cs="宋体"/>
                <w:color w:val="000000"/>
                <w:sz w:val="21"/>
                <w:szCs w:val="21"/>
                <w:highlight w:val="none"/>
                <w:lang w:eastAsia="zh-CN"/>
              </w:rPr>
              <w:t>物业</w:t>
            </w:r>
            <w:r>
              <w:rPr>
                <w:rFonts w:hint="eastAsia" w:ascii="宋体" w:hAnsi="宋体" w:eastAsia="宋体" w:cs="宋体"/>
                <w:color w:val="000000"/>
                <w:sz w:val="21"/>
                <w:szCs w:val="21"/>
                <w:highlight w:val="none"/>
              </w:rPr>
              <w:t>保障应急预案，⑤重大故障应急预案，⑥专项应急措施</w:t>
            </w:r>
            <w:r>
              <w:rPr>
                <w:rFonts w:hint="eastAsia" w:ascii="宋体" w:hAnsi="宋体" w:eastAsia="宋体" w:cs="宋体"/>
                <w:color w:val="000000"/>
                <w:sz w:val="21"/>
                <w:szCs w:val="21"/>
                <w:highlight w:val="none"/>
                <w:lang w:eastAsia="zh-CN"/>
              </w:rPr>
              <w:t>等内容</w:t>
            </w:r>
          </w:p>
          <w:p w14:paraId="62F78D21">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评标委员会根据投标人提供的以上</w:t>
            </w:r>
            <w:r>
              <w:rPr>
                <w:rFonts w:hint="eastAsia" w:ascii="宋体" w:hAnsi="宋体" w:eastAsia="宋体" w:cs="宋体"/>
                <w:snapToGrid w:val="0"/>
                <w:color w:val="000000"/>
                <w:kern w:val="0"/>
                <w:sz w:val="21"/>
                <w:szCs w:val="21"/>
                <w:highlight w:val="none"/>
                <w:lang w:val="en-US" w:eastAsia="zh-CN"/>
              </w:rPr>
              <w:t>3</w:t>
            </w:r>
            <w:r>
              <w:rPr>
                <w:rFonts w:hint="eastAsia" w:ascii="宋体" w:hAnsi="宋体" w:eastAsia="宋体" w:cs="宋体"/>
                <w:snapToGrid w:val="0"/>
                <w:color w:val="000000"/>
                <w:kern w:val="0"/>
                <w:sz w:val="21"/>
                <w:szCs w:val="21"/>
                <w:highlight w:val="none"/>
              </w:rPr>
              <w:t>个方面内容进行综合评审，完全满足以上</w:t>
            </w:r>
            <w:r>
              <w:rPr>
                <w:rFonts w:hint="eastAsia" w:ascii="宋体" w:hAnsi="宋体" w:eastAsia="宋体" w:cs="宋体"/>
                <w:snapToGrid w:val="0"/>
                <w:color w:val="000000"/>
                <w:kern w:val="0"/>
                <w:sz w:val="21"/>
                <w:szCs w:val="21"/>
                <w:highlight w:val="none"/>
                <w:lang w:val="en-US" w:eastAsia="zh-CN"/>
              </w:rPr>
              <w:t>3</w:t>
            </w:r>
            <w:r>
              <w:rPr>
                <w:rFonts w:hint="eastAsia" w:ascii="宋体" w:hAnsi="宋体" w:eastAsia="宋体" w:cs="宋体"/>
                <w:snapToGrid w:val="0"/>
                <w:color w:val="000000"/>
                <w:kern w:val="0"/>
                <w:sz w:val="21"/>
                <w:szCs w:val="21"/>
                <w:highlight w:val="none"/>
              </w:rPr>
              <w:t>个方面内容得</w:t>
            </w:r>
            <w:r>
              <w:rPr>
                <w:rFonts w:hint="eastAsia" w:ascii="宋体" w:hAnsi="宋体" w:eastAsia="宋体" w:cs="宋体"/>
                <w:snapToGrid w:val="0"/>
                <w:color w:val="000000"/>
                <w:kern w:val="0"/>
                <w:sz w:val="21"/>
                <w:szCs w:val="21"/>
                <w:highlight w:val="none"/>
                <w:lang w:val="en-US" w:eastAsia="zh-CN"/>
              </w:rPr>
              <w:t>6</w:t>
            </w:r>
            <w:r>
              <w:rPr>
                <w:rFonts w:hint="eastAsia" w:ascii="宋体" w:hAnsi="宋体" w:eastAsia="宋体" w:cs="宋体"/>
                <w:snapToGrid w:val="0"/>
                <w:color w:val="000000"/>
                <w:kern w:val="0"/>
                <w:sz w:val="21"/>
                <w:szCs w:val="21"/>
                <w:highlight w:val="none"/>
              </w:rPr>
              <w:t>分，每缺少一个方面内容扣</w:t>
            </w:r>
            <w:r>
              <w:rPr>
                <w:rFonts w:hint="eastAsia" w:ascii="宋体" w:hAnsi="宋体" w:eastAsia="宋体" w:cs="宋体"/>
                <w:snapToGrid w:val="0"/>
                <w:color w:val="000000"/>
                <w:kern w:val="0"/>
                <w:sz w:val="21"/>
                <w:szCs w:val="21"/>
                <w:highlight w:val="none"/>
                <w:lang w:val="en-US" w:eastAsia="zh-CN"/>
              </w:rPr>
              <w:t>1</w:t>
            </w:r>
            <w:r>
              <w:rPr>
                <w:rFonts w:hint="eastAsia" w:ascii="宋体" w:hAnsi="宋体" w:eastAsia="宋体" w:cs="宋体"/>
                <w:snapToGrid w:val="0"/>
                <w:color w:val="000000"/>
                <w:kern w:val="0"/>
                <w:sz w:val="21"/>
                <w:szCs w:val="21"/>
                <w:highlight w:val="none"/>
              </w:rPr>
              <w:t>分，每个方面有内容存在不足的扣</w:t>
            </w:r>
            <w:r>
              <w:rPr>
                <w:rFonts w:hint="eastAsia" w:ascii="宋体" w:hAnsi="宋体" w:eastAsia="宋体" w:cs="宋体"/>
                <w:snapToGrid w:val="0"/>
                <w:color w:val="000000"/>
                <w:kern w:val="0"/>
                <w:sz w:val="21"/>
                <w:szCs w:val="21"/>
                <w:highlight w:val="none"/>
                <w:lang w:val="en-US" w:eastAsia="zh-CN"/>
              </w:rPr>
              <w:t>0.5</w:t>
            </w:r>
            <w:r>
              <w:rPr>
                <w:rFonts w:hint="eastAsia" w:ascii="宋体" w:hAnsi="宋体" w:eastAsia="宋体" w:cs="宋体"/>
                <w:snapToGrid w:val="0"/>
                <w:color w:val="000000"/>
                <w:kern w:val="0"/>
                <w:sz w:val="21"/>
                <w:szCs w:val="21"/>
                <w:highlight w:val="none"/>
              </w:rPr>
              <w:t>分。</w:t>
            </w:r>
          </w:p>
          <w:p w14:paraId="78A2CFEC">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注：完全满足是指：1.投标人针对本项目提出的</w:t>
            </w:r>
            <w:r>
              <w:rPr>
                <w:rFonts w:hint="eastAsia" w:ascii="宋体" w:hAnsi="宋体" w:eastAsia="宋体" w:cs="宋体"/>
                <w:snapToGrid w:val="0"/>
                <w:color w:val="000000"/>
                <w:kern w:val="0"/>
                <w:sz w:val="21"/>
                <w:szCs w:val="21"/>
                <w:highlight w:val="none"/>
                <w:lang w:val="en-US" w:eastAsia="zh-CN"/>
              </w:rPr>
              <w:t>风险防控及应急处置措施</w:t>
            </w:r>
            <w:r>
              <w:rPr>
                <w:rFonts w:hint="eastAsia" w:ascii="宋体" w:hAnsi="宋体" w:eastAsia="宋体" w:cs="宋体"/>
                <w:snapToGrid w:val="0"/>
                <w:color w:val="000000"/>
                <w:kern w:val="0"/>
                <w:sz w:val="21"/>
                <w:szCs w:val="21"/>
                <w:highlight w:val="none"/>
              </w:rPr>
              <w:t>内容全面、</w:t>
            </w:r>
            <w:r>
              <w:rPr>
                <w:rFonts w:hint="eastAsia" w:ascii="宋体" w:hAnsi="宋体" w:eastAsia="宋体" w:cs="宋体"/>
                <w:snapToGrid w:val="0"/>
                <w:color w:val="000000"/>
                <w:kern w:val="0"/>
                <w:sz w:val="21"/>
                <w:szCs w:val="21"/>
                <w:highlight w:val="none"/>
                <w:lang w:val="en-US" w:eastAsia="zh-CN"/>
              </w:rPr>
              <w:t>考虑周全</w:t>
            </w:r>
            <w:r>
              <w:rPr>
                <w:rFonts w:hint="eastAsia" w:ascii="宋体" w:hAnsi="宋体" w:eastAsia="宋体" w:cs="宋体"/>
                <w:snapToGrid w:val="0"/>
                <w:color w:val="000000"/>
                <w:kern w:val="0"/>
                <w:sz w:val="21"/>
                <w:szCs w:val="21"/>
                <w:highlight w:val="none"/>
              </w:rPr>
              <w:t>；</w:t>
            </w:r>
          </w:p>
          <w:p w14:paraId="23A09268">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2.思路及条理清晰，科学、合理；</w:t>
            </w:r>
          </w:p>
          <w:p w14:paraId="14118958">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3.具有针对性及可行性；</w:t>
            </w:r>
          </w:p>
          <w:p w14:paraId="79DFE7A8">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4.贴合项目实际，能满足采购人实际需求；</w:t>
            </w:r>
          </w:p>
          <w:p w14:paraId="298CFFCA">
            <w:pPr>
              <w:snapToGrid w:val="0"/>
              <w:ind w:left="0" w:leftChars="0" w:right="0" w:rightChars="0" w:firstLine="0" w:firstLineChars="0"/>
              <w:jc w:val="left"/>
              <w:rPr>
                <w:rFonts w:hint="eastAsia" w:ascii="宋体" w:hAnsi="宋体" w:eastAsia="宋体" w:cs="宋体"/>
                <w:snapToGrid w:val="0"/>
                <w:color w:val="000000"/>
                <w:kern w:val="0"/>
                <w:sz w:val="21"/>
                <w:szCs w:val="21"/>
                <w:highlight w:val="none"/>
              </w:rPr>
            </w:pPr>
            <w:r>
              <w:rPr>
                <w:rFonts w:hint="eastAsia" w:ascii="宋体" w:hAnsi="宋体" w:eastAsia="宋体" w:cs="宋体"/>
                <w:snapToGrid w:val="0"/>
                <w:color w:val="000000"/>
                <w:kern w:val="0"/>
                <w:sz w:val="21"/>
                <w:szCs w:val="21"/>
                <w:highlight w:val="none"/>
              </w:rPr>
              <w:t>5.有明确具体的</w:t>
            </w:r>
            <w:r>
              <w:rPr>
                <w:rFonts w:hint="eastAsia" w:ascii="宋体" w:hAnsi="宋体" w:eastAsia="宋体" w:cs="宋体"/>
                <w:snapToGrid w:val="0"/>
                <w:color w:val="000000"/>
                <w:kern w:val="0"/>
                <w:sz w:val="21"/>
                <w:szCs w:val="21"/>
                <w:highlight w:val="none"/>
                <w:lang w:val="en-US" w:eastAsia="zh-CN"/>
              </w:rPr>
              <w:t>处罚</w:t>
            </w:r>
            <w:r>
              <w:rPr>
                <w:rFonts w:hint="eastAsia" w:ascii="宋体" w:hAnsi="宋体" w:eastAsia="宋体" w:cs="宋体"/>
                <w:snapToGrid w:val="0"/>
                <w:color w:val="000000"/>
                <w:kern w:val="0"/>
                <w:sz w:val="21"/>
                <w:szCs w:val="21"/>
                <w:highlight w:val="none"/>
              </w:rPr>
              <w:t>措施。</w:t>
            </w:r>
          </w:p>
          <w:p w14:paraId="6119FAAF">
            <w:pPr>
              <w:snapToGrid w:val="0"/>
              <w:ind w:left="0" w:leftChars="0" w:right="0" w:rightChars="0" w:firstLine="0" w:firstLineChars="0"/>
              <w:jc w:val="left"/>
              <w:rPr>
                <w:rFonts w:hint="eastAsia" w:ascii="宋体" w:hAnsi="宋体" w:eastAsia="宋体" w:cs="宋体"/>
                <w:color w:val="auto"/>
                <w:szCs w:val="21"/>
                <w:highlight w:val="none"/>
                <w:lang w:val="en-US" w:eastAsia="zh-CN"/>
              </w:rPr>
            </w:pPr>
            <w:r>
              <w:rPr>
                <w:rFonts w:hint="eastAsia" w:ascii="宋体" w:hAnsi="宋体" w:eastAsia="宋体" w:cs="宋体"/>
                <w:snapToGrid w:val="0"/>
                <w:color w:val="000000"/>
                <w:kern w:val="0"/>
                <w:sz w:val="21"/>
                <w:szCs w:val="21"/>
                <w:highlight w:val="none"/>
              </w:rPr>
              <w:t>不足是指：以上5</w:t>
            </w:r>
            <w:r>
              <w:rPr>
                <w:rFonts w:hint="eastAsia" w:ascii="宋体" w:hAnsi="宋体" w:eastAsia="宋体" w:cs="宋体"/>
                <w:snapToGrid w:val="0"/>
                <w:color w:val="000000"/>
                <w:kern w:val="0"/>
                <w:sz w:val="21"/>
                <w:szCs w:val="21"/>
                <w:highlight w:val="none"/>
                <w:lang w:val="en-US" w:eastAsia="zh-CN"/>
              </w:rPr>
              <w:t>个</w:t>
            </w:r>
            <w:r>
              <w:rPr>
                <w:rFonts w:hint="eastAsia" w:ascii="宋体" w:hAnsi="宋体" w:eastAsia="宋体" w:cs="宋体"/>
                <w:snapToGrid w:val="0"/>
                <w:color w:val="000000"/>
                <w:kern w:val="0"/>
                <w:sz w:val="21"/>
                <w:szCs w:val="21"/>
                <w:highlight w:val="none"/>
              </w:rPr>
              <w:t>方面任意1方面有缺陷或瑕疵。</w:t>
            </w:r>
          </w:p>
        </w:tc>
      </w:tr>
      <w:tr w14:paraId="46E40B2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648" w:hRule="atLeast"/>
          <w:jc w:val="center"/>
        </w:trPr>
        <w:tc>
          <w:tcPr>
            <w:tcW w:w="817" w:type="dxa"/>
            <w:vMerge w:val="continue"/>
            <w:tcBorders>
              <w:left w:val="single" w:color="auto" w:sz="4" w:space="0"/>
              <w:right w:val="single" w:color="auto" w:sz="4" w:space="0"/>
            </w:tcBorders>
            <w:vAlign w:val="center"/>
          </w:tcPr>
          <w:p w14:paraId="0FE8D82C">
            <w:pPr>
              <w:jc w:val="center"/>
            </w:pPr>
          </w:p>
        </w:tc>
        <w:tc>
          <w:tcPr>
            <w:tcW w:w="817" w:type="dxa"/>
            <w:vMerge w:val="continue"/>
            <w:tcBorders>
              <w:left w:val="single" w:color="auto" w:sz="4" w:space="0"/>
            </w:tcBorders>
            <w:vAlign w:val="center"/>
          </w:tcPr>
          <w:p w14:paraId="4225C886">
            <w:pPr>
              <w:jc w:val="center"/>
            </w:pPr>
          </w:p>
        </w:tc>
        <w:tc>
          <w:tcPr>
            <w:tcW w:w="1435" w:type="dxa"/>
            <w:vAlign w:val="center"/>
          </w:tcPr>
          <w:p w14:paraId="5FE0BBC9">
            <w:pPr>
              <w:snapToGrid w:val="0"/>
              <w:ind w:left="0" w:leftChars="0" w:right="0" w:rightChars="0" w:firstLine="0" w:firstLineChars="0"/>
              <w:jc w:val="left"/>
              <w:rPr>
                <w:rFonts w:hint="eastAsia" w:ascii="宋体" w:hAnsi="宋体" w:eastAsia="宋体" w:cs="宋体"/>
                <w:color w:val="auto"/>
                <w:szCs w:val="21"/>
                <w:highlight w:val="none"/>
                <w:lang w:val="en-US" w:eastAsia="zh-CN"/>
              </w:rPr>
            </w:pPr>
            <w:r>
              <w:rPr>
                <w:rFonts w:hint="eastAsia" w:ascii="宋体" w:hAnsi="宋体" w:eastAsia="宋体"/>
                <w:color w:val="000000"/>
                <w:sz w:val="21"/>
                <w:szCs w:val="21"/>
              </w:rPr>
              <w:t>服务质量承诺及保证措施（满分4分）</w:t>
            </w:r>
          </w:p>
        </w:tc>
        <w:tc>
          <w:tcPr>
            <w:tcW w:w="6227" w:type="dxa"/>
            <w:vAlign w:val="center"/>
          </w:tcPr>
          <w:p w14:paraId="2924D2E0">
            <w:pPr>
              <w:snapToGrid w:val="0"/>
              <w:ind w:left="0" w:leftChars="0" w:right="0" w:rightChars="0" w:firstLine="0" w:firstLineChars="0"/>
              <w:jc w:val="left"/>
              <w:rPr>
                <w:rFonts w:hint="eastAsia" w:ascii="宋体" w:hAnsi="宋体" w:eastAsia="宋体" w:cs="宋体"/>
                <w:color w:val="auto"/>
                <w:szCs w:val="21"/>
                <w:highlight w:val="none"/>
                <w:lang w:val="en-US" w:eastAsia="zh-CN"/>
              </w:rPr>
            </w:pPr>
            <w:r>
              <w:rPr>
                <w:rFonts w:hint="eastAsia" w:ascii="宋体" w:hAnsi="宋体"/>
                <w:b/>
                <w:color w:val="000000"/>
                <w:sz w:val="21"/>
                <w:szCs w:val="21"/>
                <w:lang w:val="en-US" w:eastAsia="zh-CN"/>
              </w:rPr>
              <w:t>服</w:t>
            </w:r>
            <w:r>
              <w:rPr>
                <w:rFonts w:hint="eastAsia" w:ascii="宋体" w:hAnsi="宋体" w:eastAsia="宋体"/>
                <w:b/>
                <w:color w:val="000000"/>
                <w:sz w:val="21"/>
                <w:szCs w:val="21"/>
              </w:rPr>
              <w:t>务质量承诺及保证措施（满分4分）</w:t>
            </w:r>
            <w:r>
              <w:rPr>
                <w:rFonts w:hint="eastAsia"/>
              </w:rPr>
              <w:t>包括：1、</w:t>
            </w:r>
            <w:r>
              <w:rPr>
                <w:rFonts w:hint="eastAsia"/>
                <w:lang w:eastAsia="zh-CN"/>
              </w:rPr>
              <w:t>服务质量</w:t>
            </w:r>
            <w:r>
              <w:rPr>
                <w:rFonts w:hint="eastAsia"/>
              </w:rPr>
              <w:t>承诺；2、</w:t>
            </w:r>
            <w:r>
              <w:rPr>
                <w:rFonts w:hint="eastAsia"/>
                <w:lang w:eastAsia="zh-CN"/>
              </w:rPr>
              <w:t>服务保障措施</w:t>
            </w:r>
            <w:r>
              <w:rPr>
                <w:rFonts w:hint="eastAsia"/>
              </w:rPr>
              <w:t>。以上2个方面，经评定相关方案内容详尽、明确、清晰，阐述细致、透彻、条理清楚、思路清晰，对项目实际情况和关键难点把握充分，方案合理有效、有针对性、可行性和可操作性，没有不足的得2分，每缺少一个方面或某一方面内容不满足采购需求的扣1分，每个方面有内容存在不足的扣0.5分。</w:t>
            </w:r>
          </w:p>
        </w:tc>
      </w:tr>
      <w:tr w14:paraId="3536A2F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817" w:type="dxa"/>
            <w:vMerge w:val="continue"/>
            <w:tcBorders>
              <w:left w:val="single" w:color="auto" w:sz="4" w:space="0"/>
              <w:right w:val="single" w:color="auto" w:sz="4" w:space="0"/>
            </w:tcBorders>
            <w:vAlign w:val="center"/>
          </w:tcPr>
          <w:p w14:paraId="6A1666CC">
            <w:pPr>
              <w:rPr>
                <w:rFonts w:hint="eastAsia" w:ascii="宋体" w:hAnsi="宋体" w:eastAsia="宋体" w:cs="宋体"/>
                <w:b w:val="0"/>
                <w:bCs w:val="0"/>
                <w:color w:val="auto"/>
                <w:szCs w:val="21"/>
                <w:highlight w:val="none"/>
              </w:rPr>
            </w:pPr>
          </w:p>
        </w:tc>
        <w:tc>
          <w:tcPr>
            <w:tcW w:w="817" w:type="dxa"/>
            <w:vMerge w:val="continue"/>
            <w:tcBorders>
              <w:left w:val="single" w:color="auto" w:sz="4" w:space="0"/>
            </w:tcBorders>
            <w:vAlign w:val="center"/>
          </w:tcPr>
          <w:p w14:paraId="2FA5D774">
            <w:pPr>
              <w:rPr>
                <w:rFonts w:hint="eastAsia" w:ascii="宋体" w:hAnsi="宋体" w:eastAsia="宋体" w:cs="宋体"/>
                <w:b w:val="0"/>
                <w:bCs w:val="0"/>
                <w:color w:val="auto"/>
                <w:szCs w:val="21"/>
                <w:highlight w:val="none"/>
              </w:rPr>
            </w:pPr>
          </w:p>
        </w:tc>
        <w:tc>
          <w:tcPr>
            <w:tcW w:w="7662" w:type="dxa"/>
            <w:gridSpan w:val="2"/>
            <w:tcBorders>
              <w:top w:val="single" w:color="auto" w:sz="4" w:space="0"/>
            </w:tcBorders>
            <w:vAlign w:val="center"/>
          </w:tcPr>
          <w:p w14:paraId="7550B725">
            <w:pPr>
              <w:jc w:val="left"/>
              <w:rPr>
                <w:rFonts w:hint="eastAsia" w:ascii="宋体" w:hAnsi="宋体" w:eastAsia="宋体" w:cs="宋体"/>
                <w:b w:val="0"/>
                <w:bCs w:val="0"/>
                <w:color w:val="auto"/>
                <w:szCs w:val="21"/>
                <w:highlight w:val="none"/>
              </w:rPr>
            </w:pPr>
            <w:r>
              <w:rPr>
                <w:rFonts w:hint="eastAsia" w:ascii="宋体" w:hAnsi="宋体" w:eastAsia="宋体" w:cs="宋体"/>
                <w:b/>
                <w:bCs/>
                <w:color w:val="auto"/>
                <w:szCs w:val="21"/>
                <w:highlight w:val="none"/>
              </w:rPr>
              <w:t>备注：评标委员会根据招标文件要求，按照上述评审因素逐项评审，根据各投标人所投各项目的技术文件部分及各项承诺，对各投标人的投标文件进行逐项分档评分；</w:t>
            </w:r>
          </w:p>
        </w:tc>
      </w:tr>
    </w:tbl>
    <w:p w14:paraId="26542965">
      <w:pPr>
        <w:rPr>
          <w:rFonts w:hint="eastAsia" w:ascii="宋体" w:hAnsi="宋体" w:eastAsia="宋体" w:cs="宋体"/>
          <w:b w:val="0"/>
          <w:bCs w:val="0"/>
          <w:color w:val="auto"/>
          <w:highlight w:val="none"/>
        </w:rPr>
      </w:pPr>
    </w:p>
    <w:p w14:paraId="4CEF22FA">
      <w:pPr>
        <w:rPr>
          <w:rFonts w:hint="eastAsia" w:ascii="宋体" w:hAnsi="宋体" w:eastAsia="宋体" w:cs="宋体"/>
          <w:b w:val="0"/>
          <w:bCs w:val="0"/>
          <w:color w:val="auto"/>
          <w:highlight w:val="none"/>
        </w:rPr>
      </w:pPr>
    </w:p>
    <w:p w14:paraId="509B7B70">
      <w:pPr>
        <w:rPr>
          <w:rFonts w:hint="eastAsia" w:ascii="宋体" w:hAnsi="宋体" w:eastAsia="宋体" w:cs="宋体"/>
          <w:b w:val="0"/>
          <w:bCs w:val="0"/>
          <w:color w:val="auto"/>
          <w:highlight w:val="none"/>
        </w:rPr>
      </w:pPr>
    </w:p>
    <w:tbl>
      <w:tblPr>
        <w:tblStyle w:val="33"/>
        <w:tblW w:w="9296"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17"/>
        <w:gridCol w:w="817"/>
        <w:gridCol w:w="1676"/>
        <w:gridCol w:w="763"/>
        <w:gridCol w:w="5223"/>
      </w:tblGrid>
      <w:tr w14:paraId="1C77859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1634" w:type="dxa"/>
            <w:gridSpan w:val="2"/>
            <w:vAlign w:val="center"/>
          </w:tcPr>
          <w:p w14:paraId="173C39BB">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条款号</w:t>
            </w:r>
          </w:p>
        </w:tc>
        <w:tc>
          <w:tcPr>
            <w:tcW w:w="1676" w:type="dxa"/>
            <w:vAlign w:val="center"/>
          </w:tcPr>
          <w:p w14:paraId="46A38B16">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评分因素</w:t>
            </w:r>
          </w:p>
        </w:tc>
        <w:tc>
          <w:tcPr>
            <w:tcW w:w="5986" w:type="dxa"/>
            <w:gridSpan w:val="2"/>
            <w:vAlign w:val="center"/>
          </w:tcPr>
          <w:p w14:paraId="75E85BEC">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评分标准</w:t>
            </w:r>
          </w:p>
        </w:tc>
      </w:tr>
      <w:tr w14:paraId="3FCB2D4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34" w:hRule="atLeast"/>
          <w:jc w:val="center"/>
        </w:trPr>
        <w:tc>
          <w:tcPr>
            <w:tcW w:w="817" w:type="dxa"/>
            <w:vMerge w:val="restart"/>
            <w:tcBorders>
              <w:right w:val="single" w:color="auto" w:sz="4" w:space="0"/>
            </w:tcBorders>
            <w:vAlign w:val="center"/>
          </w:tcPr>
          <w:p w14:paraId="7E900AB8">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2.2.2</w:t>
            </w:r>
          </w:p>
          <w:p w14:paraId="2B2328E6">
            <w:pP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（2）</w:t>
            </w:r>
          </w:p>
        </w:tc>
        <w:tc>
          <w:tcPr>
            <w:tcW w:w="817" w:type="dxa"/>
            <w:vMerge w:val="restart"/>
            <w:tcBorders>
              <w:left w:val="single" w:color="auto" w:sz="4" w:space="0"/>
            </w:tcBorders>
            <w:vAlign w:val="center"/>
          </w:tcPr>
          <w:p w14:paraId="19C91C06">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商务部分</w:t>
            </w:r>
          </w:p>
          <w:p w14:paraId="4AADE317">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F2</w:t>
            </w:r>
          </w:p>
          <w:p w14:paraId="7361FA4B">
            <w:pP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评分标准</w:t>
            </w:r>
          </w:p>
        </w:tc>
        <w:tc>
          <w:tcPr>
            <w:tcW w:w="1676" w:type="dxa"/>
            <w:vAlign w:val="center"/>
          </w:tcPr>
          <w:p w14:paraId="21A0DF3F">
            <w:pPr>
              <w:jc w:val="center"/>
              <w:rPr>
                <w:rFonts w:hint="eastAsia" w:ascii="宋体" w:hAnsi="宋体" w:eastAsia="宋体"/>
                <w:color w:val="000000"/>
                <w:szCs w:val="21"/>
              </w:rPr>
            </w:pPr>
            <w:r>
              <w:rPr>
                <w:rFonts w:hint="eastAsia" w:ascii="宋体" w:hAnsi="宋体" w:eastAsia="宋体"/>
                <w:color w:val="000000"/>
                <w:szCs w:val="21"/>
              </w:rPr>
              <w:t>项</w:t>
            </w:r>
          </w:p>
          <w:p w14:paraId="4FBB133C">
            <w:pPr>
              <w:jc w:val="center"/>
              <w:rPr>
                <w:rFonts w:hint="eastAsia" w:ascii="宋体" w:hAnsi="宋体" w:eastAsia="宋体" w:cs="宋体"/>
                <w:szCs w:val="21"/>
              </w:rPr>
            </w:pPr>
            <w:r>
              <w:rPr>
                <w:rFonts w:hint="eastAsia" w:ascii="宋体" w:hAnsi="宋体" w:eastAsia="宋体"/>
                <w:color w:val="000000"/>
                <w:szCs w:val="21"/>
              </w:rPr>
              <w:t>目实施现场服务及服务机构技术力量（满分10分）</w:t>
            </w:r>
          </w:p>
          <w:p w14:paraId="61DF474F">
            <w:pPr>
              <w:jc w:val="center"/>
              <w:rPr>
                <w:rFonts w:hint="eastAsia" w:ascii="宋体" w:hAnsi="宋体" w:eastAsia="宋体" w:cs="宋体"/>
                <w:b w:val="0"/>
                <w:bCs w:val="0"/>
                <w:color w:val="auto"/>
                <w:szCs w:val="21"/>
                <w:highlight w:val="none"/>
              </w:rPr>
            </w:pPr>
          </w:p>
        </w:tc>
        <w:tc>
          <w:tcPr>
            <w:tcW w:w="5986" w:type="dxa"/>
            <w:gridSpan w:val="2"/>
            <w:vAlign w:val="center"/>
          </w:tcPr>
          <w:p w14:paraId="65BF4A4F">
            <w:pPr>
              <w:spacing w:line="300" w:lineRule="exact"/>
              <w:rPr>
                <w:rFonts w:ascii="宋体" w:hAnsi="宋体" w:eastAsia="宋体"/>
                <w:b/>
                <w:color w:val="000000"/>
                <w:szCs w:val="21"/>
              </w:rPr>
            </w:pPr>
            <w:r>
              <w:rPr>
                <w:rFonts w:hint="eastAsia" w:ascii="宋体" w:hAnsi="宋体" w:cs="宋体"/>
                <w:b/>
                <w:bCs/>
                <w:color w:val="000000"/>
                <w:szCs w:val="21"/>
              </w:rPr>
              <w:t>评标委员会根据</w:t>
            </w:r>
            <w:r>
              <w:rPr>
                <w:rFonts w:hint="eastAsia" w:ascii="宋体" w:hAnsi="宋体" w:cs="宋体"/>
                <w:b/>
                <w:bCs/>
                <w:color w:val="000000"/>
                <w:sz w:val="22"/>
                <w:szCs w:val="22"/>
              </w:rPr>
              <w:t>投标人提供的项目实施现场服务及服务机构技术力量进行综合比较和评审，对</w:t>
            </w:r>
            <w:r>
              <w:rPr>
                <w:rFonts w:hint="eastAsia" w:ascii="宋体" w:hAnsi="宋体" w:cs="宋体"/>
                <w:b/>
                <w:bCs/>
                <w:color w:val="000000"/>
                <w:szCs w:val="21"/>
              </w:rPr>
              <w:t>投标文件响应程度赋分。</w:t>
            </w:r>
            <w:r>
              <w:rPr>
                <w:rFonts w:hint="eastAsia" w:ascii="宋体" w:hAnsi="宋体" w:cs="宋体"/>
                <w:b/>
                <w:color w:val="000000"/>
                <w:sz w:val="22"/>
                <w:szCs w:val="22"/>
              </w:rPr>
              <w:t>此部分仅针对人员配置中未标注星“★”条款内容进行评分，满分10分，包括（但不限于）以下内容：</w:t>
            </w:r>
            <w:r>
              <w:rPr>
                <w:rFonts w:hint="eastAsia" w:ascii="宋体" w:hAnsi="宋体" w:eastAsia="宋体"/>
                <w:b/>
                <w:color w:val="000000"/>
                <w:szCs w:val="21"/>
              </w:rPr>
              <w:t xml:space="preserve"> </w:t>
            </w:r>
          </w:p>
          <w:p w14:paraId="7A3F8B0F">
            <w:pPr>
              <w:spacing w:line="300" w:lineRule="exact"/>
              <w:rPr>
                <w:rFonts w:hint="eastAsia" w:ascii="宋体" w:hAnsi="宋体" w:eastAsia="宋体" w:cs="宋体"/>
                <w:color w:val="000000"/>
                <w:szCs w:val="21"/>
                <w:lang w:eastAsia="zh-CN"/>
              </w:rPr>
            </w:pPr>
            <w:r>
              <w:rPr>
                <w:rFonts w:hint="eastAsia" w:ascii="宋体" w:hAnsi="宋体" w:cs="宋体"/>
                <w:color w:val="000000"/>
                <w:szCs w:val="21"/>
              </w:rPr>
              <w:t>1</w:t>
            </w:r>
            <w:r>
              <w:rPr>
                <w:rFonts w:ascii="宋体" w:hAnsi="宋体" w:cs="宋体"/>
                <w:color w:val="000000"/>
                <w:szCs w:val="21"/>
              </w:rPr>
              <w:t>.</w:t>
            </w:r>
            <w:r>
              <w:rPr>
                <w:rFonts w:hint="eastAsia" w:ascii="宋体" w:hAnsi="宋体" w:cs="宋体"/>
                <w:color w:val="000000"/>
                <w:szCs w:val="21"/>
              </w:rPr>
              <w:t>项目负责人；</w:t>
            </w:r>
            <w:r>
              <w:rPr>
                <w:rFonts w:hint="eastAsia" w:ascii="宋体" w:hAnsi="宋体" w:cs="宋体"/>
                <w:color w:val="000000"/>
                <w:szCs w:val="21"/>
                <w:lang w:val="en-US" w:eastAsia="zh-CN"/>
              </w:rPr>
              <w:t>2.</w:t>
            </w:r>
            <w:r>
              <w:rPr>
                <w:rFonts w:hint="eastAsia" w:ascii="宋体" w:hAnsi="宋体" w:cs="宋体"/>
                <w:color w:val="000000"/>
                <w:szCs w:val="21"/>
              </w:rPr>
              <w:t>保洁人员</w:t>
            </w:r>
            <w:r>
              <w:rPr>
                <w:rFonts w:hint="eastAsia" w:ascii="宋体" w:hAnsi="宋体" w:cs="宋体"/>
                <w:color w:val="000000"/>
                <w:szCs w:val="21"/>
                <w:lang w:eastAsia="zh-CN"/>
              </w:rPr>
              <w:t>；</w:t>
            </w:r>
            <w:r>
              <w:rPr>
                <w:rFonts w:hint="eastAsia" w:ascii="宋体" w:hAnsi="宋体" w:cs="宋体"/>
                <w:color w:val="000000"/>
                <w:szCs w:val="21"/>
                <w:lang w:val="en-US" w:eastAsia="zh-CN"/>
              </w:rPr>
              <w:t>3.</w:t>
            </w:r>
            <w:r>
              <w:rPr>
                <w:rFonts w:hint="eastAsia" w:ascii="宋体" w:hAnsi="宋体" w:cs="宋体"/>
                <w:color w:val="000000"/>
                <w:szCs w:val="21"/>
              </w:rPr>
              <w:t>维修服务人员</w:t>
            </w:r>
            <w:r>
              <w:rPr>
                <w:rFonts w:hint="eastAsia" w:ascii="宋体" w:hAnsi="宋体" w:cs="宋体"/>
                <w:color w:val="000000"/>
                <w:szCs w:val="21"/>
                <w:lang w:eastAsia="zh-CN"/>
              </w:rPr>
              <w:t>；</w:t>
            </w:r>
            <w:r>
              <w:rPr>
                <w:rFonts w:hint="eastAsia" w:ascii="宋体" w:hAnsi="宋体" w:cs="宋体"/>
                <w:color w:val="000000"/>
                <w:szCs w:val="21"/>
                <w:lang w:val="en-US" w:eastAsia="zh-CN"/>
              </w:rPr>
              <w:t>4.</w:t>
            </w:r>
            <w:r>
              <w:rPr>
                <w:rFonts w:hint="eastAsia" w:ascii="宋体" w:hAnsi="宋体" w:cs="宋体"/>
                <w:color w:val="000000"/>
                <w:szCs w:val="21"/>
              </w:rPr>
              <w:t>客服、会务服务人员</w:t>
            </w:r>
            <w:r>
              <w:rPr>
                <w:rFonts w:hint="eastAsia" w:ascii="宋体" w:hAnsi="宋体" w:cs="宋体"/>
                <w:color w:val="000000"/>
                <w:szCs w:val="21"/>
                <w:lang w:eastAsia="zh-CN"/>
              </w:rPr>
              <w:t>；</w:t>
            </w:r>
            <w:r>
              <w:rPr>
                <w:rFonts w:hint="eastAsia" w:ascii="宋体" w:hAnsi="宋体" w:cs="宋体"/>
                <w:color w:val="000000"/>
                <w:szCs w:val="21"/>
                <w:lang w:val="en-US" w:eastAsia="zh-CN"/>
              </w:rPr>
              <w:t>5.</w:t>
            </w:r>
            <w:r>
              <w:rPr>
                <w:rFonts w:hint="eastAsia" w:ascii="宋体" w:hAnsi="宋体" w:cs="宋体"/>
                <w:color w:val="000000"/>
                <w:szCs w:val="21"/>
              </w:rPr>
              <w:t>配电室值班及管理人员</w:t>
            </w:r>
            <w:r>
              <w:rPr>
                <w:rFonts w:hint="eastAsia" w:ascii="宋体" w:hAnsi="宋体" w:cs="宋体"/>
                <w:color w:val="000000"/>
                <w:szCs w:val="21"/>
                <w:lang w:eastAsia="zh-CN"/>
              </w:rPr>
              <w:t>；</w:t>
            </w:r>
            <w:r>
              <w:rPr>
                <w:rFonts w:hint="eastAsia" w:ascii="宋体" w:hAnsi="宋体" w:cs="宋体"/>
                <w:color w:val="000000"/>
                <w:szCs w:val="21"/>
                <w:lang w:val="en-US" w:eastAsia="zh-CN"/>
              </w:rPr>
              <w:t>6.</w:t>
            </w:r>
            <w:r>
              <w:rPr>
                <w:rFonts w:hint="eastAsia" w:ascii="宋体" w:hAnsi="宋体" w:cs="宋体"/>
                <w:color w:val="000000"/>
                <w:szCs w:val="21"/>
              </w:rPr>
              <w:t>中水站运行管理员</w:t>
            </w:r>
            <w:r>
              <w:rPr>
                <w:rFonts w:hint="eastAsia" w:ascii="宋体" w:hAnsi="宋体" w:cs="宋体"/>
                <w:color w:val="000000"/>
                <w:szCs w:val="21"/>
                <w:lang w:eastAsia="zh-CN"/>
              </w:rPr>
              <w:t>；</w:t>
            </w:r>
          </w:p>
          <w:p w14:paraId="5E76DA9C">
            <w:pPr>
              <w:spacing w:line="300" w:lineRule="exact"/>
              <w:rPr>
                <w:rFonts w:ascii="宋体" w:hAnsi="宋体" w:cs="宋体"/>
                <w:color w:val="000000"/>
                <w:szCs w:val="21"/>
              </w:rPr>
            </w:pPr>
            <w:r>
              <w:rPr>
                <w:rFonts w:hint="eastAsia" w:ascii="宋体" w:hAnsi="宋体" w:cs="宋体"/>
                <w:color w:val="000000"/>
                <w:szCs w:val="21"/>
                <w:lang w:val="en-US" w:eastAsia="zh-CN"/>
              </w:rPr>
              <w:t>7.</w:t>
            </w:r>
            <w:r>
              <w:rPr>
                <w:rFonts w:hint="eastAsia" w:ascii="宋体" w:hAnsi="宋体" w:cs="宋体"/>
                <w:color w:val="000000"/>
                <w:szCs w:val="21"/>
              </w:rPr>
              <w:t>电梯安全管理员</w:t>
            </w:r>
            <w:r>
              <w:rPr>
                <w:rFonts w:hint="eastAsia" w:ascii="宋体" w:hAnsi="宋体" w:cs="宋体"/>
                <w:color w:val="000000"/>
                <w:szCs w:val="21"/>
                <w:lang w:eastAsia="zh-CN"/>
              </w:rPr>
              <w:t>；</w:t>
            </w:r>
            <w:r>
              <w:rPr>
                <w:rFonts w:hint="eastAsia" w:ascii="宋体" w:hAnsi="宋体" w:eastAsia="宋体" w:cs="宋体"/>
                <w:color w:val="000000"/>
                <w:szCs w:val="21"/>
                <w:lang w:val="en-US" w:eastAsia="zh-CN"/>
              </w:rPr>
              <w:t>8.</w:t>
            </w:r>
            <w:r>
              <w:rPr>
                <w:rFonts w:hint="eastAsia" w:ascii="宋体" w:hAnsi="宋体" w:eastAsia="宋体" w:cs="宋体"/>
                <w:color w:val="000000"/>
                <w:szCs w:val="21"/>
                <w:lang w:eastAsia="zh-CN"/>
              </w:rPr>
              <w:t>驾驶员</w:t>
            </w:r>
          </w:p>
          <w:p w14:paraId="672A2C6A">
            <w:pPr>
              <w:spacing w:line="300" w:lineRule="exact"/>
              <w:rPr>
                <w:rFonts w:ascii="宋体" w:hAnsi="宋体" w:cs="宋体"/>
                <w:color w:val="000000"/>
                <w:szCs w:val="21"/>
              </w:rPr>
            </w:pPr>
            <w:r>
              <w:rPr>
                <w:rFonts w:hint="eastAsia" w:ascii="宋体" w:hAnsi="宋体" w:cs="宋体"/>
                <w:b/>
                <w:bCs/>
                <w:color w:val="000000"/>
                <w:szCs w:val="21"/>
              </w:rPr>
              <w:t>注：</w:t>
            </w:r>
          </w:p>
          <w:p w14:paraId="3AAD5126">
            <w:pPr>
              <w:spacing w:line="300" w:lineRule="exact"/>
              <w:rPr>
                <w:rFonts w:ascii="宋体" w:hAnsi="宋体" w:cs="宋体"/>
                <w:b/>
                <w:bCs/>
                <w:color w:val="000000"/>
                <w:szCs w:val="21"/>
              </w:rPr>
            </w:pPr>
            <w:r>
              <w:rPr>
                <w:rFonts w:hint="eastAsia" w:ascii="宋体" w:hAnsi="宋体" w:cs="宋体"/>
                <w:color w:val="000000"/>
                <w:szCs w:val="21"/>
              </w:rPr>
              <w:t>①所配备人员及组织机构配置合理，年龄及证书配备齐全、管理体系清晰、明了，项目负责人具有类似</w:t>
            </w:r>
            <w:r>
              <w:rPr>
                <w:rFonts w:hint="eastAsia" w:ascii="宋体" w:hAnsi="宋体" w:cs="宋体"/>
                <w:color w:val="000000"/>
                <w:szCs w:val="21"/>
                <w:lang w:eastAsia="zh-CN"/>
              </w:rPr>
              <w:t>（高校物业服务）</w:t>
            </w:r>
            <w:r>
              <w:rPr>
                <w:rFonts w:hint="eastAsia" w:ascii="宋体" w:hAnsi="宋体" w:cs="宋体"/>
                <w:color w:val="000000"/>
                <w:szCs w:val="21"/>
              </w:rPr>
              <w:t>的管理经验，人员岗位分工配置合理，完全满足采购需求得10分；</w:t>
            </w:r>
          </w:p>
          <w:p w14:paraId="744360F3">
            <w:pPr>
              <w:spacing w:line="300" w:lineRule="exact"/>
              <w:rPr>
                <w:rFonts w:ascii="宋体" w:hAnsi="宋体" w:cs="宋体"/>
                <w:color w:val="000000"/>
                <w:szCs w:val="21"/>
              </w:rPr>
            </w:pPr>
            <w:r>
              <w:rPr>
                <w:rFonts w:hint="eastAsia" w:ascii="宋体" w:hAnsi="宋体" w:cs="宋体"/>
                <w:color w:val="000000"/>
                <w:szCs w:val="21"/>
              </w:rPr>
              <w:t>②以上“1、2、3、4、5</w:t>
            </w:r>
            <w:r>
              <w:rPr>
                <w:rFonts w:hint="eastAsia" w:ascii="宋体" w:hAnsi="宋体" w:cs="宋体"/>
                <w:color w:val="000000"/>
                <w:szCs w:val="21"/>
                <w:lang w:eastAsia="zh-CN"/>
              </w:rPr>
              <w:t>、</w:t>
            </w:r>
            <w:r>
              <w:rPr>
                <w:rFonts w:hint="eastAsia" w:ascii="宋体" w:hAnsi="宋体" w:cs="宋体"/>
                <w:color w:val="000000"/>
                <w:szCs w:val="21"/>
                <w:lang w:val="en-US" w:eastAsia="zh-CN"/>
              </w:rPr>
              <w:t>6</w:t>
            </w:r>
            <w:r>
              <w:rPr>
                <w:rFonts w:hint="eastAsia" w:ascii="宋体" w:hAnsi="宋体" w:cs="宋体"/>
                <w:color w:val="000000"/>
                <w:szCs w:val="21"/>
              </w:rPr>
              <w:t>”，项目负责人每缺少1名扣2分，其他服务人员每缺少1名扣1分；有证书要求的未提供证书的或证书不符合的一项扣2分；人员年龄不满足的一项扣1分。</w:t>
            </w:r>
          </w:p>
          <w:p w14:paraId="147DC6CB">
            <w:pPr>
              <w:pStyle w:val="11"/>
              <w:rPr>
                <w:rFonts w:hint="eastAsia" w:ascii="宋体" w:hAnsi="宋体" w:eastAsia="宋体" w:cs="宋体"/>
                <w:b w:val="0"/>
                <w:bCs w:val="0"/>
                <w:color w:val="auto"/>
                <w:szCs w:val="21"/>
                <w:highlight w:val="none"/>
              </w:rPr>
            </w:pPr>
            <w:r>
              <w:rPr>
                <w:rFonts w:hint="eastAsia"/>
              </w:rPr>
              <w:t>注：上述人员依据人员配置表打分，无须提供其他证明材料，请投标人如实填写人员配置表。所有人员证书原件及相应证明材料合同签订前须交采购人核验；如不满足，采购人有权拒绝签订合同并上报相关部门追究法律责任</w:t>
            </w:r>
            <w:r>
              <w:rPr>
                <w:rFonts w:hint="eastAsia" w:ascii="宋体" w:hAnsi="宋体" w:cs="宋体"/>
                <w:color w:val="000000"/>
                <w:szCs w:val="21"/>
              </w:rPr>
              <w:t>。</w:t>
            </w:r>
          </w:p>
        </w:tc>
      </w:tr>
      <w:tr w14:paraId="43B4D30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01" w:hRule="atLeast"/>
          <w:jc w:val="center"/>
        </w:trPr>
        <w:tc>
          <w:tcPr>
            <w:tcW w:w="817" w:type="dxa"/>
            <w:vMerge w:val="continue"/>
            <w:tcBorders>
              <w:right w:val="single" w:color="auto" w:sz="4" w:space="0"/>
            </w:tcBorders>
            <w:vAlign w:val="center"/>
          </w:tcPr>
          <w:p w14:paraId="7EBB7E25">
            <w:pPr>
              <w:jc w:val="center"/>
              <w:rPr>
                <w:rFonts w:hint="eastAsia" w:ascii="宋体" w:hAnsi="宋体" w:eastAsia="宋体" w:cs="宋体"/>
                <w:b w:val="0"/>
                <w:bCs w:val="0"/>
                <w:color w:val="auto"/>
                <w:szCs w:val="21"/>
                <w:highlight w:val="none"/>
              </w:rPr>
            </w:pPr>
          </w:p>
        </w:tc>
        <w:tc>
          <w:tcPr>
            <w:tcW w:w="817" w:type="dxa"/>
            <w:vMerge w:val="continue"/>
            <w:tcBorders>
              <w:left w:val="single" w:color="auto" w:sz="4" w:space="0"/>
            </w:tcBorders>
            <w:vAlign w:val="center"/>
          </w:tcPr>
          <w:p w14:paraId="693E5AF2">
            <w:pPr>
              <w:jc w:val="center"/>
              <w:rPr>
                <w:rFonts w:hint="eastAsia" w:ascii="宋体" w:hAnsi="宋体" w:eastAsia="宋体" w:cs="宋体"/>
                <w:b w:val="0"/>
                <w:bCs w:val="0"/>
                <w:color w:val="auto"/>
                <w:szCs w:val="21"/>
                <w:highlight w:val="none"/>
              </w:rPr>
            </w:pPr>
          </w:p>
        </w:tc>
        <w:tc>
          <w:tcPr>
            <w:tcW w:w="1676" w:type="dxa"/>
            <w:vAlign w:val="center"/>
          </w:tcPr>
          <w:p w14:paraId="1F711751">
            <w:pPr>
              <w:jc w:val="center"/>
              <w:rPr>
                <w:rFonts w:hint="eastAsia" w:ascii="宋体" w:hAnsi="宋体" w:eastAsia="宋体" w:cs="宋体"/>
                <w:b w:val="0"/>
                <w:bCs w:val="0"/>
                <w:color w:val="auto"/>
                <w:sz w:val="21"/>
                <w:szCs w:val="21"/>
              </w:rPr>
            </w:pPr>
            <w:r>
              <w:rPr>
                <w:rFonts w:hint="eastAsia" w:ascii="宋体" w:hAnsi="宋体" w:eastAsia="宋体"/>
                <w:color w:val="000000"/>
                <w:szCs w:val="21"/>
              </w:rPr>
              <w:t>拟投入的设施设备（满分4分）</w:t>
            </w:r>
          </w:p>
        </w:tc>
        <w:tc>
          <w:tcPr>
            <w:tcW w:w="5986" w:type="dxa"/>
            <w:gridSpan w:val="2"/>
            <w:vAlign w:val="center"/>
          </w:tcPr>
          <w:p w14:paraId="2A69592C">
            <w:pPr>
              <w:jc w:val="left"/>
              <w:rPr>
                <w:rFonts w:hint="eastAsia" w:ascii="宋体" w:hAnsi="宋体" w:eastAsia="宋体"/>
                <w:b/>
                <w:color w:val="000000"/>
                <w:szCs w:val="21"/>
                <w:lang w:eastAsia="zh-CN"/>
              </w:rPr>
            </w:pPr>
            <w:r>
              <w:rPr>
                <w:rFonts w:hint="eastAsia" w:ascii="宋体" w:hAnsi="宋体" w:eastAsia="宋体"/>
                <w:b/>
                <w:color w:val="000000"/>
                <w:szCs w:val="21"/>
              </w:rPr>
              <w:t>拟投入的设施设备</w:t>
            </w:r>
            <w:r>
              <w:rPr>
                <w:rFonts w:hint="eastAsia" w:ascii="宋体" w:hAnsi="宋体" w:eastAsia="宋体"/>
                <w:b/>
                <w:color w:val="000000"/>
                <w:szCs w:val="21"/>
                <w:lang w:eastAsia="zh-CN"/>
              </w:rPr>
              <w:t>：</w:t>
            </w:r>
          </w:p>
          <w:p w14:paraId="43992308">
            <w:pPr>
              <w:numPr>
                <w:ilvl w:val="0"/>
                <w:numId w:val="14"/>
              </w:numPr>
              <w:jc w:val="left"/>
              <w:rPr>
                <w:rFonts w:hint="eastAsia" w:ascii="宋体" w:hAnsi="宋体" w:eastAsia="宋体" w:cs="宋体"/>
                <w:snapToGrid w:val="0"/>
                <w:color w:val="000000"/>
                <w:kern w:val="0"/>
                <w:szCs w:val="21"/>
                <w:highlight w:val="none"/>
                <w:lang w:eastAsia="zh-CN"/>
              </w:rPr>
            </w:pPr>
            <w:r>
              <w:rPr>
                <w:rFonts w:hint="eastAsia" w:ascii="宋体" w:hAnsi="宋体" w:eastAsia="宋体" w:cs="宋体"/>
                <w:snapToGrid w:val="0"/>
                <w:color w:val="000000"/>
                <w:kern w:val="0"/>
                <w:szCs w:val="21"/>
                <w:highlight w:val="none"/>
              </w:rPr>
              <w:t>投标人应根据采购文件要求提供相应设施器材配备清单</w:t>
            </w:r>
            <w:r>
              <w:rPr>
                <w:rFonts w:hint="eastAsia" w:ascii="宋体" w:hAnsi="宋体" w:eastAsia="宋体" w:cs="宋体"/>
                <w:snapToGrid w:val="0"/>
                <w:color w:val="000000"/>
                <w:kern w:val="0"/>
                <w:szCs w:val="21"/>
                <w:highlight w:val="none"/>
                <w:lang w:eastAsia="zh-CN"/>
              </w:rPr>
              <w:t>；</w:t>
            </w:r>
          </w:p>
          <w:p w14:paraId="2A195C33">
            <w:pPr>
              <w:numPr>
                <w:ilvl w:val="0"/>
                <w:numId w:val="14"/>
              </w:numPr>
              <w:ind w:left="0" w:leftChars="0" w:firstLine="0" w:firstLineChars="0"/>
              <w:jc w:val="left"/>
              <w:rPr>
                <w:rFonts w:hint="eastAsia" w:ascii="宋体" w:hAnsi="宋体" w:eastAsia="宋体" w:cs="宋体"/>
                <w:snapToGrid w:val="0"/>
                <w:color w:val="000000"/>
                <w:kern w:val="0"/>
                <w:szCs w:val="21"/>
                <w:highlight w:val="none"/>
                <w:lang w:eastAsia="zh-CN"/>
              </w:rPr>
            </w:pPr>
            <w:r>
              <w:rPr>
                <w:rFonts w:hint="eastAsia" w:ascii="宋体" w:hAnsi="宋体" w:eastAsia="宋体" w:cs="宋体"/>
                <w:snapToGrid w:val="0"/>
                <w:color w:val="000000"/>
                <w:kern w:val="0"/>
                <w:szCs w:val="21"/>
                <w:highlight w:val="none"/>
                <w:lang w:eastAsia="zh-CN"/>
              </w:rPr>
              <w:t>对所配</w:t>
            </w:r>
            <w:r>
              <w:rPr>
                <w:rFonts w:hint="eastAsia" w:ascii="宋体" w:hAnsi="宋体" w:eastAsia="宋体" w:cs="宋体"/>
                <w:snapToGrid w:val="0"/>
                <w:color w:val="000000"/>
                <w:kern w:val="0"/>
                <w:szCs w:val="21"/>
                <w:highlight w:val="none"/>
              </w:rPr>
              <w:t>设施器材</w:t>
            </w:r>
            <w:r>
              <w:rPr>
                <w:rFonts w:hint="eastAsia" w:ascii="宋体" w:hAnsi="宋体" w:eastAsia="宋体" w:cs="宋体"/>
                <w:snapToGrid w:val="0"/>
                <w:color w:val="000000"/>
                <w:kern w:val="0"/>
                <w:szCs w:val="21"/>
                <w:highlight w:val="none"/>
                <w:lang w:eastAsia="zh-CN"/>
              </w:rPr>
              <w:t>的质量、数量及使用管理有相应完善的承诺。</w:t>
            </w:r>
          </w:p>
          <w:p w14:paraId="0E4F4E9A">
            <w:pPr>
              <w:numPr>
                <w:ilvl w:val="0"/>
                <w:numId w:val="0"/>
              </w:numPr>
              <w:ind w:leftChars="0"/>
              <w:jc w:val="left"/>
              <w:rPr>
                <w:rFonts w:hint="eastAsia"/>
                <w:highlight w:val="none"/>
              </w:rPr>
            </w:pPr>
            <w:r>
              <w:rPr>
                <w:rFonts w:hint="eastAsia" w:ascii="宋体" w:hAnsi="宋体" w:eastAsia="宋体"/>
                <w:b w:val="0"/>
                <w:bCs/>
                <w:color w:val="000000"/>
                <w:szCs w:val="21"/>
                <w:lang w:val="en-US" w:eastAsia="zh-CN"/>
              </w:rPr>
              <w:t>完全</w:t>
            </w:r>
            <w:r>
              <w:rPr>
                <w:rFonts w:hint="eastAsia" w:ascii="宋体" w:hAnsi="宋体" w:eastAsia="宋体"/>
                <w:b w:val="0"/>
                <w:bCs/>
                <w:color w:val="000000"/>
                <w:szCs w:val="21"/>
              </w:rPr>
              <w:t>满</w:t>
            </w:r>
            <w:r>
              <w:rPr>
                <w:rFonts w:hint="eastAsia"/>
                <w:highlight w:val="none"/>
              </w:rPr>
              <w:t>足以上2个方面内容得</w:t>
            </w:r>
            <w:r>
              <w:rPr>
                <w:rFonts w:hint="eastAsia"/>
                <w:highlight w:val="none"/>
                <w:lang w:val="en-US" w:eastAsia="zh-CN"/>
              </w:rPr>
              <w:t>4</w:t>
            </w:r>
            <w:r>
              <w:rPr>
                <w:rFonts w:hint="eastAsia"/>
                <w:highlight w:val="none"/>
              </w:rPr>
              <w:t>分，每缺少一个方面内容扣</w:t>
            </w:r>
            <w:r>
              <w:rPr>
                <w:rFonts w:hint="eastAsia"/>
                <w:highlight w:val="none"/>
                <w:lang w:val="en-US" w:eastAsia="zh-CN"/>
              </w:rPr>
              <w:t>2</w:t>
            </w:r>
            <w:r>
              <w:rPr>
                <w:rFonts w:hint="eastAsia"/>
                <w:highlight w:val="none"/>
              </w:rPr>
              <w:t>分，每个方面有内容存在不足的扣</w:t>
            </w:r>
            <w:r>
              <w:rPr>
                <w:rFonts w:hint="eastAsia"/>
                <w:highlight w:val="none"/>
                <w:lang w:val="en-US" w:eastAsia="zh-CN"/>
              </w:rPr>
              <w:t>1</w:t>
            </w:r>
            <w:r>
              <w:rPr>
                <w:rFonts w:hint="eastAsia"/>
                <w:highlight w:val="none"/>
              </w:rPr>
              <w:t>分。</w:t>
            </w:r>
          </w:p>
          <w:p w14:paraId="38FCCA16">
            <w:pPr>
              <w:pStyle w:val="11"/>
              <w:rPr>
                <w:rFonts w:hint="eastAsia"/>
                <w:highlight w:val="none"/>
              </w:rPr>
            </w:pPr>
            <w:r>
              <w:rPr>
                <w:rFonts w:hint="eastAsia"/>
                <w:highlight w:val="none"/>
              </w:rPr>
              <w:t>注：完全满足是指：1.投标人针对本项目上述要求提出的内容全面、完整详细；</w:t>
            </w:r>
          </w:p>
          <w:p w14:paraId="7BC96734">
            <w:pPr>
              <w:pStyle w:val="11"/>
              <w:rPr>
                <w:rFonts w:hint="eastAsia"/>
                <w:highlight w:val="none"/>
              </w:rPr>
            </w:pPr>
            <w:r>
              <w:rPr>
                <w:rFonts w:hint="eastAsia"/>
                <w:highlight w:val="none"/>
              </w:rPr>
              <w:t>2.思路及条理清晰，科学、合理；</w:t>
            </w:r>
          </w:p>
          <w:p w14:paraId="4870038A">
            <w:pPr>
              <w:pStyle w:val="11"/>
              <w:rPr>
                <w:rFonts w:hint="eastAsia"/>
                <w:highlight w:val="none"/>
              </w:rPr>
            </w:pPr>
            <w:r>
              <w:rPr>
                <w:rFonts w:hint="eastAsia"/>
                <w:highlight w:val="none"/>
              </w:rPr>
              <w:t>3.具有针对性及可行性；</w:t>
            </w:r>
          </w:p>
          <w:p w14:paraId="483BA3A4">
            <w:pPr>
              <w:pStyle w:val="11"/>
              <w:rPr>
                <w:rFonts w:hint="eastAsia"/>
                <w:highlight w:val="none"/>
              </w:rPr>
            </w:pPr>
            <w:r>
              <w:rPr>
                <w:rFonts w:hint="eastAsia"/>
                <w:highlight w:val="none"/>
              </w:rPr>
              <w:t>4.贴合项目实际，能满足采购人实际需求；</w:t>
            </w:r>
          </w:p>
          <w:p w14:paraId="260324B2">
            <w:pPr>
              <w:pStyle w:val="11"/>
              <w:rPr>
                <w:rFonts w:hint="eastAsia"/>
                <w:highlight w:val="none"/>
              </w:rPr>
            </w:pPr>
            <w:r>
              <w:rPr>
                <w:rFonts w:hint="eastAsia"/>
                <w:highlight w:val="none"/>
              </w:rPr>
              <w:t>5.有明确具体的服务措施。</w:t>
            </w:r>
          </w:p>
          <w:p w14:paraId="2BE95100">
            <w:pPr>
              <w:jc w:val="left"/>
              <w:rPr>
                <w:rFonts w:hint="eastAsia" w:ascii="宋体" w:hAnsi="宋体" w:eastAsia="宋体" w:cs="宋体"/>
                <w:b w:val="0"/>
                <w:bCs w:val="0"/>
                <w:color w:val="auto"/>
                <w:sz w:val="21"/>
                <w:szCs w:val="21"/>
              </w:rPr>
            </w:pPr>
            <w:r>
              <w:rPr>
                <w:rFonts w:hint="eastAsia"/>
                <w:highlight w:val="none"/>
              </w:rPr>
              <w:t>不足是指：以上5个方面任意1方面有缺陷或瑕疵。</w:t>
            </w:r>
          </w:p>
        </w:tc>
      </w:tr>
      <w:tr w14:paraId="4B6CD15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01" w:hRule="atLeast"/>
          <w:jc w:val="center"/>
        </w:trPr>
        <w:tc>
          <w:tcPr>
            <w:tcW w:w="817" w:type="dxa"/>
            <w:vMerge w:val="continue"/>
            <w:tcBorders>
              <w:right w:val="single" w:color="auto" w:sz="4" w:space="0"/>
            </w:tcBorders>
            <w:vAlign w:val="center"/>
          </w:tcPr>
          <w:p w14:paraId="3252D5E0">
            <w:pPr>
              <w:jc w:val="center"/>
            </w:pPr>
          </w:p>
        </w:tc>
        <w:tc>
          <w:tcPr>
            <w:tcW w:w="817" w:type="dxa"/>
            <w:vMerge w:val="continue"/>
            <w:tcBorders>
              <w:left w:val="single" w:color="auto" w:sz="4" w:space="0"/>
            </w:tcBorders>
            <w:vAlign w:val="center"/>
          </w:tcPr>
          <w:p w14:paraId="6043E488">
            <w:pPr>
              <w:jc w:val="center"/>
            </w:pPr>
          </w:p>
        </w:tc>
        <w:tc>
          <w:tcPr>
            <w:tcW w:w="1676" w:type="dxa"/>
            <w:vAlign w:val="center"/>
          </w:tcPr>
          <w:p w14:paraId="6821D6A7">
            <w:pPr>
              <w:jc w:val="center"/>
              <w:rPr>
                <w:rFonts w:hint="eastAsia" w:ascii="宋体" w:hAnsi="宋体" w:eastAsia="宋体" w:cs="宋体"/>
                <w:b w:val="0"/>
                <w:bCs w:val="0"/>
                <w:color w:val="auto"/>
                <w:sz w:val="21"/>
                <w:szCs w:val="21"/>
              </w:rPr>
            </w:pPr>
            <w:r>
              <w:rPr>
                <w:rFonts w:hint="eastAsia" w:ascii="宋体" w:hAnsi="宋体" w:eastAsia="宋体"/>
                <w:color w:val="000000"/>
                <w:szCs w:val="21"/>
              </w:rPr>
              <w:t>拟投入的低值易耗品（满分4分）</w:t>
            </w:r>
          </w:p>
        </w:tc>
        <w:tc>
          <w:tcPr>
            <w:tcW w:w="5986" w:type="dxa"/>
            <w:gridSpan w:val="2"/>
            <w:vAlign w:val="center"/>
          </w:tcPr>
          <w:p w14:paraId="4831B584">
            <w:pPr>
              <w:jc w:val="left"/>
              <w:rPr>
                <w:rFonts w:hint="eastAsia" w:ascii="宋体" w:hAnsi="宋体" w:eastAsia="宋体"/>
                <w:b/>
                <w:color w:val="000000"/>
                <w:szCs w:val="21"/>
                <w:highlight w:val="none"/>
                <w:lang w:val="en-US" w:eastAsia="zh-CN"/>
              </w:rPr>
            </w:pPr>
            <w:r>
              <w:rPr>
                <w:rFonts w:hint="eastAsia" w:ascii="宋体" w:hAnsi="宋体" w:eastAsia="宋体"/>
                <w:b/>
                <w:color w:val="000000"/>
                <w:szCs w:val="21"/>
                <w:highlight w:val="none"/>
              </w:rPr>
              <w:t>拟投入的低值易耗品</w:t>
            </w:r>
            <w:r>
              <w:rPr>
                <w:rFonts w:hint="eastAsia" w:ascii="宋体" w:hAnsi="宋体" w:eastAsia="宋体"/>
                <w:b/>
                <w:color w:val="000000"/>
                <w:szCs w:val="21"/>
                <w:highlight w:val="none"/>
                <w:lang w:val="en-US" w:eastAsia="zh-CN"/>
              </w:rPr>
              <w:t>;</w:t>
            </w:r>
          </w:p>
          <w:p w14:paraId="39867DE1">
            <w:pPr>
              <w:numPr>
                <w:ilvl w:val="0"/>
                <w:numId w:val="15"/>
              </w:numPr>
              <w:jc w:val="left"/>
              <w:rPr>
                <w:rFonts w:hint="eastAsia" w:ascii="宋体" w:hAnsi="宋体" w:eastAsia="宋体" w:cs="宋体"/>
                <w:snapToGrid w:val="0"/>
                <w:color w:val="000000"/>
                <w:kern w:val="0"/>
                <w:szCs w:val="21"/>
                <w:highlight w:val="none"/>
                <w:lang w:eastAsia="zh-CN"/>
              </w:rPr>
            </w:pPr>
            <w:r>
              <w:rPr>
                <w:rFonts w:hint="eastAsia" w:ascii="宋体" w:hAnsi="宋体" w:eastAsia="宋体" w:cs="宋体"/>
                <w:b/>
                <w:bCs/>
                <w:snapToGrid w:val="0"/>
                <w:color w:val="000000"/>
                <w:kern w:val="0"/>
                <w:szCs w:val="21"/>
                <w:highlight w:val="none"/>
              </w:rPr>
              <w:t>提供</w:t>
            </w:r>
            <w:r>
              <w:rPr>
                <w:rFonts w:hint="eastAsia" w:ascii="宋体" w:hAnsi="宋体" w:eastAsia="宋体" w:cs="宋体"/>
                <w:b/>
                <w:bCs/>
                <w:snapToGrid w:val="0"/>
                <w:color w:val="000000"/>
                <w:kern w:val="0"/>
                <w:szCs w:val="21"/>
                <w:highlight w:val="none"/>
                <w:lang w:eastAsia="zh-CN"/>
              </w:rPr>
              <w:t>会务服务</w:t>
            </w:r>
            <w:r>
              <w:rPr>
                <w:rFonts w:hint="eastAsia" w:ascii="宋体" w:hAnsi="宋体" w:eastAsia="宋体" w:cs="宋体"/>
                <w:b/>
                <w:bCs/>
                <w:snapToGrid w:val="0"/>
                <w:color w:val="000000"/>
                <w:kern w:val="0"/>
                <w:szCs w:val="21"/>
                <w:highlight w:val="none"/>
              </w:rPr>
              <w:t>过程中所需</w:t>
            </w:r>
            <w:r>
              <w:rPr>
                <w:rFonts w:hint="eastAsia" w:ascii="宋体" w:hAnsi="宋体" w:eastAsia="宋体" w:cs="宋体"/>
                <w:b/>
                <w:bCs/>
                <w:snapToGrid w:val="0"/>
                <w:color w:val="000000"/>
                <w:kern w:val="0"/>
                <w:szCs w:val="21"/>
                <w:highlight w:val="none"/>
                <w:lang w:eastAsia="zh-CN"/>
              </w:rPr>
              <w:t>耗材和设备</w:t>
            </w:r>
            <w:r>
              <w:rPr>
                <w:rFonts w:hint="eastAsia" w:ascii="宋体" w:hAnsi="宋体" w:eastAsia="宋体" w:cs="宋体"/>
                <w:b/>
                <w:bCs/>
                <w:snapToGrid w:val="0"/>
                <w:color w:val="000000"/>
                <w:kern w:val="0"/>
                <w:szCs w:val="21"/>
                <w:highlight w:val="none"/>
              </w:rPr>
              <w:t>清单包括</w:t>
            </w:r>
            <w:r>
              <w:rPr>
                <w:rFonts w:hint="eastAsia" w:ascii="宋体" w:hAnsi="宋体" w:eastAsia="宋体" w:cs="宋体"/>
                <w:b/>
                <w:bCs/>
                <w:snapToGrid w:val="0"/>
                <w:color w:val="000000"/>
                <w:kern w:val="0"/>
                <w:szCs w:val="21"/>
                <w:highlight w:val="none"/>
                <w:lang w:eastAsia="zh-CN"/>
              </w:rPr>
              <w:t>但不仅限于纸杯、茶叶</w:t>
            </w:r>
            <w:r>
              <w:rPr>
                <w:rFonts w:hint="eastAsia" w:ascii="宋体" w:hAnsi="宋体" w:eastAsia="宋体" w:cs="宋体"/>
                <w:b/>
                <w:bCs/>
                <w:snapToGrid w:val="0"/>
                <w:color w:val="000000"/>
                <w:kern w:val="0"/>
                <w:szCs w:val="21"/>
                <w:highlight w:val="none"/>
              </w:rPr>
              <w:t>等</w:t>
            </w:r>
            <w:r>
              <w:rPr>
                <w:rFonts w:hint="eastAsia" w:ascii="宋体" w:hAnsi="宋体" w:eastAsia="宋体" w:cs="宋体"/>
                <w:b/>
                <w:bCs/>
                <w:snapToGrid w:val="0"/>
                <w:color w:val="000000"/>
                <w:kern w:val="0"/>
                <w:szCs w:val="21"/>
                <w:highlight w:val="none"/>
                <w:lang w:eastAsia="zh-CN"/>
              </w:rPr>
              <w:t>会务服务常用耗材用品及相关</w:t>
            </w:r>
            <w:r>
              <w:rPr>
                <w:rFonts w:hint="eastAsia" w:ascii="宋体" w:hAnsi="宋体" w:eastAsia="宋体" w:cs="宋体"/>
                <w:snapToGrid w:val="0"/>
                <w:color w:val="000000"/>
                <w:kern w:val="0"/>
                <w:szCs w:val="21"/>
                <w:highlight w:val="none"/>
                <w:lang w:eastAsia="zh-CN"/>
              </w:rPr>
              <w:t>管理设备，</w:t>
            </w:r>
            <w:r>
              <w:rPr>
                <w:rFonts w:hint="eastAsia" w:ascii="宋体" w:hAnsi="宋体" w:eastAsia="宋体" w:cs="宋体"/>
                <w:snapToGrid w:val="0"/>
                <w:color w:val="000000"/>
                <w:kern w:val="0"/>
                <w:szCs w:val="21"/>
                <w:highlight w:val="none"/>
              </w:rPr>
              <w:t>保洁工具和清洁</w:t>
            </w:r>
            <w:r>
              <w:rPr>
                <w:rFonts w:hint="eastAsia" w:ascii="宋体" w:hAnsi="宋体" w:eastAsia="宋体" w:cs="宋体"/>
                <w:snapToGrid w:val="0"/>
                <w:color w:val="000000"/>
                <w:kern w:val="0"/>
                <w:szCs w:val="21"/>
                <w:highlight w:val="none"/>
                <w:lang w:eastAsia="zh-CN"/>
              </w:rPr>
              <w:t>消毒</w:t>
            </w:r>
            <w:r>
              <w:rPr>
                <w:rFonts w:hint="eastAsia" w:ascii="宋体" w:hAnsi="宋体" w:eastAsia="宋体" w:cs="宋体"/>
                <w:snapToGrid w:val="0"/>
                <w:color w:val="000000"/>
                <w:kern w:val="0"/>
                <w:szCs w:val="21"/>
                <w:highlight w:val="none"/>
              </w:rPr>
              <w:t>用品</w:t>
            </w:r>
            <w:r>
              <w:rPr>
                <w:rFonts w:hint="eastAsia" w:ascii="宋体" w:hAnsi="宋体" w:eastAsia="宋体" w:cs="宋体"/>
                <w:snapToGrid w:val="0"/>
                <w:color w:val="000000"/>
                <w:kern w:val="0"/>
                <w:szCs w:val="21"/>
                <w:highlight w:val="none"/>
                <w:lang w:eastAsia="zh-CN"/>
              </w:rPr>
              <w:t>等；</w:t>
            </w:r>
          </w:p>
          <w:p w14:paraId="071C9C3C">
            <w:pPr>
              <w:numPr>
                <w:ilvl w:val="0"/>
                <w:numId w:val="0"/>
              </w:numPr>
              <w:jc w:val="left"/>
              <w:rPr>
                <w:rFonts w:ascii="宋体" w:hAnsi="宋体" w:eastAsia="宋体"/>
                <w:b/>
                <w:color w:val="000000"/>
                <w:szCs w:val="21"/>
              </w:rPr>
            </w:pPr>
            <w:r>
              <w:rPr>
                <w:rFonts w:hint="eastAsia" w:ascii="宋体" w:hAnsi="宋体" w:eastAsia="宋体" w:cs="宋体"/>
                <w:snapToGrid w:val="0"/>
                <w:color w:val="000000"/>
                <w:kern w:val="0"/>
                <w:szCs w:val="21"/>
                <w:highlight w:val="none"/>
                <w:lang w:eastAsia="zh-CN"/>
              </w:rPr>
              <w:t>（</w:t>
            </w:r>
            <w:r>
              <w:rPr>
                <w:rFonts w:hint="eastAsia" w:ascii="宋体" w:hAnsi="宋体" w:eastAsia="宋体" w:cs="宋体"/>
                <w:snapToGrid w:val="0"/>
                <w:color w:val="000000"/>
                <w:kern w:val="0"/>
                <w:szCs w:val="21"/>
                <w:highlight w:val="none"/>
                <w:lang w:val="en-US" w:eastAsia="zh-CN"/>
              </w:rPr>
              <w:t>2</w:t>
            </w:r>
            <w:r>
              <w:rPr>
                <w:rFonts w:hint="eastAsia" w:ascii="宋体" w:hAnsi="宋体" w:eastAsia="宋体" w:cs="宋体"/>
                <w:snapToGrid w:val="0"/>
                <w:color w:val="000000"/>
                <w:kern w:val="0"/>
                <w:szCs w:val="21"/>
                <w:highlight w:val="none"/>
                <w:lang w:eastAsia="zh-CN"/>
              </w:rPr>
              <w:t>）并对所供物品质量、数量、补充速度及使用效率要有完善的承诺。</w:t>
            </w:r>
          </w:p>
          <w:p w14:paraId="60BC2328">
            <w:pPr>
              <w:pStyle w:val="11"/>
              <w:rPr>
                <w:rFonts w:hint="eastAsia"/>
                <w:highlight w:val="none"/>
              </w:rPr>
            </w:pPr>
            <w:r>
              <w:rPr>
                <w:rFonts w:hint="eastAsia"/>
                <w:highlight w:val="none"/>
              </w:rPr>
              <w:t>评标委员会根据投标人提供的以上2个方面内容进行综合评审，完全满足以上2个方面内容得</w:t>
            </w:r>
            <w:r>
              <w:rPr>
                <w:rFonts w:hint="eastAsia"/>
                <w:highlight w:val="none"/>
                <w:lang w:val="en-US" w:eastAsia="zh-CN"/>
              </w:rPr>
              <w:t>4</w:t>
            </w:r>
            <w:r>
              <w:rPr>
                <w:rFonts w:hint="eastAsia"/>
                <w:highlight w:val="none"/>
              </w:rPr>
              <w:t>分，每缺少一个方面内容扣</w:t>
            </w:r>
            <w:r>
              <w:rPr>
                <w:rFonts w:hint="eastAsia"/>
                <w:highlight w:val="none"/>
                <w:lang w:val="en-US" w:eastAsia="zh-CN"/>
              </w:rPr>
              <w:t>2</w:t>
            </w:r>
            <w:r>
              <w:rPr>
                <w:rFonts w:hint="eastAsia"/>
                <w:highlight w:val="none"/>
              </w:rPr>
              <w:t>分，每个方面有内容存在不足的扣</w:t>
            </w:r>
            <w:r>
              <w:rPr>
                <w:rFonts w:hint="eastAsia"/>
                <w:highlight w:val="none"/>
                <w:lang w:val="en-US" w:eastAsia="zh-CN"/>
              </w:rPr>
              <w:t>1</w:t>
            </w:r>
            <w:r>
              <w:rPr>
                <w:rFonts w:hint="eastAsia"/>
                <w:highlight w:val="none"/>
              </w:rPr>
              <w:t>分。</w:t>
            </w:r>
          </w:p>
          <w:p w14:paraId="051B25FD">
            <w:pPr>
              <w:pStyle w:val="11"/>
              <w:rPr>
                <w:rFonts w:hint="eastAsia"/>
                <w:highlight w:val="none"/>
              </w:rPr>
            </w:pPr>
            <w:r>
              <w:rPr>
                <w:rFonts w:hint="eastAsia"/>
                <w:highlight w:val="none"/>
              </w:rPr>
              <w:t>注：完全满足是指：1.投标人针对本项目上述要求提出的内容全面、完整详细；</w:t>
            </w:r>
          </w:p>
          <w:p w14:paraId="4E294317">
            <w:pPr>
              <w:pStyle w:val="11"/>
              <w:rPr>
                <w:rFonts w:hint="eastAsia"/>
                <w:highlight w:val="none"/>
              </w:rPr>
            </w:pPr>
            <w:r>
              <w:rPr>
                <w:rFonts w:hint="eastAsia"/>
                <w:highlight w:val="none"/>
              </w:rPr>
              <w:t>2.思路及条理清晰，科学、合理；</w:t>
            </w:r>
          </w:p>
          <w:p w14:paraId="33C00AD3">
            <w:pPr>
              <w:pStyle w:val="11"/>
              <w:rPr>
                <w:rFonts w:hint="eastAsia"/>
                <w:highlight w:val="none"/>
              </w:rPr>
            </w:pPr>
            <w:r>
              <w:rPr>
                <w:rFonts w:hint="eastAsia"/>
                <w:highlight w:val="none"/>
              </w:rPr>
              <w:t>3.具有针对性及可行性；</w:t>
            </w:r>
          </w:p>
          <w:p w14:paraId="1578D159">
            <w:pPr>
              <w:pStyle w:val="11"/>
              <w:rPr>
                <w:rFonts w:hint="eastAsia"/>
                <w:highlight w:val="none"/>
              </w:rPr>
            </w:pPr>
            <w:r>
              <w:rPr>
                <w:rFonts w:hint="eastAsia"/>
                <w:highlight w:val="none"/>
              </w:rPr>
              <w:t>4.贴合项目实际，能满足采购人实际需求；</w:t>
            </w:r>
          </w:p>
          <w:p w14:paraId="52BDA199">
            <w:pPr>
              <w:pStyle w:val="11"/>
              <w:rPr>
                <w:rFonts w:hint="eastAsia"/>
                <w:highlight w:val="none"/>
              </w:rPr>
            </w:pPr>
            <w:r>
              <w:rPr>
                <w:rFonts w:hint="eastAsia"/>
                <w:highlight w:val="none"/>
              </w:rPr>
              <w:t>5.有明确具体的服务措施。</w:t>
            </w:r>
          </w:p>
          <w:p w14:paraId="58DD8BEA">
            <w:pPr>
              <w:rPr>
                <w:rFonts w:hint="eastAsia" w:ascii="宋体" w:hAnsi="宋体" w:eastAsia="宋体" w:cs="宋体"/>
                <w:b w:val="0"/>
                <w:bCs w:val="0"/>
                <w:color w:val="auto"/>
                <w:sz w:val="21"/>
                <w:szCs w:val="21"/>
              </w:rPr>
            </w:pPr>
            <w:r>
              <w:rPr>
                <w:rFonts w:hint="eastAsia"/>
                <w:highlight w:val="none"/>
              </w:rPr>
              <w:t>不足是指：以上5个方面任意1方面有缺陷或瑕疵。</w:t>
            </w:r>
          </w:p>
        </w:tc>
      </w:tr>
      <w:tr w14:paraId="242F0CD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01" w:hRule="atLeast"/>
          <w:jc w:val="center"/>
        </w:trPr>
        <w:tc>
          <w:tcPr>
            <w:tcW w:w="817" w:type="dxa"/>
            <w:vMerge w:val="continue"/>
            <w:tcBorders>
              <w:right w:val="single" w:color="auto" w:sz="4" w:space="0"/>
            </w:tcBorders>
            <w:vAlign w:val="center"/>
          </w:tcPr>
          <w:p w14:paraId="17434418">
            <w:pPr>
              <w:jc w:val="center"/>
              <w:rPr>
                <w:rFonts w:hint="eastAsia" w:ascii="宋体" w:hAnsi="宋体" w:eastAsia="宋体" w:cs="宋体"/>
                <w:b w:val="0"/>
                <w:bCs w:val="0"/>
                <w:color w:val="auto"/>
                <w:sz w:val="21"/>
                <w:szCs w:val="21"/>
              </w:rPr>
            </w:pPr>
          </w:p>
        </w:tc>
        <w:tc>
          <w:tcPr>
            <w:tcW w:w="817" w:type="dxa"/>
            <w:vMerge w:val="continue"/>
            <w:tcBorders>
              <w:left w:val="single" w:color="auto" w:sz="4" w:space="0"/>
            </w:tcBorders>
            <w:vAlign w:val="center"/>
          </w:tcPr>
          <w:p w14:paraId="23D1C284">
            <w:pPr>
              <w:jc w:val="center"/>
              <w:rPr>
                <w:rFonts w:hint="eastAsia" w:ascii="宋体" w:hAnsi="宋体" w:eastAsia="宋体" w:cs="宋体"/>
                <w:b w:val="0"/>
                <w:bCs w:val="0"/>
                <w:color w:val="auto"/>
                <w:sz w:val="21"/>
                <w:szCs w:val="21"/>
              </w:rPr>
            </w:pPr>
          </w:p>
        </w:tc>
        <w:tc>
          <w:tcPr>
            <w:tcW w:w="1676" w:type="dxa"/>
            <w:vAlign w:val="center"/>
          </w:tcPr>
          <w:p w14:paraId="5FCCA827">
            <w:pPr>
              <w:jc w:val="center"/>
              <w:rPr>
                <w:rFonts w:hint="eastAsia" w:ascii="宋体" w:hAnsi="宋体" w:eastAsia="宋体" w:cs="宋体"/>
                <w:b w:val="0"/>
                <w:bCs w:val="0"/>
                <w:color w:val="auto"/>
                <w:sz w:val="21"/>
                <w:szCs w:val="21"/>
              </w:rPr>
            </w:pPr>
            <w:r>
              <w:rPr>
                <w:rFonts w:hint="eastAsia" w:ascii="宋体" w:hAnsi="宋体" w:cs="宋体"/>
                <w:color w:val="000000"/>
                <w:kern w:val="2"/>
                <w:sz w:val="21"/>
                <w:szCs w:val="21"/>
                <w:highlight w:val="none"/>
                <w:lang w:val="en-US" w:eastAsia="zh-CN" w:bidi="ar-SA"/>
              </w:rPr>
              <w:t>本项目特定30元以下</w:t>
            </w:r>
            <w:r>
              <w:rPr>
                <w:rFonts w:hint="eastAsia" w:ascii="宋体" w:hAnsi="宋体" w:eastAsia="宋体" w:cs="宋体"/>
                <w:snapToGrid w:val="0"/>
                <w:color w:val="000000"/>
                <w:kern w:val="0"/>
                <w:szCs w:val="21"/>
                <w:highlight w:val="none"/>
                <w:lang w:val="en-US" w:eastAsia="zh-CN"/>
              </w:rPr>
              <w:t>常用维修配件</w:t>
            </w:r>
            <w:r>
              <w:rPr>
                <w:rFonts w:hint="eastAsia" w:ascii="宋体" w:hAnsi="宋体"/>
                <w:color w:val="000000"/>
                <w:szCs w:val="21"/>
              </w:rPr>
              <w:t>（满分</w:t>
            </w:r>
            <w:r>
              <w:rPr>
                <w:rFonts w:hint="eastAsia" w:ascii="宋体" w:hAnsi="宋体"/>
                <w:color w:val="000000"/>
                <w:szCs w:val="21"/>
                <w:lang w:val="en-US" w:eastAsia="zh-CN"/>
              </w:rPr>
              <w:t>3</w:t>
            </w:r>
            <w:r>
              <w:rPr>
                <w:rFonts w:hint="eastAsia" w:ascii="宋体" w:hAnsi="宋体"/>
                <w:color w:val="000000"/>
                <w:szCs w:val="21"/>
              </w:rPr>
              <w:t>分）</w:t>
            </w:r>
          </w:p>
        </w:tc>
        <w:tc>
          <w:tcPr>
            <w:tcW w:w="5986" w:type="dxa"/>
            <w:gridSpan w:val="2"/>
            <w:vAlign w:val="center"/>
          </w:tcPr>
          <w:p w14:paraId="402C4516">
            <w:pPr>
              <w:spacing w:line="300" w:lineRule="exact"/>
              <w:rPr>
                <w:rFonts w:hint="eastAsia" w:ascii="宋体" w:hAnsi="宋体" w:eastAsia="宋体" w:cs="宋体"/>
                <w:b/>
                <w:bCs/>
                <w:snapToGrid w:val="0"/>
                <w:color w:val="000000"/>
                <w:kern w:val="0"/>
                <w:szCs w:val="21"/>
                <w:highlight w:val="none"/>
                <w:lang w:val="en-US" w:eastAsia="zh-CN"/>
              </w:rPr>
            </w:pPr>
            <w:r>
              <w:rPr>
                <w:rFonts w:hint="eastAsia" w:ascii="宋体" w:hAnsi="宋体" w:cs="宋体"/>
                <w:b/>
                <w:bCs/>
                <w:color w:val="000000"/>
                <w:kern w:val="2"/>
                <w:sz w:val="21"/>
                <w:szCs w:val="21"/>
                <w:highlight w:val="none"/>
                <w:lang w:val="en-US" w:eastAsia="zh-CN" w:bidi="ar-SA"/>
              </w:rPr>
              <w:t>提供30元以下</w:t>
            </w:r>
            <w:r>
              <w:rPr>
                <w:rFonts w:hint="eastAsia" w:ascii="宋体" w:hAnsi="宋体" w:eastAsia="宋体" w:cs="宋体"/>
                <w:b/>
                <w:bCs/>
                <w:snapToGrid w:val="0"/>
                <w:color w:val="000000"/>
                <w:kern w:val="0"/>
                <w:szCs w:val="21"/>
                <w:highlight w:val="none"/>
                <w:lang w:val="en-US" w:eastAsia="zh-CN"/>
              </w:rPr>
              <w:t>常用维修配件保障及承诺（满分</w:t>
            </w:r>
            <w:r>
              <w:rPr>
                <w:rFonts w:hint="eastAsia" w:ascii="宋体" w:hAnsi="宋体" w:cs="宋体"/>
                <w:b/>
                <w:bCs/>
                <w:snapToGrid w:val="0"/>
                <w:color w:val="000000"/>
                <w:kern w:val="0"/>
                <w:szCs w:val="21"/>
                <w:highlight w:val="none"/>
                <w:lang w:val="en-US" w:eastAsia="zh-CN"/>
              </w:rPr>
              <w:t>3</w:t>
            </w:r>
            <w:r>
              <w:rPr>
                <w:rFonts w:hint="eastAsia" w:ascii="宋体" w:hAnsi="宋体" w:eastAsia="宋体" w:cs="宋体"/>
                <w:b/>
                <w:bCs/>
                <w:snapToGrid w:val="0"/>
                <w:color w:val="000000"/>
                <w:kern w:val="0"/>
                <w:szCs w:val="21"/>
                <w:highlight w:val="none"/>
                <w:lang w:val="en-US" w:eastAsia="zh-CN"/>
              </w:rPr>
              <w:t>分）</w:t>
            </w:r>
          </w:p>
          <w:p w14:paraId="46612A73">
            <w:pPr>
              <w:numPr>
                <w:ilvl w:val="0"/>
                <w:numId w:val="16"/>
              </w:numPr>
              <w:autoSpaceDE w:val="0"/>
              <w:autoSpaceDN w:val="0"/>
              <w:adjustRightInd w:val="0"/>
              <w:jc w:val="left"/>
              <w:rPr>
                <w:rFonts w:hint="eastAsia" w:ascii="宋体" w:hAnsi="宋体" w:eastAsia="宋体" w:cs="宋体"/>
                <w:b w:val="0"/>
                <w:bCs w:val="0"/>
                <w:snapToGrid w:val="0"/>
                <w:color w:val="000000"/>
                <w:kern w:val="0"/>
                <w:szCs w:val="21"/>
                <w:highlight w:val="none"/>
                <w:lang w:val="en-US" w:eastAsia="zh-CN"/>
              </w:rPr>
            </w:pPr>
            <w:r>
              <w:rPr>
                <w:rFonts w:hint="eastAsia" w:ascii="宋体" w:cs="宋体"/>
                <w:color w:val="000000"/>
                <w:kern w:val="0"/>
                <w:szCs w:val="21"/>
              </w:rPr>
              <w:t>投标人针对本项目</w:t>
            </w:r>
            <w:r>
              <w:rPr>
                <w:rFonts w:hint="eastAsia" w:ascii="宋体" w:hAnsi="宋体" w:cs="宋体"/>
                <w:b w:val="0"/>
                <w:bCs w:val="0"/>
                <w:color w:val="000000"/>
                <w:kern w:val="2"/>
                <w:sz w:val="21"/>
                <w:szCs w:val="21"/>
                <w:highlight w:val="none"/>
                <w:lang w:val="en-US" w:eastAsia="zh-CN" w:bidi="ar-SA"/>
              </w:rPr>
              <w:t>提供30元以下</w:t>
            </w:r>
            <w:r>
              <w:rPr>
                <w:rFonts w:hint="eastAsia" w:ascii="宋体" w:hAnsi="宋体" w:eastAsia="宋体" w:cs="宋体"/>
                <w:b w:val="0"/>
                <w:bCs w:val="0"/>
                <w:snapToGrid w:val="0"/>
                <w:color w:val="000000"/>
                <w:kern w:val="0"/>
                <w:szCs w:val="21"/>
                <w:highlight w:val="none"/>
                <w:lang w:val="en-US" w:eastAsia="zh-CN"/>
              </w:rPr>
              <w:t>常用维修配件保障；</w:t>
            </w:r>
          </w:p>
          <w:p w14:paraId="7E60957D">
            <w:pPr>
              <w:numPr>
                <w:ilvl w:val="0"/>
                <w:numId w:val="0"/>
              </w:numPr>
              <w:autoSpaceDE w:val="0"/>
              <w:autoSpaceDN w:val="0"/>
              <w:adjustRightInd w:val="0"/>
              <w:jc w:val="left"/>
              <w:rPr>
                <w:rFonts w:ascii="宋体" w:hAnsi="宋体" w:eastAsia="宋体"/>
                <w:color w:val="000000"/>
                <w:szCs w:val="21"/>
              </w:rPr>
            </w:pPr>
            <w:r>
              <w:rPr>
                <w:rFonts w:hint="eastAsia" w:ascii="宋体" w:hAnsi="宋体" w:eastAsia="宋体" w:cs="宋体"/>
                <w:b w:val="0"/>
                <w:bCs w:val="0"/>
                <w:snapToGrid w:val="0"/>
                <w:color w:val="000000"/>
                <w:kern w:val="0"/>
                <w:szCs w:val="21"/>
                <w:highlight w:val="none"/>
                <w:lang w:val="en-US" w:eastAsia="zh-CN"/>
              </w:rPr>
              <w:t>（2）对所配配件</w:t>
            </w:r>
            <w:r>
              <w:rPr>
                <w:rFonts w:hint="eastAsia" w:ascii="宋体" w:hAnsi="宋体" w:eastAsia="宋体" w:cs="宋体"/>
                <w:snapToGrid w:val="0"/>
                <w:color w:val="000000"/>
                <w:kern w:val="0"/>
                <w:szCs w:val="21"/>
                <w:highlight w:val="none"/>
                <w:lang w:eastAsia="zh-CN"/>
              </w:rPr>
              <w:t>质量、数量、补充速度及使用效率要有完善的承诺</w:t>
            </w:r>
            <w:r>
              <w:rPr>
                <w:rFonts w:hint="eastAsia" w:ascii="宋体" w:hAnsi="宋体" w:eastAsia="宋体"/>
                <w:color w:val="000000"/>
                <w:szCs w:val="21"/>
              </w:rPr>
              <w:t>；</w:t>
            </w:r>
          </w:p>
          <w:p w14:paraId="68A2D382">
            <w:pPr>
              <w:pStyle w:val="11"/>
              <w:rPr>
                <w:rFonts w:hint="eastAsia"/>
                <w:highlight w:val="none"/>
              </w:rPr>
            </w:pPr>
            <w:r>
              <w:rPr>
                <w:rFonts w:hint="eastAsia"/>
                <w:highlight w:val="none"/>
              </w:rPr>
              <w:t>评标委员会根据投标人提供的以上2个方面内容进行综合评审，完全满足以上2个方面内容得</w:t>
            </w:r>
            <w:r>
              <w:rPr>
                <w:rFonts w:hint="eastAsia"/>
                <w:highlight w:val="none"/>
                <w:lang w:val="en-US" w:eastAsia="zh-CN"/>
              </w:rPr>
              <w:t>3</w:t>
            </w:r>
            <w:r>
              <w:rPr>
                <w:rFonts w:hint="eastAsia"/>
                <w:highlight w:val="none"/>
              </w:rPr>
              <w:t>分，每缺少一个方面内容扣</w:t>
            </w:r>
            <w:r>
              <w:rPr>
                <w:rFonts w:hint="eastAsia"/>
                <w:highlight w:val="none"/>
                <w:lang w:val="en-US" w:eastAsia="zh-CN"/>
              </w:rPr>
              <w:t>1.5</w:t>
            </w:r>
            <w:r>
              <w:rPr>
                <w:rFonts w:hint="eastAsia"/>
                <w:highlight w:val="none"/>
              </w:rPr>
              <w:t>分，每个方面有内容存在不足的扣</w:t>
            </w:r>
            <w:r>
              <w:rPr>
                <w:rFonts w:hint="eastAsia"/>
                <w:highlight w:val="none"/>
                <w:lang w:val="en-US" w:eastAsia="zh-CN"/>
              </w:rPr>
              <w:t>1</w:t>
            </w:r>
            <w:r>
              <w:rPr>
                <w:rFonts w:hint="eastAsia"/>
                <w:highlight w:val="none"/>
              </w:rPr>
              <w:t>分。</w:t>
            </w:r>
          </w:p>
          <w:p w14:paraId="54F2945C">
            <w:pPr>
              <w:pStyle w:val="11"/>
              <w:rPr>
                <w:rFonts w:hint="eastAsia"/>
                <w:highlight w:val="none"/>
              </w:rPr>
            </w:pPr>
            <w:r>
              <w:rPr>
                <w:rFonts w:hint="eastAsia"/>
                <w:highlight w:val="none"/>
              </w:rPr>
              <w:t>注：完全满足是指：1.投标人针对本项目上述要求提出的内容全面、完整详细；</w:t>
            </w:r>
          </w:p>
          <w:p w14:paraId="6B6C3DA7">
            <w:pPr>
              <w:pStyle w:val="11"/>
              <w:rPr>
                <w:rFonts w:hint="eastAsia"/>
                <w:highlight w:val="none"/>
              </w:rPr>
            </w:pPr>
            <w:r>
              <w:rPr>
                <w:rFonts w:hint="eastAsia"/>
                <w:highlight w:val="none"/>
              </w:rPr>
              <w:t>2.思路及条理清晰，科学、合理；</w:t>
            </w:r>
          </w:p>
          <w:p w14:paraId="2CF34F28">
            <w:pPr>
              <w:pStyle w:val="11"/>
              <w:rPr>
                <w:rFonts w:hint="eastAsia"/>
                <w:highlight w:val="none"/>
              </w:rPr>
            </w:pPr>
            <w:r>
              <w:rPr>
                <w:rFonts w:hint="eastAsia"/>
                <w:highlight w:val="none"/>
              </w:rPr>
              <w:t>3.具有针对性及可行性；</w:t>
            </w:r>
          </w:p>
          <w:p w14:paraId="21580656">
            <w:pPr>
              <w:pStyle w:val="11"/>
              <w:rPr>
                <w:rFonts w:hint="eastAsia"/>
                <w:highlight w:val="none"/>
              </w:rPr>
            </w:pPr>
            <w:r>
              <w:rPr>
                <w:rFonts w:hint="eastAsia"/>
                <w:highlight w:val="none"/>
              </w:rPr>
              <w:t>4.贴合项目实际，能满足采购人实际需求；</w:t>
            </w:r>
          </w:p>
          <w:p w14:paraId="69911D8B">
            <w:pPr>
              <w:pStyle w:val="11"/>
              <w:rPr>
                <w:rFonts w:hint="eastAsia"/>
                <w:highlight w:val="none"/>
              </w:rPr>
            </w:pPr>
            <w:r>
              <w:rPr>
                <w:rFonts w:hint="eastAsia"/>
                <w:highlight w:val="none"/>
              </w:rPr>
              <w:t>5.有明确具体的服务措施。</w:t>
            </w:r>
          </w:p>
          <w:p w14:paraId="333C55E2">
            <w:pPr>
              <w:spacing w:line="300" w:lineRule="exact"/>
              <w:rPr>
                <w:rFonts w:hint="eastAsia" w:ascii="宋体" w:hAnsi="宋体" w:eastAsia="宋体" w:cs="宋体"/>
                <w:b w:val="0"/>
                <w:bCs w:val="0"/>
                <w:color w:val="auto"/>
                <w:sz w:val="21"/>
                <w:szCs w:val="21"/>
              </w:rPr>
            </w:pPr>
            <w:r>
              <w:rPr>
                <w:rFonts w:hint="eastAsia"/>
                <w:highlight w:val="none"/>
              </w:rPr>
              <w:t>不足是指：以上5个方面任意1方面有缺陷或瑕疵。</w:t>
            </w:r>
          </w:p>
        </w:tc>
      </w:tr>
      <w:tr w14:paraId="02908ED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01" w:hRule="atLeast"/>
          <w:jc w:val="center"/>
        </w:trPr>
        <w:tc>
          <w:tcPr>
            <w:tcW w:w="817" w:type="dxa"/>
            <w:vMerge w:val="continue"/>
            <w:tcBorders>
              <w:right w:val="single" w:color="auto" w:sz="4" w:space="0"/>
            </w:tcBorders>
            <w:vAlign w:val="center"/>
          </w:tcPr>
          <w:p w14:paraId="3A2FA9CC">
            <w:pPr>
              <w:jc w:val="center"/>
              <w:rPr>
                <w:rFonts w:hint="eastAsia" w:ascii="宋体" w:hAnsi="宋体" w:eastAsia="宋体" w:cs="宋体"/>
                <w:b w:val="0"/>
                <w:bCs w:val="0"/>
                <w:color w:val="auto"/>
                <w:sz w:val="21"/>
                <w:szCs w:val="21"/>
              </w:rPr>
            </w:pPr>
          </w:p>
        </w:tc>
        <w:tc>
          <w:tcPr>
            <w:tcW w:w="817" w:type="dxa"/>
            <w:vMerge w:val="continue"/>
            <w:tcBorders>
              <w:left w:val="single" w:color="auto" w:sz="4" w:space="0"/>
            </w:tcBorders>
            <w:vAlign w:val="center"/>
          </w:tcPr>
          <w:p w14:paraId="4DDCCFD4">
            <w:pPr>
              <w:jc w:val="center"/>
              <w:rPr>
                <w:rFonts w:hint="eastAsia" w:ascii="宋体" w:hAnsi="宋体" w:eastAsia="宋体" w:cs="宋体"/>
                <w:b w:val="0"/>
                <w:bCs w:val="0"/>
                <w:color w:val="auto"/>
                <w:sz w:val="21"/>
                <w:szCs w:val="21"/>
              </w:rPr>
            </w:pPr>
          </w:p>
        </w:tc>
        <w:tc>
          <w:tcPr>
            <w:tcW w:w="1676" w:type="dxa"/>
            <w:vAlign w:val="center"/>
          </w:tcPr>
          <w:p w14:paraId="4E580DA3">
            <w:pPr>
              <w:autoSpaceDE w:val="0"/>
              <w:autoSpaceDN w:val="0"/>
              <w:adjustRightInd w:val="0"/>
              <w:spacing w:line="360" w:lineRule="auto"/>
              <w:rPr>
                <w:rFonts w:hint="eastAsia" w:ascii="宋体" w:hAnsi="宋体" w:eastAsia="宋体" w:cs="宋体"/>
                <w:b w:val="0"/>
                <w:bCs w:val="0"/>
                <w:color w:val="auto"/>
                <w:sz w:val="21"/>
                <w:szCs w:val="21"/>
              </w:rPr>
            </w:pPr>
            <w:r>
              <w:rPr>
                <w:rFonts w:hint="eastAsia" w:ascii="宋体" w:hAnsi="宋体" w:eastAsia="宋体" w:cs="宋体"/>
                <w:color w:val="000000"/>
                <w:kern w:val="0"/>
                <w:szCs w:val="21"/>
              </w:rPr>
              <w:t>公共机构节能减排实施方案及工作措施（满分4分）</w:t>
            </w:r>
          </w:p>
        </w:tc>
        <w:tc>
          <w:tcPr>
            <w:tcW w:w="5986" w:type="dxa"/>
            <w:gridSpan w:val="2"/>
            <w:vAlign w:val="center"/>
          </w:tcPr>
          <w:p w14:paraId="058BD624">
            <w:pPr>
              <w:spacing w:line="300" w:lineRule="exact"/>
              <w:rPr>
                <w:rFonts w:ascii="宋体" w:hAnsi="宋体" w:eastAsia="宋体" w:cs="宋体"/>
                <w:b/>
                <w:color w:val="000000"/>
                <w:szCs w:val="21"/>
              </w:rPr>
            </w:pPr>
            <w:r>
              <w:rPr>
                <w:rFonts w:hint="eastAsia" w:ascii="宋体" w:hAnsi="宋体" w:eastAsia="宋体" w:cs="宋体"/>
                <w:b/>
                <w:color w:val="000000"/>
                <w:szCs w:val="21"/>
              </w:rPr>
              <w:t>公共机构节能减排实施方案及工作措施（满分4分）</w:t>
            </w:r>
          </w:p>
          <w:p w14:paraId="129E3F94">
            <w:pPr>
              <w:pStyle w:val="11"/>
              <w:rPr>
                <w:rFonts w:hint="eastAsia"/>
                <w:highlight w:val="none"/>
              </w:rPr>
            </w:pPr>
            <w:r>
              <w:rPr>
                <w:rFonts w:hint="eastAsia"/>
                <w:highlight w:val="none"/>
              </w:rPr>
              <w:t>投标人提供贯彻落实节约型公共机构建设相关要求，提供（1）节能减排服务方案（2）对投标人节能、节水、节材、节支及绿色低碳运行的日常管理。</w:t>
            </w:r>
          </w:p>
          <w:p w14:paraId="547C834F">
            <w:pPr>
              <w:pStyle w:val="11"/>
              <w:rPr>
                <w:rFonts w:hint="eastAsia"/>
                <w:highlight w:val="none"/>
              </w:rPr>
            </w:pPr>
            <w:r>
              <w:rPr>
                <w:rFonts w:hint="eastAsia"/>
                <w:highlight w:val="none"/>
              </w:rPr>
              <w:t>评标委员会根据投标人提供的以上2个方面内容进行综合评审，完全满足以上2个方面内容得</w:t>
            </w:r>
            <w:r>
              <w:rPr>
                <w:rFonts w:hint="eastAsia"/>
                <w:highlight w:val="none"/>
                <w:lang w:val="en-US" w:eastAsia="zh-CN"/>
              </w:rPr>
              <w:t>4</w:t>
            </w:r>
            <w:r>
              <w:rPr>
                <w:rFonts w:hint="eastAsia"/>
                <w:highlight w:val="none"/>
              </w:rPr>
              <w:t>分，每缺少一个方面内容扣</w:t>
            </w:r>
            <w:r>
              <w:rPr>
                <w:rFonts w:hint="eastAsia"/>
                <w:highlight w:val="none"/>
                <w:lang w:val="en-US" w:eastAsia="zh-CN"/>
              </w:rPr>
              <w:t>2</w:t>
            </w:r>
            <w:r>
              <w:rPr>
                <w:rFonts w:hint="eastAsia"/>
                <w:highlight w:val="none"/>
              </w:rPr>
              <w:t>分，每个方面有内容存在不足的扣</w:t>
            </w:r>
            <w:r>
              <w:rPr>
                <w:rFonts w:hint="eastAsia"/>
                <w:highlight w:val="none"/>
                <w:lang w:val="en-US" w:eastAsia="zh-CN"/>
              </w:rPr>
              <w:t>1</w:t>
            </w:r>
            <w:r>
              <w:rPr>
                <w:rFonts w:hint="eastAsia"/>
                <w:highlight w:val="none"/>
              </w:rPr>
              <w:t>分。</w:t>
            </w:r>
          </w:p>
          <w:p w14:paraId="29CD8500">
            <w:pPr>
              <w:pStyle w:val="11"/>
              <w:rPr>
                <w:rFonts w:hint="eastAsia"/>
                <w:highlight w:val="none"/>
              </w:rPr>
            </w:pPr>
            <w:r>
              <w:rPr>
                <w:rFonts w:hint="eastAsia"/>
                <w:highlight w:val="none"/>
              </w:rPr>
              <w:t>注：完全满足是指：1.投标人针对本项目上述要求提出的内容全面、完整详细；</w:t>
            </w:r>
          </w:p>
          <w:p w14:paraId="1A981466">
            <w:pPr>
              <w:pStyle w:val="11"/>
              <w:rPr>
                <w:rFonts w:hint="eastAsia"/>
                <w:highlight w:val="none"/>
              </w:rPr>
            </w:pPr>
            <w:r>
              <w:rPr>
                <w:rFonts w:hint="eastAsia"/>
                <w:highlight w:val="none"/>
              </w:rPr>
              <w:t>2.思路及条理清晰，科学、合理；</w:t>
            </w:r>
          </w:p>
          <w:p w14:paraId="390C136E">
            <w:pPr>
              <w:pStyle w:val="11"/>
              <w:rPr>
                <w:rFonts w:hint="eastAsia"/>
                <w:highlight w:val="none"/>
              </w:rPr>
            </w:pPr>
            <w:r>
              <w:rPr>
                <w:rFonts w:hint="eastAsia"/>
                <w:highlight w:val="none"/>
              </w:rPr>
              <w:t>3.具有针对性及可行性；</w:t>
            </w:r>
          </w:p>
          <w:p w14:paraId="20DCD0C9">
            <w:pPr>
              <w:pStyle w:val="11"/>
              <w:rPr>
                <w:rFonts w:hint="eastAsia"/>
                <w:highlight w:val="none"/>
              </w:rPr>
            </w:pPr>
            <w:r>
              <w:rPr>
                <w:rFonts w:hint="eastAsia"/>
                <w:highlight w:val="none"/>
              </w:rPr>
              <w:t>4.贴合项目实际，能满足采购人实际需求；</w:t>
            </w:r>
          </w:p>
          <w:p w14:paraId="224E8139">
            <w:pPr>
              <w:pStyle w:val="11"/>
              <w:rPr>
                <w:rFonts w:hint="eastAsia"/>
                <w:highlight w:val="none"/>
              </w:rPr>
            </w:pPr>
            <w:r>
              <w:rPr>
                <w:rFonts w:hint="eastAsia"/>
                <w:highlight w:val="none"/>
              </w:rPr>
              <w:t>5.有明确具体的服务措施。</w:t>
            </w:r>
          </w:p>
          <w:p w14:paraId="7C21FD33">
            <w:pPr>
              <w:spacing w:line="300" w:lineRule="exact"/>
              <w:rPr>
                <w:rFonts w:hint="eastAsia" w:ascii="宋体" w:hAnsi="宋体" w:eastAsia="宋体" w:cs="宋体"/>
                <w:b w:val="0"/>
                <w:bCs w:val="0"/>
                <w:color w:val="auto"/>
                <w:sz w:val="21"/>
                <w:szCs w:val="21"/>
              </w:rPr>
            </w:pPr>
            <w:r>
              <w:rPr>
                <w:rFonts w:hint="eastAsia"/>
                <w:highlight w:val="none"/>
              </w:rPr>
              <w:t>不足是指：以上5个方面任意1方面有缺陷或瑕疵。</w:t>
            </w:r>
          </w:p>
        </w:tc>
      </w:tr>
      <w:tr w14:paraId="0B763F3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01" w:hRule="atLeast"/>
          <w:jc w:val="center"/>
        </w:trPr>
        <w:tc>
          <w:tcPr>
            <w:tcW w:w="817" w:type="dxa"/>
            <w:vMerge w:val="continue"/>
            <w:tcBorders>
              <w:right w:val="single" w:color="auto" w:sz="4" w:space="0"/>
            </w:tcBorders>
            <w:vAlign w:val="center"/>
          </w:tcPr>
          <w:p w14:paraId="62E16F9B">
            <w:pPr>
              <w:jc w:val="center"/>
              <w:rPr>
                <w:rFonts w:hint="eastAsia" w:ascii="宋体" w:hAnsi="宋体" w:eastAsia="宋体" w:cs="宋体"/>
                <w:b w:val="0"/>
                <w:bCs w:val="0"/>
                <w:color w:val="auto"/>
                <w:sz w:val="21"/>
                <w:szCs w:val="21"/>
              </w:rPr>
            </w:pPr>
          </w:p>
        </w:tc>
        <w:tc>
          <w:tcPr>
            <w:tcW w:w="817" w:type="dxa"/>
            <w:vMerge w:val="continue"/>
            <w:tcBorders>
              <w:left w:val="single" w:color="auto" w:sz="4" w:space="0"/>
            </w:tcBorders>
            <w:vAlign w:val="center"/>
          </w:tcPr>
          <w:p w14:paraId="6EDC8C61">
            <w:pPr>
              <w:jc w:val="center"/>
              <w:rPr>
                <w:rFonts w:hint="eastAsia" w:ascii="宋体" w:hAnsi="宋体" w:eastAsia="宋体" w:cs="宋体"/>
                <w:b w:val="0"/>
                <w:bCs w:val="0"/>
                <w:color w:val="auto"/>
                <w:sz w:val="21"/>
                <w:szCs w:val="21"/>
              </w:rPr>
            </w:pPr>
          </w:p>
        </w:tc>
        <w:tc>
          <w:tcPr>
            <w:tcW w:w="1676" w:type="dxa"/>
            <w:vAlign w:val="center"/>
          </w:tcPr>
          <w:p w14:paraId="467E8FD9">
            <w:pPr>
              <w:spacing w:line="300" w:lineRule="exact"/>
              <w:rPr>
                <w:rFonts w:ascii="宋体" w:hAnsi="宋体"/>
                <w:color w:val="000000"/>
                <w:szCs w:val="21"/>
              </w:rPr>
            </w:pPr>
            <w:r>
              <w:rPr>
                <w:rFonts w:hint="eastAsia" w:ascii="宋体" w:hAnsi="宋体"/>
                <w:color w:val="000000"/>
                <w:szCs w:val="21"/>
              </w:rPr>
              <w:t>项目组织计划（满分4分）</w:t>
            </w:r>
          </w:p>
          <w:p w14:paraId="69CEEF2C">
            <w:pPr>
              <w:jc w:val="center"/>
              <w:rPr>
                <w:rFonts w:hint="eastAsia" w:ascii="宋体" w:hAnsi="宋体" w:eastAsia="宋体" w:cs="宋体"/>
                <w:b w:val="0"/>
                <w:bCs w:val="0"/>
                <w:color w:val="auto"/>
                <w:sz w:val="21"/>
                <w:szCs w:val="21"/>
              </w:rPr>
            </w:pPr>
          </w:p>
        </w:tc>
        <w:tc>
          <w:tcPr>
            <w:tcW w:w="5986" w:type="dxa"/>
            <w:gridSpan w:val="2"/>
            <w:vAlign w:val="center"/>
          </w:tcPr>
          <w:p w14:paraId="4C2AA2A4">
            <w:pPr>
              <w:spacing w:line="300" w:lineRule="exact"/>
              <w:rPr>
                <w:rFonts w:ascii="宋体" w:hAnsi="宋体"/>
                <w:b/>
                <w:color w:val="000000"/>
                <w:szCs w:val="21"/>
              </w:rPr>
            </w:pPr>
            <w:r>
              <w:rPr>
                <w:rFonts w:hint="eastAsia" w:ascii="宋体" w:hAnsi="宋体"/>
                <w:b/>
                <w:color w:val="000000"/>
                <w:szCs w:val="21"/>
              </w:rPr>
              <w:t>项目组织计划（满分4分）</w:t>
            </w:r>
          </w:p>
          <w:p w14:paraId="67D49422">
            <w:pPr>
              <w:pStyle w:val="11"/>
              <w:rPr>
                <w:rFonts w:hint="eastAsia"/>
                <w:highlight w:val="none"/>
              </w:rPr>
            </w:pPr>
            <w:r>
              <w:rPr>
                <w:rFonts w:hint="eastAsia"/>
                <w:highlight w:val="none"/>
              </w:rPr>
              <w:t>根据本项目物业管理服务特点提出：（1）</w:t>
            </w:r>
            <w:r>
              <w:rPr>
                <w:rFonts w:hint="eastAsia"/>
                <w:highlight w:val="none"/>
                <w:lang w:eastAsia="zh-CN"/>
              </w:rPr>
              <w:t>有完善的项目组织计划；</w:t>
            </w:r>
            <w:r>
              <w:rPr>
                <w:rFonts w:hint="eastAsia"/>
                <w:highlight w:val="none"/>
              </w:rPr>
              <w:t>（2）</w:t>
            </w:r>
            <w:r>
              <w:rPr>
                <w:rFonts w:hint="eastAsia"/>
                <w:highlight w:val="none"/>
                <w:lang w:eastAsia="zh-CN"/>
              </w:rPr>
              <w:t>有完善的项目管理机构及组织构架；（</w:t>
            </w:r>
            <w:r>
              <w:rPr>
                <w:rFonts w:hint="eastAsia"/>
                <w:highlight w:val="none"/>
                <w:lang w:val="en-US" w:eastAsia="zh-CN"/>
              </w:rPr>
              <w:t>3</w:t>
            </w:r>
            <w:r>
              <w:rPr>
                <w:rFonts w:hint="eastAsia"/>
                <w:highlight w:val="none"/>
                <w:lang w:eastAsia="zh-CN"/>
              </w:rPr>
              <w:t>）能够满足本项目落地实施；（</w:t>
            </w:r>
            <w:r>
              <w:rPr>
                <w:rFonts w:hint="eastAsia"/>
                <w:highlight w:val="none"/>
                <w:lang w:val="en-US" w:eastAsia="zh-CN"/>
              </w:rPr>
              <w:t>4</w:t>
            </w:r>
            <w:r>
              <w:rPr>
                <w:rFonts w:hint="eastAsia"/>
                <w:highlight w:val="none"/>
                <w:lang w:eastAsia="zh-CN"/>
              </w:rPr>
              <w:t>）对本项目管理实施有详细规章制度无缺漏、能有效进行管理实施</w:t>
            </w:r>
            <w:r>
              <w:rPr>
                <w:rFonts w:hint="eastAsia"/>
                <w:highlight w:val="none"/>
              </w:rPr>
              <w:t>。</w:t>
            </w:r>
          </w:p>
          <w:p w14:paraId="6B7A9095">
            <w:pPr>
              <w:pStyle w:val="11"/>
              <w:rPr>
                <w:rFonts w:hint="eastAsia"/>
                <w:highlight w:val="none"/>
              </w:rPr>
            </w:pPr>
            <w:r>
              <w:rPr>
                <w:rFonts w:hint="eastAsia"/>
                <w:highlight w:val="none"/>
              </w:rPr>
              <w:t>评标委员会根据投标人提供的以上</w:t>
            </w:r>
            <w:r>
              <w:rPr>
                <w:rFonts w:hint="eastAsia"/>
                <w:highlight w:val="none"/>
                <w:lang w:val="en-US" w:eastAsia="zh-CN"/>
              </w:rPr>
              <w:t>4</w:t>
            </w:r>
            <w:r>
              <w:rPr>
                <w:rFonts w:hint="eastAsia"/>
                <w:highlight w:val="none"/>
              </w:rPr>
              <w:t>个方面内容进行综合评审，完全满足以上</w:t>
            </w:r>
            <w:r>
              <w:rPr>
                <w:rFonts w:hint="eastAsia"/>
                <w:highlight w:val="none"/>
                <w:lang w:val="en-US" w:eastAsia="zh-CN"/>
              </w:rPr>
              <w:t>4</w:t>
            </w:r>
            <w:r>
              <w:rPr>
                <w:rFonts w:hint="eastAsia"/>
                <w:highlight w:val="none"/>
              </w:rPr>
              <w:t>个方面内容得</w:t>
            </w:r>
            <w:r>
              <w:rPr>
                <w:rFonts w:hint="eastAsia"/>
                <w:highlight w:val="none"/>
                <w:lang w:val="en-US" w:eastAsia="zh-CN"/>
              </w:rPr>
              <w:t>4</w:t>
            </w:r>
            <w:r>
              <w:rPr>
                <w:rFonts w:hint="eastAsia"/>
                <w:highlight w:val="none"/>
              </w:rPr>
              <w:t>分，每缺少一个方面内容扣</w:t>
            </w:r>
            <w:r>
              <w:rPr>
                <w:rFonts w:hint="eastAsia"/>
                <w:highlight w:val="none"/>
                <w:lang w:val="en-US" w:eastAsia="zh-CN"/>
              </w:rPr>
              <w:t>1</w:t>
            </w:r>
            <w:r>
              <w:rPr>
                <w:rFonts w:hint="eastAsia"/>
                <w:highlight w:val="none"/>
              </w:rPr>
              <w:t>分，每个方面有内容存在不足的扣</w:t>
            </w:r>
            <w:r>
              <w:rPr>
                <w:rFonts w:hint="eastAsia"/>
                <w:highlight w:val="none"/>
                <w:lang w:val="en-US" w:eastAsia="zh-CN"/>
              </w:rPr>
              <w:t>0.5</w:t>
            </w:r>
            <w:r>
              <w:rPr>
                <w:rFonts w:hint="eastAsia"/>
                <w:highlight w:val="none"/>
              </w:rPr>
              <w:t>分。</w:t>
            </w:r>
          </w:p>
          <w:p w14:paraId="50C88C06">
            <w:pPr>
              <w:pStyle w:val="11"/>
              <w:rPr>
                <w:rFonts w:hint="eastAsia"/>
                <w:highlight w:val="none"/>
              </w:rPr>
            </w:pPr>
            <w:r>
              <w:rPr>
                <w:rFonts w:hint="eastAsia"/>
                <w:highlight w:val="none"/>
              </w:rPr>
              <w:t>注：完全满足是指：1.投标人针对本项目上述要求提出的内容全面、完整详细；</w:t>
            </w:r>
          </w:p>
          <w:p w14:paraId="68F47C3C">
            <w:pPr>
              <w:pStyle w:val="11"/>
              <w:rPr>
                <w:rFonts w:hint="eastAsia"/>
                <w:highlight w:val="none"/>
              </w:rPr>
            </w:pPr>
            <w:r>
              <w:rPr>
                <w:rFonts w:hint="eastAsia"/>
                <w:highlight w:val="none"/>
              </w:rPr>
              <w:t>2.思路及条理清晰，科学、合理；</w:t>
            </w:r>
          </w:p>
          <w:p w14:paraId="077F04E9">
            <w:pPr>
              <w:pStyle w:val="11"/>
              <w:rPr>
                <w:rFonts w:hint="eastAsia"/>
                <w:highlight w:val="none"/>
              </w:rPr>
            </w:pPr>
            <w:r>
              <w:rPr>
                <w:rFonts w:hint="eastAsia"/>
                <w:highlight w:val="none"/>
              </w:rPr>
              <w:t>3.具有针对性及可行性；</w:t>
            </w:r>
          </w:p>
          <w:p w14:paraId="6125FDCE">
            <w:pPr>
              <w:pStyle w:val="11"/>
              <w:rPr>
                <w:rFonts w:hint="eastAsia"/>
                <w:highlight w:val="none"/>
              </w:rPr>
            </w:pPr>
            <w:r>
              <w:rPr>
                <w:rFonts w:hint="eastAsia"/>
                <w:highlight w:val="none"/>
              </w:rPr>
              <w:t>4.贴合项目实际，能满足采购人实际需求；</w:t>
            </w:r>
          </w:p>
          <w:p w14:paraId="36972023">
            <w:pPr>
              <w:pStyle w:val="11"/>
              <w:rPr>
                <w:rFonts w:hint="eastAsia"/>
                <w:highlight w:val="none"/>
              </w:rPr>
            </w:pPr>
            <w:r>
              <w:rPr>
                <w:rFonts w:hint="eastAsia"/>
                <w:highlight w:val="none"/>
              </w:rPr>
              <w:t>5.有明确具体的服务措施。</w:t>
            </w:r>
          </w:p>
          <w:p w14:paraId="72E05474">
            <w:pPr>
              <w:spacing w:line="300" w:lineRule="exact"/>
              <w:rPr>
                <w:rFonts w:hint="eastAsia" w:ascii="宋体" w:hAnsi="宋体" w:eastAsia="宋体" w:cs="宋体"/>
                <w:b w:val="0"/>
                <w:bCs w:val="0"/>
                <w:color w:val="auto"/>
                <w:sz w:val="21"/>
                <w:szCs w:val="21"/>
              </w:rPr>
            </w:pPr>
            <w:r>
              <w:rPr>
                <w:rFonts w:hint="eastAsia"/>
                <w:highlight w:val="none"/>
              </w:rPr>
              <w:t>不足是指：以上5个方面任意1方面有缺陷或瑕疵。</w:t>
            </w:r>
          </w:p>
        </w:tc>
      </w:tr>
      <w:tr w14:paraId="2594140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01" w:hRule="atLeast"/>
          <w:jc w:val="center"/>
        </w:trPr>
        <w:tc>
          <w:tcPr>
            <w:tcW w:w="817" w:type="dxa"/>
            <w:vMerge w:val="continue"/>
            <w:tcBorders>
              <w:right w:val="single" w:color="auto" w:sz="4" w:space="0"/>
            </w:tcBorders>
            <w:vAlign w:val="center"/>
          </w:tcPr>
          <w:p w14:paraId="6954340D">
            <w:pPr>
              <w:jc w:val="center"/>
              <w:rPr>
                <w:rFonts w:hint="eastAsia" w:ascii="宋体" w:hAnsi="宋体" w:eastAsia="宋体" w:cs="宋体"/>
                <w:b w:val="0"/>
                <w:bCs w:val="0"/>
                <w:color w:val="auto"/>
                <w:sz w:val="21"/>
                <w:szCs w:val="21"/>
              </w:rPr>
            </w:pPr>
          </w:p>
        </w:tc>
        <w:tc>
          <w:tcPr>
            <w:tcW w:w="817" w:type="dxa"/>
            <w:vMerge w:val="continue"/>
            <w:tcBorders>
              <w:left w:val="single" w:color="auto" w:sz="4" w:space="0"/>
            </w:tcBorders>
            <w:vAlign w:val="center"/>
          </w:tcPr>
          <w:p w14:paraId="20F41EEA">
            <w:pPr>
              <w:jc w:val="center"/>
              <w:rPr>
                <w:rFonts w:hint="eastAsia" w:ascii="宋体" w:hAnsi="宋体" w:eastAsia="宋体" w:cs="宋体"/>
                <w:b w:val="0"/>
                <w:bCs w:val="0"/>
                <w:color w:val="auto"/>
                <w:sz w:val="21"/>
                <w:szCs w:val="21"/>
              </w:rPr>
            </w:pPr>
          </w:p>
        </w:tc>
        <w:tc>
          <w:tcPr>
            <w:tcW w:w="1676" w:type="dxa"/>
            <w:vAlign w:val="center"/>
          </w:tcPr>
          <w:p w14:paraId="38FB94D5">
            <w:pPr>
              <w:rPr>
                <w:rFonts w:hint="eastAsia" w:ascii="宋体" w:hAnsi="宋体" w:eastAsia="宋体" w:cs="宋体"/>
                <w:b w:val="0"/>
                <w:bCs w:val="0"/>
                <w:color w:val="auto"/>
                <w:sz w:val="21"/>
                <w:szCs w:val="21"/>
              </w:rPr>
            </w:pPr>
            <w:r>
              <w:rPr>
                <w:rFonts w:hint="eastAsia" w:ascii="宋体" w:hAnsi="宋体" w:eastAsia="宋体"/>
                <w:color w:val="000000"/>
                <w:szCs w:val="21"/>
                <w:highlight w:val="none"/>
              </w:rPr>
              <w:t>项目接管及合同期满退出方案（满分4分）</w:t>
            </w:r>
          </w:p>
        </w:tc>
        <w:tc>
          <w:tcPr>
            <w:tcW w:w="5986" w:type="dxa"/>
            <w:gridSpan w:val="2"/>
            <w:vAlign w:val="center"/>
          </w:tcPr>
          <w:p w14:paraId="305AB8D1">
            <w:pPr>
              <w:spacing w:line="300" w:lineRule="exact"/>
              <w:rPr>
                <w:rFonts w:ascii="宋体" w:hAnsi="宋体" w:eastAsia="宋体"/>
                <w:b/>
                <w:bCs/>
                <w:color w:val="000000"/>
                <w:szCs w:val="21"/>
                <w:highlight w:val="none"/>
              </w:rPr>
            </w:pPr>
            <w:r>
              <w:rPr>
                <w:rFonts w:hint="eastAsia" w:ascii="宋体" w:hAnsi="宋体" w:eastAsia="宋体"/>
                <w:b/>
                <w:bCs/>
                <w:color w:val="000000"/>
                <w:szCs w:val="21"/>
                <w:highlight w:val="none"/>
              </w:rPr>
              <w:t>项目接管及合同期满退出方案（满分4分）</w:t>
            </w:r>
          </w:p>
          <w:p w14:paraId="4BDC161D">
            <w:pPr>
              <w:pStyle w:val="11"/>
              <w:rPr>
                <w:rFonts w:hint="eastAsia"/>
                <w:highlight w:val="none"/>
              </w:rPr>
            </w:pPr>
            <w:r>
              <w:rPr>
                <w:rFonts w:hint="eastAsia"/>
                <w:highlight w:val="none"/>
              </w:rPr>
              <w:t>根据本项目物业管理服务特点提出：（1）</w:t>
            </w:r>
            <w:r>
              <w:rPr>
                <w:rFonts w:hint="eastAsia"/>
                <w:highlight w:val="none"/>
                <w:lang w:eastAsia="zh-CN"/>
              </w:rPr>
              <w:t>有完善的</w:t>
            </w:r>
            <w:r>
              <w:rPr>
                <w:rFonts w:hint="eastAsia"/>
                <w:highlight w:val="none"/>
              </w:rPr>
              <w:t>工作交接</w:t>
            </w:r>
            <w:r>
              <w:rPr>
                <w:rFonts w:hint="eastAsia"/>
                <w:highlight w:val="none"/>
                <w:lang w:eastAsia="zh-CN"/>
              </w:rPr>
              <w:t>方案；</w:t>
            </w:r>
            <w:r>
              <w:rPr>
                <w:rFonts w:hint="eastAsia"/>
                <w:highlight w:val="none"/>
              </w:rPr>
              <w:t>（2）</w:t>
            </w:r>
            <w:r>
              <w:rPr>
                <w:rFonts w:hint="eastAsia"/>
                <w:highlight w:val="none"/>
                <w:lang w:eastAsia="zh-CN"/>
              </w:rPr>
              <w:t>该项目配套人、财、物等方面的落实细则</w:t>
            </w:r>
            <w:r>
              <w:rPr>
                <w:rFonts w:hint="eastAsia"/>
                <w:highlight w:val="none"/>
              </w:rPr>
              <w:t>。</w:t>
            </w:r>
          </w:p>
          <w:p w14:paraId="139B54C8">
            <w:pPr>
              <w:pStyle w:val="11"/>
              <w:rPr>
                <w:rFonts w:hint="eastAsia"/>
                <w:highlight w:val="none"/>
              </w:rPr>
            </w:pPr>
            <w:r>
              <w:rPr>
                <w:rFonts w:hint="eastAsia"/>
                <w:highlight w:val="none"/>
              </w:rPr>
              <w:t>评标委员会根据投标人提供的以上2个方面内容进行综合评审，完全满足以上2个方面内容得</w:t>
            </w:r>
            <w:r>
              <w:rPr>
                <w:rFonts w:hint="eastAsia"/>
                <w:highlight w:val="none"/>
                <w:lang w:val="en-US" w:eastAsia="zh-CN"/>
              </w:rPr>
              <w:t>4</w:t>
            </w:r>
            <w:r>
              <w:rPr>
                <w:rFonts w:hint="eastAsia"/>
                <w:highlight w:val="none"/>
              </w:rPr>
              <w:t>分，每缺少一个方面内容扣</w:t>
            </w:r>
            <w:r>
              <w:rPr>
                <w:rFonts w:hint="eastAsia"/>
                <w:highlight w:val="none"/>
                <w:lang w:val="en-US" w:eastAsia="zh-CN"/>
              </w:rPr>
              <w:t>2</w:t>
            </w:r>
            <w:r>
              <w:rPr>
                <w:rFonts w:hint="eastAsia"/>
                <w:highlight w:val="none"/>
              </w:rPr>
              <w:t>分，每个方面有内容存在不足的扣</w:t>
            </w:r>
            <w:r>
              <w:rPr>
                <w:rFonts w:hint="eastAsia"/>
                <w:highlight w:val="none"/>
                <w:lang w:val="en-US" w:eastAsia="zh-CN"/>
              </w:rPr>
              <w:t>1</w:t>
            </w:r>
            <w:r>
              <w:rPr>
                <w:rFonts w:hint="eastAsia"/>
                <w:highlight w:val="none"/>
              </w:rPr>
              <w:t>分。</w:t>
            </w:r>
          </w:p>
          <w:p w14:paraId="4F55CEA4">
            <w:pPr>
              <w:pStyle w:val="11"/>
              <w:rPr>
                <w:rFonts w:hint="eastAsia"/>
                <w:highlight w:val="none"/>
              </w:rPr>
            </w:pPr>
            <w:r>
              <w:rPr>
                <w:rFonts w:hint="eastAsia"/>
                <w:highlight w:val="none"/>
              </w:rPr>
              <w:t>注：完全满足是指：1.投标人针对本项目上述要求提出的内容全面、完整详细；</w:t>
            </w:r>
          </w:p>
          <w:p w14:paraId="2963D363">
            <w:pPr>
              <w:pStyle w:val="11"/>
              <w:rPr>
                <w:rFonts w:hint="eastAsia"/>
                <w:highlight w:val="none"/>
              </w:rPr>
            </w:pPr>
            <w:r>
              <w:rPr>
                <w:rFonts w:hint="eastAsia"/>
                <w:highlight w:val="none"/>
              </w:rPr>
              <w:t>2.思路及条理清晰，科学、合理；</w:t>
            </w:r>
          </w:p>
          <w:p w14:paraId="1EE96285">
            <w:pPr>
              <w:pStyle w:val="11"/>
              <w:rPr>
                <w:rFonts w:hint="eastAsia"/>
                <w:highlight w:val="none"/>
              </w:rPr>
            </w:pPr>
            <w:r>
              <w:rPr>
                <w:rFonts w:hint="eastAsia"/>
                <w:highlight w:val="none"/>
              </w:rPr>
              <w:t>3.具有针对性及可行性；</w:t>
            </w:r>
          </w:p>
          <w:p w14:paraId="7BEA01C3">
            <w:pPr>
              <w:pStyle w:val="11"/>
              <w:rPr>
                <w:rFonts w:hint="eastAsia"/>
                <w:highlight w:val="none"/>
              </w:rPr>
            </w:pPr>
            <w:r>
              <w:rPr>
                <w:rFonts w:hint="eastAsia"/>
                <w:highlight w:val="none"/>
              </w:rPr>
              <w:t>4.贴合项目实际，能满足采购人实际需求；</w:t>
            </w:r>
          </w:p>
          <w:p w14:paraId="786AF099">
            <w:pPr>
              <w:pStyle w:val="11"/>
              <w:rPr>
                <w:rFonts w:hint="eastAsia"/>
                <w:highlight w:val="none"/>
              </w:rPr>
            </w:pPr>
            <w:r>
              <w:rPr>
                <w:rFonts w:hint="eastAsia"/>
                <w:highlight w:val="none"/>
              </w:rPr>
              <w:t>5.有明确具体的服务措施。</w:t>
            </w:r>
          </w:p>
          <w:p w14:paraId="0F9D196F">
            <w:pPr>
              <w:spacing w:line="300" w:lineRule="exact"/>
              <w:rPr>
                <w:rFonts w:hint="eastAsia" w:ascii="宋体" w:hAnsi="宋体" w:eastAsia="宋体" w:cs="宋体"/>
                <w:b w:val="0"/>
                <w:bCs w:val="0"/>
                <w:color w:val="auto"/>
                <w:sz w:val="21"/>
                <w:szCs w:val="21"/>
              </w:rPr>
            </w:pPr>
            <w:r>
              <w:rPr>
                <w:rFonts w:hint="eastAsia"/>
                <w:highlight w:val="none"/>
              </w:rPr>
              <w:t>不足是指：以上5个方面任意1方面有缺陷或瑕疵。</w:t>
            </w:r>
          </w:p>
        </w:tc>
      </w:tr>
      <w:tr w14:paraId="30C8287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01" w:hRule="atLeast"/>
          <w:jc w:val="center"/>
        </w:trPr>
        <w:tc>
          <w:tcPr>
            <w:tcW w:w="817" w:type="dxa"/>
            <w:vMerge w:val="continue"/>
            <w:tcBorders>
              <w:right w:val="single" w:color="auto" w:sz="4" w:space="0"/>
            </w:tcBorders>
            <w:vAlign w:val="center"/>
          </w:tcPr>
          <w:p w14:paraId="2D602083">
            <w:pPr>
              <w:jc w:val="center"/>
              <w:rPr>
                <w:rFonts w:hint="eastAsia" w:ascii="宋体" w:hAnsi="宋体" w:eastAsia="宋体" w:cs="宋体"/>
                <w:b w:val="0"/>
                <w:bCs w:val="0"/>
                <w:color w:val="auto"/>
                <w:sz w:val="21"/>
                <w:szCs w:val="21"/>
              </w:rPr>
            </w:pPr>
          </w:p>
        </w:tc>
        <w:tc>
          <w:tcPr>
            <w:tcW w:w="817" w:type="dxa"/>
            <w:vMerge w:val="continue"/>
            <w:tcBorders>
              <w:left w:val="single" w:color="auto" w:sz="4" w:space="0"/>
            </w:tcBorders>
            <w:vAlign w:val="center"/>
          </w:tcPr>
          <w:p w14:paraId="091868CC">
            <w:pPr>
              <w:jc w:val="center"/>
              <w:rPr>
                <w:rFonts w:hint="eastAsia" w:ascii="宋体" w:hAnsi="宋体" w:eastAsia="宋体" w:cs="宋体"/>
                <w:b w:val="0"/>
                <w:bCs w:val="0"/>
                <w:color w:val="auto"/>
                <w:sz w:val="21"/>
                <w:szCs w:val="21"/>
              </w:rPr>
            </w:pPr>
          </w:p>
        </w:tc>
        <w:tc>
          <w:tcPr>
            <w:tcW w:w="1676" w:type="dxa"/>
            <w:vAlign w:val="center"/>
          </w:tcPr>
          <w:p w14:paraId="44E41B2B">
            <w:pPr>
              <w:jc w:val="center"/>
              <w:rPr>
                <w:rFonts w:hint="eastAsia" w:ascii="宋体" w:hAnsi="宋体" w:eastAsia="宋体" w:cs="宋体"/>
                <w:b w:val="0"/>
                <w:bCs w:val="0"/>
                <w:color w:val="auto"/>
                <w:sz w:val="21"/>
                <w:szCs w:val="21"/>
              </w:rPr>
            </w:pPr>
            <w:r>
              <w:rPr>
                <w:rFonts w:hint="eastAsia" w:ascii="宋体" w:hAnsi="宋体" w:cs="宋体"/>
                <w:color w:val="000000"/>
                <w:spacing w:val="6"/>
                <w:szCs w:val="21"/>
              </w:rPr>
              <w:t>违约处罚措施</w:t>
            </w:r>
            <w:r>
              <w:rPr>
                <w:rFonts w:hint="eastAsia" w:ascii="宋体" w:hAnsi="宋体" w:cs="宋体"/>
                <w:color w:val="000000"/>
                <w:szCs w:val="21"/>
              </w:rPr>
              <w:t>（满分4分）</w:t>
            </w:r>
          </w:p>
        </w:tc>
        <w:tc>
          <w:tcPr>
            <w:tcW w:w="5986" w:type="dxa"/>
            <w:gridSpan w:val="2"/>
            <w:vAlign w:val="center"/>
          </w:tcPr>
          <w:p w14:paraId="6E8B0FDB">
            <w:pPr>
              <w:spacing w:line="300" w:lineRule="exact"/>
              <w:rPr>
                <w:rFonts w:ascii="宋体" w:hAnsi="宋体" w:cs="宋体"/>
                <w:b/>
                <w:color w:val="000000"/>
                <w:szCs w:val="21"/>
              </w:rPr>
            </w:pPr>
            <w:r>
              <w:rPr>
                <w:rFonts w:hint="eastAsia" w:ascii="宋体" w:hAnsi="宋体" w:cs="宋体"/>
                <w:b/>
                <w:color w:val="000000"/>
                <w:spacing w:val="6"/>
                <w:szCs w:val="21"/>
              </w:rPr>
              <w:t>违约处罚措施</w:t>
            </w:r>
            <w:r>
              <w:rPr>
                <w:rFonts w:hint="eastAsia" w:ascii="宋体" w:hAnsi="宋体" w:cs="宋体"/>
                <w:b/>
                <w:color w:val="000000"/>
                <w:szCs w:val="21"/>
              </w:rPr>
              <w:t>（满分4分）</w:t>
            </w:r>
          </w:p>
          <w:p w14:paraId="72C06000">
            <w:pPr>
              <w:pStyle w:val="11"/>
              <w:rPr>
                <w:rFonts w:hint="eastAsia"/>
                <w:highlight w:val="none"/>
              </w:rPr>
            </w:pPr>
            <w:r>
              <w:rPr>
                <w:rFonts w:hint="eastAsia"/>
                <w:highlight w:val="none"/>
              </w:rPr>
              <w:t>根据投标人提出的‌违约处罚措施</w:t>
            </w:r>
          </w:p>
          <w:p w14:paraId="6B39FDC3">
            <w:pPr>
              <w:pStyle w:val="11"/>
              <w:rPr>
                <w:rFonts w:hint="eastAsia"/>
                <w:highlight w:val="none"/>
              </w:rPr>
            </w:pPr>
            <w:r>
              <w:rPr>
                <w:rFonts w:hint="eastAsia"/>
                <w:highlight w:val="none"/>
              </w:rPr>
              <w:t>‌（包括：①违约责任界定标准；②违约处罚措施。）</w:t>
            </w:r>
          </w:p>
          <w:p w14:paraId="29862B3D">
            <w:pPr>
              <w:pStyle w:val="11"/>
              <w:rPr>
                <w:rFonts w:hint="eastAsia"/>
                <w:highlight w:val="none"/>
              </w:rPr>
            </w:pPr>
            <w:r>
              <w:rPr>
                <w:rFonts w:hint="eastAsia"/>
                <w:highlight w:val="none"/>
              </w:rPr>
              <w:t>完全满足以上2个方面内容得</w:t>
            </w:r>
            <w:r>
              <w:rPr>
                <w:rFonts w:hint="eastAsia"/>
                <w:highlight w:val="none"/>
                <w:lang w:val="en-US" w:eastAsia="zh-CN"/>
              </w:rPr>
              <w:t>4</w:t>
            </w:r>
            <w:r>
              <w:rPr>
                <w:rFonts w:hint="eastAsia"/>
                <w:highlight w:val="none"/>
              </w:rPr>
              <w:t>分，每缺少一个方面内容或内容无关本项目扣</w:t>
            </w:r>
            <w:r>
              <w:rPr>
                <w:rFonts w:hint="eastAsia"/>
                <w:highlight w:val="none"/>
                <w:lang w:val="en-US" w:eastAsia="zh-CN"/>
              </w:rPr>
              <w:t>2</w:t>
            </w:r>
            <w:r>
              <w:rPr>
                <w:rFonts w:hint="eastAsia"/>
                <w:highlight w:val="none"/>
              </w:rPr>
              <w:t>分，每个方面有内容存在不足的扣</w:t>
            </w:r>
            <w:r>
              <w:rPr>
                <w:rFonts w:hint="eastAsia"/>
                <w:highlight w:val="none"/>
                <w:lang w:val="en-US" w:eastAsia="zh-CN"/>
              </w:rPr>
              <w:t>1</w:t>
            </w:r>
            <w:r>
              <w:rPr>
                <w:rFonts w:hint="eastAsia"/>
                <w:highlight w:val="none"/>
              </w:rPr>
              <w:t>分</w:t>
            </w:r>
          </w:p>
          <w:p w14:paraId="770247FA">
            <w:pPr>
              <w:pStyle w:val="11"/>
              <w:rPr>
                <w:rFonts w:hint="eastAsia"/>
                <w:highlight w:val="none"/>
              </w:rPr>
            </w:pPr>
            <w:r>
              <w:rPr>
                <w:rFonts w:hint="eastAsia"/>
                <w:highlight w:val="none"/>
              </w:rPr>
              <w:t>注：完全满足是指：1.违约责任明确，有具体的处罚细则措施，条款设计符合项目实际需求；</w:t>
            </w:r>
          </w:p>
          <w:p w14:paraId="74C0F896">
            <w:pPr>
              <w:pStyle w:val="11"/>
              <w:rPr>
                <w:rFonts w:hint="eastAsia"/>
                <w:highlight w:val="none"/>
              </w:rPr>
            </w:pPr>
            <w:r>
              <w:rPr>
                <w:rFonts w:hint="eastAsia"/>
                <w:highlight w:val="none"/>
              </w:rPr>
              <w:t>2.思路及条理清晰，科学、合理；</w:t>
            </w:r>
          </w:p>
          <w:p w14:paraId="03C0EBC6">
            <w:pPr>
              <w:pStyle w:val="11"/>
              <w:rPr>
                <w:rFonts w:hint="eastAsia"/>
                <w:highlight w:val="none"/>
              </w:rPr>
            </w:pPr>
            <w:r>
              <w:rPr>
                <w:rFonts w:hint="eastAsia"/>
                <w:highlight w:val="none"/>
              </w:rPr>
              <w:t>3.具有针对性及可行性；</w:t>
            </w:r>
          </w:p>
          <w:p w14:paraId="5AFFA9A0">
            <w:pPr>
              <w:pStyle w:val="11"/>
              <w:rPr>
                <w:rFonts w:hint="eastAsia"/>
                <w:highlight w:val="none"/>
              </w:rPr>
            </w:pPr>
            <w:r>
              <w:rPr>
                <w:rFonts w:hint="eastAsia"/>
                <w:highlight w:val="none"/>
              </w:rPr>
              <w:t>4.贴合项目实际，能满足采购人实际需求；</w:t>
            </w:r>
          </w:p>
          <w:p w14:paraId="064A4273">
            <w:pPr>
              <w:pStyle w:val="11"/>
              <w:rPr>
                <w:rFonts w:hint="eastAsia"/>
                <w:highlight w:val="none"/>
              </w:rPr>
            </w:pPr>
            <w:r>
              <w:rPr>
                <w:rFonts w:hint="eastAsia"/>
                <w:highlight w:val="none"/>
              </w:rPr>
              <w:t>5.有明确具体的服务措施。</w:t>
            </w:r>
          </w:p>
          <w:p w14:paraId="1857A642">
            <w:pPr>
              <w:pStyle w:val="11"/>
              <w:rPr>
                <w:rFonts w:hint="eastAsia"/>
                <w:highlight w:val="none"/>
              </w:rPr>
            </w:pPr>
            <w:r>
              <w:rPr>
                <w:rFonts w:hint="eastAsia"/>
                <w:highlight w:val="none"/>
              </w:rPr>
              <w:t>不足是指：以上5个方面任意1方面有缺陷或瑕疵。</w:t>
            </w:r>
          </w:p>
          <w:p w14:paraId="73044E9E">
            <w:pPr>
              <w:rPr>
                <w:rFonts w:hint="eastAsia" w:ascii="宋体" w:hAnsi="宋体" w:eastAsia="宋体" w:cs="宋体"/>
                <w:b w:val="0"/>
                <w:bCs w:val="0"/>
                <w:color w:val="auto"/>
                <w:sz w:val="21"/>
                <w:szCs w:val="21"/>
              </w:rPr>
            </w:pPr>
            <w:r>
              <w:rPr>
                <w:rFonts w:hint="eastAsia"/>
                <w:highlight w:val="none"/>
              </w:rPr>
              <w:t>完全复制粘贴采购需求的视为不满足，得0分。</w:t>
            </w:r>
          </w:p>
        </w:tc>
      </w:tr>
      <w:tr w14:paraId="0A26D44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01" w:hRule="atLeast"/>
          <w:jc w:val="center"/>
        </w:trPr>
        <w:tc>
          <w:tcPr>
            <w:tcW w:w="817" w:type="dxa"/>
            <w:vMerge w:val="continue"/>
            <w:tcBorders>
              <w:right w:val="single" w:color="auto" w:sz="4" w:space="0"/>
            </w:tcBorders>
            <w:vAlign w:val="center"/>
          </w:tcPr>
          <w:p w14:paraId="2D75D1C3">
            <w:pPr>
              <w:jc w:val="center"/>
              <w:rPr>
                <w:rFonts w:hint="eastAsia" w:ascii="宋体" w:hAnsi="宋体" w:eastAsia="宋体" w:cs="宋体"/>
                <w:b w:val="0"/>
                <w:bCs w:val="0"/>
                <w:color w:val="auto"/>
                <w:sz w:val="21"/>
                <w:szCs w:val="21"/>
              </w:rPr>
            </w:pPr>
            <w:bookmarkStart w:id="559" w:name="_GoBack" w:colFirst="2" w:colLast="3"/>
          </w:p>
        </w:tc>
        <w:tc>
          <w:tcPr>
            <w:tcW w:w="817" w:type="dxa"/>
            <w:vMerge w:val="continue"/>
            <w:tcBorders>
              <w:left w:val="single" w:color="auto" w:sz="4" w:space="0"/>
            </w:tcBorders>
            <w:vAlign w:val="center"/>
          </w:tcPr>
          <w:p w14:paraId="31B04054">
            <w:pPr>
              <w:jc w:val="center"/>
              <w:rPr>
                <w:rFonts w:hint="eastAsia" w:ascii="宋体" w:hAnsi="宋体" w:eastAsia="宋体" w:cs="宋体"/>
                <w:b w:val="0"/>
                <w:bCs w:val="0"/>
                <w:color w:val="auto"/>
                <w:sz w:val="21"/>
                <w:szCs w:val="21"/>
              </w:rPr>
            </w:pPr>
          </w:p>
        </w:tc>
        <w:tc>
          <w:tcPr>
            <w:tcW w:w="1676" w:type="dxa"/>
            <w:vAlign w:val="center"/>
          </w:tcPr>
          <w:p w14:paraId="3FF54776">
            <w:pPr>
              <w:autoSpaceDE w:val="0"/>
              <w:autoSpaceDN w:val="0"/>
              <w:adjustRightInd w:val="0"/>
              <w:spacing w:line="360" w:lineRule="auto"/>
              <w:jc w:val="center"/>
              <w:rPr>
                <w:rFonts w:hint="eastAsia" w:ascii="宋体" w:hAnsi="宋体" w:eastAsia="宋体" w:cs="宋体"/>
                <w:b w:val="0"/>
                <w:bCs w:val="0"/>
                <w:color w:val="auto"/>
                <w:sz w:val="21"/>
                <w:szCs w:val="21"/>
              </w:rPr>
            </w:pPr>
            <w:r>
              <w:rPr>
                <w:rFonts w:hint="eastAsia" w:ascii="宋体" w:hAnsi="宋体" w:cs="宋体"/>
                <w:color w:val="000000"/>
                <w:kern w:val="0"/>
                <w:szCs w:val="21"/>
              </w:rPr>
              <w:t>类似项目业绩（满分3分）</w:t>
            </w:r>
          </w:p>
        </w:tc>
        <w:tc>
          <w:tcPr>
            <w:tcW w:w="5986" w:type="dxa"/>
            <w:gridSpan w:val="2"/>
            <w:vAlign w:val="center"/>
          </w:tcPr>
          <w:p w14:paraId="2964B4FB">
            <w:pPr>
              <w:spacing w:line="300" w:lineRule="exact"/>
              <w:rPr>
                <w:rFonts w:ascii="宋体" w:hAnsi="宋体" w:cs="宋体"/>
                <w:b/>
                <w:bCs/>
                <w:color w:val="000000"/>
                <w:szCs w:val="21"/>
              </w:rPr>
            </w:pPr>
            <w:r>
              <w:rPr>
                <w:rFonts w:hint="eastAsia" w:ascii="宋体" w:hAnsi="宋体" w:eastAsia="宋体"/>
                <w:b/>
                <w:bCs/>
                <w:color w:val="000000"/>
                <w:szCs w:val="21"/>
              </w:rPr>
              <w:t>提供类似项目业绩，</w:t>
            </w:r>
            <w:r>
              <w:rPr>
                <w:rFonts w:hint="eastAsia" w:ascii="宋体" w:hAnsi="宋体" w:eastAsia="宋体"/>
                <w:color w:val="000000"/>
                <w:szCs w:val="21"/>
              </w:rPr>
              <w:t>每提供一份业绩的得1分</w:t>
            </w:r>
            <w:r>
              <w:rPr>
                <w:rFonts w:hint="eastAsia" w:ascii="宋体" w:hAnsi="宋体" w:cs="宋体"/>
                <w:b/>
                <w:color w:val="000000"/>
                <w:szCs w:val="21"/>
              </w:rPr>
              <w:t>（同一项目不同年度签订的合同算一个类似项目业绩）</w:t>
            </w:r>
            <w:r>
              <w:rPr>
                <w:rFonts w:hint="eastAsia" w:ascii="宋体" w:hAnsi="宋体" w:eastAsia="宋体"/>
                <w:color w:val="000000"/>
                <w:szCs w:val="21"/>
              </w:rPr>
              <w:t>，满分3分，加满为止。</w:t>
            </w:r>
          </w:p>
          <w:p w14:paraId="21EEDF37">
            <w:pPr>
              <w:spacing w:line="300" w:lineRule="exact"/>
              <w:rPr>
                <w:rFonts w:hint="eastAsia" w:ascii="宋体" w:hAnsi="宋体" w:eastAsia="宋体" w:cs="宋体"/>
                <w:b w:val="0"/>
                <w:bCs w:val="0"/>
                <w:color w:val="auto"/>
                <w:sz w:val="21"/>
                <w:szCs w:val="21"/>
              </w:rPr>
            </w:pPr>
            <w:r>
              <w:rPr>
                <w:rFonts w:hint="eastAsia" w:ascii="宋体" w:hAnsi="宋体" w:eastAsia="宋体"/>
                <w:color w:val="000000"/>
                <w:szCs w:val="21"/>
              </w:rPr>
              <w:t>注：业绩证明材料须提供</w:t>
            </w:r>
            <w:r>
              <w:rPr>
                <w:rFonts w:hint="eastAsia" w:ascii="宋体" w:hAnsi="宋体" w:cs="宋体"/>
                <w:color w:val="000000"/>
                <w:spacing w:val="15"/>
                <w:szCs w:val="21"/>
              </w:rPr>
              <w:t>2023年01月</w:t>
            </w:r>
            <w:r>
              <w:rPr>
                <w:rFonts w:hint="eastAsia" w:ascii="宋体" w:hAnsi="宋体" w:eastAsia="宋体"/>
                <w:color w:val="000000"/>
                <w:szCs w:val="21"/>
              </w:rPr>
              <w:t>至今类似项目业绩的合同复印件等证明材料</w:t>
            </w:r>
            <w:r>
              <w:rPr>
                <w:rFonts w:hint="eastAsia"/>
                <w:color w:val="000000"/>
              </w:rPr>
              <w:t>，</w:t>
            </w:r>
            <w:r>
              <w:rPr>
                <w:rFonts w:hint="eastAsia"/>
                <w:b/>
                <w:color w:val="000000"/>
              </w:rPr>
              <w:t>并同时提供</w:t>
            </w:r>
            <w:r>
              <w:rPr>
                <w:b/>
                <w:color w:val="000000"/>
              </w:rPr>
              <w:t>执行合同情况的客户评价书</w:t>
            </w:r>
            <w:r>
              <w:rPr>
                <w:rFonts w:hint="eastAsia" w:ascii="宋体" w:hAnsi="宋体" w:eastAsia="宋体"/>
                <w:b/>
                <w:color w:val="000000"/>
                <w:szCs w:val="21"/>
              </w:rPr>
              <w:t>，无证明材料或证明材料不明确、不齐全、不一致、无法体现业绩内容的或用户反馈意见不良的不得分，</w:t>
            </w:r>
            <w:r>
              <w:rPr>
                <w:rFonts w:hint="eastAsia" w:ascii="宋体" w:hAnsi="宋体" w:eastAsia="宋体"/>
                <w:color w:val="000000"/>
                <w:szCs w:val="21"/>
              </w:rPr>
              <w:t>如业绩合同不能反映项目内容，须另附业主证明等相关证明材料。</w:t>
            </w:r>
          </w:p>
        </w:tc>
      </w:tr>
      <w:bookmarkEnd w:id="559"/>
      <w:tr w14:paraId="146FB63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15" w:hRule="atLeast"/>
          <w:jc w:val="center"/>
        </w:trPr>
        <w:tc>
          <w:tcPr>
            <w:tcW w:w="817" w:type="dxa"/>
            <w:vMerge w:val="continue"/>
            <w:tcBorders>
              <w:right w:val="single" w:color="auto" w:sz="4" w:space="0"/>
            </w:tcBorders>
            <w:vAlign w:val="center"/>
          </w:tcPr>
          <w:p w14:paraId="4299FC62">
            <w:pPr>
              <w:jc w:val="center"/>
            </w:pPr>
          </w:p>
        </w:tc>
        <w:tc>
          <w:tcPr>
            <w:tcW w:w="817" w:type="dxa"/>
            <w:vMerge w:val="continue"/>
            <w:tcBorders>
              <w:left w:val="single" w:color="auto" w:sz="4" w:space="0"/>
            </w:tcBorders>
            <w:vAlign w:val="center"/>
          </w:tcPr>
          <w:p w14:paraId="016FAF79">
            <w:pPr>
              <w:jc w:val="center"/>
            </w:pPr>
          </w:p>
        </w:tc>
        <w:tc>
          <w:tcPr>
            <w:tcW w:w="7662" w:type="dxa"/>
            <w:gridSpan w:val="3"/>
            <w:vAlign w:val="center"/>
          </w:tcPr>
          <w:p w14:paraId="74B34897">
            <w:pPr>
              <w:rPr>
                <w:rFonts w:hint="eastAsia" w:ascii="宋体" w:hAnsi="宋体" w:cs="宋体"/>
                <w:b/>
                <w:color w:val="auto"/>
                <w:szCs w:val="21"/>
                <w:highlight w:val="none"/>
                <w:u w:val="single"/>
              </w:rPr>
            </w:pPr>
            <w:r>
              <w:rPr>
                <w:rFonts w:hint="eastAsia" w:ascii="宋体" w:hAnsi="宋体" w:cs="宋体"/>
                <w:b/>
                <w:color w:val="auto"/>
                <w:szCs w:val="21"/>
                <w:highlight w:val="none"/>
              </w:rPr>
              <w:t>备注：对各投标人投标文件的商务部分独立进行分挡评分。</w:t>
            </w:r>
          </w:p>
        </w:tc>
      </w:tr>
      <w:tr w14:paraId="2F168049">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tcBorders>
              <w:bottom w:val="single" w:color="auto" w:sz="4" w:space="0"/>
            </w:tcBorders>
            <w:vAlign w:val="center"/>
          </w:tcPr>
          <w:p w14:paraId="5F9BE828">
            <w:pPr>
              <w:jc w:val="center"/>
              <w:rPr>
                <w:rFonts w:hint="eastAsia" w:ascii="宋体" w:hAnsi="宋体" w:cs="宋体"/>
                <w:color w:val="auto"/>
                <w:szCs w:val="21"/>
                <w:highlight w:val="none"/>
              </w:rPr>
            </w:pPr>
            <w:r>
              <w:rPr>
                <w:rFonts w:hint="eastAsia" w:ascii="宋体" w:hAnsi="宋体" w:cs="宋体"/>
                <w:b/>
                <w:color w:val="auto"/>
                <w:szCs w:val="21"/>
                <w:highlight w:val="none"/>
              </w:rPr>
              <w:t>条款号</w:t>
            </w:r>
          </w:p>
        </w:tc>
        <w:tc>
          <w:tcPr>
            <w:tcW w:w="2439" w:type="dxa"/>
            <w:gridSpan w:val="2"/>
            <w:vAlign w:val="center"/>
          </w:tcPr>
          <w:p w14:paraId="7E58876B">
            <w:pPr>
              <w:jc w:val="center"/>
              <w:rPr>
                <w:rFonts w:hint="eastAsia" w:ascii="宋体" w:hAnsi="宋体" w:cs="宋体"/>
                <w:b/>
                <w:color w:val="auto"/>
                <w:szCs w:val="21"/>
                <w:highlight w:val="none"/>
              </w:rPr>
            </w:pPr>
            <w:r>
              <w:rPr>
                <w:rFonts w:hint="eastAsia" w:ascii="宋体" w:hAnsi="宋体" w:cs="宋体"/>
                <w:b/>
                <w:color w:val="auto"/>
                <w:szCs w:val="21"/>
                <w:highlight w:val="none"/>
              </w:rPr>
              <w:t>评分因素</w:t>
            </w:r>
          </w:p>
        </w:tc>
        <w:tc>
          <w:tcPr>
            <w:tcW w:w="5223" w:type="dxa"/>
            <w:vAlign w:val="center"/>
          </w:tcPr>
          <w:p w14:paraId="12A02571">
            <w:pPr>
              <w:jc w:val="center"/>
              <w:rPr>
                <w:rFonts w:hint="eastAsia" w:ascii="宋体" w:hAnsi="宋体" w:cs="宋体"/>
                <w:b/>
                <w:color w:val="auto"/>
                <w:szCs w:val="21"/>
                <w:highlight w:val="none"/>
              </w:rPr>
            </w:pPr>
            <w:r>
              <w:rPr>
                <w:rFonts w:hint="eastAsia" w:ascii="宋体" w:hAnsi="宋体" w:cs="宋体"/>
                <w:b/>
                <w:color w:val="auto"/>
                <w:szCs w:val="21"/>
                <w:highlight w:val="none"/>
              </w:rPr>
              <w:t>评分标准</w:t>
            </w:r>
          </w:p>
        </w:tc>
      </w:tr>
      <w:tr w14:paraId="431A8F1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34" w:type="dxa"/>
            <w:gridSpan w:val="2"/>
            <w:tcBorders>
              <w:bottom w:val="single" w:color="auto" w:sz="4" w:space="0"/>
            </w:tcBorders>
            <w:vAlign w:val="center"/>
          </w:tcPr>
          <w:p w14:paraId="108DD447">
            <w:pPr>
              <w:jc w:val="center"/>
              <w:rPr>
                <w:rFonts w:hint="eastAsia" w:ascii="宋体" w:hAnsi="宋体" w:cs="宋体"/>
                <w:color w:val="auto"/>
                <w:szCs w:val="21"/>
                <w:highlight w:val="none"/>
              </w:rPr>
            </w:pPr>
            <w:r>
              <w:rPr>
                <w:rFonts w:hint="eastAsia" w:ascii="宋体" w:hAnsi="宋体" w:cs="宋体"/>
                <w:color w:val="auto"/>
                <w:szCs w:val="21"/>
                <w:highlight w:val="none"/>
              </w:rPr>
              <w:t>2.2.3</w:t>
            </w:r>
          </w:p>
        </w:tc>
        <w:tc>
          <w:tcPr>
            <w:tcW w:w="2439" w:type="dxa"/>
            <w:gridSpan w:val="2"/>
            <w:vAlign w:val="center"/>
          </w:tcPr>
          <w:p w14:paraId="1F9D6752">
            <w:pPr>
              <w:jc w:val="center"/>
              <w:rPr>
                <w:rFonts w:hint="eastAsia" w:ascii="宋体" w:hAnsi="宋体" w:cs="宋体"/>
                <w:b/>
                <w:color w:val="auto"/>
                <w:szCs w:val="21"/>
                <w:highlight w:val="none"/>
              </w:rPr>
            </w:pPr>
            <w:r>
              <w:rPr>
                <w:rFonts w:hint="eastAsia" w:ascii="宋体" w:hAnsi="宋体" w:cs="宋体"/>
                <w:color w:val="auto"/>
                <w:kern w:val="0"/>
                <w:szCs w:val="21"/>
                <w:highlight w:val="none"/>
              </w:rPr>
              <w:t>评标基准价计算方法</w:t>
            </w:r>
          </w:p>
        </w:tc>
        <w:tc>
          <w:tcPr>
            <w:tcW w:w="5223" w:type="dxa"/>
            <w:vAlign w:val="center"/>
          </w:tcPr>
          <w:p w14:paraId="3C25C18C">
            <w:pPr>
              <w:rPr>
                <w:rFonts w:hint="eastAsia" w:ascii="宋体" w:hAnsi="宋体" w:cs="宋体"/>
                <w:b/>
                <w:color w:val="auto"/>
                <w:szCs w:val="21"/>
                <w:highlight w:val="none"/>
              </w:rPr>
            </w:pPr>
            <w:r>
              <w:rPr>
                <w:rFonts w:hint="eastAsia" w:ascii="宋体" w:hAnsi="宋体" w:cs="宋体"/>
                <w:color w:val="auto"/>
                <w:kern w:val="0"/>
                <w:szCs w:val="21"/>
                <w:highlight w:val="none"/>
              </w:rPr>
              <w:t>满足招标文件要求且投标价格最低的投标报价为评标基准价</w:t>
            </w:r>
          </w:p>
        </w:tc>
      </w:tr>
      <w:tr w14:paraId="4B40E85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05" w:hRule="atLeast"/>
          <w:jc w:val="center"/>
        </w:trPr>
        <w:tc>
          <w:tcPr>
            <w:tcW w:w="817" w:type="dxa"/>
            <w:vMerge w:val="restart"/>
            <w:tcBorders>
              <w:top w:val="single" w:color="auto" w:sz="4" w:space="0"/>
              <w:right w:val="single" w:color="auto" w:sz="4" w:space="0"/>
            </w:tcBorders>
            <w:vAlign w:val="center"/>
          </w:tcPr>
          <w:p w14:paraId="597CE452">
            <w:pPr>
              <w:jc w:val="center"/>
              <w:rPr>
                <w:rFonts w:hint="eastAsia" w:ascii="宋体" w:hAnsi="宋体" w:cs="宋体"/>
                <w:color w:val="auto"/>
                <w:highlight w:val="none"/>
              </w:rPr>
            </w:pPr>
            <w:r>
              <w:rPr>
                <w:rFonts w:hint="eastAsia" w:ascii="宋体" w:hAnsi="宋体" w:cs="宋体"/>
                <w:color w:val="auto"/>
                <w:highlight w:val="none"/>
              </w:rPr>
              <w:t>2.2.2（3）</w:t>
            </w:r>
          </w:p>
        </w:tc>
        <w:tc>
          <w:tcPr>
            <w:tcW w:w="817" w:type="dxa"/>
            <w:vMerge w:val="restart"/>
            <w:tcBorders>
              <w:top w:val="single" w:color="auto" w:sz="4" w:space="0"/>
              <w:left w:val="single" w:color="auto" w:sz="4" w:space="0"/>
            </w:tcBorders>
            <w:vAlign w:val="center"/>
          </w:tcPr>
          <w:p w14:paraId="77C82F9B">
            <w:pPr>
              <w:jc w:val="center"/>
              <w:rPr>
                <w:rFonts w:hint="eastAsia" w:ascii="宋体" w:hAnsi="宋体" w:cs="宋体"/>
                <w:color w:val="auto"/>
                <w:szCs w:val="21"/>
                <w:highlight w:val="none"/>
              </w:rPr>
            </w:pPr>
            <w:r>
              <w:rPr>
                <w:rFonts w:hint="eastAsia" w:ascii="宋体" w:hAnsi="宋体" w:cs="宋体"/>
                <w:color w:val="auto"/>
                <w:szCs w:val="21"/>
                <w:highlight w:val="none"/>
              </w:rPr>
              <w:t>投标报价</w:t>
            </w:r>
          </w:p>
          <w:p w14:paraId="5455A162">
            <w:pPr>
              <w:jc w:val="center"/>
              <w:rPr>
                <w:rFonts w:hint="eastAsia" w:ascii="宋体" w:hAnsi="宋体" w:cs="宋体"/>
                <w:color w:val="auto"/>
                <w:szCs w:val="21"/>
                <w:highlight w:val="none"/>
              </w:rPr>
            </w:pPr>
            <w:r>
              <w:rPr>
                <w:rFonts w:hint="eastAsia" w:ascii="宋体" w:hAnsi="宋体" w:cs="宋体"/>
                <w:color w:val="auto"/>
                <w:szCs w:val="21"/>
                <w:highlight w:val="none"/>
              </w:rPr>
              <w:t>F3</w:t>
            </w:r>
          </w:p>
          <w:p w14:paraId="3421A5B4">
            <w:pPr>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2439" w:type="dxa"/>
            <w:gridSpan w:val="2"/>
            <w:vMerge w:val="restart"/>
            <w:vAlign w:val="center"/>
          </w:tcPr>
          <w:p w14:paraId="334D1933">
            <w:pPr>
              <w:jc w:val="center"/>
              <w:rPr>
                <w:rFonts w:hint="eastAsia" w:ascii="宋体" w:hAnsi="宋体" w:cs="宋体"/>
                <w:color w:val="auto"/>
                <w:szCs w:val="21"/>
                <w:highlight w:val="none"/>
              </w:rPr>
            </w:pPr>
            <w:r>
              <w:rPr>
                <w:rFonts w:hint="eastAsia" w:ascii="宋体" w:hAnsi="宋体" w:cs="宋体"/>
                <w:color w:val="auto"/>
                <w:szCs w:val="21"/>
                <w:highlight w:val="none"/>
              </w:rPr>
              <w:t>投标报价评分计算公式</w:t>
            </w:r>
          </w:p>
        </w:tc>
        <w:tc>
          <w:tcPr>
            <w:tcW w:w="5223" w:type="dxa"/>
            <w:vAlign w:val="center"/>
          </w:tcPr>
          <w:p w14:paraId="13D2873C">
            <w:pPr>
              <w:rPr>
                <w:rFonts w:hint="default" w:ascii="宋体" w:hAnsi="宋体" w:cs="宋体"/>
                <w:color w:val="auto"/>
                <w:szCs w:val="21"/>
                <w:highlight w:val="none"/>
                <w:lang w:val="en-US"/>
              </w:rPr>
            </w:pPr>
            <w:r>
              <w:rPr>
                <w:rFonts w:hint="eastAsia" w:ascii="宋体" w:hAnsi="宋体" w:cs="宋体"/>
                <w:color w:val="auto"/>
                <w:szCs w:val="21"/>
                <w:highlight w:val="none"/>
              </w:rPr>
              <w:t>F3＝（</w:t>
            </w:r>
            <w:r>
              <w:rPr>
                <w:rFonts w:hint="eastAsia" w:ascii="宋体" w:hAnsi="宋体" w:cs="宋体"/>
                <w:color w:val="auto"/>
                <w:kern w:val="0"/>
                <w:szCs w:val="21"/>
                <w:highlight w:val="none"/>
              </w:rPr>
              <w:t>评标基准价/该投标人的投标报价）</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20</w:t>
            </w:r>
          </w:p>
        </w:tc>
      </w:tr>
      <w:tr w14:paraId="16E470A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394" w:hRule="atLeast"/>
          <w:jc w:val="center"/>
        </w:trPr>
        <w:tc>
          <w:tcPr>
            <w:tcW w:w="817" w:type="dxa"/>
            <w:vMerge w:val="continue"/>
            <w:tcBorders>
              <w:right w:val="single" w:color="auto" w:sz="4" w:space="0"/>
            </w:tcBorders>
            <w:vAlign w:val="center"/>
          </w:tcPr>
          <w:p w14:paraId="5A988403">
            <w:pPr>
              <w:jc w:val="center"/>
              <w:rPr>
                <w:rFonts w:hint="eastAsia" w:ascii="宋体" w:hAnsi="宋体" w:cs="宋体"/>
                <w:color w:val="auto"/>
                <w:highlight w:val="none"/>
              </w:rPr>
            </w:pPr>
          </w:p>
        </w:tc>
        <w:tc>
          <w:tcPr>
            <w:tcW w:w="817" w:type="dxa"/>
            <w:vMerge w:val="continue"/>
            <w:tcBorders>
              <w:left w:val="single" w:color="auto" w:sz="4" w:space="0"/>
            </w:tcBorders>
            <w:vAlign w:val="center"/>
          </w:tcPr>
          <w:p w14:paraId="759C2B85">
            <w:pPr>
              <w:jc w:val="center"/>
              <w:rPr>
                <w:rFonts w:hint="eastAsia" w:ascii="宋体" w:hAnsi="宋体" w:cs="宋体"/>
                <w:color w:val="auto"/>
                <w:szCs w:val="21"/>
                <w:highlight w:val="none"/>
              </w:rPr>
            </w:pPr>
          </w:p>
        </w:tc>
        <w:tc>
          <w:tcPr>
            <w:tcW w:w="2439" w:type="dxa"/>
            <w:gridSpan w:val="2"/>
            <w:vMerge w:val="continue"/>
            <w:vAlign w:val="center"/>
          </w:tcPr>
          <w:p w14:paraId="2714F0C9">
            <w:pPr>
              <w:jc w:val="center"/>
              <w:rPr>
                <w:rFonts w:hint="eastAsia" w:ascii="宋体" w:hAnsi="宋体" w:cs="宋体"/>
                <w:color w:val="auto"/>
                <w:szCs w:val="21"/>
                <w:highlight w:val="none"/>
              </w:rPr>
            </w:pPr>
          </w:p>
        </w:tc>
        <w:tc>
          <w:tcPr>
            <w:tcW w:w="5223" w:type="dxa"/>
          </w:tcPr>
          <w:p w14:paraId="709ABC13">
            <w:pPr>
              <w:numPr>
                <w:ilvl w:val="0"/>
                <w:numId w:val="0"/>
              </w:numPr>
              <w:rPr>
                <w:rFonts w:hint="eastAsia" w:ascii="宋体"/>
                <w:color w:val="auto"/>
                <w:highlight w:val="none"/>
              </w:rPr>
            </w:pPr>
            <w:r>
              <w:rPr>
                <w:rFonts w:hint="eastAsia" w:ascii="宋体"/>
                <w:color w:val="auto"/>
                <w:highlight w:val="none"/>
              </w:rPr>
              <w:t>注：</w:t>
            </w:r>
          </w:p>
          <w:p w14:paraId="658E691B">
            <w:pPr>
              <w:numPr>
                <w:ilvl w:val="0"/>
                <w:numId w:val="0"/>
              </w:numPr>
              <w:rPr>
                <w:rFonts w:hint="eastAsia" w:ascii="宋体" w:eastAsia="宋体"/>
                <w:color w:val="auto"/>
                <w:highlight w:val="none"/>
                <w:lang w:eastAsia="zh-CN"/>
              </w:rPr>
            </w:pPr>
            <w:r>
              <w:rPr>
                <w:rFonts w:hint="eastAsia" w:ascii="宋体"/>
                <w:color w:val="auto"/>
                <w:highlight w:val="none"/>
              </w:rPr>
              <w:t>1、因落实政府采购政策进行价格调整的，以调整后的价格计算评标基准价和投标报价；</w:t>
            </w:r>
          </w:p>
        </w:tc>
      </w:tr>
    </w:tbl>
    <w:p w14:paraId="291C80B1">
      <w:pPr>
        <w:tabs>
          <w:tab w:val="left" w:pos="817"/>
          <w:tab w:val="left" w:pos="1634"/>
          <w:tab w:val="left" w:pos="4073"/>
        </w:tabs>
        <w:ind w:right="840"/>
        <w:rPr>
          <w:rFonts w:hint="eastAsia" w:ascii="宋体" w:hAnsi="宋体"/>
          <w:color w:val="auto"/>
          <w:highlight w:val="none"/>
        </w:rPr>
      </w:pPr>
    </w:p>
    <w:p w14:paraId="2E1A7007">
      <w:pPr>
        <w:pStyle w:val="3"/>
        <w:numPr>
          <w:ilvl w:val="0"/>
          <w:numId w:val="0"/>
        </w:numPr>
        <w:spacing w:before="0"/>
        <w:rPr>
          <w:rFonts w:hint="eastAsia" w:ascii="宋体" w:hAnsi="宋体" w:eastAsia="宋体" w:cs="宋体"/>
          <w:color w:val="auto"/>
          <w:highlight w:val="none"/>
        </w:rPr>
      </w:pPr>
      <w:bookmarkStart w:id="534" w:name="_Toc26225"/>
      <w:bookmarkStart w:id="535" w:name="_Toc28610"/>
      <w:bookmarkStart w:id="536" w:name="_Toc1779"/>
      <w:bookmarkStart w:id="537" w:name="_Toc11536"/>
      <w:bookmarkStart w:id="538" w:name="_Toc26065"/>
      <w:bookmarkStart w:id="539" w:name="_Toc6634"/>
      <w:bookmarkStart w:id="540" w:name="_Toc468805876"/>
      <w:r>
        <w:rPr>
          <w:rFonts w:hint="eastAsia" w:ascii="宋体" w:hAnsi="宋体" w:eastAsia="宋体" w:cs="宋体"/>
          <w:color w:val="auto"/>
          <w:szCs w:val="28"/>
          <w:highlight w:val="none"/>
        </w:rPr>
        <w:t>1. 评标方法：</w:t>
      </w:r>
      <w:bookmarkEnd w:id="534"/>
      <w:bookmarkEnd w:id="535"/>
      <w:bookmarkEnd w:id="536"/>
      <w:bookmarkEnd w:id="537"/>
      <w:bookmarkEnd w:id="538"/>
      <w:bookmarkEnd w:id="539"/>
      <w:bookmarkEnd w:id="540"/>
    </w:p>
    <w:p w14:paraId="3727FA8B">
      <w:pPr>
        <w:adjustRightIn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本次评标采用综合评分法。评标委员会对通过资格审查、符合性审查的投标文件，按照本章第2.2 款规定的评分标准进行打分，并按得分由高到低顺序推荐中标候选人；得分相同的，按投标报价由低到高顺序排列。得分且投标报价相同的并列。投标文件满足招标文件全部实质性要求，且按照评审因素的量化指标评审得分最高的投标人为排名第一的中标候选人。</w:t>
      </w:r>
    </w:p>
    <w:p w14:paraId="2515B53E">
      <w:pPr>
        <w:pStyle w:val="3"/>
        <w:numPr>
          <w:ilvl w:val="0"/>
          <w:numId w:val="0"/>
        </w:numPr>
        <w:spacing w:before="0"/>
        <w:rPr>
          <w:rFonts w:hint="eastAsia" w:ascii="宋体" w:hAnsi="宋体" w:eastAsia="宋体" w:cs="宋体"/>
          <w:color w:val="auto"/>
          <w:szCs w:val="28"/>
          <w:highlight w:val="none"/>
        </w:rPr>
      </w:pPr>
      <w:bookmarkStart w:id="541" w:name="_Toc8501"/>
      <w:bookmarkStart w:id="542" w:name="_Toc23981"/>
      <w:bookmarkStart w:id="543" w:name="_Toc31009"/>
      <w:bookmarkStart w:id="544" w:name="_Toc25814"/>
      <w:bookmarkStart w:id="545" w:name="_Toc468805877"/>
      <w:bookmarkStart w:id="546" w:name="_Toc5807"/>
      <w:bookmarkStart w:id="547" w:name="_Toc8410"/>
      <w:r>
        <w:rPr>
          <w:rFonts w:hint="eastAsia" w:ascii="宋体" w:hAnsi="宋体" w:eastAsia="宋体" w:cs="宋体"/>
          <w:color w:val="auto"/>
          <w:szCs w:val="28"/>
          <w:highlight w:val="none"/>
        </w:rPr>
        <w:t>2. 评审标准</w:t>
      </w:r>
      <w:bookmarkEnd w:id="541"/>
      <w:bookmarkEnd w:id="542"/>
      <w:bookmarkEnd w:id="543"/>
      <w:bookmarkEnd w:id="544"/>
      <w:bookmarkEnd w:id="545"/>
      <w:bookmarkEnd w:id="546"/>
      <w:bookmarkEnd w:id="547"/>
    </w:p>
    <w:p w14:paraId="0AD66176">
      <w:pPr>
        <w:pStyle w:val="45"/>
        <w:spacing w:line="360" w:lineRule="auto"/>
        <w:rPr>
          <w:rFonts w:hint="eastAsia" w:hAnsi="宋体" w:cs="宋体"/>
          <w:b/>
          <w:color w:val="auto"/>
          <w:sz w:val="24"/>
          <w:highlight w:val="none"/>
        </w:rPr>
      </w:pPr>
      <w:r>
        <w:rPr>
          <w:rFonts w:hint="eastAsia" w:hAnsi="宋体" w:cs="宋体"/>
          <w:b/>
          <w:color w:val="auto"/>
          <w:sz w:val="24"/>
          <w:highlight w:val="none"/>
        </w:rPr>
        <w:t>2.1 符合性审查标准</w:t>
      </w:r>
    </w:p>
    <w:p w14:paraId="09C30FD8">
      <w:pPr>
        <w:pStyle w:val="16"/>
        <w:tabs>
          <w:tab w:val="left" w:pos="2472"/>
        </w:tabs>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符合性审查标准：依据招标文件的规定，从投标文件的有效性、完整性和对招标文件的响应程度进行审查，以确定是否对招标文件的实质性要求作出响应；见评标办法前附表。</w:t>
      </w:r>
    </w:p>
    <w:p w14:paraId="29C02C96">
      <w:pPr>
        <w:pStyle w:val="45"/>
        <w:spacing w:line="360" w:lineRule="auto"/>
        <w:rPr>
          <w:rFonts w:hint="eastAsia" w:hAnsi="宋体" w:cs="宋体"/>
          <w:b/>
          <w:color w:val="auto"/>
          <w:sz w:val="24"/>
          <w:highlight w:val="none"/>
        </w:rPr>
      </w:pPr>
      <w:bookmarkStart w:id="548" w:name="_Toc468805879"/>
      <w:r>
        <w:rPr>
          <w:rFonts w:hint="eastAsia" w:hAnsi="宋体" w:cs="宋体"/>
          <w:b/>
          <w:color w:val="auto"/>
          <w:sz w:val="24"/>
          <w:highlight w:val="none"/>
        </w:rPr>
        <w:t>2.2 分值构成与评分标准</w:t>
      </w:r>
      <w:bookmarkEnd w:id="548"/>
    </w:p>
    <w:p w14:paraId="0C689E76">
      <w:pPr>
        <w:pStyle w:val="16"/>
        <w:tabs>
          <w:tab w:val="left" w:pos="2472"/>
        </w:tabs>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2.2.1分值构成</w:t>
      </w:r>
    </w:p>
    <w:p w14:paraId="16D93299">
      <w:pPr>
        <w:pStyle w:val="16"/>
        <w:tabs>
          <w:tab w:val="left" w:pos="2472"/>
        </w:tabs>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（1）技术部分：见评标办法前附表；</w:t>
      </w:r>
    </w:p>
    <w:p w14:paraId="1E130ECD">
      <w:pPr>
        <w:pStyle w:val="16"/>
        <w:tabs>
          <w:tab w:val="left" w:pos="2472"/>
        </w:tabs>
        <w:spacing w:line="360" w:lineRule="auto"/>
        <w:ind w:firstLine="525" w:firstLineChars="250"/>
        <w:rPr>
          <w:rFonts w:hint="eastAsia" w:hAnsi="宋体" w:cs="宋体"/>
          <w:color w:val="auto"/>
          <w:szCs w:val="21"/>
          <w:highlight w:val="none"/>
        </w:rPr>
      </w:pPr>
      <w:r>
        <w:rPr>
          <w:rFonts w:hint="eastAsia" w:hAnsi="宋体" w:cs="宋体"/>
          <w:color w:val="auto"/>
          <w:szCs w:val="21"/>
          <w:highlight w:val="none"/>
        </w:rPr>
        <w:t>(2) 商务部分：见评标办法前附表；</w:t>
      </w:r>
    </w:p>
    <w:p w14:paraId="3BC42F60">
      <w:pPr>
        <w:pStyle w:val="16"/>
        <w:tabs>
          <w:tab w:val="left" w:pos="2472"/>
        </w:tabs>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（3）投标报价：见评标办法前附表。</w:t>
      </w:r>
    </w:p>
    <w:p w14:paraId="6A3862DF">
      <w:pPr>
        <w:pStyle w:val="16"/>
        <w:tabs>
          <w:tab w:val="left" w:pos="2472"/>
        </w:tabs>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2.2.2评分标准</w:t>
      </w:r>
    </w:p>
    <w:p w14:paraId="2940FF42">
      <w:pPr>
        <w:pStyle w:val="16"/>
        <w:tabs>
          <w:tab w:val="left" w:pos="2472"/>
        </w:tabs>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按招标文件中规定的评标方法和标准，对资格审查和符合性审查合格的投标文件进行商务和技术评估，综合比较与评价。</w:t>
      </w:r>
    </w:p>
    <w:p w14:paraId="6EAEA610">
      <w:pPr>
        <w:pStyle w:val="16"/>
        <w:tabs>
          <w:tab w:val="left" w:pos="2472"/>
        </w:tabs>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（1）技术部分评分标准：见评标办法前附表；</w:t>
      </w:r>
    </w:p>
    <w:p w14:paraId="51A10C34">
      <w:pPr>
        <w:pStyle w:val="16"/>
        <w:tabs>
          <w:tab w:val="left" w:pos="2472"/>
        </w:tabs>
        <w:spacing w:line="360" w:lineRule="auto"/>
        <w:ind w:firstLine="525" w:firstLineChars="250"/>
        <w:rPr>
          <w:rFonts w:hint="eastAsia" w:hAnsi="宋体" w:cs="宋体"/>
          <w:color w:val="auto"/>
          <w:szCs w:val="21"/>
          <w:highlight w:val="none"/>
        </w:rPr>
      </w:pPr>
      <w:r>
        <w:rPr>
          <w:rFonts w:hint="eastAsia" w:hAnsi="宋体" w:cs="宋体"/>
          <w:color w:val="auto"/>
          <w:szCs w:val="21"/>
          <w:highlight w:val="none"/>
        </w:rPr>
        <w:t>(2) 商务部分评分标准：见评标办法前附表；</w:t>
      </w:r>
    </w:p>
    <w:p w14:paraId="00B43231">
      <w:pPr>
        <w:pStyle w:val="16"/>
        <w:tabs>
          <w:tab w:val="left" w:pos="2472"/>
        </w:tabs>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（3）投标报价评分标准：见评标办法前附表。</w:t>
      </w:r>
    </w:p>
    <w:p w14:paraId="401C1B3E">
      <w:pPr>
        <w:pStyle w:val="16"/>
        <w:tabs>
          <w:tab w:val="left" w:pos="2472"/>
        </w:tabs>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2.2.3评标基准价计算方法：见评标办法前附表。</w:t>
      </w:r>
    </w:p>
    <w:p w14:paraId="4410A924">
      <w:pPr>
        <w:pStyle w:val="3"/>
        <w:numPr>
          <w:ilvl w:val="0"/>
          <w:numId w:val="0"/>
        </w:numPr>
        <w:spacing w:before="0"/>
        <w:rPr>
          <w:rFonts w:hint="eastAsia" w:ascii="宋体" w:hAnsi="宋体" w:eastAsia="宋体" w:cs="宋体"/>
          <w:color w:val="auto"/>
          <w:szCs w:val="28"/>
          <w:highlight w:val="none"/>
        </w:rPr>
      </w:pPr>
      <w:bookmarkStart w:id="549" w:name="_Toc32597"/>
      <w:bookmarkStart w:id="550" w:name="_Toc31002"/>
      <w:bookmarkStart w:id="551" w:name="_Toc26970"/>
      <w:bookmarkStart w:id="552" w:name="_Toc468805880"/>
      <w:bookmarkStart w:id="553" w:name="_Toc1401"/>
      <w:bookmarkStart w:id="554" w:name="_Toc6975"/>
      <w:bookmarkStart w:id="555" w:name="_Toc28746"/>
      <w:r>
        <w:rPr>
          <w:rFonts w:hint="eastAsia" w:ascii="宋体" w:hAnsi="宋体" w:eastAsia="宋体" w:cs="宋体"/>
          <w:color w:val="auto"/>
          <w:szCs w:val="28"/>
          <w:highlight w:val="none"/>
        </w:rPr>
        <w:t>3. 评标程序</w:t>
      </w:r>
      <w:bookmarkEnd w:id="549"/>
      <w:bookmarkEnd w:id="550"/>
      <w:bookmarkEnd w:id="551"/>
      <w:bookmarkEnd w:id="552"/>
      <w:bookmarkEnd w:id="553"/>
      <w:bookmarkEnd w:id="554"/>
      <w:bookmarkEnd w:id="555"/>
    </w:p>
    <w:p w14:paraId="44630F08">
      <w:pPr>
        <w:pStyle w:val="45"/>
        <w:spacing w:line="360" w:lineRule="auto"/>
        <w:rPr>
          <w:rFonts w:hint="eastAsia" w:hAnsi="宋体" w:cs="宋体"/>
          <w:b/>
          <w:color w:val="auto"/>
          <w:sz w:val="24"/>
          <w:highlight w:val="none"/>
        </w:rPr>
      </w:pPr>
      <w:r>
        <w:rPr>
          <w:rFonts w:hint="eastAsia" w:hAnsi="宋体" w:cs="宋体"/>
          <w:b/>
          <w:color w:val="auto"/>
          <w:sz w:val="24"/>
          <w:highlight w:val="none"/>
        </w:rPr>
        <w:t>3.1 符合性审查</w:t>
      </w:r>
    </w:p>
    <w:p w14:paraId="1FAEBA37">
      <w:pPr>
        <w:pStyle w:val="16"/>
        <w:tabs>
          <w:tab w:val="left" w:pos="2472"/>
        </w:tabs>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评标委员会依据本章第2.1项规定的标准对资格审查合格的投标文件进行符合性审查。有一项不符合评审标准的，投标无效。</w:t>
      </w:r>
    </w:p>
    <w:p w14:paraId="7ADA6FFE">
      <w:pPr>
        <w:pStyle w:val="45"/>
        <w:spacing w:line="360" w:lineRule="auto"/>
        <w:rPr>
          <w:rFonts w:hint="eastAsia" w:hAnsi="宋体" w:cs="宋体"/>
          <w:b/>
          <w:color w:val="auto"/>
          <w:sz w:val="24"/>
          <w:highlight w:val="none"/>
        </w:rPr>
      </w:pPr>
      <w:bookmarkStart w:id="556" w:name="_Toc468805882"/>
      <w:r>
        <w:rPr>
          <w:rFonts w:hint="eastAsia" w:hAnsi="宋体" w:cs="宋体"/>
          <w:b/>
          <w:color w:val="auto"/>
          <w:sz w:val="24"/>
          <w:highlight w:val="none"/>
        </w:rPr>
        <w:t>3.2</w:t>
      </w:r>
      <w:bookmarkEnd w:id="556"/>
      <w:r>
        <w:rPr>
          <w:rFonts w:hint="eastAsia" w:hAnsi="宋体" w:cs="宋体"/>
          <w:b/>
          <w:color w:val="auto"/>
          <w:sz w:val="24"/>
          <w:highlight w:val="none"/>
        </w:rPr>
        <w:t>商务和技术评估，综合比较与评价</w:t>
      </w:r>
    </w:p>
    <w:p w14:paraId="17F5EB32">
      <w:pPr>
        <w:pStyle w:val="16"/>
        <w:tabs>
          <w:tab w:val="left" w:pos="2472"/>
        </w:tabs>
        <w:spacing w:line="360" w:lineRule="auto"/>
        <w:ind w:firstLine="420" w:firstLineChars="200"/>
        <w:rPr>
          <w:rFonts w:hint="eastAsia" w:ascii="宋体" w:hAnsi="宋体" w:eastAsia="宋体" w:cs="宋体"/>
          <w:color w:val="auto"/>
          <w:szCs w:val="21"/>
          <w:highlight w:val="none"/>
        </w:rPr>
      </w:pPr>
      <w:bookmarkStart w:id="557" w:name="_Toc468805883"/>
      <w:r>
        <w:rPr>
          <w:rFonts w:hint="eastAsia" w:ascii="宋体" w:hAnsi="宋体" w:eastAsia="宋体" w:cs="宋体"/>
          <w:color w:val="auto"/>
          <w:szCs w:val="21"/>
          <w:highlight w:val="none"/>
        </w:rPr>
        <w:t>3.2.1 评标委员会按本章第2.2款规定的量化因素和分值进行打分，并计算出投标人的评标总得分。</w:t>
      </w:r>
    </w:p>
    <w:p w14:paraId="76829FA5">
      <w:pPr>
        <w:pStyle w:val="16"/>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（1）按本章第2.2.2（1）目规定的评审因素和分值对技术部分计算出得分F1；</w:t>
      </w:r>
    </w:p>
    <w:p w14:paraId="37514533">
      <w:pPr>
        <w:pStyle w:val="16"/>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（2）按本章第2.2.2（2）目规定的评审因素和分值对商务部分计算出得分F2；</w:t>
      </w:r>
    </w:p>
    <w:p w14:paraId="5B2DEF0D">
      <w:pPr>
        <w:pStyle w:val="16"/>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（3）按本章第2.2.2（3）目规定的评审因素和分值对投标报价计算出得分F3，并计算投标报价评分分值；</w:t>
      </w:r>
    </w:p>
    <w:p w14:paraId="0B342788">
      <w:pPr>
        <w:pStyle w:val="16"/>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（4）按本章第2.2.1项所列公式计算评标总得分。</w:t>
      </w:r>
    </w:p>
    <w:p w14:paraId="28CAE975">
      <w:pPr>
        <w:pStyle w:val="16"/>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3.2.2技术部分（F1）和商务部分（F2）得分由评标委员会成员独立评分，计算各投标人得分的算术平均值计入各投标人总分。</w:t>
      </w:r>
    </w:p>
    <w:p w14:paraId="7411C814">
      <w:pPr>
        <w:pStyle w:val="16"/>
        <w:tabs>
          <w:tab w:val="left" w:pos="2472"/>
        </w:tabs>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3.2.3评标委员会认为投标人的报价明显低于其他通过符合性审查投标人的报价，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根据财库〔2026〕2号文件相关规定，投标人出现下列情形之一的，评审委员会应当启动异常低价投标（响应）审查程序：</w:t>
      </w:r>
    </w:p>
    <w:p w14:paraId="369A2E3B">
      <w:pPr>
        <w:pStyle w:val="16"/>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3.2.3.1.投标（响应）报价低于全部通过符合性审查供应商投标（响应）报价平均值</w:t>
      </w:r>
      <w:r>
        <w:rPr>
          <w:rFonts w:hint="eastAsia" w:hAnsi="宋体" w:cs="宋体"/>
          <w:color w:val="auto"/>
          <w:szCs w:val="21"/>
          <w:highlight w:val="none"/>
          <w:lang w:val="en-US" w:eastAsia="zh-CN"/>
        </w:rPr>
        <w:t>65</w:t>
      </w:r>
      <w:r>
        <w:rPr>
          <w:rFonts w:hint="eastAsia" w:ascii="宋体" w:hAnsi="宋体" w:eastAsia="宋体" w:cs="宋体"/>
          <w:color w:val="auto"/>
          <w:szCs w:val="21"/>
          <w:highlight w:val="none"/>
          <w:lang w:val="en-US" w:eastAsia="zh-CN"/>
        </w:rPr>
        <w:t>%的，即投标（响应）报价&lt;全部通过符合性审查供应商投标（响应）报价平均值×</w:t>
      </w:r>
      <w:r>
        <w:rPr>
          <w:rFonts w:hint="eastAsia" w:hAnsi="宋体" w:cs="宋体"/>
          <w:color w:val="auto"/>
          <w:szCs w:val="21"/>
          <w:highlight w:val="none"/>
          <w:lang w:val="en-US" w:eastAsia="zh-CN"/>
        </w:rPr>
        <w:t>65</w:t>
      </w:r>
      <w:r>
        <w:rPr>
          <w:rFonts w:hint="eastAsia" w:ascii="宋体" w:hAnsi="宋体" w:eastAsia="宋体" w:cs="宋体"/>
          <w:color w:val="auto"/>
          <w:szCs w:val="21"/>
          <w:highlight w:val="none"/>
          <w:lang w:val="en-US" w:eastAsia="zh-CN"/>
        </w:rPr>
        <w:t>%；</w:t>
      </w:r>
    </w:p>
    <w:p w14:paraId="7C8D766A">
      <w:pPr>
        <w:pStyle w:val="16"/>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3.2.3.2.投标（响应）报价低于通过符合性审查的次低报价供应商投标（响应）报价</w:t>
      </w:r>
      <w:r>
        <w:rPr>
          <w:rFonts w:hint="eastAsia" w:hAnsi="宋体" w:cs="宋体"/>
          <w:color w:val="auto"/>
          <w:szCs w:val="21"/>
          <w:highlight w:val="none"/>
          <w:lang w:val="en-US" w:eastAsia="zh-CN"/>
        </w:rPr>
        <w:t>65</w:t>
      </w:r>
      <w:r>
        <w:rPr>
          <w:rFonts w:hint="eastAsia" w:ascii="宋体" w:hAnsi="宋体" w:eastAsia="宋体" w:cs="宋体"/>
          <w:color w:val="auto"/>
          <w:szCs w:val="21"/>
          <w:highlight w:val="none"/>
          <w:lang w:val="en-US" w:eastAsia="zh-CN"/>
        </w:rPr>
        <w:t>%的，即投标（响应）报价&lt;通过符合性审查的次低报价供应商投标（响应）报价×</w:t>
      </w:r>
      <w:r>
        <w:rPr>
          <w:rFonts w:hint="eastAsia" w:hAnsi="宋体" w:cs="宋体"/>
          <w:color w:val="auto"/>
          <w:szCs w:val="21"/>
          <w:highlight w:val="none"/>
          <w:lang w:val="en-US" w:eastAsia="zh-CN"/>
        </w:rPr>
        <w:t>65</w:t>
      </w:r>
      <w:r>
        <w:rPr>
          <w:rFonts w:hint="eastAsia" w:ascii="宋体" w:hAnsi="宋体" w:eastAsia="宋体" w:cs="宋体"/>
          <w:color w:val="auto"/>
          <w:szCs w:val="21"/>
          <w:highlight w:val="none"/>
          <w:lang w:val="en-US" w:eastAsia="zh-CN"/>
        </w:rPr>
        <w:t>%；</w:t>
      </w:r>
    </w:p>
    <w:p w14:paraId="6FF8584A">
      <w:pPr>
        <w:pStyle w:val="16"/>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3.2.3.3.投标（响应）报价低于采购项目最高限价</w:t>
      </w:r>
      <w:r>
        <w:rPr>
          <w:rFonts w:hint="eastAsia" w:hAnsi="宋体" w:cs="宋体"/>
          <w:color w:val="auto"/>
          <w:szCs w:val="21"/>
          <w:highlight w:val="none"/>
          <w:lang w:val="en-US" w:eastAsia="zh-CN"/>
        </w:rPr>
        <w:t>65</w:t>
      </w:r>
      <w:r>
        <w:rPr>
          <w:rFonts w:hint="eastAsia" w:ascii="宋体" w:hAnsi="宋体" w:eastAsia="宋体" w:cs="宋体"/>
          <w:color w:val="auto"/>
          <w:szCs w:val="21"/>
          <w:highlight w:val="none"/>
          <w:lang w:val="en-US" w:eastAsia="zh-CN"/>
        </w:rPr>
        <w:t>%的，即投标（响应）报价&lt;采购项目最高限价×</w:t>
      </w:r>
      <w:r>
        <w:rPr>
          <w:rFonts w:hint="eastAsia" w:hAnsi="宋体" w:cs="宋体"/>
          <w:color w:val="auto"/>
          <w:szCs w:val="21"/>
          <w:highlight w:val="none"/>
          <w:lang w:val="en-US" w:eastAsia="zh-CN"/>
        </w:rPr>
        <w:t>65</w:t>
      </w:r>
      <w:r>
        <w:rPr>
          <w:rFonts w:hint="eastAsia" w:ascii="宋体" w:hAnsi="宋体" w:eastAsia="宋体" w:cs="宋体"/>
          <w:color w:val="auto"/>
          <w:szCs w:val="21"/>
          <w:highlight w:val="none"/>
          <w:lang w:val="en-US" w:eastAsia="zh-CN"/>
        </w:rPr>
        <w:t>%；</w:t>
      </w:r>
    </w:p>
    <w:p w14:paraId="58A751A6">
      <w:pPr>
        <w:pStyle w:val="16"/>
        <w:tabs>
          <w:tab w:val="left" w:pos="2472"/>
        </w:tabs>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3.2.3.4.评审委员会基于专业判断，认为供应商报价过低，有可能影响产品质量或者不能诚信履约的其他情形。</w:t>
      </w:r>
    </w:p>
    <w:p w14:paraId="6CFD8FB5">
      <w:pPr>
        <w:pStyle w:val="45"/>
        <w:spacing w:line="360" w:lineRule="auto"/>
        <w:rPr>
          <w:rFonts w:hint="eastAsia" w:hAnsi="宋体" w:cs="宋体"/>
          <w:b/>
          <w:color w:val="auto"/>
          <w:sz w:val="24"/>
          <w:highlight w:val="none"/>
        </w:rPr>
      </w:pPr>
      <w:r>
        <w:rPr>
          <w:rFonts w:hint="eastAsia" w:hAnsi="宋体" w:cs="宋体"/>
          <w:b/>
          <w:color w:val="auto"/>
          <w:sz w:val="24"/>
          <w:highlight w:val="none"/>
        </w:rPr>
        <w:t>3.3 投标文件的澄清原则：</w:t>
      </w:r>
      <w:bookmarkEnd w:id="557"/>
    </w:p>
    <w:p w14:paraId="102DBBF3">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3.3.1 在评标过程中，评标委员会可以书面形式（应当由评标委员会专家签字）要求投标人对所提交的投标文件中含义不明确、同类问题表述不一致或者有明显文字和计算错误的内容，进行澄清、说明或者补正。评标委员会不接受投标人主动提出的澄清、说明或补正。</w:t>
      </w:r>
    </w:p>
    <w:p w14:paraId="1C698A3F">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3.3.2 投标人的澄清、说明和补正应当采用书面形式，并加盖公章，或者由法定代表人或其授权的代表签字。投标人的澄清、说明或者补正不得超出投标文件的范围或者改变投标文件的实质性内容。投标人的书面澄清、说明和补正属于投标文件的组成部分。</w:t>
      </w:r>
    </w:p>
    <w:p w14:paraId="5B233874">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3.3.3 评标委员会对投标人提交的澄清、说明或补正有疑问的，可以要求投标人进一步澄清、说明或补正，直至满足评标委员会的要求。</w:t>
      </w:r>
    </w:p>
    <w:p w14:paraId="40E11F3F">
      <w:pPr>
        <w:pStyle w:val="45"/>
        <w:spacing w:line="360" w:lineRule="auto"/>
        <w:rPr>
          <w:rFonts w:hint="eastAsia" w:hAnsi="宋体" w:cs="宋体"/>
          <w:b/>
          <w:color w:val="auto"/>
          <w:sz w:val="24"/>
          <w:highlight w:val="none"/>
        </w:rPr>
      </w:pPr>
      <w:r>
        <w:rPr>
          <w:rFonts w:hint="eastAsia" w:hAnsi="宋体" w:cs="宋体"/>
          <w:b/>
          <w:color w:val="auto"/>
          <w:sz w:val="24"/>
          <w:highlight w:val="none"/>
        </w:rPr>
        <w:t>3.4 投标人有以下情形之一的，其投标无效：</w:t>
      </w:r>
    </w:p>
    <w:p w14:paraId="65BDF85C">
      <w:pPr>
        <w:pStyle w:val="16"/>
        <w:tabs>
          <w:tab w:val="left" w:pos="2472"/>
        </w:tabs>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（1）串通投标或弄虚作假或有其他违法行为的；</w:t>
      </w:r>
    </w:p>
    <w:p w14:paraId="175E5198">
      <w:pPr>
        <w:pStyle w:val="16"/>
        <w:tabs>
          <w:tab w:val="left" w:pos="2472"/>
        </w:tabs>
        <w:spacing w:line="360" w:lineRule="auto"/>
        <w:ind w:firstLine="420" w:firstLineChars="200"/>
        <w:rPr>
          <w:rFonts w:hint="eastAsia" w:hAnsi="宋体" w:cs="宋体"/>
          <w:color w:val="auto"/>
          <w:szCs w:val="21"/>
          <w:highlight w:val="none"/>
        </w:rPr>
      </w:pPr>
      <w:r>
        <w:rPr>
          <w:rFonts w:hint="eastAsia" w:hAnsi="宋体" w:cs="宋体"/>
          <w:color w:val="auto"/>
          <w:szCs w:val="21"/>
          <w:highlight w:val="none"/>
        </w:rPr>
        <w:t>（2）不按评标委员会要求澄清、说明或补正的。</w:t>
      </w:r>
    </w:p>
    <w:p w14:paraId="651900F9">
      <w:pPr>
        <w:pStyle w:val="45"/>
        <w:spacing w:line="360" w:lineRule="auto"/>
        <w:rPr>
          <w:rFonts w:hint="eastAsia" w:hAnsi="宋体" w:cs="宋体"/>
          <w:b/>
          <w:color w:val="auto"/>
          <w:sz w:val="24"/>
          <w:highlight w:val="none"/>
        </w:rPr>
      </w:pPr>
      <w:bookmarkStart w:id="558" w:name="_Toc468805884"/>
      <w:r>
        <w:rPr>
          <w:rFonts w:hint="eastAsia" w:hAnsi="宋体" w:cs="宋体"/>
          <w:b/>
          <w:color w:val="auto"/>
          <w:sz w:val="24"/>
          <w:highlight w:val="none"/>
        </w:rPr>
        <w:t>3.5 评标结果</w:t>
      </w:r>
      <w:bookmarkEnd w:id="558"/>
    </w:p>
    <w:p w14:paraId="0D7D4F0B">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3.5.1 评标委员会按得分由高到低顺序推荐三名中标候选人，并提出书面评标报告。</w:t>
      </w:r>
    </w:p>
    <w:p w14:paraId="4F9915B0">
      <w:pPr>
        <w:spacing w:line="360" w:lineRule="auto"/>
        <w:ind w:firstLine="420" w:firstLineChars="200"/>
        <w:jc w:val="left"/>
        <w:rPr>
          <w:rFonts w:hint="eastAsia" w:ascii="宋体" w:hAnsi="宋体"/>
          <w:color w:val="auto"/>
          <w:szCs w:val="21"/>
          <w:highlight w:val="none"/>
        </w:rPr>
      </w:pPr>
      <w:r>
        <w:rPr>
          <w:rFonts w:hint="eastAsia" w:ascii="宋体" w:hAnsi="宋体" w:cs="宋体"/>
          <w:color w:val="auto"/>
          <w:szCs w:val="21"/>
          <w:highlight w:val="none"/>
        </w:rPr>
        <w:t>3.5.2 采购人根据评标委员会提出的书面评标报告和推荐的中标候选人名单，按顺序确定中标人。</w:t>
      </w:r>
    </w:p>
    <w:p w14:paraId="4E80E1D5">
      <w:pPr>
        <w:rPr>
          <w:color w:val="auto"/>
          <w:highlight w:val="none"/>
        </w:rPr>
      </w:pPr>
    </w:p>
    <w:p w14:paraId="2A6BFFB3">
      <w:pPr>
        <w:rPr>
          <w:color w:val="auto"/>
          <w:highlight w:val="none"/>
        </w:rPr>
      </w:pPr>
    </w:p>
    <w:sectPr>
      <w:pgSz w:w="11906" w:h="16838"/>
      <w:pgMar w:top="1418" w:right="1134" w:bottom="1134" w:left="1418" w:header="935" w:footer="720" w:gutter="0"/>
      <w:cols w:space="720" w:num="1"/>
      <w:rtlGutter w:val="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B81C5F0-D281-4F14-A253-D2140645ED4A}"/>
  </w:font>
  <w:font w:name="黑体">
    <w:panose1 w:val="02010609060101010101"/>
    <w:charset w:val="86"/>
    <w:family w:val="auto"/>
    <w:pitch w:val="default"/>
    <w:sig w:usb0="800002BF" w:usb1="38CF7CFA" w:usb2="00000016" w:usb3="00000000" w:csb0="00040001" w:csb1="00000000"/>
    <w:embedRegular r:id="rId2" w:fontKey="{220571AD-EDE4-4A15-96F2-B5813C4B9E8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72B821AB-9C64-4413-A956-C72211AD0DB6}"/>
  </w:font>
  <w:font w:name="金山简黑体">
    <w:altName w:val="黑体"/>
    <w:panose1 w:val="00000000000000000000"/>
    <w:charset w:val="00"/>
    <w:family w:val="auto"/>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embedRegular r:id="rId4" w:fontKey="{2AC38351-57FF-4339-96FD-0523B369A4BF}"/>
  </w:font>
  <w:font w:name="Wingdings 2">
    <w:panose1 w:val="05020102010507070707"/>
    <w:charset w:val="02"/>
    <w:family w:val="roman"/>
    <w:pitch w:val="default"/>
    <w:sig w:usb0="00000000" w:usb1="00000000" w:usb2="00000000" w:usb3="00000000" w:csb0="80000000" w:csb1="00000000"/>
    <w:embedRegular r:id="rId5" w:fontKey="{A02D0F23-DF0B-4207-BE7A-08FD595D0F9E}"/>
  </w:font>
  <w:font w:name="新宋体">
    <w:panose1 w:val="02010609030101010101"/>
    <w:charset w:val="86"/>
    <w:family w:val="modern"/>
    <w:pitch w:val="default"/>
    <w:sig w:usb0="00000203" w:usb1="288F0000" w:usb2="00000006" w:usb3="00000000" w:csb0="00040001" w:csb1="00000000"/>
    <w:embedRegular r:id="rId6" w:fontKey="{1BB8B08D-7990-4664-906F-D1F2B3B3628D}"/>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3AD2F">
    <w:pPr>
      <w:pStyle w:val="20"/>
      <w:jc w:val="both"/>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479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a:effectLst/>
                    </wps:spPr>
                    <wps:txbx>
                      <w:txbxContent>
                        <w:p w14:paraId="3CCC57FF">
                          <w:pPr>
                            <w:pStyle w:val="20"/>
                            <w:rPr>
                              <w:rStyle w:val="37"/>
                            </w:rPr>
                          </w:pPr>
                          <w:r>
                            <w:fldChar w:fldCharType="begin"/>
                          </w:r>
                          <w:r>
                            <w:rPr>
                              <w:rStyle w:val="37"/>
                            </w:rPr>
                            <w:instrText xml:space="preserve">PAGE  </w:instrText>
                          </w:r>
                          <w:r>
                            <w:fldChar w:fldCharType="separate"/>
                          </w:r>
                          <w:r>
                            <w:rPr>
                              <w:rStyle w:val="37"/>
                            </w:rPr>
                            <w:t>3</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style:none;z-index:251663360;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&#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OfLHALRAAAAAgEAAA8AAAAAAAAAAQAgAAAAIgAAAGRy&#10;cy9kb3ducmV2LnhtbFBLAQIUABQAAAAIAIdO4kACsw6H0wEAAKQDAAAOAAAAAAAAAAEAIAAAACAB&#10;AABkcnMvZTJvRG9jLnhtbFBLBQYAAAAABgAGAFkBAABlBQAAAAA=&#10;">
              <v:fill on="f" focussize="0,0"/>
              <v:stroke on="f"/>
              <v:imagedata o:title=""/>
              <o:lock v:ext="edit" aspectratio="f"/>
              <v:textbox inset="0mm,0mm,0mm,0mm" style="mso-fit-shape-to-text:t;">
                <w:txbxContent>
                  <w:p w14:paraId="3CCC57FF">
                    <w:pPr>
                      <w:pStyle w:val="20"/>
                      <w:rPr>
                        <w:rStyle w:val="37"/>
                      </w:rPr>
                    </w:pPr>
                    <w:r>
                      <w:fldChar w:fldCharType="begin"/>
                    </w:r>
                    <w:r>
                      <w:rPr>
                        <w:rStyle w:val="37"/>
                      </w:rPr>
                      <w:instrText xml:space="preserve">PAGE  </w:instrText>
                    </w:r>
                    <w:r>
                      <w:fldChar w:fldCharType="separate"/>
                    </w:r>
                    <w:r>
                      <w:rPr>
                        <w:rStyle w:val="37"/>
                      </w:rP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E8B1C">
    <w:pPr>
      <w:pStyle w:val="20"/>
      <w:framePr w:wrap="around" w:vAnchor="text" w:hAnchor="margin" w:xAlign="center" w:yAlign="top"/>
      <w:rPr>
        <w:rStyle w:val="37"/>
      </w:rPr>
    </w:pPr>
    <w:r>
      <w:fldChar w:fldCharType="begin"/>
    </w:r>
    <w:r>
      <w:rPr>
        <w:rStyle w:val="37"/>
      </w:rPr>
      <w:instrText xml:space="preserve">PAGE  </w:instrText>
    </w:r>
    <w:r>
      <w:fldChar w:fldCharType="separate"/>
    </w:r>
    <w:r>
      <w:rPr>
        <w:rStyle w:val="37"/>
      </w:rPr>
      <w:t>51</w:t>
    </w:r>
    <w:r>
      <w:fldChar w:fldCharType="end"/>
    </w:r>
  </w:p>
  <w:p w14:paraId="7C0374D7">
    <w:pPr>
      <w:pStyle w:val="20"/>
      <w:ind w:right="360"/>
      <w:rPr>
        <w:sz w:val="21"/>
      </w:rPr>
    </w:pPr>
    <w: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57150" cy="147955"/>
              <wp:effectExtent l="0" t="0" r="0" b="0"/>
              <wp:wrapSquare wrapText="bothSides"/>
              <wp:docPr id="5" name="文本框 5"/>
              <wp:cNvGraphicFramePr/>
              <a:graphic xmlns:a="http://schemas.openxmlformats.org/drawingml/2006/main">
                <a:graphicData uri="http://schemas.microsoft.com/office/word/2010/wordprocessingShape">
                  <wps:wsp>
                    <wps:cNvSpPr txBox="1"/>
                    <wps:spPr>
                      <a:xfrm>
                        <a:off x="0" y="0"/>
                        <a:ext cx="57150" cy="147955"/>
                      </a:xfrm>
                      <a:prstGeom prst="rect">
                        <a:avLst/>
                      </a:prstGeom>
                      <a:noFill/>
                      <a:ln w="9525">
                        <a:noFill/>
                      </a:ln>
                      <a:effectLst/>
                    </wps:spPr>
                    <wps:txbx>
                      <w:txbxContent>
                        <w:p w14:paraId="0D486EAB">
                          <w:pPr>
                            <w:pStyle w:val="20"/>
                            <w:rPr>
                              <w:rStyle w:val="37"/>
                            </w:rPr>
                          </w:pPr>
                          <w:r>
                            <w:fldChar w:fldCharType="begin"/>
                          </w:r>
                          <w:r>
                            <w:rPr>
                              <w:rStyle w:val="37"/>
                            </w:rPr>
                            <w:instrText xml:space="preserve">PAGE  </w:instrText>
                          </w:r>
                          <w:r>
                            <w:fldChar w:fldCharType="separate"/>
                          </w:r>
                          <w:r>
                            <w:rPr>
                              <w:rStyle w:val="37"/>
                            </w:rPr>
                            <w:t>51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4.5pt;mso-position-horizontal:center;mso-position-horizontal-relative:margin;mso-wrap-distance-bottom:0pt;mso-wrap-distance-left:0pt;mso-wrap-distance-right:0pt;mso-wrap-distance-top:0pt;mso-wrap-style:none;z-index:251661312;mso-width-relative:page;mso-height-relative:page;" filled="f" stroked="f" coordsize="21600,21600" o:gfxdata="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m0JBs0AAAAAIBAAAPAAAAAAAAAAEAIAAA&#10;ACIAAABkcnMvZG93bnJldi54bWxQSwECFAAUAAAACACHTuJAxuVH0dsBAACtAwAADgAAAAAAAAAB&#10;ACAAAAAfAQAAZHJzL2Uyb0RvYy54bWxQSwUGAAAAAAYABgBZAQAAbAUAAAAA&#10;">
              <v:fill on="f" focussize="0,0"/>
              <v:stroke on="f"/>
              <v:imagedata o:title=""/>
              <o:lock v:ext="edit" aspectratio="f"/>
              <v:textbox inset="0mm,0mm,0mm,0mm" style="mso-fit-shape-to-text:t;">
                <w:txbxContent>
                  <w:p w14:paraId="0D486EAB">
                    <w:pPr>
                      <w:pStyle w:val="20"/>
                      <w:rPr>
                        <w:rStyle w:val="37"/>
                      </w:rPr>
                    </w:pPr>
                    <w:r>
                      <w:fldChar w:fldCharType="begin"/>
                    </w:r>
                    <w:r>
                      <w:rPr>
                        <w:rStyle w:val="37"/>
                      </w:rPr>
                      <w:instrText xml:space="preserve">PAGE  </w:instrText>
                    </w:r>
                    <w:r>
                      <w:fldChar w:fldCharType="separate"/>
                    </w:r>
                    <w:r>
                      <w:rPr>
                        <w:rStyle w:val="37"/>
                      </w:rPr>
                      <w:t>51</w:t>
                    </w:r>
                    <w:r>
                      <w:fldChar w:fldCharType="end"/>
                    </w:r>
                  </w:p>
                </w:txbxContent>
              </v:textbox>
              <w10:wrap type="square"/>
            </v:shape>
          </w:pict>
        </mc:Fallback>
      </mc:AlternateContent>
    </w: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33350" cy="172720"/>
              <wp:effectExtent l="0" t="0" r="0" b="0"/>
              <wp:wrapSquare wrapText="bothSides"/>
              <wp:docPr id="4" name="文本框 4"/>
              <wp:cNvGraphicFramePr/>
              <a:graphic xmlns:a="http://schemas.openxmlformats.org/drawingml/2006/main">
                <a:graphicData uri="http://schemas.microsoft.com/office/word/2010/wordprocessingShape">
                  <wps:wsp>
                    <wps:cNvSpPr txBox="1"/>
                    <wps:spPr>
                      <a:xfrm>
                        <a:off x="0" y="0"/>
                        <a:ext cx="133350" cy="172720"/>
                      </a:xfrm>
                      <a:prstGeom prst="rect">
                        <a:avLst/>
                      </a:prstGeom>
                      <a:noFill/>
                      <a:ln w="9525">
                        <a:noFill/>
                      </a:ln>
                      <a:effectLst/>
                    </wps:spPr>
                    <wps:txbx>
                      <w:txbxContent>
                        <w:p w14:paraId="20332FFF">
                          <w:pPr>
                            <w:pStyle w:val="20"/>
                            <w:rPr>
                              <w:rStyle w:val="37"/>
                              <w:sz w:val="21"/>
                            </w:rPr>
                          </w:pPr>
                          <w:r>
                            <w:rPr>
                              <w:sz w:val="21"/>
                            </w:rPr>
                            <w:fldChar w:fldCharType="begin"/>
                          </w:r>
                          <w:r>
                            <w:rPr>
                              <w:rStyle w:val="37"/>
                              <w:sz w:val="21"/>
                            </w:rPr>
                            <w:instrText xml:space="preserve">PAGE  </w:instrText>
                          </w:r>
                          <w:r>
                            <w:rPr>
                              <w:sz w:val="21"/>
                            </w:rPr>
                            <w:fldChar w:fldCharType="separate"/>
                          </w:r>
                          <w:r>
                            <w:rPr>
                              <w:rStyle w:val="37"/>
                              <w:sz w:val="21"/>
                            </w:rPr>
                            <w:t>51</w:t>
                          </w:r>
                          <w:r>
                            <w:rPr>
                              <w:sz w:val="21"/>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3.6pt;width:10.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yqy5RzwAAAAMBAAAPAAAAAAAAAAEAIAAA&#10;ACIAAABkcnMvZG93bnJldi54bWxQSwECFAAUAAAACACHTuJAlR2zi9wBAACuAwAADgAAAAAAAAAB&#10;ACAAAAAeAQAAZHJzL2Uyb0RvYy54bWxQSwUGAAAAAAYABgBZAQAAbAUAAAAA&#10;">
              <v:fill on="f" focussize="0,0"/>
              <v:stroke on="f"/>
              <v:imagedata o:title=""/>
              <o:lock v:ext="edit" aspectratio="f"/>
              <v:textbox inset="0mm,0mm,0mm,0mm" style="mso-fit-shape-to-text:t;">
                <w:txbxContent>
                  <w:p w14:paraId="20332FFF">
                    <w:pPr>
                      <w:pStyle w:val="20"/>
                      <w:rPr>
                        <w:rStyle w:val="37"/>
                        <w:sz w:val="21"/>
                      </w:rPr>
                    </w:pPr>
                    <w:r>
                      <w:rPr>
                        <w:sz w:val="21"/>
                      </w:rPr>
                      <w:fldChar w:fldCharType="begin"/>
                    </w:r>
                    <w:r>
                      <w:rPr>
                        <w:rStyle w:val="37"/>
                        <w:sz w:val="21"/>
                      </w:rPr>
                      <w:instrText xml:space="preserve">PAGE  </w:instrText>
                    </w:r>
                    <w:r>
                      <w:rPr>
                        <w:sz w:val="21"/>
                      </w:rPr>
                      <w:fldChar w:fldCharType="separate"/>
                    </w:r>
                    <w:r>
                      <w:rPr>
                        <w:rStyle w:val="37"/>
                        <w:sz w:val="21"/>
                      </w:rPr>
                      <w:t>51</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EE636">
    <w:pPr>
      <w:pStyle w:val="2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808033A">
                          <w:pPr>
                            <w:pStyle w:val="20"/>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CUJ8kWxgEAAJsDAAAOAAAAAAAAAAEAIAAAAB4BAABkcnMvZTJvRG9jLnht&#10;bFBLBQYAAAAABgAGAFkBAABWBQAAAAA=&#10;">
              <v:fill on="f" focussize="0,0"/>
              <v:stroke on="f"/>
              <v:imagedata o:title=""/>
              <o:lock v:ext="edit" aspectratio="f"/>
              <v:textbox inset="0mm,0mm,0mm,0mm" style="mso-fit-shape-to-text:t;">
                <w:txbxContent>
                  <w:p w14:paraId="6808033A">
                    <w:pPr>
                      <w:pStyle w:val="20"/>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F2B0A">
    <w:pPr>
      <w:pStyle w:val="20"/>
      <w:ind w:right="360"/>
      <w:jc w:val="right"/>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396CFE3">
                          <w:pPr>
                            <w:pStyle w:val="20"/>
                            <w:rPr>
                              <w:rStyle w:val="37"/>
                            </w:rPr>
                          </w:pPr>
                          <w:r>
                            <w:fldChar w:fldCharType="begin"/>
                          </w:r>
                          <w:r>
                            <w:rPr>
                              <w:rStyle w:val="37"/>
                            </w:rPr>
                            <w:instrText xml:space="preserve">PAGE  </w:instrText>
                          </w:r>
                          <w:r>
                            <w:fldChar w:fldCharType="separate"/>
                          </w:r>
                          <w:r>
                            <w:rPr>
                              <w:rStyle w:val="37"/>
                            </w:rPr>
                            <w:t>45</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CdRYmwxgEAAJ0DAAAOAAAAAAAAAAEAIAAAAB4BAABkcnMvZTJvRG9jLnht&#10;bFBLBQYAAAAABgAGAFkBAABWBQAAAAA=&#10;">
              <v:fill on="f" focussize="0,0"/>
              <v:stroke on="f"/>
              <v:imagedata o:title=""/>
              <o:lock v:ext="edit" aspectratio="f"/>
              <v:textbox inset="0mm,0mm,0mm,0mm" style="mso-fit-shape-to-text:t;">
                <w:txbxContent>
                  <w:p w14:paraId="2396CFE3">
                    <w:pPr>
                      <w:pStyle w:val="20"/>
                      <w:rPr>
                        <w:rStyle w:val="37"/>
                      </w:rPr>
                    </w:pPr>
                    <w:r>
                      <w:fldChar w:fldCharType="begin"/>
                    </w:r>
                    <w:r>
                      <w:rPr>
                        <w:rStyle w:val="37"/>
                      </w:rPr>
                      <w:instrText xml:space="preserve">PAGE  </w:instrText>
                    </w:r>
                    <w:r>
                      <w:fldChar w:fldCharType="separate"/>
                    </w:r>
                    <w:r>
                      <w:rPr>
                        <w:rStyle w:val="37"/>
                      </w:rPr>
                      <w:t>45</w:t>
                    </w:r>
                    <w:r>
                      <w:fldChar w:fldCharType="end"/>
                    </w:r>
                  </w:p>
                </w:txbxContent>
              </v:textbox>
            </v:shape>
          </w:pict>
        </mc:Fallback>
      </mc:AlternateContent>
    </w:r>
    <w:r>
      <mc:AlternateContent>
        <mc:Choice Requires="wps">
          <w:drawing>
            <wp:anchor distT="0" distB="0" distL="0" distR="0" simplePos="0" relativeHeight="251660288" behindDoc="0" locked="0" layoutInCell="1" allowOverlap="1">
              <wp:simplePos x="0" y="0"/>
              <wp:positionH relativeFrom="margin">
                <wp:posOffset>0</wp:posOffset>
              </wp:positionH>
              <wp:positionV relativeFrom="paragraph">
                <wp:posOffset>26035</wp:posOffset>
              </wp:positionV>
              <wp:extent cx="140970" cy="220980"/>
              <wp:effectExtent l="0" t="0" r="0" b="0"/>
              <wp:wrapSquare wrapText="bothSides"/>
              <wp:docPr id="9" name="文本框 9"/>
              <wp:cNvGraphicFramePr/>
              <a:graphic xmlns:a="http://schemas.openxmlformats.org/drawingml/2006/main">
                <a:graphicData uri="http://schemas.microsoft.com/office/word/2010/wordprocessingShape">
                  <wps:wsp>
                    <wps:cNvSpPr txBox="1"/>
                    <wps:spPr>
                      <a:xfrm>
                        <a:off x="0" y="0"/>
                        <a:ext cx="140970" cy="220980"/>
                      </a:xfrm>
                      <a:prstGeom prst="rect">
                        <a:avLst/>
                      </a:prstGeom>
                      <a:noFill/>
                      <a:ln w="9525">
                        <a:noFill/>
                      </a:ln>
                      <a:effectLst/>
                    </wps:spPr>
                    <wps:txbx>
                      <w:txbxContent>
                        <w:p w14:paraId="3E601476">
                          <w:pPr>
                            <w:pStyle w:val="20"/>
                            <w:rPr>
                              <w:rStyle w:val="37"/>
                            </w:rPr>
                          </w:pPr>
                        </w:p>
                      </w:txbxContent>
                    </wps:txbx>
                    <wps:bodyPr lIns="0" tIns="0" rIns="0" bIns="0" upright="1"/>
                  </wps:wsp>
                </a:graphicData>
              </a:graphic>
            </wp:anchor>
          </w:drawing>
        </mc:Choice>
        <mc:Fallback>
          <w:pict>
            <v:shape id="_x0000_s1026" o:spid="_x0000_s1026" o:spt="202" type="#_x0000_t202" style="position:absolute;left:0pt;margin-left:0pt;margin-top:2.05pt;height:17.4pt;width:11.1pt;mso-position-horizontal-relative:margin;mso-wrap-distance-bottom:0pt;mso-wrap-distance-left:0pt;mso-wrap-distance-right:0pt;mso-wrap-distance-top:0pt;z-index:251660288;mso-width-relative:page;mso-height-relative:page;" filled="f" stroked="f" coordsize="21600,21600" o:gfxdata="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PspODdQAAAAEAQAADwAAAAAAAAABACAAAAAiAAAAZHJzL2Rvd25yZXYu&#10;eG1sUEsBAhQAFAAAAAgAh07iQBPH2LfGAQAAiAMAAA4AAAAAAAAAAQAgAAAAIwEAAGRycy9lMm9E&#10;b2MueG1sUEsFBgAAAAAGAAYAWQEAAFsFAAAAAA==&#10;">
              <v:fill on="f" focussize="0,0"/>
              <v:stroke on="f"/>
              <v:imagedata o:title=""/>
              <o:lock v:ext="edit" aspectratio="f"/>
              <v:textbox inset="0mm,0mm,0mm,0mm">
                <w:txbxContent>
                  <w:p w14:paraId="3E601476">
                    <w:pPr>
                      <w:pStyle w:val="20"/>
                      <w:rPr>
                        <w:rStyle w:val="37"/>
                      </w:rPr>
                    </w:pPr>
                  </w:p>
                </w:txbxContent>
              </v:textbox>
              <w10:wrap type="squar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5954F">
    <w:pPr>
      <w:pStyle w:val="2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917072D">
                          <w:pPr>
                            <w:pStyle w:val="20"/>
                          </w:pPr>
                          <w:r>
                            <w:fldChar w:fldCharType="begin"/>
                          </w:r>
                          <w:r>
                            <w:instrText xml:space="preserve"> PAGE  \* MERGEFORMAT </w:instrText>
                          </w:r>
                          <w:r>
                            <w:fldChar w:fldCharType="separate"/>
                          </w:r>
                          <w:r>
                            <w:t>53</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BbkuwCxgEAAJ0DAAAOAAAAAAAAAAEAIAAAAB4BAABkcnMvZTJvRG9jLnht&#10;bFBLBQYAAAAABgAGAFkBAABWBQAAAAA=&#10;">
              <v:fill on="f" focussize="0,0"/>
              <v:stroke on="f"/>
              <v:imagedata o:title=""/>
              <o:lock v:ext="edit" aspectratio="f"/>
              <v:textbox inset="0mm,0mm,0mm,0mm" style="mso-fit-shape-to-text:t;">
                <w:txbxContent>
                  <w:p w14:paraId="5917072D">
                    <w:pPr>
                      <w:pStyle w:val="20"/>
                    </w:pPr>
                    <w:r>
                      <w:fldChar w:fldCharType="begin"/>
                    </w:r>
                    <w:r>
                      <w:instrText xml:space="preserve"> PAGE  \* MERGEFORMAT </w:instrText>
                    </w:r>
                    <w:r>
                      <w:fldChar w:fldCharType="separate"/>
                    </w:r>
                    <w:r>
                      <w:t>53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BC525">
    <w:pPr>
      <w:pStyle w:val="21"/>
    </w:pPr>
    <w:r>
      <w:rPr>
        <w:rFonts w:hint="eastAsia" w:ascii="宋体" w:hAnsi="宋体"/>
        <w:szCs w:val="21"/>
        <w:lang w:eastAsia="zh-CN"/>
      </w:rPr>
      <w:t>云南技师学院（云南工贸职业技术学院）2026-2029年物业服务项目采购</w:t>
    </w:r>
    <w:r>
      <w:rPr>
        <w:rFonts w:hint="eastAsia" w:ascii="宋体" w:hAnsi="宋体"/>
        <w:szCs w:val="21"/>
      </w:rPr>
      <w:t xml:space="preserve">                        </w:t>
    </w:r>
    <w:r>
      <w:fldChar w:fldCharType="begin"/>
    </w:r>
    <w:r>
      <w:instrText xml:space="preserve"> HYPERLINK "https://www.zcygov.cn/gaea/api/project/flow/redirect?projectId=7319696609837056049&amp;newUrl=https://www.zcygov.cn/micro-app-back-index/blank?_flow_type_=agency&amp;_flow_projectId_=7319696609837056049&amp;_jump_page_type_=project_procurement_management_flow&amp;_app_=zcy.procurement&amp;oldUrl=https://www.zcygov.cn/project-center/_procurement_/project-result-detail/7319696609837056049" \t "https://www.zcygov.cn/project-center/_procurement_/self-project/_blank" </w:instrText>
    </w:r>
    <w:r>
      <w:fldChar w:fldCharType="separate"/>
    </w:r>
    <w:r>
      <w:rPr>
        <w:rFonts w:hint="eastAsia" w:ascii="宋体" w:hAnsi="宋体"/>
        <w:szCs w:val="21"/>
        <w:lang w:eastAsia="zh-CN"/>
      </w:rPr>
      <w:t>YNZC2026-G3-02247-YNSZ-0114</w:t>
    </w:r>
    <w:r>
      <w:rPr>
        <w:rFonts w:hint="eastAsia" w:ascii="宋体" w:hAnsi="宋体"/>
        <w:szCs w:val="21"/>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E1AC8">
    <w:pPr>
      <w:pStyle w:val="21"/>
    </w:pPr>
    <w:r>
      <w:rPr>
        <w:rFonts w:hint="eastAsia" w:ascii="宋体" w:hAnsi="宋体"/>
        <w:szCs w:val="21"/>
        <w:lang w:eastAsia="zh-CN"/>
      </w:rPr>
      <w:t>云南技师学院（云南工贸职业技术学院）2026-2029年物业服务项目采购</w:t>
    </w:r>
    <w:r>
      <w:rPr>
        <w:rFonts w:hint="eastAsia" w:ascii="宋体" w:hAnsi="宋体"/>
        <w:szCs w:val="21"/>
      </w:rPr>
      <w:t xml:space="preserve">                        </w:t>
    </w:r>
    <w:r>
      <w:fldChar w:fldCharType="begin"/>
    </w:r>
    <w:r>
      <w:instrText xml:space="preserve"> HYPERLINK "https://www.zcygov.cn/gaea/api/project/flow/redirect?projectId=7319696609837056049&amp;newUrl=https://www.zcygov.cn/micro-app-back-index/blank?_flow_type_=agency&amp;_flow_projectId_=7319696609837056049&amp;_jump_page_type_=project_procurement_management_flow&amp;_app_=zcy.procurement&amp;oldUrl=https://www.zcygov.cn/project-center/_procurement_/project-result-detail/7319696609837056049" \t "https://www.zcygov.cn/project-center/_procurement_/self-project/_blank" </w:instrText>
    </w:r>
    <w:r>
      <w:fldChar w:fldCharType="separate"/>
    </w:r>
    <w:r>
      <w:rPr>
        <w:rFonts w:hint="eastAsia" w:ascii="宋体" w:hAnsi="宋体"/>
        <w:szCs w:val="21"/>
        <w:lang w:eastAsia="zh-CN"/>
      </w:rPr>
      <w:t>YNZC2026-G3-02247-YNSZ-0114</w:t>
    </w:r>
    <w:r>
      <w:rPr>
        <w:rFonts w:hint="eastAsia" w:ascii="宋体" w:hAnsi="宋体"/>
        <w:szCs w:val="21"/>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C80C90"/>
    <w:multiLevelType w:val="singleLevel"/>
    <w:tmpl w:val="AAC80C90"/>
    <w:lvl w:ilvl="0" w:tentative="0">
      <w:start w:val="1"/>
      <w:numFmt w:val="decimal"/>
      <w:suff w:val="nothing"/>
      <w:lvlText w:val="（%1）"/>
      <w:lvlJc w:val="left"/>
    </w:lvl>
  </w:abstractNum>
  <w:abstractNum w:abstractNumId="1">
    <w:nsid w:val="E70956C5"/>
    <w:multiLevelType w:val="singleLevel"/>
    <w:tmpl w:val="E70956C5"/>
    <w:lvl w:ilvl="0" w:tentative="0">
      <w:start w:val="1"/>
      <w:numFmt w:val="decimal"/>
      <w:suff w:val="nothing"/>
      <w:lvlText w:val="（%1）"/>
      <w:lvlJc w:val="left"/>
    </w:lvl>
  </w:abstractNum>
  <w:abstractNum w:abstractNumId="2">
    <w:nsid w:val="F3C9B97F"/>
    <w:multiLevelType w:val="singleLevel"/>
    <w:tmpl w:val="F3C9B97F"/>
    <w:lvl w:ilvl="0" w:tentative="0">
      <w:start w:val="2"/>
      <w:numFmt w:val="decimal"/>
      <w:suff w:val="space"/>
      <w:lvlText w:val="%1."/>
      <w:lvlJc w:val="left"/>
    </w:lvl>
  </w:abstractNum>
  <w:abstractNum w:abstractNumId="3">
    <w:nsid w:val="00000012"/>
    <w:multiLevelType w:val="multilevel"/>
    <w:tmpl w:val="00000012"/>
    <w:lvl w:ilvl="0" w:tentative="0">
      <w:start w:val="6"/>
      <w:numFmt w:val="bullet"/>
      <w:lvlText w:val="□"/>
      <w:lvlJc w:val="left"/>
      <w:pPr>
        <w:tabs>
          <w:tab w:val="left" w:pos="1050"/>
        </w:tabs>
        <w:ind w:left="1050" w:hanging="330"/>
      </w:pPr>
      <w:rPr>
        <w:rFonts w:hint="eastAsia" w:ascii="仿宋_GB2312" w:hAnsi="宋体" w:eastAsia="仿宋_GB2312" w:cs="Times New Roman"/>
      </w:rPr>
    </w:lvl>
    <w:lvl w:ilvl="1" w:tentative="0">
      <w:start w:val="1"/>
      <w:numFmt w:val="bullet"/>
      <w:lvlText w:val=""/>
      <w:lvlJc w:val="left"/>
      <w:pPr>
        <w:tabs>
          <w:tab w:val="left" w:pos="1560"/>
        </w:tabs>
        <w:ind w:left="1560" w:hanging="420"/>
      </w:pPr>
      <w:rPr>
        <w:rFonts w:hint="default" w:ascii="Wingdings" w:hAnsi="Wingdings"/>
      </w:rPr>
    </w:lvl>
    <w:lvl w:ilvl="2" w:tentative="0">
      <w:start w:val="1"/>
      <w:numFmt w:val="bullet"/>
      <w:lvlText w:val=""/>
      <w:lvlJc w:val="left"/>
      <w:pPr>
        <w:tabs>
          <w:tab w:val="left" w:pos="1980"/>
        </w:tabs>
        <w:ind w:left="1980" w:hanging="420"/>
      </w:pPr>
      <w:rPr>
        <w:rFonts w:hint="default" w:ascii="Wingdings" w:hAnsi="Wingdings"/>
      </w:rPr>
    </w:lvl>
    <w:lvl w:ilvl="3" w:tentative="0">
      <w:start w:val="1"/>
      <w:numFmt w:val="bullet"/>
      <w:lvlText w:val=""/>
      <w:lvlJc w:val="left"/>
      <w:pPr>
        <w:tabs>
          <w:tab w:val="left" w:pos="2400"/>
        </w:tabs>
        <w:ind w:left="2400" w:hanging="420"/>
      </w:pPr>
      <w:rPr>
        <w:rFonts w:hint="default" w:ascii="Wingdings" w:hAnsi="Wingdings"/>
      </w:rPr>
    </w:lvl>
    <w:lvl w:ilvl="4" w:tentative="0">
      <w:start w:val="1"/>
      <w:numFmt w:val="bullet"/>
      <w:lvlText w:val=""/>
      <w:lvlJc w:val="left"/>
      <w:pPr>
        <w:tabs>
          <w:tab w:val="left" w:pos="2820"/>
        </w:tabs>
        <w:ind w:left="2820" w:hanging="420"/>
      </w:pPr>
      <w:rPr>
        <w:rFonts w:hint="default" w:ascii="Wingdings" w:hAnsi="Wingdings"/>
      </w:rPr>
    </w:lvl>
    <w:lvl w:ilvl="5" w:tentative="0">
      <w:start w:val="1"/>
      <w:numFmt w:val="bullet"/>
      <w:lvlText w:val=""/>
      <w:lvlJc w:val="left"/>
      <w:pPr>
        <w:tabs>
          <w:tab w:val="left" w:pos="3240"/>
        </w:tabs>
        <w:ind w:left="3240" w:hanging="420"/>
      </w:pPr>
      <w:rPr>
        <w:rFonts w:hint="default" w:ascii="Wingdings" w:hAnsi="Wingdings"/>
      </w:rPr>
    </w:lvl>
    <w:lvl w:ilvl="6" w:tentative="0">
      <w:start w:val="1"/>
      <w:numFmt w:val="bullet"/>
      <w:lvlText w:val=""/>
      <w:lvlJc w:val="left"/>
      <w:pPr>
        <w:tabs>
          <w:tab w:val="left" w:pos="3660"/>
        </w:tabs>
        <w:ind w:left="3660" w:hanging="420"/>
      </w:pPr>
      <w:rPr>
        <w:rFonts w:hint="default" w:ascii="Wingdings" w:hAnsi="Wingdings"/>
      </w:rPr>
    </w:lvl>
    <w:lvl w:ilvl="7" w:tentative="0">
      <w:start w:val="1"/>
      <w:numFmt w:val="bullet"/>
      <w:lvlText w:val=""/>
      <w:lvlJc w:val="left"/>
      <w:pPr>
        <w:tabs>
          <w:tab w:val="left" w:pos="4080"/>
        </w:tabs>
        <w:ind w:left="4080" w:hanging="420"/>
      </w:pPr>
      <w:rPr>
        <w:rFonts w:hint="default" w:ascii="Wingdings" w:hAnsi="Wingdings"/>
      </w:rPr>
    </w:lvl>
    <w:lvl w:ilvl="8" w:tentative="0">
      <w:start w:val="1"/>
      <w:numFmt w:val="bullet"/>
      <w:lvlText w:val=""/>
      <w:lvlJc w:val="left"/>
      <w:pPr>
        <w:tabs>
          <w:tab w:val="left" w:pos="4500"/>
        </w:tabs>
        <w:ind w:left="4500" w:hanging="420"/>
      </w:pPr>
      <w:rPr>
        <w:rFonts w:hint="default" w:ascii="Wingdings" w:hAnsi="Wingdings"/>
      </w:rPr>
    </w:lvl>
  </w:abstractNum>
  <w:abstractNum w:abstractNumId="4">
    <w:nsid w:val="0167DF9D"/>
    <w:multiLevelType w:val="singleLevel"/>
    <w:tmpl w:val="0167DF9D"/>
    <w:lvl w:ilvl="0" w:tentative="0">
      <w:start w:val="1"/>
      <w:numFmt w:val="decimal"/>
      <w:lvlText w:val="(%1)"/>
      <w:lvlJc w:val="left"/>
      <w:pPr>
        <w:ind w:left="425" w:hanging="425"/>
      </w:pPr>
      <w:rPr>
        <w:rFonts w:hint="default"/>
        <w:b w:val="0"/>
        <w:bCs w:val="0"/>
      </w:rPr>
    </w:lvl>
  </w:abstractNum>
  <w:abstractNum w:abstractNumId="5">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6">
    <w:nsid w:val="049F7055"/>
    <w:multiLevelType w:val="multilevel"/>
    <w:tmpl w:val="049F7055"/>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FFE3583"/>
    <w:multiLevelType w:val="singleLevel"/>
    <w:tmpl w:val="0FFE3583"/>
    <w:lvl w:ilvl="0" w:tentative="0">
      <w:start w:val="1"/>
      <w:numFmt w:val="decimal"/>
      <w:suff w:val="nothing"/>
      <w:lvlText w:val="（%1）"/>
      <w:lvlJc w:val="left"/>
    </w:lvl>
  </w:abstractNum>
  <w:abstractNum w:abstractNumId="8">
    <w:nsid w:val="16296204"/>
    <w:multiLevelType w:val="multilevel"/>
    <w:tmpl w:val="1629620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394265F7"/>
    <w:multiLevelType w:val="multilevel"/>
    <w:tmpl w:val="394265F7"/>
    <w:lvl w:ilvl="0" w:tentative="0">
      <w:start w:val="1"/>
      <w:numFmt w:val="decimal"/>
      <w:lvlText w:val="%1."/>
      <w:lvlJc w:val="left"/>
      <w:pPr>
        <w:ind w:left="420" w:hanging="420"/>
      </w:pPr>
    </w:lvl>
    <w:lvl w:ilvl="1" w:tentative="0">
      <w:start w:val="1"/>
      <w:numFmt w:val="japaneseCounting"/>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4EC10A5D"/>
    <w:multiLevelType w:val="multilevel"/>
    <w:tmpl w:val="4EC10A5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49F1BB6"/>
    <w:multiLevelType w:val="multilevel"/>
    <w:tmpl w:val="549F1BB6"/>
    <w:lvl w:ilvl="0" w:tentative="0">
      <w:start w:val="1"/>
      <w:numFmt w:val="decimal"/>
      <w:lvlText w:val="%1."/>
      <w:lvlJc w:val="left"/>
      <w:pPr>
        <w:ind w:left="420" w:hanging="420"/>
      </w:pPr>
    </w:lvl>
    <w:lvl w:ilvl="1" w:tentative="0">
      <w:start w:val="1"/>
      <w:numFmt w:val="decimal"/>
      <w:lvlText w:val="%2."/>
      <w:lvlJc w:val="left"/>
      <w:pPr>
        <w:ind w:left="1140" w:hanging="720"/>
      </w:pPr>
      <w:rPr>
        <w:rFonts w:hint="default"/>
      </w:rPr>
    </w:lvl>
    <w:lvl w:ilvl="2" w:tentative="0">
      <w:start w:val="1"/>
      <w:numFmt w:val="japaneseCounting"/>
      <w:lvlText w:val="（%3）"/>
      <w:lvlJc w:val="left"/>
      <w:pPr>
        <w:ind w:left="1560" w:hanging="720"/>
      </w:pPr>
      <w:rPr>
        <w:rFonts w:hint="default"/>
      </w:rPr>
    </w:lvl>
    <w:lvl w:ilvl="3" w:tentative="0">
      <w:start w:val="1"/>
      <w:numFmt w:val="decimal"/>
      <w:lvlText w:val="%4、"/>
      <w:lvlJc w:val="left"/>
      <w:pPr>
        <w:ind w:left="1620" w:hanging="360"/>
      </w:pPr>
      <w:rPr>
        <w:rFonts w:hint="default"/>
      </w:r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E644964"/>
    <w:multiLevelType w:val="singleLevel"/>
    <w:tmpl w:val="5E644964"/>
    <w:lvl w:ilvl="0" w:tentative="0">
      <w:start w:val="1"/>
      <w:numFmt w:val="decimal"/>
      <w:lvlText w:val="%1."/>
      <w:lvlJc w:val="left"/>
      <w:pPr>
        <w:tabs>
          <w:tab w:val="left" w:pos="312"/>
        </w:tabs>
      </w:pPr>
    </w:lvl>
  </w:abstractNum>
  <w:abstractNum w:abstractNumId="13">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6885AF6C"/>
    <w:multiLevelType w:val="singleLevel"/>
    <w:tmpl w:val="6885AF6C"/>
    <w:lvl w:ilvl="0" w:tentative="0">
      <w:start w:val="1"/>
      <w:numFmt w:val="decimal"/>
      <w:suff w:val="nothing"/>
      <w:lvlText w:val="%1、"/>
      <w:lvlJc w:val="left"/>
    </w:lvl>
  </w:abstractNum>
  <w:abstractNum w:abstractNumId="15">
    <w:nsid w:val="747F0CE5"/>
    <w:multiLevelType w:val="multilevel"/>
    <w:tmpl w:val="747F0CE5"/>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13"/>
  </w:num>
  <w:num w:numId="3">
    <w:abstractNumId w:val="3"/>
  </w:num>
  <w:num w:numId="4">
    <w:abstractNumId w:val="12"/>
  </w:num>
  <w:num w:numId="5">
    <w:abstractNumId w:val="2"/>
  </w:num>
  <w:num w:numId="6">
    <w:abstractNumId w:val="14"/>
  </w:num>
  <w:num w:numId="7">
    <w:abstractNumId w:val="9"/>
  </w:num>
  <w:num w:numId="8">
    <w:abstractNumId w:val="11"/>
  </w:num>
  <w:num w:numId="9">
    <w:abstractNumId w:val="6"/>
  </w:num>
  <w:num w:numId="10">
    <w:abstractNumId w:val="10"/>
  </w:num>
  <w:num w:numId="11">
    <w:abstractNumId w:val="8"/>
  </w:num>
  <w:num w:numId="12">
    <w:abstractNumId w:val="15"/>
  </w:num>
  <w:num w:numId="13">
    <w:abstractNumId w:val="4"/>
  </w:num>
  <w:num w:numId="14">
    <w:abstractNumId w:val="0"/>
  </w:num>
  <w:num w:numId="15">
    <w:abstractNumId w:val="7"/>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4800"/>
    <w:rsid w:val="000014F9"/>
    <w:rsid w:val="0000410C"/>
    <w:rsid w:val="00021DB4"/>
    <w:rsid w:val="00061B3F"/>
    <w:rsid w:val="000C1642"/>
    <w:rsid w:val="000D6047"/>
    <w:rsid w:val="00107355"/>
    <w:rsid w:val="00161644"/>
    <w:rsid w:val="00172DE8"/>
    <w:rsid w:val="001966F6"/>
    <w:rsid w:val="001A3759"/>
    <w:rsid w:val="001E2DFF"/>
    <w:rsid w:val="0023589A"/>
    <w:rsid w:val="002360A8"/>
    <w:rsid w:val="002455C9"/>
    <w:rsid w:val="00273732"/>
    <w:rsid w:val="00295938"/>
    <w:rsid w:val="002B2B88"/>
    <w:rsid w:val="002F45EB"/>
    <w:rsid w:val="002F673E"/>
    <w:rsid w:val="0030466C"/>
    <w:rsid w:val="00350D80"/>
    <w:rsid w:val="00351136"/>
    <w:rsid w:val="00377A43"/>
    <w:rsid w:val="00390022"/>
    <w:rsid w:val="003E3181"/>
    <w:rsid w:val="003E7E70"/>
    <w:rsid w:val="003F60A6"/>
    <w:rsid w:val="00405A88"/>
    <w:rsid w:val="0041551D"/>
    <w:rsid w:val="00417962"/>
    <w:rsid w:val="004376F0"/>
    <w:rsid w:val="00445DCB"/>
    <w:rsid w:val="00461732"/>
    <w:rsid w:val="00491F8F"/>
    <w:rsid w:val="004D53CC"/>
    <w:rsid w:val="004E02FF"/>
    <w:rsid w:val="004E476F"/>
    <w:rsid w:val="004F4800"/>
    <w:rsid w:val="00501191"/>
    <w:rsid w:val="005020BC"/>
    <w:rsid w:val="00503923"/>
    <w:rsid w:val="005063E9"/>
    <w:rsid w:val="005152B1"/>
    <w:rsid w:val="005541C3"/>
    <w:rsid w:val="00567AB1"/>
    <w:rsid w:val="005C29B7"/>
    <w:rsid w:val="005C53C4"/>
    <w:rsid w:val="005F7A0D"/>
    <w:rsid w:val="005F7BEA"/>
    <w:rsid w:val="0061609C"/>
    <w:rsid w:val="00617A7F"/>
    <w:rsid w:val="00632B2F"/>
    <w:rsid w:val="006732A9"/>
    <w:rsid w:val="0069049E"/>
    <w:rsid w:val="006942DE"/>
    <w:rsid w:val="006C63B0"/>
    <w:rsid w:val="006D0E46"/>
    <w:rsid w:val="00717953"/>
    <w:rsid w:val="007201B2"/>
    <w:rsid w:val="00730B1D"/>
    <w:rsid w:val="00733DE1"/>
    <w:rsid w:val="00765251"/>
    <w:rsid w:val="007A1CF0"/>
    <w:rsid w:val="007D1870"/>
    <w:rsid w:val="007F45E6"/>
    <w:rsid w:val="008A68A1"/>
    <w:rsid w:val="008D68CF"/>
    <w:rsid w:val="009145EC"/>
    <w:rsid w:val="00921619"/>
    <w:rsid w:val="009662E2"/>
    <w:rsid w:val="00976F99"/>
    <w:rsid w:val="009A5181"/>
    <w:rsid w:val="009B7E78"/>
    <w:rsid w:val="009E194C"/>
    <w:rsid w:val="009E3463"/>
    <w:rsid w:val="00A4025F"/>
    <w:rsid w:val="00A57DCD"/>
    <w:rsid w:val="00A67E4B"/>
    <w:rsid w:val="00A9118D"/>
    <w:rsid w:val="00AB37FD"/>
    <w:rsid w:val="00AC3982"/>
    <w:rsid w:val="00AD3456"/>
    <w:rsid w:val="00AD7221"/>
    <w:rsid w:val="00AE1F69"/>
    <w:rsid w:val="00AE6A1B"/>
    <w:rsid w:val="00AF7349"/>
    <w:rsid w:val="00B27706"/>
    <w:rsid w:val="00B432FD"/>
    <w:rsid w:val="00B83822"/>
    <w:rsid w:val="00BF0491"/>
    <w:rsid w:val="00BF534E"/>
    <w:rsid w:val="00C06B3B"/>
    <w:rsid w:val="00C41C2B"/>
    <w:rsid w:val="00C41CB7"/>
    <w:rsid w:val="00C51697"/>
    <w:rsid w:val="00C61E6F"/>
    <w:rsid w:val="00C76FBA"/>
    <w:rsid w:val="00C85F20"/>
    <w:rsid w:val="00CB6FA0"/>
    <w:rsid w:val="00CE26B9"/>
    <w:rsid w:val="00D01B11"/>
    <w:rsid w:val="00D17C81"/>
    <w:rsid w:val="00D315BE"/>
    <w:rsid w:val="00D535DB"/>
    <w:rsid w:val="00D53F66"/>
    <w:rsid w:val="00D715FD"/>
    <w:rsid w:val="00DB49E0"/>
    <w:rsid w:val="00DF2A94"/>
    <w:rsid w:val="00E56301"/>
    <w:rsid w:val="00E7598D"/>
    <w:rsid w:val="00E82A6F"/>
    <w:rsid w:val="00E94966"/>
    <w:rsid w:val="00ED5B9D"/>
    <w:rsid w:val="00EF5063"/>
    <w:rsid w:val="00F057AD"/>
    <w:rsid w:val="00F06EBE"/>
    <w:rsid w:val="00F229CD"/>
    <w:rsid w:val="00F30D9E"/>
    <w:rsid w:val="00FC02BD"/>
    <w:rsid w:val="00FC5137"/>
    <w:rsid w:val="00FF17F3"/>
    <w:rsid w:val="015632B1"/>
    <w:rsid w:val="01672CA7"/>
    <w:rsid w:val="01BF5520"/>
    <w:rsid w:val="020577EA"/>
    <w:rsid w:val="02980EE1"/>
    <w:rsid w:val="031771BB"/>
    <w:rsid w:val="03F1103B"/>
    <w:rsid w:val="0404548F"/>
    <w:rsid w:val="045B533B"/>
    <w:rsid w:val="046C5683"/>
    <w:rsid w:val="04787C5D"/>
    <w:rsid w:val="04A146DD"/>
    <w:rsid w:val="04A73E6E"/>
    <w:rsid w:val="04F12AF1"/>
    <w:rsid w:val="054449CA"/>
    <w:rsid w:val="05494FEA"/>
    <w:rsid w:val="05780880"/>
    <w:rsid w:val="05CA1979"/>
    <w:rsid w:val="05DD1F63"/>
    <w:rsid w:val="05FD0DF3"/>
    <w:rsid w:val="063F6C84"/>
    <w:rsid w:val="06757AF0"/>
    <w:rsid w:val="06C11060"/>
    <w:rsid w:val="0764271A"/>
    <w:rsid w:val="07B0797F"/>
    <w:rsid w:val="07D25D87"/>
    <w:rsid w:val="07F5324F"/>
    <w:rsid w:val="081C6596"/>
    <w:rsid w:val="084C57FE"/>
    <w:rsid w:val="08680799"/>
    <w:rsid w:val="087F5A5E"/>
    <w:rsid w:val="08BD2CD1"/>
    <w:rsid w:val="08E40036"/>
    <w:rsid w:val="091F0CDE"/>
    <w:rsid w:val="095A70F8"/>
    <w:rsid w:val="0966767D"/>
    <w:rsid w:val="09864E12"/>
    <w:rsid w:val="09B16F03"/>
    <w:rsid w:val="09B305E8"/>
    <w:rsid w:val="09BE6C55"/>
    <w:rsid w:val="0A3B4070"/>
    <w:rsid w:val="0A723F27"/>
    <w:rsid w:val="0AB3259A"/>
    <w:rsid w:val="0AE75AF1"/>
    <w:rsid w:val="0B7408FE"/>
    <w:rsid w:val="0B7712B9"/>
    <w:rsid w:val="0B9A1FA0"/>
    <w:rsid w:val="0BAD403B"/>
    <w:rsid w:val="0BB3718E"/>
    <w:rsid w:val="0BD35FBC"/>
    <w:rsid w:val="0C602AB9"/>
    <w:rsid w:val="0C6A1257"/>
    <w:rsid w:val="0CE82A99"/>
    <w:rsid w:val="0DB70DD5"/>
    <w:rsid w:val="0DE14A7B"/>
    <w:rsid w:val="0E56100F"/>
    <w:rsid w:val="0E5D6FB7"/>
    <w:rsid w:val="0E841219"/>
    <w:rsid w:val="0EB9334C"/>
    <w:rsid w:val="0EEC3D9C"/>
    <w:rsid w:val="0F286257"/>
    <w:rsid w:val="0F826D2D"/>
    <w:rsid w:val="0FD23F71"/>
    <w:rsid w:val="0FEF57D0"/>
    <w:rsid w:val="10683BF9"/>
    <w:rsid w:val="10AF00C2"/>
    <w:rsid w:val="10FF118B"/>
    <w:rsid w:val="112F384F"/>
    <w:rsid w:val="117F6ACF"/>
    <w:rsid w:val="11B83D8F"/>
    <w:rsid w:val="122B630F"/>
    <w:rsid w:val="12435D4E"/>
    <w:rsid w:val="12627A39"/>
    <w:rsid w:val="12813B84"/>
    <w:rsid w:val="12BE53D5"/>
    <w:rsid w:val="12DA5447"/>
    <w:rsid w:val="12F157AA"/>
    <w:rsid w:val="12F4544C"/>
    <w:rsid w:val="12FF7C65"/>
    <w:rsid w:val="14992FE9"/>
    <w:rsid w:val="149C0416"/>
    <w:rsid w:val="14DB4E77"/>
    <w:rsid w:val="14EE1265"/>
    <w:rsid w:val="15037006"/>
    <w:rsid w:val="154E0467"/>
    <w:rsid w:val="156229D2"/>
    <w:rsid w:val="156D0DD4"/>
    <w:rsid w:val="1594241D"/>
    <w:rsid w:val="15AB3E13"/>
    <w:rsid w:val="15AD5965"/>
    <w:rsid w:val="16170BE2"/>
    <w:rsid w:val="16500E55"/>
    <w:rsid w:val="17226346"/>
    <w:rsid w:val="17C568E5"/>
    <w:rsid w:val="17CB2CAC"/>
    <w:rsid w:val="180D04EC"/>
    <w:rsid w:val="182A7C1F"/>
    <w:rsid w:val="184A52E9"/>
    <w:rsid w:val="185838D8"/>
    <w:rsid w:val="18663752"/>
    <w:rsid w:val="186A4293"/>
    <w:rsid w:val="18B06D45"/>
    <w:rsid w:val="19062587"/>
    <w:rsid w:val="194E043C"/>
    <w:rsid w:val="196B16E7"/>
    <w:rsid w:val="198B3B37"/>
    <w:rsid w:val="19BF167D"/>
    <w:rsid w:val="1A184D11"/>
    <w:rsid w:val="1A620D3B"/>
    <w:rsid w:val="1A9A2283"/>
    <w:rsid w:val="1AB829AD"/>
    <w:rsid w:val="1AB8537D"/>
    <w:rsid w:val="1AD46634"/>
    <w:rsid w:val="1AE67F2F"/>
    <w:rsid w:val="1B196358"/>
    <w:rsid w:val="1B2D3BAE"/>
    <w:rsid w:val="1C053E20"/>
    <w:rsid w:val="1C350B69"/>
    <w:rsid w:val="1C596563"/>
    <w:rsid w:val="1C5B26D4"/>
    <w:rsid w:val="1C6C7C4F"/>
    <w:rsid w:val="1CC75A8C"/>
    <w:rsid w:val="1D4B5AB7"/>
    <w:rsid w:val="1D556936"/>
    <w:rsid w:val="1D894E59"/>
    <w:rsid w:val="1DB13524"/>
    <w:rsid w:val="1E194FE5"/>
    <w:rsid w:val="1E3453EA"/>
    <w:rsid w:val="1E6D287C"/>
    <w:rsid w:val="1E817FB3"/>
    <w:rsid w:val="1F3465F4"/>
    <w:rsid w:val="1F532C2E"/>
    <w:rsid w:val="1F6E7A00"/>
    <w:rsid w:val="200C59D1"/>
    <w:rsid w:val="209E318A"/>
    <w:rsid w:val="210446B0"/>
    <w:rsid w:val="21381AA4"/>
    <w:rsid w:val="21647657"/>
    <w:rsid w:val="21A30C3E"/>
    <w:rsid w:val="21D35678"/>
    <w:rsid w:val="21DC6159"/>
    <w:rsid w:val="21E803FF"/>
    <w:rsid w:val="22594854"/>
    <w:rsid w:val="225B2099"/>
    <w:rsid w:val="230E7CB2"/>
    <w:rsid w:val="23203542"/>
    <w:rsid w:val="23DC56BB"/>
    <w:rsid w:val="240115C5"/>
    <w:rsid w:val="240175E5"/>
    <w:rsid w:val="24506E96"/>
    <w:rsid w:val="24507E57"/>
    <w:rsid w:val="247E63A3"/>
    <w:rsid w:val="252F4ADE"/>
    <w:rsid w:val="25580BCE"/>
    <w:rsid w:val="255D33B7"/>
    <w:rsid w:val="255E3F94"/>
    <w:rsid w:val="25887057"/>
    <w:rsid w:val="25AC0FB3"/>
    <w:rsid w:val="25C87A60"/>
    <w:rsid w:val="25C9386D"/>
    <w:rsid w:val="25CD5C03"/>
    <w:rsid w:val="25D10748"/>
    <w:rsid w:val="25E1345C"/>
    <w:rsid w:val="25F809F7"/>
    <w:rsid w:val="25FE4F16"/>
    <w:rsid w:val="26735A59"/>
    <w:rsid w:val="268F6FC4"/>
    <w:rsid w:val="27175F56"/>
    <w:rsid w:val="274243CE"/>
    <w:rsid w:val="276212A9"/>
    <w:rsid w:val="27B72A28"/>
    <w:rsid w:val="280A6782"/>
    <w:rsid w:val="289F0A96"/>
    <w:rsid w:val="28A55597"/>
    <w:rsid w:val="28CD1EDF"/>
    <w:rsid w:val="28D270FF"/>
    <w:rsid w:val="28D35EEF"/>
    <w:rsid w:val="29A20C0D"/>
    <w:rsid w:val="29F55728"/>
    <w:rsid w:val="2A2C795E"/>
    <w:rsid w:val="2A8D7807"/>
    <w:rsid w:val="2AE60E70"/>
    <w:rsid w:val="2B05007E"/>
    <w:rsid w:val="2B275DB5"/>
    <w:rsid w:val="2B4A16B7"/>
    <w:rsid w:val="2B5F77CE"/>
    <w:rsid w:val="2B9E1D07"/>
    <w:rsid w:val="2BC471FB"/>
    <w:rsid w:val="2C0C0B07"/>
    <w:rsid w:val="2C1774D1"/>
    <w:rsid w:val="2CE5517C"/>
    <w:rsid w:val="2D0E75CB"/>
    <w:rsid w:val="2D0F6B01"/>
    <w:rsid w:val="2D3D47B5"/>
    <w:rsid w:val="2D583418"/>
    <w:rsid w:val="2DDE08F0"/>
    <w:rsid w:val="2DF31F7F"/>
    <w:rsid w:val="2E0028ED"/>
    <w:rsid w:val="2E0C3040"/>
    <w:rsid w:val="2E4C78E1"/>
    <w:rsid w:val="2E5B1B98"/>
    <w:rsid w:val="2E9135F0"/>
    <w:rsid w:val="2EA86AA5"/>
    <w:rsid w:val="2EB060C2"/>
    <w:rsid w:val="2F9037FD"/>
    <w:rsid w:val="30222A5C"/>
    <w:rsid w:val="30750A98"/>
    <w:rsid w:val="309F2004"/>
    <w:rsid w:val="30A16E5A"/>
    <w:rsid w:val="310E50D4"/>
    <w:rsid w:val="31497AA4"/>
    <w:rsid w:val="318E3AAF"/>
    <w:rsid w:val="31C9793D"/>
    <w:rsid w:val="31E43937"/>
    <w:rsid w:val="32034E92"/>
    <w:rsid w:val="320D482F"/>
    <w:rsid w:val="32604021"/>
    <w:rsid w:val="32A55811"/>
    <w:rsid w:val="339C09C3"/>
    <w:rsid w:val="343F7A08"/>
    <w:rsid w:val="34714639"/>
    <w:rsid w:val="347F740C"/>
    <w:rsid w:val="34A039EC"/>
    <w:rsid w:val="34C913FF"/>
    <w:rsid w:val="34DC3D2A"/>
    <w:rsid w:val="35DF09FD"/>
    <w:rsid w:val="36063452"/>
    <w:rsid w:val="365725E7"/>
    <w:rsid w:val="365F060F"/>
    <w:rsid w:val="367C5B54"/>
    <w:rsid w:val="36CE5337"/>
    <w:rsid w:val="36E40CBB"/>
    <w:rsid w:val="370B7562"/>
    <w:rsid w:val="3747549D"/>
    <w:rsid w:val="375F0704"/>
    <w:rsid w:val="3784418B"/>
    <w:rsid w:val="37A5041B"/>
    <w:rsid w:val="37C9183B"/>
    <w:rsid w:val="37D20F86"/>
    <w:rsid w:val="381004BD"/>
    <w:rsid w:val="38101AF4"/>
    <w:rsid w:val="381D2075"/>
    <w:rsid w:val="38267744"/>
    <w:rsid w:val="384D672F"/>
    <w:rsid w:val="38662B88"/>
    <w:rsid w:val="38847B92"/>
    <w:rsid w:val="38CD7E11"/>
    <w:rsid w:val="38E827FA"/>
    <w:rsid w:val="39295803"/>
    <w:rsid w:val="394E7103"/>
    <w:rsid w:val="39C11183"/>
    <w:rsid w:val="39FC169A"/>
    <w:rsid w:val="3A26326A"/>
    <w:rsid w:val="3A2653AF"/>
    <w:rsid w:val="3A4959A9"/>
    <w:rsid w:val="3A5E16C2"/>
    <w:rsid w:val="3ADD54DA"/>
    <w:rsid w:val="3AF870BC"/>
    <w:rsid w:val="3B137A06"/>
    <w:rsid w:val="3B69313A"/>
    <w:rsid w:val="3B6D6E59"/>
    <w:rsid w:val="3B8F09A9"/>
    <w:rsid w:val="3BC90C55"/>
    <w:rsid w:val="3BDA3373"/>
    <w:rsid w:val="3BF84C04"/>
    <w:rsid w:val="3C297D8D"/>
    <w:rsid w:val="3C803CFD"/>
    <w:rsid w:val="3DB768C7"/>
    <w:rsid w:val="3DF9443A"/>
    <w:rsid w:val="3E403BBA"/>
    <w:rsid w:val="3E5C013B"/>
    <w:rsid w:val="3E636CAD"/>
    <w:rsid w:val="3E8173D9"/>
    <w:rsid w:val="3E832A29"/>
    <w:rsid w:val="3F2B7A4E"/>
    <w:rsid w:val="3F36085C"/>
    <w:rsid w:val="3F484027"/>
    <w:rsid w:val="3F4B7B3E"/>
    <w:rsid w:val="3F716CF5"/>
    <w:rsid w:val="3F915E9E"/>
    <w:rsid w:val="3FAE3F57"/>
    <w:rsid w:val="3FBF231B"/>
    <w:rsid w:val="3FEC4A80"/>
    <w:rsid w:val="3FED4CCD"/>
    <w:rsid w:val="400D3374"/>
    <w:rsid w:val="40485EC8"/>
    <w:rsid w:val="40842268"/>
    <w:rsid w:val="40B32740"/>
    <w:rsid w:val="40D316B2"/>
    <w:rsid w:val="414D4284"/>
    <w:rsid w:val="41CF6407"/>
    <w:rsid w:val="41F36F63"/>
    <w:rsid w:val="42B34A7B"/>
    <w:rsid w:val="42B554A8"/>
    <w:rsid w:val="430E079E"/>
    <w:rsid w:val="43293980"/>
    <w:rsid w:val="434C6E41"/>
    <w:rsid w:val="43824C16"/>
    <w:rsid w:val="43AF0977"/>
    <w:rsid w:val="43D000F6"/>
    <w:rsid w:val="441647C1"/>
    <w:rsid w:val="442D7B4C"/>
    <w:rsid w:val="446B7E82"/>
    <w:rsid w:val="44765A4D"/>
    <w:rsid w:val="44E346A3"/>
    <w:rsid w:val="44E56D05"/>
    <w:rsid w:val="4533344C"/>
    <w:rsid w:val="453A2FD7"/>
    <w:rsid w:val="45965BB9"/>
    <w:rsid w:val="460009FF"/>
    <w:rsid w:val="462A327B"/>
    <w:rsid w:val="46462EC9"/>
    <w:rsid w:val="466B64C4"/>
    <w:rsid w:val="468C4215"/>
    <w:rsid w:val="469974EA"/>
    <w:rsid w:val="46B11C6B"/>
    <w:rsid w:val="471A0124"/>
    <w:rsid w:val="473309CA"/>
    <w:rsid w:val="47507E2E"/>
    <w:rsid w:val="477261B2"/>
    <w:rsid w:val="47C44837"/>
    <w:rsid w:val="47D54856"/>
    <w:rsid w:val="47E04ECA"/>
    <w:rsid w:val="480542DF"/>
    <w:rsid w:val="48D2515B"/>
    <w:rsid w:val="492D6ED1"/>
    <w:rsid w:val="49566508"/>
    <w:rsid w:val="49850593"/>
    <w:rsid w:val="49B12119"/>
    <w:rsid w:val="4A2A2D74"/>
    <w:rsid w:val="4A3828B0"/>
    <w:rsid w:val="4A543EBD"/>
    <w:rsid w:val="4A775B48"/>
    <w:rsid w:val="4A786728"/>
    <w:rsid w:val="4A951EAA"/>
    <w:rsid w:val="4AC53BBF"/>
    <w:rsid w:val="4AE771F9"/>
    <w:rsid w:val="4B630235"/>
    <w:rsid w:val="4B674448"/>
    <w:rsid w:val="4B885FA4"/>
    <w:rsid w:val="4B8F415A"/>
    <w:rsid w:val="4C05553B"/>
    <w:rsid w:val="4C325322"/>
    <w:rsid w:val="4C3C2865"/>
    <w:rsid w:val="4C7A2BE8"/>
    <w:rsid w:val="4CB311F3"/>
    <w:rsid w:val="4CB75754"/>
    <w:rsid w:val="4CEE4DC5"/>
    <w:rsid w:val="4D051A8F"/>
    <w:rsid w:val="4D8914F8"/>
    <w:rsid w:val="4E402BDE"/>
    <w:rsid w:val="4E6A3D6B"/>
    <w:rsid w:val="4E8642F1"/>
    <w:rsid w:val="4E954299"/>
    <w:rsid w:val="4E984750"/>
    <w:rsid w:val="4EAB5086"/>
    <w:rsid w:val="4EFA02E3"/>
    <w:rsid w:val="4F720215"/>
    <w:rsid w:val="4FB01626"/>
    <w:rsid w:val="4FD079AC"/>
    <w:rsid w:val="50465524"/>
    <w:rsid w:val="50B03221"/>
    <w:rsid w:val="50C77DAE"/>
    <w:rsid w:val="510C0730"/>
    <w:rsid w:val="516E3547"/>
    <w:rsid w:val="517954BD"/>
    <w:rsid w:val="52081BED"/>
    <w:rsid w:val="521F5949"/>
    <w:rsid w:val="524414EF"/>
    <w:rsid w:val="5282484A"/>
    <w:rsid w:val="52910E3A"/>
    <w:rsid w:val="530A004E"/>
    <w:rsid w:val="53575898"/>
    <w:rsid w:val="53D230F3"/>
    <w:rsid w:val="53DD723A"/>
    <w:rsid w:val="53E977FC"/>
    <w:rsid w:val="54065CB8"/>
    <w:rsid w:val="54AB79EA"/>
    <w:rsid w:val="54EC1B7E"/>
    <w:rsid w:val="55450FC7"/>
    <w:rsid w:val="554642B9"/>
    <w:rsid w:val="55585B42"/>
    <w:rsid w:val="556A060B"/>
    <w:rsid w:val="55CA2B02"/>
    <w:rsid w:val="55F304BE"/>
    <w:rsid w:val="55F72D13"/>
    <w:rsid w:val="563E5399"/>
    <w:rsid w:val="56AC1EFF"/>
    <w:rsid w:val="576F626A"/>
    <w:rsid w:val="57873BEE"/>
    <w:rsid w:val="57C0051F"/>
    <w:rsid w:val="57D117D4"/>
    <w:rsid w:val="57DC6ED7"/>
    <w:rsid w:val="5821489E"/>
    <w:rsid w:val="582C2E5D"/>
    <w:rsid w:val="58405B96"/>
    <w:rsid w:val="586E5988"/>
    <w:rsid w:val="589E7FFA"/>
    <w:rsid w:val="58AB0A42"/>
    <w:rsid w:val="58BD1E8C"/>
    <w:rsid w:val="58FC2275"/>
    <w:rsid w:val="592877EC"/>
    <w:rsid w:val="59C26B25"/>
    <w:rsid w:val="59D81EA5"/>
    <w:rsid w:val="59E547C7"/>
    <w:rsid w:val="5A4C66C1"/>
    <w:rsid w:val="5A6951E1"/>
    <w:rsid w:val="5A6E45B7"/>
    <w:rsid w:val="5A781D14"/>
    <w:rsid w:val="5A8C51CD"/>
    <w:rsid w:val="5AA91A93"/>
    <w:rsid w:val="5B4D4167"/>
    <w:rsid w:val="5BAE2A3F"/>
    <w:rsid w:val="5BE51784"/>
    <w:rsid w:val="5C473031"/>
    <w:rsid w:val="5CA97B29"/>
    <w:rsid w:val="5CB650ED"/>
    <w:rsid w:val="5D1B7D2F"/>
    <w:rsid w:val="5E1A4554"/>
    <w:rsid w:val="5E527AC1"/>
    <w:rsid w:val="5E8A3103"/>
    <w:rsid w:val="5E8D1957"/>
    <w:rsid w:val="5E962B72"/>
    <w:rsid w:val="5ECA2083"/>
    <w:rsid w:val="5EE04CED"/>
    <w:rsid w:val="5F0F78FA"/>
    <w:rsid w:val="5F1D2B10"/>
    <w:rsid w:val="5F265718"/>
    <w:rsid w:val="5F711D0A"/>
    <w:rsid w:val="5F850B19"/>
    <w:rsid w:val="6011122D"/>
    <w:rsid w:val="601C2808"/>
    <w:rsid w:val="604069F6"/>
    <w:rsid w:val="606B4B88"/>
    <w:rsid w:val="60937961"/>
    <w:rsid w:val="60A76A75"/>
    <w:rsid w:val="60B34ADB"/>
    <w:rsid w:val="60DD0843"/>
    <w:rsid w:val="620B29F8"/>
    <w:rsid w:val="628D0E3A"/>
    <w:rsid w:val="62B43D0B"/>
    <w:rsid w:val="62FF1F29"/>
    <w:rsid w:val="633863A0"/>
    <w:rsid w:val="635B1CEB"/>
    <w:rsid w:val="63A765FB"/>
    <w:rsid w:val="63C44569"/>
    <w:rsid w:val="63DA35F1"/>
    <w:rsid w:val="63EB8DC0"/>
    <w:rsid w:val="63EC5FEE"/>
    <w:rsid w:val="64103D8F"/>
    <w:rsid w:val="64284117"/>
    <w:rsid w:val="64526CF8"/>
    <w:rsid w:val="64D94D23"/>
    <w:rsid w:val="65132B64"/>
    <w:rsid w:val="653A6EF9"/>
    <w:rsid w:val="656C3DE9"/>
    <w:rsid w:val="656E5DB3"/>
    <w:rsid w:val="65E30D48"/>
    <w:rsid w:val="66385AC8"/>
    <w:rsid w:val="663E7534"/>
    <w:rsid w:val="666A5257"/>
    <w:rsid w:val="668E08CF"/>
    <w:rsid w:val="66A045B3"/>
    <w:rsid w:val="676B1DEE"/>
    <w:rsid w:val="67705595"/>
    <w:rsid w:val="67A41618"/>
    <w:rsid w:val="67FB451A"/>
    <w:rsid w:val="681C69AE"/>
    <w:rsid w:val="683F7593"/>
    <w:rsid w:val="68625AAF"/>
    <w:rsid w:val="689A2A1B"/>
    <w:rsid w:val="691C3E67"/>
    <w:rsid w:val="693052F5"/>
    <w:rsid w:val="69761A42"/>
    <w:rsid w:val="69AD786D"/>
    <w:rsid w:val="6A18576C"/>
    <w:rsid w:val="6A194BBF"/>
    <w:rsid w:val="6A663A2A"/>
    <w:rsid w:val="6A731776"/>
    <w:rsid w:val="6ABC311D"/>
    <w:rsid w:val="6AF17FB3"/>
    <w:rsid w:val="6B5D01B3"/>
    <w:rsid w:val="6B8F264C"/>
    <w:rsid w:val="6BA114AE"/>
    <w:rsid w:val="6BC95AF1"/>
    <w:rsid w:val="6C196368"/>
    <w:rsid w:val="6C4E3FE6"/>
    <w:rsid w:val="6C67289A"/>
    <w:rsid w:val="6C76160A"/>
    <w:rsid w:val="6C7A7968"/>
    <w:rsid w:val="6CCB2A74"/>
    <w:rsid w:val="6CCF76B0"/>
    <w:rsid w:val="6CED40D0"/>
    <w:rsid w:val="6CFD4863"/>
    <w:rsid w:val="6DDC047C"/>
    <w:rsid w:val="6E10763F"/>
    <w:rsid w:val="6E12248D"/>
    <w:rsid w:val="6E37696A"/>
    <w:rsid w:val="6E6D7D0D"/>
    <w:rsid w:val="6E6E472E"/>
    <w:rsid w:val="6E8C4B82"/>
    <w:rsid w:val="6E960809"/>
    <w:rsid w:val="6EAB7730"/>
    <w:rsid w:val="6EDD411A"/>
    <w:rsid w:val="6EE22D3E"/>
    <w:rsid w:val="6F3C2A7E"/>
    <w:rsid w:val="6FA03313"/>
    <w:rsid w:val="6FA76EFD"/>
    <w:rsid w:val="704D04C0"/>
    <w:rsid w:val="7061288F"/>
    <w:rsid w:val="70A50E78"/>
    <w:rsid w:val="70FF6B30"/>
    <w:rsid w:val="71063430"/>
    <w:rsid w:val="71171CC7"/>
    <w:rsid w:val="717B628D"/>
    <w:rsid w:val="71DB1D5C"/>
    <w:rsid w:val="71FB1A36"/>
    <w:rsid w:val="72221CCC"/>
    <w:rsid w:val="725716A5"/>
    <w:rsid w:val="72C7572D"/>
    <w:rsid w:val="72DC6B69"/>
    <w:rsid w:val="734278EE"/>
    <w:rsid w:val="737F5725"/>
    <w:rsid w:val="73866447"/>
    <w:rsid w:val="73A61423"/>
    <w:rsid w:val="73AB2D55"/>
    <w:rsid w:val="73B33761"/>
    <w:rsid w:val="73BA7BC2"/>
    <w:rsid w:val="73C46B5D"/>
    <w:rsid w:val="740F7D24"/>
    <w:rsid w:val="74202616"/>
    <w:rsid w:val="74BB28BA"/>
    <w:rsid w:val="74ED4486"/>
    <w:rsid w:val="74ED4DFD"/>
    <w:rsid w:val="751D31F1"/>
    <w:rsid w:val="7523009D"/>
    <w:rsid w:val="755227B9"/>
    <w:rsid w:val="75901DEC"/>
    <w:rsid w:val="75AF3FAA"/>
    <w:rsid w:val="75C32AE2"/>
    <w:rsid w:val="76271133"/>
    <w:rsid w:val="762B32F0"/>
    <w:rsid w:val="76350830"/>
    <w:rsid w:val="76357C6A"/>
    <w:rsid w:val="765238D8"/>
    <w:rsid w:val="769D2054"/>
    <w:rsid w:val="76C5063C"/>
    <w:rsid w:val="76E450D5"/>
    <w:rsid w:val="76F105F2"/>
    <w:rsid w:val="77994E89"/>
    <w:rsid w:val="782C6EB1"/>
    <w:rsid w:val="782F2469"/>
    <w:rsid w:val="78507867"/>
    <w:rsid w:val="786848CD"/>
    <w:rsid w:val="78A04DB7"/>
    <w:rsid w:val="78A636D2"/>
    <w:rsid w:val="790D0E29"/>
    <w:rsid w:val="79216E14"/>
    <w:rsid w:val="79284FD5"/>
    <w:rsid w:val="79517126"/>
    <w:rsid w:val="79FB1583"/>
    <w:rsid w:val="7A020BB7"/>
    <w:rsid w:val="7A0C160A"/>
    <w:rsid w:val="7A8377B3"/>
    <w:rsid w:val="7A864DFE"/>
    <w:rsid w:val="7A9C1535"/>
    <w:rsid w:val="7AB865E8"/>
    <w:rsid w:val="7ADC57E8"/>
    <w:rsid w:val="7AEE2BA0"/>
    <w:rsid w:val="7B215011"/>
    <w:rsid w:val="7BB3743D"/>
    <w:rsid w:val="7BCD4E47"/>
    <w:rsid w:val="7BD33BE3"/>
    <w:rsid w:val="7C273CC1"/>
    <w:rsid w:val="7C507659"/>
    <w:rsid w:val="7C55517F"/>
    <w:rsid w:val="7C6F4493"/>
    <w:rsid w:val="7C7A2EC3"/>
    <w:rsid w:val="7CBC035D"/>
    <w:rsid w:val="7D1945FC"/>
    <w:rsid w:val="7D2C4132"/>
    <w:rsid w:val="7D9B56F8"/>
    <w:rsid w:val="7DC05710"/>
    <w:rsid w:val="7DE528E8"/>
    <w:rsid w:val="7DEA0AA2"/>
    <w:rsid w:val="7DEC566F"/>
    <w:rsid w:val="7DF934E8"/>
    <w:rsid w:val="7E0408D4"/>
    <w:rsid w:val="7E932CB2"/>
    <w:rsid w:val="7F037115"/>
    <w:rsid w:val="7F6B3279"/>
    <w:rsid w:val="7FD25DBF"/>
    <w:rsid w:val="7FF93718"/>
    <w:rsid w:val="D8CF4A81"/>
    <w:rsid w:val="FCEFC8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2"/>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paragraph" w:styleId="4">
    <w:name w:val="heading 3"/>
    <w:basedOn w:val="1"/>
    <w:next w:val="1"/>
    <w:qFormat/>
    <w:uiPriority w:val="0"/>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unhideWhenUsed/>
    <w:qFormat/>
    <w:uiPriority w:val="39"/>
    <w:pPr>
      <w:spacing w:after="160" w:line="278" w:lineRule="auto"/>
      <w:ind w:left="2520" w:leftChars="1200"/>
      <w:jc w:val="left"/>
    </w:pPr>
    <w:rPr>
      <w:rFonts w:asciiTheme="minorHAnsi" w:hAnsiTheme="minorHAnsi" w:eastAsiaTheme="minorEastAsia" w:cstheme="minorBidi"/>
      <w:sz w:val="22"/>
      <w14:ligatures w14:val="standardContextual"/>
    </w:rPr>
  </w:style>
  <w:style w:type="paragraph" w:styleId="7">
    <w:name w:val="Normal Indent"/>
    <w:basedOn w:val="1"/>
    <w:next w:val="1"/>
    <w:qFormat/>
    <w:uiPriority w:val="0"/>
    <w:pPr>
      <w:ind w:firstLine="420"/>
    </w:pPr>
    <w:rPr>
      <w:szCs w:val="20"/>
    </w:rPr>
  </w:style>
  <w:style w:type="paragraph" w:styleId="8">
    <w:name w:val="caption"/>
    <w:basedOn w:val="1"/>
    <w:next w:val="1"/>
    <w:qFormat/>
    <w:uiPriority w:val="0"/>
    <w:pPr>
      <w:spacing w:before="152" w:after="160"/>
    </w:pPr>
    <w:rPr>
      <w:rFonts w:ascii="Arial" w:hAnsi="Arial" w:eastAsia="黑体"/>
      <w:sz w:val="20"/>
      <w:szCs w:val="20"/>
    </w:rPr>
  </w:style>
  <w:style w:type="paragraph" w:styleId="9">
    <w:name w:val="Document Map"/>
    <w:basedOn w:val="1"/>
    <w:qFormat/>
    <w:uiPriority w:val="99"/>
    <w:rPr>
      <w:rFonts w:ascii="宋体"/>
      <w:sz w:val="18"/>
      <w:szCs w:val="18"/>
    </w:rPr>
  </w:style>
  <w:style w:type="paragraph" w:styleId="10">
    <w:name w:val="toa heading"/>
    <w:basedOn w:val="1"/>
    <w:next w:val="1"/>
    <w:qFormat/>
    <w:uiPriority w:val="0"/>
    <w:pPr>
      <w:spacing w:before="120"/>
    </w:pPr>
    <w:rPr>
      <w:rFonts w:ascii="Arial" w:hAnsi="Arial" w:cs="Arial"/>
      <w:sz w:val="24"/>
    </w:rPr>
  </w:style>
  <w:style w:type="paragraph" w:styleId="11">
    <w:name w:val="annotation text"/>
    <w:basedOn w:val="1"/>
    <w:link w:val="54"/>
    <w:qFormat/>
    <w:uiPriority w:val="0"/>
    <w:pPr>
      <w:jc w:val="left"/>
    </w:pPr>
  </w:style>
  <w:style w:type="paragraph" w:styleId="12">
    <w:name w:val="Body Text"/>
    <w:basedOn w:val="1"/>
    <w:next w:val="1"/>
    <w:qFormat/>
    <w:uiPriority w:val="0"/>
    <w:rPr>
      <w:rFonts w:ascii="金山简黑体" w:hAnsi="金山简黑体" w:eastAsia="金山简黑体"/>
      <w:b/>
      <w:spacing w:val="-8"/>
      <w:sz w:val="44"/>
      <w:szCs w:val="20"/>
    </w:rPr>
  </w:style>
  <w:style w:type="paragraph" w:styleId="13">
    <w:name w:val="Body Text Indent"/>
    <w:basedOn w:val="1"/>
    <w:qFormat/>
    <w:uiPriority w:val="0"/>
    <w:pPr>
      <w:spacing w:line="200" w:lineRule="exact"/>
      <w:ind w:firstLine="301"/>
    </w:pPr>
    <w:rPr>
      <w:rFonts w:ascii="宋体"/>
      <w:spacing w:val="-4"/>
      <w:sz w:val="18"/>
      <w:szCs w:val="20"/>
    </w:rPr>
  </w:style>
  <w:style w:type="paragraph" w:styleId="14">
    <w:name w:val="toc 5"/>
    <w:basedOn w:val="1"/>
    <w:next w:val="1"/>
    <w:unhideWhenUsed/>
    <w:qFormat/>
    <w:uiPriority w:val="39"/>
    <w:pPr>
      <w:spacing w:after="160" w:line="278" w:lineRule="auto"/>
      <w:ind w:left="1680" w:leftChars="800"/>
      <w:jc w:val="left"/>
    </w:pPr>
    <w:rPr>
      <w:rFonts w:asciiTheme="minorHAnsi" w:hAnsiTheme="minorHAnsi" w:eastAsiaTheme="minorEastAsia" w:cstheme="minorBidi"/>
      <w:sz w:val="22"/>
      <w14:ligatures w14:val="standardContextual"/>
    </w:rPr>
  </w:style>
  <w:style w:type="paragraph" w:styleId="15">
    <w:name w:val="toc 3"/>
    <w:basedOn w:val="1"/>
    <w:next w:val="1"/>
    <w:qFormat/>
    <w:uiPriority w:val="39"/>
    <w:pPr>
      <w:ind w:left="300" w:leftChars="300"/>
      <w:jc w:val="left"/>
    </w:pPr>
    <w:rPr>
      <w:iCs/>
      <w:szCs w:val="20"/>
    </w:rPr>
  </w:style>
  <w:style w:type="paragraph" w:styleId="16">
    <w:name w:val="Plain Text"/>
    <w:basedOn w:val="1"/>
    <w:next w:val="1"/>
    <w:qFormat/>
    <w:uiPriority w:val="0"/>
    <w:rPr>
      <w:rFonts w:ascii="宋体"/>
      <w:szCs w:val="20"/>
    </w:rPr>
  </w:style>
  <w:style w:type="paragraph" w:styleId="17">
    <w:name w:val="toc 8"/>
    <w:basedOn w:val="1"/>
    <w:next w:val="1"/>
    <w:unhideWhenUsed/>
    <w:qFormat/>
    <w:uiPriority w:val="39"/>
    <w:pPr>
      <w:spacing w:after="160" w:line="278" w:lineRule="auto"/>
      <w:ind w:left="2940" w:leftChars="1400"/>
      <w:jc w:val="left"/>
    </w:pPr>
    <w:rPr>
      <w:rFonts w:asciiTheme="minorHAnsi" w:hAnsiTheme="minorHAnsi" w:eastAsiaTheme="minorEastAsia" w:cstheme="minorBidi"/>
      <w:sz w:val="22"/>
      <w14:ligatures w14:val="standardContextual"/>
    </w:rPr>
  </w:style>
  <w:style w:type="paragraph" w:styleId="18">
    <w:name w:val="Date"/>
    <w:basedOn w:val="1"/>
    <w:next w:val="1"/>
    <w:qFormat/>
    <w:uiPriority w:val="0"/>
    <w:rPr>
      <w:kern w:val="0"/>
      <w:sz w:val="28"/>
    </w:rPr>
  </w:style>
  <w:style w:type="paragraph" w:styleId="19">
    <w:name w:val="Balloon Text"/>
    <w:basedOn w:val="1"/>
    <w:link w:val="50"/>
    <w:qFormat/>
    <w:uiPriority w:val="0"/>
    <w:rPr>
      <w:sz w:val="18"/>
      <w:szCs w:val="18"/>
    </w:rPr>
  </w:style>
  <w:style w:type="paragraph" w:styleId="20">
    <w:name w:val="footer"/>
    <w:basedOn w:val="1"/>
    <w:link w:val="53"/>
    <w:qFormat/>
    <w:uiPriority w:val="0"/>
    <w:pPr>
      <w:tabs>
        <w:tab w:val="center" w:pos="4153"/>
        <w:tab w:val="right" w:pos="8306"/>
      </w:tabs>
      <w:snapToGrid w:val="0"/>
      <w:jc w:val="left"/>
    </w:pPr>
    <w:rPr>
      <w:rFonts w:ascii="宋体"/>
      <w:sz w:val="18"/>
      <w:szCs w:val="20"/>
    </w:rPr>
  </w:style>
  <w:style w:type="paragraph" w:styleId="2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adjustRightInd w:val="0"/>
      <w:spacing w:before="120" w:after="120"/>
      <w:ind w:firstLine="50" w:firstLineChars="50"/>
      <w:jc w:val="left"/>
      <w:outlineLvl w:val="0"/>
    </w:pPr>
    <w:rPr>
      <w:bCs/>
      <w:caps/>
      <w:szCs w:val="20"/>
    </w:rPr>
  </w:style>
  <w:style w:type="paragraph" w:styleId="23">
    <w:name w:val="toc 4"/>
    <w:basedOn w:val="1"/>
    <w:next w:val="1"/>
    <w:unhideWhenUsed/>
    <w:qFormat/>
    <w:uiPriority w:val="39"/>
    <w:pPr>
      <w:spacing w:after="160" w:line="278" w:lineRule="auto"/>
      <w:ind w:left="1260" w:leftChars="600"/>
      <w:jc w:val="left"/>
    </w:pPr>
    <w:rPr>
      <w:rFonts w:asciiTheme="minorHAnsi" w:hAnsiTheme="minorHAnsi" w:eastAsiaTheme="minorEastAsia" w:cstheme="minorBidi"/>
      <w:sz w:val="22"/>
      <w14:ligatures w14:val="standardContextual"/>
    </w:rPr>
  </w:style>
  <w:style w:type="paragraph" w:styleId="24">
    <w:name w:val="toc 6"/>
    <w:basedOn w:val="1"/>
    <w:next w:val="1"/>
    <w:unhideWhenUsed/>
    <w:qFormat/>
    <w:uiPriority w:val="39"/>
    <w:pPr>
      <w:spacing w:after="160" w:line="278" w:lineRule="auto"/>
      <w:ind w:left="2100" w:leftChars="1000"/>
      <w:jc w:val="left"/>
    </w:pPr>
    <w:rPr>
      <w:rFonts w:asciiTheme="minorHAnsi" w:hAnsiTheme="minorHAnsi" w:eastAsiaTheme="minorEastAsia" w:cstheme="minorBidi"/>
      <w:sz w:val="22"/>
      <w14:ligatures w14:val="standardContextual"/>
    </w:rPr>
  </w:style>
  <w:style w:type="paragraph" w:styleId="25">
    <w:name w:val="toc 2"/>
    <w:basedOn w:val="1"/>
    <w:next w:val="1"/>
    <w:qFormat/>
    <w:uiPriority w:val="39"/>
    <w:pPr>
      <w:tabs>
        <w:tab w:val="right" w:leader="dot" w:pos="9344"/>
      </w:tabs>
      <w:ind w:left="200" w:leftChars="200"/>
      <w:jc w:val="left"/>
    </w:pPr>
    <w:rPr>
      <w:smallCaps/>
      <w:szCs w:val="20"/>
    </w:rPr>
  </w:style>
  <w:style w:type="paragraph" w:styleId="26">
    <w:name w:val="toc 9"/>
    <w:basedOn w:val="1"/>
    <w:next w:val="1"/>
    <w:unhideWhenUsed/>
    <w:qFormat/>
    <w:uiPriority w:val="39"/>
    <w:pPr>
      <w:spacing w:after="160" w:line="278" w:lineRule="auto"/>
      <w:ind w:left="3360" w:leftChars="1600"/>
      <w:jc w:val="left"/>
    </w:pPr>
    <w:rPr>
      <w:rFonts w:asciiTheme="minorHAnsi" w:hAnsiTheme="minorHAnsi" w:eastAsiaTheme="minorEastAsia" w:cstheme="minorBidi"/>
      <w:sz w:val="22"/>
      <w14:ligatures w14:val="standardContextual"/>
    </w:rPr>
  </w:style>
  <w:style w:type="paragraph" w:styleId="27">
    <w:name w:val="Body Text 2"/>
    <w:basedOn w:val="1"/>
    <w:qFormat/>
    <w:uiPriority w:val="0"/>
    <w:rPr>
      <w:rFonts w:ascii="宋体"/>
      <w:sz w:val="13"/>
      <w:szCs w:val="20"/>
    </w:rPr>
  </w:style>
  <w:style w:type="paragraph" w:styleId="28">
    <w:name w:val="Normal (Web)"/>
    <w:basedOn w:val="1"/>
    <w:qFormat/>
    <w:uiPriority w:val="0"/>
    <w:pPr>
      <w:spacing w:before="100" w:beforeAutospacing="1" w:after="100" w:afterAutospacing="1"/>
      <w:jc w:val="left"/>
    </w:pPr>
    <w:rPr>
      <w:kern w:val="0"/>
      <w:sz w:val="24"/>
    </w:rPr>
  </w:style>
  <w:style w:type="paragraph" w:styleId="29">
    <w:name w:val="Title"/>
    <w:next w:val="1"/>
    <w:qFormat/>
    <w:uiPriority w:val="0"/>
    <w:pPr>
      <w:widowControl w:val="0"/>
      <w:jc w:val="center"/>
      <w:outlineLvl w:val="0"/>
    </w:pPr>
    <w:rPr>
      <w:rFonts w:ascii="Cambria" w:hAnsi="Cambria" w:eastAsia="宋体" w:cs="Times New Roman"/>
      <w:b/>
      <w:bCs/>
      <w:kern w:val="2"/>
      <w:sz w:val="44"/>
      <w:szCs w:val="32"/>
      <w:lang w:val="en-US" w:eastAsia="zh-CN" w:bidi="ar-SA"/>
    </w:rPr>
  </w:style>
  <w:style w:type="paragraph" w:styleId="30">
    <w:name w:val="annotation subject"/>
    <w:basedOn w:val="11"/>
    <w:next w:val="1"/>
    <w:link w:val="55"/>
    <w:qFormat/>
    <w:uiPriority w:val="0"/>
    <w:rPr>
      <w:b/>
      <w:bCs/>
    </w:rPr>
  </w:style>
  <w:style w:type="paragraph" w:styleId="31">
    <w:name w:val="Body Text First Indent"/>
    <w:basedOn w:val="12"/>
    <w:next w:val="1"/>
    <w:qFormat/>
    <w:uiPriority w:val="0"/>
    <w:pPr>
      <w:tabs>
        <w:tab w:val="center" w:pos="2185"/>
      </w:tabs>
      <w:spacing w:beforeLines="50" w:line="300" w:lineRule="auto"/>
      <w:ind w:firstLine="200" w:firstLineChars="200"/>
    </w:pPr>
    <w:rPr>
      <w:rFonts w:ascii="楷体_GB2312" w:eastAsia="楷体_GB2312"/>
      <w:spacing w:val="4"/>
      <w:sz w:val="21"/>
    </w:rPr>
  </w:style>
  <w:style w:type="paragraph" w:styleId="32">
    <w:name w:val="Body Text First Indent 2"/>
    <w:basedOn w:val="13"/>
    <w:unhideWhenUsed/>
    <w:qFormat/>
    <w:uiPriority w:val="99"/>
    <w:pPr>
      <w:spacing w:after="120" w:line="240" w:lineRule="auto"/>
      <w:ind w:left="420" w:leftChars="200" w:firstLine="420" w:firstLineChars="200"/>
    </w:pPr>
    <w:rPr>
      <w:sz w:val="21"/>
      <w:szCs w:val="24"/>
    </w:rPr>
  </w:style>
  <w:style w:type="table" w:styleId="34">
    <w:name w:val="Table Grid"/>
    <w:basedOn w:val="3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qFormat/>
    <w:uiPriority w:val="0"/>
    <w:rPr>
      <w:b/>
    </w:rPr>
  </w:style>
  <w:style w:type="character" w:styleId="37">
    <w:name w:val="page number"/>
    <w:qFormat/>
    <w:uiPriority w:val="0"/>
  </w:style>
  <w:style w:type="character" w:styleId="38">
    <w:name w:val="Hyperlink"/>
    <w:basedOn w:val="35"/>
    <w:qFormat/>
    <w:uiPriority w:val="99"/>
    <w:rPr>
      <w:color w:val="555555"/>
      <w:u w:val="none"/>
    </w:rPr>
  </w:style>
  <w:style w:type="character" w:styleId="39">
    <w:name w:val="annotation reference"/>
    <w:basedOn w:val="35"/>
    <w:qFormat/>
    <w:uiPriority w:val="0"/>
    <w:rPr>
      <w:sz w:val="21"/>
      <w:szCs w:val="21"/>
    </w:rPr>
  </w:style>
  <w:style w:type="paragraph" w:customStyle="1" w:styleId="40">
    <w:name w:val="样式 正文文字缩进 + 小四 首行缩进:  2 字符"/>
    <w:basedOn w:val="1"/>
    <w:qFormat/>
    <w:uiPriority w:val="0"/>
    <w:pPr>
      <w:spacing w:line="600" w:lineRule="exact"/>
      <w:jc w:val="center"/>
    </w:pPr>
    <w:rPr>
      <w:rFonts w:ascii="宋体"/>
      <w:b/>
      <w:u w:val="double"/>
    </w:rPr>
  </w:style>
  <w:style w:type="paragraph" w:customStyle="1" w:styleId="41">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2">
    <w:name w:val="标题 1 字符"/>
    <w:link w:val="2"/>
    <w:qFormat/>
    <w:uiPriority w:val="0"/>
    <w:rPr>
      <w:rFonts w:eastAsia="黑体"/>
      <w:b/>
      <w:kern w:val="44"/>
      <w:sz w:val="28"/>
      <w:szCs w:val="20"/>
    </w:rPr>
  </w:style>
  <w:style w:type="paragraph" w:customStyle="1" w:styleId="43">
    <w:name w:val="Table Text"/>
    <w:basedOn w:val="1"/>
    <w:semiHidden/>
    <w:qFormat/>
    <w:uiPriority w:val="0"/>
    <w:rPr>
      <w:rFonts w:ascii="宋体" w:hAnsi="宋体" w:cs="宋体"/>
      <w:szCs w:val="21"/>
      <w:lang w:eastAsia="en-US"/>
    </w:rPr>
  </w:style>
  <w:style w:type="table" w:customStyle="1" w:styleId="44">
    <w:name w:val="Table Normal"/>
    <w:unhideWhenUsed/>
    <w:qFormat/>
    <w:uiPriority w:val="0"/>
    <w:tblPr>
      <w:tblCellMar>
        <w:top w:w="0" w:type="dxa"/>
        <w:left w:w="0" w:type="dxa"/>
        <w:bottom w:w="0" w:type="dxa"/>
        <w:right w:w="0" w:type="dxa"/>
      </w:tblCellMar>
    </w:tblPr>
  </w:style>
  <w:style w:type="paragraph" w:customStyle="1" w:styleId="45">
    <w:name w:val="纯文本 New New"/>
    <w:basedOn w:val="1"/>
    <w:next w:val="1"/>
    <w:qFormat/>
    <w:uiPriority w:val="0"/>
    <w:pPr>
      <w:autoSpaceDE w:val="0"/>
      <w:autoSpaceDN w:val="0"/>
      <w:adjustRightInd w:val="0"/>
      <w:jc w:val="left"/>
    </w:pPr>
    <w:rPr>
      <w:rFonts w:ascii="宋体"/>
    </w:rPr>
  </w:style>
  <w:style w:type="character" w:customStyle="1" w:styleId="46">
    <w:name w:val="font21"/>
    <w:qFormat/>
    <w:uiPriority w:val="0"/>
    <w:rPr>
      <w:rFonts w:hint="eastAsia" w:ascii="宋体" w:hAnsi="宋体" w:eastAsia="宋体" w:cs="宋体"/>
      <w:color w:val="FF0000"/>
      <w:sz w:val="22"/>
      <w:szCs w:val="22"/>
      <w:u w:val="none"/>
    </w:rPr>
  </w:style>
  <w:style w:type="character" w:customStyle="1" w:styleId="47">
    <w:name w:val="font01"/>
    <w:qFormat/>
    <w:uiPriority w:val="0"/>
    <w:rPr>
      <w:rFonts w:hint="eastAsia" w:ascii="宋体" w:hAnsi="宋体" w:eastAsia="宋体" w:cs="宋体"/>
      <w:color w:val="000000"/>
      <w:sz w:val="22"/>
      <w:szCs w:val="22"/>
      <w:u w:val="none"/>
    </w:rPr>
  </w:style>
  <w:style w:type="paragraph" w:customStyle="1" w:styleId="48">
    <w:name w:val="列出段落1"/>
    <w:basedOn w:val="1"/>
    <w:qFormat/>
    <w:uiPriority w:val="34"/>
    <w:pPr>
      <w:ind w:firstLine="420" w:firstLineChars="200"/>
    </w:pPr>
    <w:rPr>
      <w:szCs w:val="21"/>
    </w:rPr>
  </w:style>
  <w:style w:type="paragraph" w:customStyle="1" w:styleId="49">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50">
    <w:name w:val="批注框文本 字符"/>
    <w:basedOn w:val="35"/>
    <w:link w:val="19"/>
    <w:qFormat/>
    <w:uiPriority w:val="0"/>
    <w:rPr>
      <w:kern w:val="2"/>
      <w:sz w:val="18"/>
      <w:szCs w:val="18"/>
    </w:rPr>
  </w:style>
  <w:style w:type="paragraph" w:customStyle="1" w:styleId="51">
    <w:name w:val="修订2"/>
    <w:hidden/>
    <w:unhideWhenUsed/>
    <w:qFormat/>
    <w:uiPriority w:val="99"/>
    <w:rPr>
      <w:rFonts w:ascii="Times New Roman" w:hAnsi="Times New Roman" w:eastAsia="宋体" w:cs="Times New Roman"/>
      <w:kern w:val="2"/>
      <w:sz w:val="21"/>
      <w:szCs w:val="24"/>
      <w:lang w:val="en-US" w:eastAsia="zh-CN" w:bidi="ar-SA"/>
    </w:rPr>
  </w:style>
  <w:style w:type="character" w:customStyle="1" w:styleId="52">
    <w:name w:val="未处理的提及1"/>
    <w:basedOn w:val="35"/>
    <w:semiHidden/>
    <w:unhideWhenUsed/>
    <w:qFormat/>
    <w:uiPriority w:val="99"/>
    <w:rPr>
      <w:color w:val="605E5C"/>
      <w:shd w:val="clear" w:color="auto" w:fill="E1DFDD"/>
    </w:rPr>
  </w:style>
  <w:style w:type="character" w:customStyle="1" w:styleId="53">
    <w:name w:val="页脚 字符"/>
    <w:link w:val="20"/>
    <w:qFormat/>
    <w:uiPriority w:val="0"/>
    <w:rPr>
      <w:rFonts w:ascii="宋体"/>
      <w:kern w:val="2"/>
      <w:sz w:val="18"/>
    </w:rPr>
  </w:style>
  <w:style w:type="character" w:customStyle="1" w:styleId="54">
    <w:name w:val="批注文字 字符"/>
    <w:basedOn w:val="35"/>
    <w:link w:val="11"/>
    <w:qFormat/>
    <w:uiPriority w:val="0"/>
    <w:rPr>
      <w:kern w:val="2"/>
      <w:sz w:val="21"/>
      <w:szCs w:val="24"/>
    </w:rPr>
  </w:style>
  <w:style w:type="character" w:customStyle="1" w:styleId="55">
    <w:name w:val="批注主题 字符"/>
    <w:basedOn w:val="54"/>
    <w:link w:val="30"/>
    <w:qFormat/>
    <w:uiPriority w:val="0"/>
    <w:rPr>
      <w:b/>
      <w:bCs/>
      <w:kern w:val="2"/>
      <w:sz w:val="21"/>
      <w:szCs w:val="24"/>
    </w:rPr>
  </w:style>
  <w:style w:type="character" w:customStyle="1" w:styleId="56">
    <w:name w:val="font11"/>
    <w:basedOn w:val="35"/>
    <w:qFormat/>
    <w:uiPriority w:val="0"/>
    <w:rPr>
      <w:rFonts w:hint="eastAsia" w:ascii="宋体" w:hAnsi="宋体" w:eastAsia="宋体" w:cs="宋体"/>
      <w:color w:val="000000"/>
      <w:sz w:val="20"/>
      <w:szCs w:val="20"/>
      <w:u w:val="none"/>
    </w:rPr>
  </w:style>
  <w:style w:type="character" w:customStyle="1" w:styleId="57">
    <w:name w:val="font41"/>
    <w:basedOn w:val="35"/>
    <w:qFormat/>
    <w:uiPriority w:val="0"/>
    <w:rPr>
      <w:rFonts w:hint="eastAsia" w:ascii="宋体" w:hAnsi="宋体" w:eastAsia="宋体" w:cs="宋体"/>
      <w:color w:val="000000"/>
      <w:sz w:val="20"/>
      <w:szCs w:val="20"/>
      <w:u w:val="none"/>
    </w:rPr>
  </w:style>
  <w:style w:type="paragraph" w:customStyle="1" w:styleId="58">
    <w:name w:val="WPSOffice手动目录 1"/>
    <w:qFormat/>
    <w:uiPriority w:val="0"/>
    <w:rPr>
      <w:rFonts w:ascii="Calibri" w:hAnsi="Calibri" w:eastAsia="宋体" w:cs="Times New Roman"/>
      <w:lang w:val="en-US" w:eastAsia="zh-CN" w:bidi="ar-SA"/>
    </w:rPr>
  </w:style>
  <w:style w:type="paragraph" w:customStyle="1" w:styleId="59">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60">
    <w:name w:val="_Style 13"/>
    <w:qFormat/>
    <w:uiPriority w:val="0"/>
    <w:pPr>
      <w:spacing w:before="120" w:after="120" w:line="288" w:lineRule="auto"/>
      <w:ind w:left="0"/>
      <w:jc w:val="left"/>
    </w:pPr>
    <w:rPr>
      <w:rFonts w:ascii="Arial" w:hAnsi="Arial" w:eastAsia="等线" w:cs="Arial"/>
      <w:sz w:val="22"/>
      <w:szCs w:val="22"/>
    </w:rPr>
  </w:style>
  <w:style w:type="paragraph" w:customStyle="1" w:styleId="61">
    <w:name w:val="正文首行"/>
    <w:qFormat/>
    <w:uiPriority w:val="0"/>
    <w:pPr>
      <w:widowControl w:val="0"/>
      <w:ind w:firstLine="480"/>
      <w:jc w:val="both"/>
    </w:pPr>
    <w:rPr>
      <w:rFonts w:ascii="宋体" w:hAnsi="宋体" w:eastAsia="宋体" w:cs="Times New Roman"/>
      <w:color w:val="000000"/>
      <w:kern w:val="2"/>
      <w:sz w:val="21"/>
      <w:szCs w:val="24"/>
      <w:shd w:val="clear" w:color="auto" w:fill="FFFFFF"/>
      <w:lang w:val="en-US" w:eastAsia="zh-CN" w:bidi="zh-CN"/>
    </w:rPr>
  </w:style>
  <w:style w:type="paragraph" w:customStyle="1" w:styleId="62">
    <w:name w:val="小四"/>
    <w:basedOn w:val="1"/>
    <w:qFormat/>
    <w:uiPriority w:val="0"/>
    <w:pPr>
      <w:spacing w:line="360" w:lineRule="auto"/>
      <w:ind w:firstLine="480" w:firstLineChars="200"/>
    </w:pPr>
    <w:rPr>
      <w:rFonts w:ascii="Times New Roman" w:hAnsi="Times New Roman" w:cs="宋体"/>
      <w:sz w:val="24"/>
    </w:rPr>
  </w:style>
  <w:style w:type="paragraph" w:customStyle="1" w:styleId="63">
    <w:name w:val="Default"/>
    <w:unhideWhenUsed/>
    <w:qFormat/>
    <w:uiPriority w:val="99"/>
    <w:pPr>
      <w:widowControl w:val="0"/>
      <w:autoSpaceDE w:val="0"/>
      <w:autoSpaceDN w:val="0"/>
      <w:adjustRightInd w:val="0"/>
      <w:spacing w:line="360" w:lineRule="auto"/>
    </w:pPr>
    <w:rPr>
      <w:rFonts w:hint="eastAsia" w:ascii="宋体" w:hAnsi="宋体" w:eastAsia="宋体" w:cs="Times New Roman"/>
      <w:color w:val="000000"/>
      <w:sz w:val="24"/>
      <w:lang w:val="en-US" w:eastAsia="zh-CN" w:bidi="ar-SA"/>
    </w:rPr>
  </w:style>
  <w:style w:type="paragraph" w:customStyle="1" w:styleId="64">
    <w:name w:val="reader-word-layer reader-word-s1-10"/>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 w:type="paragraph" w:customStyle="1" w:styleId="65">
    <w:name w:val="reader-word-layer reader-word-s1-7"/>
    <w:qFormat/>
    <w:uiPriority w:val="0"/>
    <w:pPr>
      <w:widowControl/>
      <w:spacing w:before="100" w:beforeAutospacing="1" w:after="100" w:afterAutospacing="1"/>
      <w:jc w:val="left"/>
    </w:pPr>
    <w:rPr>
      <w:rFonts w:ascii="宋体" w:hAnsi="宋体" w:eastAsia="宋体" w:cs="宋体"/>
      <w:kern w:val="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111</Pages>
  <Words>11043</Words>
  <Characters>12111</Characters>
  <Lines>7115</Lines>
  <Paragraphs>6613</Paragraphs>
  <TotalTime>17</TotalTime>
  <ScaleCrop>false</ScaleCrop>
  <LinksUpToDate>false</LinksUpToDate>
  <CharactersWithSpaces>12438</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2024-03-20T22:06:00Z</dcterms:created>
  <dc:creator>zck_user</dc:creator>
  <cp:lastModifiedBy>Administrator</cp:lastModifiedBy>
  <cp:lastPrinted>2026-01-02T23:27:00Z</cp:lastPrinted>
  <dcterms:modified xsi:type="dcterms:W3CDTF">2026-05-20T08:20:04Z</dcterms:modified>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89C25F44D9CA4067BF3C3D6E577DD784_13</vt:lpwstr>
  </property>
  <property fmtid="{D5CDD505-2E9C-101B-9397-08002B2CF9AE}" pid="4" name="KSOTemplateDocerSaveRecord">
    <vt:lpwstr>eyJoZGlkIjoiMzU3OTdkM2E3M2RmYjY4NDE5NGVlNmFkYzUxZmI2YzAiLCJ1c2VySWQiOiIyMzY5MzQ3ODMifQ==</vt:lpwstr>
  </property>
</Properties>
</file>