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6342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52"/>
          <w:szCs w:val="52"/>
          <w:highlight w:val="none"/>
        </w:rPr>
      </w:pPr>
    </w:p>
    <w:p w14:paraId="2569509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outlineLvl w:val="0"/>
        <w:rPr>
          <w:rFonts w:hint="default" w:ascii="仿宋" w:hAnsi="仿宋" w:eastAsia="仿宋" w:cs="仿宋"/>
          <w:b/>
          <w:color w:val="auto"/>
          <w:sz w:val="72"/>
          <w:szCs w:val="72"/>
          <w:highlight w:val="none"/>
          <w:lang w:val="en-US" w:eastAsia="zh-CN"/>
        </w:rPr>
      </w:pPr>
      <w:r>
        <w:rPr>
          <w:rFonts w:hint="eastAsia" w:ascii="仿宋" w:hAnsi="仿宋" w:eastAsia="仿宋" w:cs="仿宋"/>
          <w:b/>
          <w:bCs w:val="0"/>
          <w:color w:val="auto"/>
          <w:spacing w:val="10"/>
          <w:sz w:val="72"/>
          <w:szCs w:val="72"/>
          <w:lang w:eastAsia="zh-CN"/>
        </w:rPr>
        <w:t>临翔区2024年第二批中央财政森林</w:t>
      </w:r>
      <w:r>
        <w:rPr>
          <w:rFonts w:hint="eastAsia" w:ascii="仿宋" w:hAnsi="仿宋" w:eastAsia="仿宋" w:cs="仿宋"/>
          <w:b/>
          <w:bCs w:val="0"/>
          <w:color w:val="auto"/>
          <w:spacing w:val="10"/>
          <w:sz w:val="72"/>
          <w:szCs w:val="72"/>
          <w:lang w:val="en-US" w:eastAsia="zh-CN"/>
        </w:rPr>
        <w:t>可持续经营项目</w:t>
      </w:r>
    </w:p>
    <w:p w14:paraId="6336C228">
      <w:pPr>
        <w:pStyle w:val="10"/>
        <w:shd w:val="clear" w:color="auto" w:fill="auto"/>
        <w:rPr>
          <w:rFonts w:hint="eastAsia" w:ascii="仿宋" w:hAnsi="仿宋" w:eastAsia="仿宋" w:cs="仿宋"/>
          <w:color w:val="auto"/>
          <w:highlight w:val="none"/>
        </w:rPr>
      </w:pPr>
    </w:p>
    <w:p w14:paraId="46C9029F">
      <w:pPr>
        <w:pStyle w:val="10"/>
        <w:shd w:val="clear" w:color="auto" w:fill="auto"/>
        <w:rPr>
          <w:rFonts w:hint="eastAsia" w:ascii="仿宋" w:hAnsi="仿宋" w:eastAsia="仿宋" w:cs="仿宋"/>
          <w:color w:val="auto"/>
          <w:highlight w:val="none"/>
        </w:rPr>
      </w:pPr>
    </w:p>
    <w:p w14:paraId="4F8EA000">
      <w:pPr>
        <w:pStyle w:val="13"/>
        <w:shd w:val="clear" w:color="auto" w:fill="auto"/>
        <w:jc w:val="center"/>
        <w:rPr>
          <w:rFonts w:hint="eastAsia" w:ascii="仿宋" w:hAnsi="仿宋" w:eastAsia="仿宋" w:cs="仿宋"/>
          <w:color w:val="auto"/>
          <w:sz w:val="72"/>
          <w:highlight w:val="none"/>
        </w:rPr>
      </w:pPr>
    </w:p>
    <w:p w14:paraId="7D1405BE">
      <w:pPr>
        <w:pStyle w:val="13"/>
        <w:shd w:val="clear" w:color="auto" w:fill="auto"/>
        <w:jc w:val="both"/>
        <w:rPr>
          <w:rFonts w:hint="eastAsia" w:ascii="仿宋" w:hAnsi="仿宋" w:eastAsia="仿宋" w:cs="仿宋"/>
          <w:color w:val="auto"/>
          <w:sz w:val="72"/>
          <w:highlight w:val="none"/>
        </w:rPr>
      </w:pPr>
    </w:p>
    <w:p w14:paraId="1D8563B0">
      <w:pPr>
        <w:shd w:val="clear" w:color="auto" w:fill="auto"/>
        <w:jc w:val="center"/>
        <w:rPr>
          <w:rFonts w:hint="eastAsia" w:ascii="仿宋" w:hAnsi="仿宋" w:eastAsia="仿宋" w:cs="仿宋"/>
          <w:b/>
          <w:color w:val="auto"/>
          <w:sz w:val="52"/>
          <w:highlight w:val="none"/>
        </w:rPr>
      </w:pPr>
      <w:r>
        <w:rPr>
          <w:rFonts w:hint="eastAsia" w:ascii="仿宋" w:hAnsi="仿宋" w:eastAsia="仿宋" w:cs="仿宋"/>
          <w:b/>
          <w:color w:val="auto"/>
          <w:sz w:val="72"/>
          <w:szCs w:val="36"/>
          <w:highlight w:val="none"/>
        </w:rPr>
        <w:t>招</w:t>
      </w:r>
      <w:r>
        <w:rPr>
          <w:rFonts w:hint="eastAsia" w:ascii="仿宋" w:hAnsi="仿宋" w:eastAsia="仿宋" w:cs="仿宋"/>
          <w:b/>
          <w:color w:val="auto"/>
          <w:sz w:val="72"/>
          <w:szCs w:val="36"/>
          <w:highlight w:val="none"/>
          <w:lang w:val="en-US" w:eastAsia="zh-CN"/>
        </w:rPr>
        <w:t xml:space="preserve">   </w:t>
      </w:r>
      <w:r>
        <w:rPr>
          <w:rFonts w:hint="eastAsia" w:ascii="仿宋" w:hAnsi="仿宋" w:eastAsia="仿宋" w:cs="仿宋"/>
          <w:b/>
          <w:color w:val="auto"/>
          <w:sz w:val="72"/>
          <w:szCs w:val="36"/>
          <w:highlight w:val="none"/>
        </w:rPr>
        <w:t>标</w:t>
      </w:r>
      <w:r>
        <w:rPr>
          <w:rFonts w:hint="eastAsia" w:ascii="仿宋" w:hAnsi="仿宋" w:eastAsia="仿宋" w:cs="仿宋"/>
          <w:b/>
          <w:color w:val="auto"/>
          <w:sz w:val="72"/>
          <w:szCs w:val="36"/>
          <w:highlight w:val="none"/>
          <w:lang w:val="en-US" w:eastAsia="zh-CN"/>
        </w:rPr>
        <w:t xml:space="preserve">   </w:t>
      </w:r>
      <w:r>
        <w:rPr>
          <w:rFonts w:hint="eastAsia" w:ascii="仿宋" w:hAnsi="仿宋" w:eastAsia="仿宋" w:cs="仿宋"/>
          <w:b/>
          <w:color w:val="auto"/>
          <w:sz w:val="72"/>
          <w:szCs w:val="36"/>
          <w:highlight w:val="none"/>
        </w:rPr>
        <w:t>文</w:t>
      </w:r>
      <w:r>
        <w:rPr>
          <w:rFonts w:hint="eastAsia" w:ascii="仿宋" w:hAnsi="仿宋" w:eastAsia="仿宋" w:cs="仿宋"/>
          <w:b/>
          <w:color w:val="auto"/>
          <w:sz w:val="72"/>
          <w:szCs w:val="36"/>
          <w:highlight w:val="none"/>
          <w:lang w:val="en-US" w:eastAsia="zh-CN"/>
        </w:rPr>
        <w:t xml:space="preserve">   </w:t>
      </w:r>
      <w:r>
        <w:rPr>
          <w:rFonts w:hint="eastAsia" w:ascii="仿宋" w:hAnsi="仿宋" w:eastAsia="仿宋" w:cs="仿宋"/>
          <w:b/>
          <w:color w:val="auto"/>
          <w:sz w:val="72"/>
          <w:szCs w:val="36"/>
          <w:highlight w:val="none"/>
        </w:rPr>
        <w:t>件</w:t>
      </w:r>
    </w:p>
    <w:p w14:paraId="2C861F27">
      <w:pPr>
        <w:pStyle w:val="13"/>
        <w:shd w:val="clear" w:color="auto" w:fill="auto"/>
        <w:jc w:val="center"/>
        <w:rPr>
          <w:rFonts w:hint="eastAsia" w:ascii="仿宋" w:hAnsi="仿宋" w:eastAsia="仿宋" w:cs="仿宋"/>
          <w:b/>
          <w:color w:val="auto"/>
          <w:sz w:val="32"/>
          <w:szCs w:val="32"/>
          <w:highlight w:val="none"/>
        </w:rPr>
      </w:pPr>
    </w:p>
    <w:p w14:paraId="70FA218E">
      <w:pPr>
        <w:pStyle w:val="13"/>
        <w:shd w:val="clear" w:color="auto" w:fill="auto"/>
        <w:ind w:firstLine="1807" w:firstLineChars="500"/>
        <w:rPr>
          <w:rFonts w:hint="eastAsia" w:ascii="仿宋" w:hAnsi="仿宋" w:eastAsia="仿宋" w:cs="仿宋"/>
          <w:color w:val="auto"/>
          <w:highlight w:val="none"/>
        </w:rPr>
      </w:pPr>
      <w:bookmarkStart w:id="0" w:name="_Toc4054"/>
      <w:r>
        <w:rPr>
          <w:rFonts w:hint="eastAsia" w:ascii="仿宋" w:hAnsi="仿宋" w:eastAsia="仿宋" w:cs="仿宋"/>
          <w:b/>
          <w:color w:val="auto"/>
          <w:sz w:val="36"/>
          <w:szCs w:val="36"/>
          <w:highlight w:val="none"/>
        </w:rPr>
        <w:t>项目编号</w:t>
      </w:r>
      <w:bookmarkEnd w:id="0"/>
      <w:r>
        <w:rPr>
          <w:rFonts w:hint="eastAsia" w:ascii="仿宋" w:hAnsi="仿宋" w:eastAsia="仿宋" w:cs="仿宋"/>
          <w:b/>
          <w:color w:val="auto"/>
          <w:sz w:val="36"/>
          <w:szCs w:val="36"/>
          <w:highlight w:val="none"/>
          <w:lang w:eastAsia="zh-CN"/>
        </w:rPr>
        <w:t>：</w:t>
      </w:r>
      <w:r>
        <w:rPr>
          <w:rFonts w:hint="eastAsia" w:ascii="仿宋" w:hAnsi="仿宋" w:eastAsia="仿宋" w:cs="仿宋"/>
          <w:b/>
          <w:color w:val="auto"/>
          <w:sz w:val="36"/>
          <w:szCs w:val="36"/>
          <w:highlight w:val="none"/>
          <w:lang w:val="en-US" w:eastAsia="zh-CN"/>
        </w:rPr>
        <w:t>LCZC2025-G3-00699-YNLX-0042</w:t>
      </w:r>
    </w:p>
    <w:p w14:paraId="0E8A9F89">
      <w:pPr>
        <w:pStyle w:val="13"/>
        <w:shd w:val="clear" w:color="auto" w:fill="auto"/>
        <w:rPr>
          <w:rFonts w:hint="eastAsia" w:ascii="仿宋" w:hAnsi="仿宋" w:eastAsia="仿宋" w:cs="仿宋"/>
          <w:color w:val="auto"/>
          <w:highlight w:val="none"/>
        </w:rPr>
      </w:pPr>
    </w:p>
    <w:p w14:paraId="40B37C57">
      <w:pPr>
        <w:pStyle w:val="13"/>
        <w:shd w:val="clear" w:color="auto" w:fill="auto"/>
        <w:rPr>
          <w:rFonts w:hint="eastAsia" w:ascii="仿宋" w:hAnsi="仿宋" w:eastAsia="仿宋" w:cs="仿宋"/>
          <w:color w:val="auto"/>
          <w:sz w:val="36"/>
          <w:highlight w:val="none"/>
        </w:rPr>
      </w:pPr>
    </w:p>
    <w:p w14:paraId="4D8AA2D4">
      <w:pPr>
        <w:shd w:val="clear" w:color="auto" w:fill="auto"/>
        <w:rPr>
          <w:rFonts w:hint="eastAsia" w:ascii="仿宋" w:hAnsi="仿宋" w:eastAsia="仿宋" w:cs="仿宋"/>
          <w:color w:val="auto"/>
          <w:highlight w:val="none"/>
        </w:rPr>
      </w:pPr>
    </w:p>
    <w:p w14:paraId="31DF2B6A">
      <w:pPr>
        <w:pStyle w:val="16"/>
        <w:shd w:val="clear" w:color="auto" w:fill="auto"/>
        <w:rPr>
          <w:rFonts w:hint="eastAsia" w:ascii="仿宋" w:hAnsi="仿宋" w:eastAsia="仿宋" w:cs="仿宋"/>
          <w:color w:val="auto"/>
          <w:highlight w:val="none"/>
        </w:rPr>
      </w:pPr>
    </w:p>
    <w:p w14:paraId="77D14D31">
      <w:pPr>
        <w:shd w:val="clear" w:color="auto" w:fill="auto"/>
        <w:spacing w:line="800" w:lineRule="exact"/>
        <w:rPr>
          <w:rFonts w:hint="eastAsia" w:ascii="仿宋" w:hAnsi="仿宋" w:eastAsia="仿宋" w:cs="仿宋"/>
          <w:b/>
          <w:color w:val="auto"/>
          <w:sz w:val="36"/>
          <w:szCs w:val="36"/>
          <w:highlight w:val="none"/>
        </w:rPr>
      </w:pPr>
    </w:p>
    <w:p w14:paraId="15ECF144">
      <w:pPr>
        <w:shd w:val="clear" w:color="auto" w:fill="auto"/>
        <w:spacing w:line="800" w:lineRule="exact"/>
        <w:ind w:firstLine="723" w:firstLineChars="200"/>
        <w:outlineLvl w:val="0"/>
        <w:rPr>
          <w:rFonts w:hint="eastAsia" w:ascii="仿宋" w:hAnsi="仿宋" w:eastAsia="仿宋" w:cs="仿宋"/>
          <w:b/>
          <w:color w:val="auto"/>
          <w:sz w:val="36"/>
          <w:szCs w:val="36"/>
          <w:highlight w:val="none"/>
          <w:u w:val="none"/>
        </w:rPr>
      </w:pPr>
      <w:bookmarkStart w:id="1" w:name="_Toc25754"/>
      <w:r>
        <w:rPr>
          <w:rFonts w:hint="eastAsia" w:ascii="仿宋" w:hAnsi="仿宋" w:eastAsia="仿宋" w:cs="仿宋"/>
          <w:b/>
          <w:color w:val="auto"/>
          <w:sz w:val="36"/>
          <w:szCs w:val="36"/>
          <w:highlight w:val="none"/>
        </w:rPr>
        <w:t>采   购   人：</w:t>
      </w:r>
      <w:bookmarkEnd w:id="1"/>
      <w:r>
        <w:rPr>
          <w:rFonts w:hint="eastAsia" w:ascii="仿宋" w:hAnsi="仿宋" w:eastAsia="仿宋" w:cs="仿宋"/>
          <w:b/>
          <w:color w:val="auto"/>
          <w:sz w:val="36"/>
          <w:szCs w:val="36"/>
          <w:highlight w:val="none"/>
        </w:rPr>
        <w:t>临沧市临翔区林业和草原局</w:t>
      </w:r>
    </w:p>
    <w:p w14:paraId="08562B65">
      <w:pPr>
        <w:shd w:val="clear" w:color="auto" w:fill="auto"/>
        <w:spacing w:line="800" w:lineRule="exact"/>
        <w:ind w:firstLine="723" w:firstLineChars="200"/>
        <w:rPr>
          <w:rFonts w:hint="eastAsia" w:ascii="仿宋" w:hAnsi="仿宋" w:eastAsia="仿宋" w:cs="仿宋"/>
          <w:b/>
          <w:color w:val="auto"/>
          <w:sz w:val="36"/>
          <w:szCs w:val="36"/>
          <w:highlight w:val="none"/>
          <w:u w:val="none"/>
          <w:lang w:eastAsia="zh-CN"/>
        </w:rPr>
      </w:pPr>
      <w:r>
        <w:rPr>
          <w:rFonts w:hint="eastAsia" w:ascii="仿宋" w:hAnsi="仿宋" w:eastAsia="仿宋" w:cs="仿宋"/>
          <w:b/>
          <w:color w:val="auto"/>
          <w:sz w:val="36"/>
          <w:szCs w:val="36"/>
          <w:highlight w:val="none"/>
          <w:u w:val="none"/>
        </w:rPr>
        <w:t>采购代理机构：</w:t>
      </w:r>
      <w:r>
        <w:rPr>
          <w:rFonts w:hint="eastAsia" w:ascii="仿宋" w:hAnsi="仿宋" w:eastAsia="仿宋" w:cs="仿宋"/>
          <w:b/>
          <w:color w:val="auto"/>
          <w:sz w:val="36"/>
          <w:szCs w:val="36"/>
          <w:highlight w:val="none"/>
          <w:u w:val="none"/>
          <w:lang w:eastAsia="zh-CN"/>
        </w:rPr>
        <w:t>云南临祥项目管理咨询有限公司</w:t>
      </w:r>
    </w:p>
    <w:p w14:paraId="1318409D">
      <w:pPr>
        <w:shd w:val="clear" w:color="auto" w:fill="auto"/>
        <w:spacing w:line="800" w:lineRule="exact"/>
        <w:ind w:firstLine="723" w:firstLineChars="200"/>
        <w:outlineLvl w:val="0"/>
        <w:rPr>
          <w:rFonts w:hint="eastAsia" w:ascii="仿宋" w:hAnsi="仿宋" w:eastAsia="仿宋" w:cs="仿宋"/>
          <w:b/>
          <w:color w:val="auto"/>
          <w:sz w:val="36"/>
          <w:szCs w:val="36"/>
          <w:highlight w:val="none"/>
        </w:rPr>
      </w:pPr>
      <w:bookmarkStart w:id="2" w:name="_Toc17365"/>
      <w:r>
        <w:rPr>
          <w:rFonts w:hint="eastAsia" w:ascii="仿宋" w:hAnsi="仿宋" w:eastAsia="仿宋" w:cs="仿宋"/>
          <w:b/>
          <w:color w:val="auto"/>
          <w:sz w:val="36"/>
          <w:szCs w:val="36"/>
          <w:highlight w:val="none"/>
        </w:rPr>
        <w:t>日</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期：</w:t>
      </w:r>
      <w:r>
        <w:rPr>
          <w:rFonts w:hint="eastAsia" w:ascii="仿宋" w:hAnsi="仿宋" w:eastAsia="仿宋" w:cs="仿宋"/>
          <w:b/>
          <w:color w:val="auto"/>
          <w:sz w:val="36"/>
          <w:szCs w:val="36"/>
          <w:highlight w:val="none"/>
          <w:u w:val="none"/>
        </w:rPr>
        <w:t>202</w:t>
      </w:r>
      <w:r>
        <w:rPr>
          <w:rFonts w:hint="eastAsia" w:ascii="仿宋" w:hAnsi="仿宋" w:eastAsia="仿宋" w:cs="仿宋"/>
          <w:b/>
          <w:color w:val="auto"/>
          <w:sz w:val="36"/>
          <w:szCs w:val="36"/>
          <w:highlight w:val="none"/>
          <w:u w:val="none"/>
          <w:lang w:val="en-US" w:eastAsia="zh-CN"/>
        </w:rPr>
        <w:t>5</w:t>
      </w:r>
      <w:r>
        <w:rPr>
          <w:rFonts w:hint="eastAsia" w:ascii="仿宋" w:hAnsi="仿宋" w:eastAsia="仿宋" w:cs="仿宋"/>
          <w:b/>
          <w:color w:val="auto"/>
          <w:sz w:val="36"/>
          <w:szCs w:val="36"/>
          <w:highlight w:val="none"/>
          <w:u w:val="none"/>
        </w:rPr>
        <w:t>年</w:t>
      </w:r>
      <w:r>
        <w:rPr>
          <w:rFonts w:hint="eastAsia" w:ascii="仿宋" w:hAnsi="仿宋" w:eastAsia="仿宋" w:cs="仿宋"/>
          <w:b/>
          <w:color w:val="auto"/>
          <w:sz w:val="36"/>
          <w:szCs w:val="36"/>
          <w:highlight w:val="none"/>
          <w:u w:val="none"/>
          <w:lang w:val="en-US" w:eastAsia="zh-CN"/>
        </w:rPr>
        <w:t>09</w:t>
      </w:r>
      <w:r>
        <w:rPr>
          <w:rFonts w:hint="eastAsia" w:ascii="仿宋" w:hAnsi="仿宋" w:eastAsia="仿宋" w:cs="仿宋"/>
          <w:b/>
          <w:color w:val="auto"/>
          <w:sz w:val="36"/>
          <w:szCs w:val="36"/>
          <w:highlight w:val="none"/>
        </w:rPr>
        <w:t>月</w:t>
      </w:r>
      <w:bookmarkEnd w:id="2"/>
    </w:p>
    <w:p w14:paraId="488AC22E">
      <w:pPr>
        <w:shd w:val="clear" w:color="auto" w:fill="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r>
      <w:r>
        <w:rPr>
          <w:rFonts w:hint="eastAsia" w:ascii="仿宋" w:hAnsi="仿宋" w:eastAsia="仿宋" w:cs="仿宋"/>
          <w:b/>
          <w:color w:val="auto"/>
          <w:sz w:val="48"/>
          <w:szCs w:val="48"/>
          <w:highlight w:val="none"/>
        </w:rPr>
        <w:t>目     录</w:t>
      </w:r>
    </w:p>
    <w:p w14:paraId="15B357C9">
      <w:pPr>
        <w:shd w:val="clear" w:color="auto" w:fill="auto"/>
        <w:rPr>
          <w:rFonts w:hint="eastAsia" w:ascii="仿宋" w:hAnsi="仿宋" w:eastAsia="仿宋" w:cs="仿宋"/>
          <w:color w:val="auto"/>
          <w:highlight w:val="none"/>
        </w:rPr>
      </w:pPr>
    </w:p>
    <w:sdt>
      <w:sdtPr>
        <w:rPr>
          <w:rFonts w:hint="eastAsia" w:ascii="仿宋" w:hAnsi="仿宋" w:eastAsia="仿宋" w:cs="仿宋"/>
          <w:kern w:val="2"/>
          <w:sz w:val="21"/>
          <w:szCs w:val="24"/>
          <w:lang w:val="en-US" w:eastAsia="zh-CN" w:bidi="ar-SA"/>
        </w:rPr>
        <w:id w:val="147477566"/>
        <w15:color w:val="DBDBDB"/>
        <w:docPartObj>
          <w:docPartGallery w:val="Table of Contents"/>
          <w:docPartUnique/>
        </w:docPartObj>
      </w:sdtPr>
      <w:sdtEndPr>
        <w:rPr>
          <w:rFonts w:hint="eastAsia" w:ascii="仿宋" w:hAnsi="仿宋" w:eastAsia="仿宋" w:cs="仿宋"/>
          <w:kern w:val="2"/>
          <w:sz w:val="21"/>
          <w:szCs w:val="24"/>
          <w:lang w:val="en-US" w:eastAsia="zh-CN" w:bidi="ar-SA"/>
        </w:rPr>
      </w:sdtEndPr>
      <w:sdtContent>
        <w:p w14:paraId="5271B185">
          <w:pPr>
            <w:spacing w:before="0" w:beforeLines="0" w:after="0" w:afterLines="0" w:line="240" w:lineRule="auto"/>
            <w:ind w:left="0" w:leftChars="0" w:right="0" w:rightChars="0" w:firstLine="0" w:firstLineChars="0"/>
            <w:jc w:val="center"/>
            <w:rPr>
              <w:rFonts w:hint="eastAsia" w:ascii="仿宋" w:hAnsi="仿宋" w:eastAsia="仿宋" w:cs="仿宋"/>
            </w:rPr>
          </w:pPr>
        </w:p>
        <w:p w14:paraId="2A20BCF8">
          <w:pPr>
            <w:pStyle w:val="55"/>
            <w:tabs>
              <w:tab w:val="right" w:leader="dot" w:pos="9746"/>
            </w:tabs>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p>
        <w:p w14:paraId="7E9B529E">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_Toc31738 </w:instrText>
          </w:r>
          <w:r>
            <w:rPr>
              <w:rFonts w:hint="eastAsia" w:ascii="仿宋" w:hAnsi="仿宋" w:eastAsia="仿宋" w:cs="仿宋"/>
              <w:sz w:val="28"/>
              <w:szCs w:val="28"/>
            </w:rPr>
            <w:fldChar w:fldCharType="separate"/>
          </w:r>
          <w:r>
            <w:rPr>
              <w:rFonts w:hint="eastAsia" w:ascii="仿宋" w:hAnsi="仿宋" w:eastAsia="仿宋" w:cs="仿宋"/>
              <w:kern w:val="0"/>
              <w:sz w:val="28"/>
              <w:szCs w:val="52"/>
              <w:highlight w:val="none"/>
            </w:rPr>
            <w:t>第一章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_Toc31738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C6D27ED">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_Toc18107 </w:instrText>
          </w:r>
          <w:r>
            <w:rPr>
              <w:rFonts w:hint="eastAsia" w:ascii="仿宋" w:hAnsi="仿宋" w:eastAsia="仿宋" w:cs="仿宋"/>
              <w:sz w:val="28"/>
              <w:szCs w:val="28"/>
            </w:rPr>
            <w:fldChar w:fldCharType="separate"/>
          </w:r>
          <w:r>
            <w:rPr>
              <w:rFonts w:hint="eastAsia" w:ascii="仿宋" w:hAnsi="仿宋" w:eastAsia="仿宋" w:cs="仿宋"/>
              <w:sz w:val="28"/>
              <w:szCs w:val="52"/>
              <w:highlight w:val="none"/>
            </w:rPr>
            <w:t xml:space="preserve">第二章 </w:t>
          </w:r>
          <w:r>
            <w:rPr>
              <w:rFonts w:hint="eastAsia" w:ascii="仿宋" w:hAnsi="仿宋" w:eastAsia="仿宋" w:cs="仿宋"/>
              <w:sz w:val="28"/>
              <w:szCs w:val="52"/>
              <w:highlight w:val="none"/>
              <w:lang w:val="en-US" w:eastAsia="zh-CN"/>
            </w:rPr>
            <w:t>供应商</w:t>
          </w:r>
          <w:r>
            <w:rPr>
              <w:rFonts w:hint="eastAsia" w:ascii="仿宋" w:hAnsi="仿宋" w:eastAsia="仿宋" w:cs="仿宋"/>
              <w:sz w:val="28"/>
              <w:szCs w:val="52"/>
              <w:highlight w:val="none"/>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_Toc18107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92CADEF">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_Toc28379 </w:instrText>
          </w:r>
          <w:r>
            <w:rPr>
              <w:rFonts w:hint="eastAsia" w:ascii="仿宋" w:hAnsi="仿宋" w:eastAsia="仿宋" w:cs="仿宋"/>
              <w:sz w:val="28"/>
              <w:szCs w:val="28"/>
            </w:rPr>
            <w:fldChar w:fldCharType="separate"/>
          </w:r>
          <w:r>
            <w:rPr>
              <w:rFonts w:hint="eastAsia" w:ascii="仿宋" w:hAnsi="仿宋" w:eastAsia="仿宋" w:cs="仿宋"/>
              <w:sz w:val="28"/>
              <w:szCs w:val="48"/>
              <w:highlight w:val="none"/>
            </w:rPr>
            <w:t>第</w:t>
          </w:r>
          <w:r>
            <w:rPr>
              <w:rFonts w:hint="eastAsia" w:ascii="仿宋" w:hAnsi="仿宋" w:eastAsia="仿宋" w:cs="仿宋"/>
              <w:sz w:val="28"/>
              <w:szCs w:val="48"/>
              <w:highlight w:val="none"/>
              <w:lang w:val="en-US" w:eastAsia="zh-CN"/>
            </w:rPr>
            <w:t>三</w:t>
          </w:r>
          <w:r>
            <w:rPr>
              <w:rFonts w:hint="eastAsia" w:ascii="仿宋" w:hAnsi="仿宋" w:eastAsia="仿宋" w:cs="仿宋"/>
              <w:sz w:val="28"/>
              <w:szCs w:val="48"/>
              <w:highlight w:val="none"/>
            </w:rPr>
            <w:t>章 评标方法（综合评分法）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_Toc28379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816A335">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_Toc28640 </w:instrText>
          </w:r>
          <w:r>
            <w:rPr>
              <w:rFonts w:hint="eastAsia" w:ascii="仿宋" w:hAnsi="仿宋" w:eastAsia="仿宋" w:cs="仿宋"/>
              <w:sz w:val="28"/>
              <w:szCs w:val="28"/>
            </w:rPr>
            <w:fldChar w:fldCharType="separate"/>
          </w:r>
          <w:r>
            <w:rPr>
              <w:rFonts w:hint="eastAsia" w:ascii="仿宋" w:hAnsi="仿宋" w:eastAsia="仿宋" w:cs="仿宋"/>
              <w:sz w:val="28"/>
              <w:szCs w:val="52"/>
              <w:highlight w:val="none"/>
              <w:lang w:val="en-US" w:eastAsia="zh-CN"/>
            </w:rPr>
            <w:t xml:space="preserve">第四章 </w:t>
          </w:r>
          <w:r>
            <w:rPr>
              <w:rFonts w:hint="eastAsia" w:ascii="仿宋" w:hAnsi="仿宋" w:eastAsia="仿宋" w:cs="仿宋"/>
              <w:sz w:val="28"/>
              <w:szCs w:val="52"/>
              <w:highlight w:val="none"/>
            </w:rPr>
            <w:t>合同主要条款</w:t>
          </w:r>
          <w:r>
            <w:rPr>
              <w:rFonts w:hint="eastAsia" w:ascii="仿宋" w:hAnsi="仿宋" w:eastAsia="仿宋" w:cs="仿宋"/>
              <w:sz w:val="28"/>
              <w:szCs w:val="52"/>
              <w:highlight w:val="none"/>
              <w:lang w:val="en-US" w:eastAsia="zh-CN"/>
            </w:rPr>
            <w:t>及</w:t>
          </w:r>
          <w:r>
            <w:rPr>
              <w:rFonts w:hint="eastAsia" w:ascii="仿宋" w:hAnsi="仿宋" w:eastAsia="仿宋" w:cs="仿宋"/>
              <w:sz w:val="28"/>
              <w:szCs w:val="52"/>
              <w:highlight w:val="none"/>
            </w:rPr>
            <w:t>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_Toc28640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0AB62BE">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_Toc7675 </w:instrText>
          </w:r>
          <w:r>
            <w:rPr>
              <w:rFonts w:hint="eastAsia" w:ascii="仿宋" w:hAnsi="仿宋" w:eastAsia="仿宋" w:cs="仿宋"/>
              <w:sz w:val="28"/>
              <w:szCs w:val="28"/>
            </w:rPr>
            <w:fldChar w:fldCharType="separate"/>
          </w:r>
          <w:r>
            <w:rPr>
              <w:rFonts w:hint="eastAsia" w:ascii="仿宋" w:hAnsi="仿宋" w:eastAsia="仿宋" w:cs="仿宋"/>
              <w:sz w:val="28"/>
              <w:szCs w:val="52"/>
              <w:highlight w:val="none"/>
            </w:rPr>
            <w:t>第</w:t>
          </w:r>
          <w:r>
            <w:rPr>
              <w:rFonts w:hint="eastAsia" w:ascii="仿宋" w:hAnsi="仿宋" w:eastAsia="仿宋" w:cs="仿宋"/>
              <w:sz w:val="28"/>
              <w:szCs w:val="52"/>
              <w:highlight w:val="none"/>
              <w:lang w:val="en-US" w:eastAsia="zh-CN"/>
            </w:rPr>
            <w:t>五</w:t>
          </w:r>
          <w:r>
            <w:rPr>
              <w:rFonts w:hint="eastAsia" w:ascii="仿宋" w:hAnsi="仿宋" w:eastAsia="仿宋" w:cs="仿宋"/>
              <w:sz w:val="28"/>
              <w:szCs w:val="52"/>
              <w:highlight w:val="none"/>
            </w:rPr>
            <w:t>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_Toc7675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24F2985">
          <w:pPr>
            <w:pStyle w:val="55"/>
            <w:keepNext w:val="0"/>
            <w:keepLines w:val="0"/>
            <w:pageBreakBefore w:val="0"/>
            <w:widowControl/>
            <w:tabs>
              <w:tab w:val="right" w:leader="dot" w:pos="9746"/>
            </w:tabs>
            <w:kinsoku/>
            <w:wordWrap/>
            <w:overflowPunct/>
            <w:topLinePunct w:val="0"/>
            <w:autoSpaceDE/>
            <w:autoSpaceDN/>
            <w:bidi w:val="0"/>
            <w:adjustRightInd/>
            <w:snapToGrid/>
            <w:spacing w:line="528" w:lineRule="auto"/>
            <w:textAlignment w:val="auto"/>
            <w:rPr>
              <w:rFonts w:hint="eastAsia" w:ascii="仿宋" w:hAnsi="仿宋" w:eastAsia="仿宋" w:cs="仿宋"/>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_Toc3512 </w:instrText>
          </w:r>
          <w:r>
            <w:rPr>
              <w:rFonts w:hint="eastAsia" w:ascii="仿宋" w:hAnsi="仿宋" w:eastAsia="仿宋" w:cs="仿宋"/>
              <w:sz w:val="28"/>
              <w:szCs w:val="28"/>
            </w:rPr>
            <w:fldChar w:fldCharType="separate"/>
          </w:r>
          <w:r>
            <w:rPr>
              <w:rFonts w:hint="eastAsia" w:ascii="仿宋" w:hAnsi="仿宋" w:eastAsia="仿宋" w:cs="仿宋"/>
              <w:sz w:val="28"/>
              <w:szCs w:val="52"/>
              <w:highlight w:val="none"/>
            </w:rPr>
            <w:t>第</w:t>
          </w:r>
          <w:r>
            <w:rPr>
              <w:rFonts w:hint="eastAsia" w:ascii="仿宋" w:hAnsi="仿宋" w:eastAsia="仿宋" w:cs="仿宋"/>
              <w:sz w:val="28"/>
              <w:szCs w:val="52"/>
              <w:highlight w:val="none"/>
              <w:lang w:val="en-US" w:eastAsia="zh-CN"/>
            </w:rPr>
            <w:t>六</w:t>
          </w:r>
          <w:r>
            <w:rPr>
              <w:rFonts w:hint="eastAsia" w:ascii="仿宋" w:hAnsi="仿宋" w:eastAsia="仿宋" w:cs="仿宋"/>
              <w:sz w:val="28"/>
              <w:szCs w:val="52"/>
              <w:highlight w:val="none"/>
            </w:rPr>
            <w:t>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_Toc3512 \h </w:instrText>
          </w:r>
          <w:r>
            <w:rPr>
              <w:rFonts w:hint="eastAsia" w:ascii="仿宋" w:hAnsi="仿宋" w:eastAsia="仿宋" w:cs="仿宋"/>
              <w:sz w:val="28"/>
              <w:szCs w:val="28"/>
            </w:rPr>
            <w:fldChar w:fldCharType="separate"/>
          </w:r>
          <w:r>
            <w:rPr>
              <w:rFonts w:hint="eastAsia" w:ascii="仿宋" w:hAnsi="仿宋" w:eastAsia="仿宋" w:cs="仿宋"/>
              <w:sz w:val="28"/>
              <w:szCs w:val="28"/>
            </w:rPr>
            <w:t>60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9622E62">
          <w:pPr>
            <w:rPr>
              <w:rFonts w:hint="eastAsia" w:ascii="仿宋" w:hAnsi="仿宋" w:eastAsia="仿宋" w:cs="仿宋"/>
            </w:rPr>
            <w:sectPr>
              <w:headerReference r:id="rId4" w:type="first"/>
              <w:headerReference r:id="rId3" w:type="default"/>
              <w:type w:val="continuous"/>
              <w:pgSz w:w="11906" w:h="16838"/>
              <w:pgMar w:top="1440" w:right="1080" w:bottom="1440" w:left="1080" w:header="850" w:footer="992" w:gutter="0"/>
              <w:pgNumType w:fmt="decimal"/>
              <w:cols w:space="0" w:num="1"/>
              <w:rtlGutter w:val="0"/>
              <w:docGrid w:type="lines" w:linePitch="321" w:charSpace="0"/>
            </w:sectPr>
          </w:pPr>
          <w:r>
            <w:rPr>
              <w:rFonts w:hint="eastAsia" w:ascii="仿宋" w:hAnsi="仿宋" w:eastAsia="仿宋" w:cs="仿宋"/>
            </w:rPr>
            <w:fldChar w:fldCharType="end"/>
          </w:r>
        </w:p>
      </w:sdtContent>
    </w:sdt>
    <w:p w14:paraId="64093DAB">
      <w:pPr>
        <w:pStyle w:val="3"/>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仿宋" w:hAnsi="仿宋" w:eastAsia="仿宋" w:cs="仿宋"/>
          <w:color w:val="auto"/>
          <w:kern w:val="0"/>
          <w:sz w:val="36"/>
          <w:szCs w:val="36"/>
          <w:highlight w:val="none"/>
        </w:rPr>
      </w:pPr>
      <w:bookmarkStart w:id="3" w:name="_Toc31738"/>
      <w:bookmarkStart w:id="4" w:name="_Toc8470"/>
      <w:bookmarkStart w:id="5" w:name="_Toc29933"/>
      <w:r>
        <w:rPr>
          <w:rFonts w:hint="eastAsia" w:ascii="仿宋" w:hAnsi="仿宋" w:eastAsia="仿宋" w:cs="仿宋"/>
          <w:color w:val="auto"/>
          <w:kern w:val="0"/>
          <w:sz w:val="36"/>
          <w:szCs w:val="36"/>
          <w:highlight w:val="none"/>
        </w:rPr>
        <w:t>第一章 招标公告</w:t>
      </w:r>
      <w:bookmarkEnd w:id="3"/>
      <w:bookmarkEnd w:id="4"/>
      <w:bookmarkEnd w:id="5"/>
    </w:p>
    <w:p w14:paraId="3359799A">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仿宋" w:hAnsi="仿宋" w:eastAsia="仿宋" w:cs="仿宋"/>
          <w:b/>
          <w:bCs/>
          <w:color w:val="auto"/>
          <w:sz w:val="28"/>
          <w:szCs w:val="28"/>
          <w:highlight w:val="none"/>
        </w:rPr>
      </w:pPr>
      <w:bookmarkStart w:id="6" w:name="_Toc223860496"/>
      <w:bookmarkStart w:id="7" w:name="_Toc353901291"/>
      <w:bookmarkStart w:id="8" w:name="_Toc403511210"/>
      <w:r>
        <w:rPr>
          <w:rFonts w:hint="eastAsia" w:ascii="仿宋" w:hAnsi="仿宋" w:eastAsia="仿宋" w:cs="仿宋"/>
          <w:b/>
          <w:bCs/>
          <w:color w:val="auto"/>
          <w:sz w:val="28"/>
          <w:szCs w:val="28"/>
          <w:highlight w:val="none"/>
          <w:lang w:eastAsia="zh-CN"/>
        </w:rPr>
        <w:t>临翔区2024年第二批中央财政森林可持续经营项目</w:t>
      </w:r>
      <w:r>
        <w:rPr>
          <w:rFonts w:hint="eastAsia" w:ascii="仿宋" w:hAnsi="仿宋" w:eastAsia="仿宋" w:cs="仿宋"/>
          <w:b/>
          <w:bCs/>
          <w:color w:val="auto"/>
          <w:sz w:val="28"/>
          <w:szCs w:val="28"/>
          <w:highlight w:val="none"/>
        </w:rPr>
        <w:t>招标公告</w:t>
      </w:r>
      <w:bookmarkEnd w:id="6"/>
      <w:bookmarkEnd w:id="7"/>
      <w:bookmarkEnd w:id="8"/>
    </w:p>
    <w:p w14:paraId="3EC8EA6F">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20" w:lineRule="exact"/>
        <w:ind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2EC7428B">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20" w:lineRule="exact"/>
        <w:ind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临翔区2024年第二批中央财政森林可持续经营项目</w:t>
      </w:r>
      <w:r>
        <w:rPr>
          <w:rFonts w:hint="eastAsia" w:ascii="仿宋" w:hAnsi="仿宋" w:eastAsia="仿宋" w:cs="仿宋"/>
          <w:color w:val="auto"/>
          <w:sz w:val="24"/>
          <w:szCs w:val="24"/>
          <w:highlight w:val="none"/>
        </w:rPr>
        <w:t>的潜在</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u w:val="single"/>
        </w:rPr>
        <w:t>政采云平台（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HYPERLINK "https://www.zcygov.cn/"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https://www.zcygov.cn/</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下同</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获取招标文件，并于</w:t>
      </w:r>
      <w:r>
        <w:rPr>
          <w:rFonts w:hint="eastAsia" w:ascii="仿宋" w:hAnsi="仿宋" w:eastAsia="仿宋" w:cs="仿宋"/>
          <w:color w:val="auto"/>
          <w:sz w:val="24"/>
          <w:szCs w:val="24"/>
          <w:highlight w:val="none"/>
          <w:u w:val="none"/>
        </w:rPr>
        <w:t>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bCs/>
          <w:color w:val="auto"/>
          <w:sz w:val="24"/>
          <w:szCs w:val="24"/>
          <w:highlight w:val="none"/>
          <w:u w:val="none"/>
        </w:rPr>
        <w:t>年</w:t>
      </w:r>
      <w:r>
        <w:rPr>
          <w:rFonts w:hint="eastAsia" w:ascii="仿宋" w:hAnsi="仿宋" w:eastAsia="仿宋" w:cs="仿宋"/>
          <w:bCs/>
          <w:color w:val="auto"/>
          <w:sz w:val="24"/>
          <w:szCs w:val="24"/>
          <w:highlight w:val="none"/>
          <w:u w:val="none"/>
          <w:lang w:val="en-US" w:eastAsia="zh-CN"/>
        </w:rPr>
        <w:t>10</w:t>
      </w:r>
      <w:r>
        <w:rPr>
          <w:rFonts w:hint="eastAsia" w:ascii="仿宋" w:hAnsi="仿宋" w:eastAsia="仿宋" w:cs="仿宋"/>
          <w:bCs/>
          <w:color w:val="auto"/>
          <w:sz w:val="24"/>
          <w:szCs w:val="24"/>
          <w:highlight w:val="none"/>
          <w:u w:val="none"/>
        </w:rPr>
        <w:t>月</w:t>
      </w:r>
      <w:r>
        <w:rPr>
          <w:rFonts w:hint="eastAsia" w:ascii="仿宋" w:hAnsi="仿宋" w:eastAsia="仿宋" w:cs="仿宋"/>
          <w:bCs/>
          <w:color w:val="auto"/>
          <w:sz w:val="24"/>
          <w:szCs w:val="24"/>
          <w:highlight w:val="none"/>
          <w:u w:val="none"/>
          <w:lang w:val="en-US" w:eastAsia="zh-CN"/>
        </w:rPr>
        <w:t>13</w:t>
      </w:r>
      <w:r>
        <w:rPr>
          <w:rFonts w:hint="eastAsia" w:ascii="仿宋" w:hAnsi="仿宋" w:eastAsia="仿宋" w:cs="仿宋"/>
          <w:bCs/>
          <w:color w:val="auto"/>
          <w:sz w:val="24"/>
          <w:szCs w:val="24"/>
          <w:highlight w:val="none"/>
          <w:u w:val="none"/>
        </w:rPr>
        <w:t>日</w:t>
      </w:r>
      <w:r>
        <w:rPr>
          <w:rFonts w:hint="eastAsia" w:ascii="仿宋" w:hAnsi="仿宋" w:eastAsia="仿宋" w:cs="仿宋"/>
          <w:bCs/>
          <w:color w:val="auto"/>
          <w:sz w:val="24"/>
          <w:szCs w:val="24"/>
          <w:highlight w:val="none"/>
          <w:u w:val="none"/>
          <w:lang w:val="en-US" w:eastAsia="zh-CN"/>
        </w:rPr>
        <w:t>09时0</w:t>
      </w:r>
      <w:r>
        <w:rPr>
          <w:rFonts w:hint="eastAsia" w:ascii="仿宋" w:hAnsi="仿宋" w:eastAsia="仿宋" w:cs="仿宋"/>
          <w:bCs/>
          <w:color w:val="auto"/>
          <w:sz w:val="24"/>
          <w:szCs w:val="24"/>
          <w:highlight w:val="none"/>
          <w:u w:val="none"/>
        </w:rPr>
        <w:t>0分（</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p w14:paraId="4B8DB874">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仿宋" w:hAnsi="仿宋" w:eastAsia="仿宋" w:cs="仿宋"/>
          <w:color w:val="auto"/>
          <w:sz w:val="24"/>
          <w:szCs w:val="24"/>
          <w:highlight w:val="none"/>
        </w:rPr>
      </w:pPr>
      <w:bookmarkStart w:id="9" w:name="_Toc28359002"/>
      <w:bookmarkStart w:id="10" w:name="_Toc35393621"/>
      <w:bookmarkStart w:id="11" w:name="_Toc28359079"/>
      <w:bookmarkStart w:id="12" w:name="_Toc35393790"/>
      <w:bookmarkStart w:id="13" w:name="_Hlk24379207"/>
      <w:r>
        <w:rPr>
          <w:rFonts w:hint="eastAsia" w:ascii="仿宋" w:hAnsi="仿宋" w:eastAsia="仿宋" w:cs="仿宋"/>
          <w:b/>
          <w:bCs/>
          <w:color w:val="auto"/>
          <w:sz w:val="24"/>
          <w:szCs w:val="24"/>
          <w:highlight w:val="none"/>
        </w:rPr>
        <w:t>一、项目基本情况</w:t>
      </w:r>
      <w:bookmarkEnd w:id="9"/>
      <w:bookmarkEnd w:id="10"/>
      <w:bookmarkEnd w:id="11"/>
      <w:bookmarkEnd w:id="12"/>
    </w:p>
    <w:p w14:paraId="62357CB2">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1.招标</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LCZC2025-G3-00699-YNLX-0042</w:t>
      </w:r>
    </w:p>
    <w:p w14:paraId="6F56481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临翔区2024年第二批中央财政森林可持续经营项目</w:t>
      </w:r>
    </w:p>
    <w:bookmarkEnd w:id="13"/>
    <w:p w14:paraId="2CF6AE31">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3.采购方式：公开招标</w:t>
      </w:r>
    </w:p>
    <w:p w14:paraId="358DFD9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预算金额：</w:t>
      </w:r>
      <w:r>
        <w:rPr>
          <w:rFonts w:hint="eastAsia" w:ascii="仿宋" w:hAnsi="仿宋" w:eastAsia="仿宋" w:cs="仿宋"/>
          <w:i w:val="0"/>
          <w:iCs w:val="0"/>
          <w:color w:val="auto"/>
          <w:sz w:val="24"/>
          <w:szCs w:val="24"/>
          <w:highlight w:val="none"/>
          <w:lang w:val="en-US" w:eastAsia="zh-CN"/>
        </w:rPr>
        <w:t>一标段：212.436万元；二标段：90.696万元；三标段：146.868万元；</w:t>
      </w:r>
    </w:p>
    <w:p w14:paraId="4A9289A7">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最高限价：</w:t>
      </w:r>
      <w:r>
        <w:rPr>
          <w:rFonts w:hint="eastAsia" w:ascii="仿宋" w:hAnsi="仿宋" w:eastAsia="仿宋" w:cs="仿宋"/>
          <w:i w:val="0"/>
          <w:iCs w:val="0"/>
          <w:color w:val="auto"/>
          <w:sz w:val="24"/>
          <w:szCs w:val="24"/>
          <w:highlight w:val="none"/>
          <w:lang w:val="en-US" w:eastAsia="zh-CN"/>
        </w:rPr>
        <w:t>一标段：212.436万元；二标段：90.696万元；三标段：146.868万元；</w:t>
      </w:r>
    </w:p>
    <w:p w14:paraId="3B96E81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采购需求：</w:t>
      </w:r>
    </w:p>
    <w:p w14:paraId="5F6CEABF">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（一）</w:t>
      </w:r>
      <w:r>
        <w:rPr>
          <w:rFonts w:hint="eastAsia" w:ascii="仿宋" w:hAnsi="仿宋" w:eastAsia="仿宋" w:cs="仿宋"/>
          <w:b/>
          <w:bCs/>
          <w:color w:val="auto"/>
          <w:kern w:val="0"/>
          <w:sz w:val="24"/>
          <w:szCs w:val="24"/>
          <w:highlight w:val="none"/>
        </w:rPr>
        <w:t>采购内容</w:t>
      </w:r>
    </w:p>
    <w:tbl>
      <w:tblPr>
        <w:tblStyle w:val="27"/>
        <w:tblpPr w:leftFromText="180" w:rightFromText="180" w:vertAnchor="text" w:horzAnchor="page" w:tblpX="1446" w:tblpY="401"/>
        <w:tblOverlap w:val="never"/>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241"/>
        <w:gridCol w:w="3166"/>
        <w:gridCol w:w="1075"/>
        <w:gridCol w:w="736"/>
        <w:gridCol w:w="1036"/>
        <w:gridCol w:w="1514"/>
      </w:tblGrid>
      <w:tr w14:paraId="29EE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580" w:type="dxa"/>
            <w:noWrap w:val="0"/>
            <w:vAlign w:val="center"/>
          </w:tcPr>
          <w:p w14:paraId="63683B81">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b/>
                <w:bCs/>
                <w:i w:val="0"/>
                <w:iCs w:val="0"/>
                <w:color w:val="auto"/>
                <w:sz w:val="24"/>
                <w:szCs w:val="24"/>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1241" w:type="dxa"/>
            <w:noWrap w:val="0"/>
            <w:vAlign w:val="center"/>
          </w:tcPr>
          <w:p w14:paraId="266FC2F6">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b/>
                <w:bCs/>
                <w:i w:val="0"/>
                <w:iCs w:val="0"/>
                <w:color w:val="auto"/>
                <w:sz w:val="24"/>
                <w:szCs w:val="24"/>
                <w:vertAlign w:val="baseline"/>
                <w:lang w:val="en-US" w:eastAsia="zh-CN"/>
              </w:rPr>
            </w:pPr>
            <w:r>
              <w:rPr>
                <w:rFonts w:hint="eastAsia" w:ascii="仿宋" w:hAnsi="仿宋" w:eastAsia="仿宋" w:cs="仿宋"/>
                <w:b/>
                <w:bCs/>
                <w:color w:val="auto"/>
                <w:sz w:val="24"/>
                <w:szCs w:val="24"/>
                <w:highlight w:val="none"/>
                <w:vertAlign w:val="baseline"/>
                <w:lang w:val="en-US" w:eastAsia="zh-CN"/>
              </w:rPr>
              <w:t>标段名称</w:t>
            </w:r>
          </w:p>
        </w:tc>
        <w:tc>
          <w:tcPr>
            <w:tcW w:w="3166" w:type="dxa"/>
            <w:noWrap w:val="0"/>
            <w:vAlign w:val="center"/>
          </w:tcPr>
          <w:p w14:paraId="265C6A1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采购内容</w:t>
            </w:r>
          </w:p>
        </w:tc>
        <w:tc>
          <w:tcPr>
            <w:tcW w:w="1075" w:type="dxa"/>
            <w:noWrap w:val="0"/>
            <w:vAlign w:val="center"/>
          </w:tcPr>
          <w:p w14:paraId="71574DA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数量</w:t>
            </w:r>
          </w:p>
        </w:tc>
        <w:tc>
          <w:tcPr>
            <w:tcW w:w="736" w:type="dxa"/>
            <w:noWrap w:val="0"/>
            <w:vAlign w:val="center"/>
          </w:tcPr>
          <w:p w14:paraId="1BAAA91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计量单位</w:t>
            </w:r>
          </w:p>
        </w:tc>
        <w:tc>
          <w:tcPr>
            <w:tcW w:w="1036" w:type="dxa"/>
            <w:noWrap w:val="0"/>
            <w:vAlign w:val="center"/>
          </w:tcPr>
          <w:p w14:paraId="2FA82D1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每亩最高限价</w:t>
            </w:r>
          </w:p>
        </w:tc>
        <w:tc>
          <w:tcPr>
            <w:tcW w:w="1514" w:type="dxa"/>
            <w:noWrap w:val="0"/>
            <w:vAlign w:val="center"/>
          </w:tcPr>
          <w:p w14:paraId="685D6B7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项目实施</w:t>
            </w:r>
          </w:p>
          <w:p w14:paraId="1AAB819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vertAlign w:val="baseline"/>
                <w:lang w:val="en-US" w:eastAsia="zh-CN"/>
              </w:rPr>
              <w:t>地点</w:t>
            </w:r>
          </w:p>
        </w:tc>
      </w:tr>
      <w:tr w14:paraId="499C3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2" w:hRule="atLeast"/>
        </w:trPr>
        <w:tc>
          <w:tcPr>
            <w:tcW w:w="580" w:type="dxa"/>
            <w:noWrap w:val="0"/>
            <w:vAlign w:val="center"/>
          </w:tcPr>
          <w:p w14:paraId="4C6A1265">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241" w:type="dxa"/>
            <w:noWrap w:val="0"/>
            <w:vAlign w:val="center"/>
          </w:tcPr>
          <w:p w14:paraId="6674C0B0">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第一标段</w:t>
            </w:r>
          </w:p>
        </w:tc>
        <w:tc>
          <w:tcPr>
            <w:tcW w:w="3166" w:type="dxa"/>
            <w:vMerge w:val="restart"/>
            <w:noWrap w:val="0"/>
            <w:vAlign w:val="center"/>
          </w:tcPr>
          <w:p w14:paraId="5F330AF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firstLine="480" w:firstLineChars="200"/>
              <w:jc w:val="left"/>
              <w:textAlignment w:val="auto"/>
              <w:rPr>
                <w:rFonts w:hint="eastAsia" w:ascii="仿宋" w:hAnsi="仿宋" w:eastAsia="仿宋" w:cs="仿宋"/>
                <w:b w:val="0"/>
                <w:bCs w:val="0"/>
                <w:i w:val="0"/>
                <w:iCs w:val="0"/>
                <w:color w:val="auto"/>
                <w:sz w:val="24"/>
                <w:szCs w:val="24"/>
                <w:highlight w:val="none"/>
                <w:vertAlign w:val="baseline"/>
                <w:lang w:eastAsia="zh-CN"/>
              </w:rPr>
            </w:pPr>
            <w:r>
              <w:rPr>
                <w:rFonts w:hint="eastAsia" w:ascii="仿宋" w:hAnsi="仿宋" w:eastAsia="仿宋" w:cs="仿宋"/>
                <w:b w:val="0"/>
                <w:bCs w:val="0"/>
                <w:i w:val="0"/>
                <w:iCs w:val="0"/>
                <w:color w:val="auto"/>
                <w:sz w:val="24"/>
                <w:szCs w:val="24"/>
                <w:highlight w:val="none"/>
                <w:vertAlign w:val="baseline"/>
                <w:lang w:eastAsia="zh-CN"/>
              </w:rPr>
              <w:t>抚育对象林种有用材林（商品林）和防护林、特种用途林（公益林），起源为人工、天然，龄组为中龄林、近熟林，优势树种为华山松、云南松、栎类、桤木，伴生树种为栎类、桤木、其他阔叶；林分郁闭度在0.70 至 0.90 之间；林下局部分布有栎类幼树，灌木主要有杨梅、杜鹃、厚皮香、雀李子、野山茶等，高度 0.8m～2.8m，盖度 10%至 25%之间；草本主要有野坝蒿、悬钩子、蕨类、紫茎泽兰等，盖度 10%至 55%之间，林分密度大，竞争激烈，分化明显，林木自然整枝不良，林木胸径连年生长量显著下降，枯死木、濒死木数量增多，已影响到目的树种的生长，根据现地情况及多种要素综合考虑，对于公益林（防护林、特种用途林）采取疏伐的抚育方式，对于商品林（用材林）采取生长伐的抚育方式进行抚育。</w:t>
            </w:r>
          </w:p>
        </w:tc>
        <w:tc>
          <w:tcPr>
            <w:tcW w:w="1075" w:type="dxa"/>
            <w:noWrap w:val="0"/>
            <w:vAlign w:val="center"/>
          </w:tcPr>
          <w:p w14:paraId="683A487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default"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7081.20</w:t>
            </w:r>
          </w:p>
        </w:tc>
        <w:tc>
          <w:tcPr>
            <w:tcW w:w="736" w:type="dxa"/>
            <w:noWrap w:val="0"/>
            <w:vAlign w:val="center"/>
          </w:tcPr>
          <w:p w14:paraId="67151F7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79A56B1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i w:val="0"/>
                <w:iCs w:val="0"/>
                <w:caps w:val="0"/>
                <w:color w:val="auto"/>
                <w:spacing w:val="12"/>
                <w:sz w:val="24"/>
                <w:szCs w:val="24"/>
                <w:highlight w:val="none"/>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1EF7349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临翔区五老山国有林场（1-44小班）</w:t>
            </w:r>
          </w:p>
        </w:tc>
      </w:tr>
      <w:tr w14:paraId="6715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580" w:type="dxa"/>
            <w:noWrap w:val="0"/>
            <w:vAlign w:val="center"/>
          </w:tcPr>
          <w:p w14:paraId="5FE2CC15">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1241" w:type="dxa"/>
            <w:noWrap w:val="0"/>
            <w:vAlign w:val="center"/>
          </w:tcPr>
          <w:p w14:paraId="715AF19F">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kern w:val="0"/>
                <w:sz w:val="24"/>
                <w:szCs w:val="24"/>
                <w:highlight w:val="none"/>
                <w:vertAlign w:val="baseline"/>
                <w:lang w:val="en-US" w:eastAsia="zh-CN" w:bidi="ar"/>
              </w:rPr>
              <w:t>第二标段</w:t>
            </w:r>
          </w:p>
        </w:tc>
        <w:tc>
          <w:tcPr>
            <w:tcW w:w="3166" w:type="dxa"/>
            <w:vMerge w:val="continue"/>
            <w:noWrap w:val="0"/>
            <w:vAlign w:val="center"/>
          </w:tcPr>
          <w:p w14:paraId="4DBCBEF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left"/>
              <w:textAlignment w:val="auto"/>
              <w:rPr>
                <w:rFonts w:hint="eastAsia" w:ascii="仿宋" w:hAnsi="仿宋" w:eastAsia="仿宋" w:cs="仿宋"/>
                <w:i w:val="0"/>
                <w:iCs w:val="0"/>
                <w:color w:val="auto"/>
                <w:sz w:val="24"/>
                <w:szCs w:val="24"/>
                <w:highlight w:val="none"/>
                <w:vertAlign w:val="baseline"/>
                <w:lang w:val="en-US" w:eastAsia="zh-CN"/>
              </w:rPr>
            </w:pPr>
          </w:p>
        </w:tc>
        <w:tc>
          <w:tcPr>
            <w:tcW w:w="1075" w:type="dxa"/>
            <w:noWrap w:val="0"/>
            <w:vAlign w:val="center"/>
          </w:tcPr>
          <w:p w14:paraId="0376E0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default"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3023.2</w:t>
            </w:r>
          </w:p>
        </w:tc>
        <w:tc>
          <w:tcPr>
            <w:tcW w:w="736" w:type="dxa"/>
            <w:noWrap w:val="0"/>
            <w:vAlign w:val="center"/>
          </w:tcPr>
          <w:p w14:paraId="0F19204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54F2691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5EB304D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临翔区五老山国有林场（45-64小班）</w:t>
            </w:r>
          </w:p>
        </w:tc>
      </w:tr>
      <w:tr w14:paraId="2C76F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580" w:type="dxa"/>
            <w:noWrap w:val="0"/>
            <w:vAlign w:val="center"/>
          </w:tcPr>
          <w:p w14:paraId="48BB56AA">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1241" w:type="dxa"/>
            <w:noWrap w:val="0"/>
            <w:vAlign w:val="center"/>
          </w:tcPr>
          <w:p w14:paraId="28CDD719">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kern w:val="0"/>
                <w:sz w:val="24"/>
                <w:szCs w:val="24"/>
                <w:highlight w:val="none"/>
                <w:vertAlign w:val="baseline"/>
                <w:lang w:val="en-US" w:eastAsia="zh-CN" w:bidi="ar"/>
              </w:rPr>
            </w:pPr>
            <w:r>
              <w:rPr>
                <w:rFonts w:hint="eastAsia" w:ascii="仿宋" w:hAnsi="仿宋" w:eastAsia="仿宋" w:cs="仿宋"/>
                <w:i w:val="0"/>
                <w:iCs w:val="0"/>
                <w:color w:val="auto"/>
                <w:kern w:val="0"/>
                <w:sz w:val="24"/>
                <w:szCs w:val="24"/>
                <w:highlight w:val="none"/>
                <w:vertAlign w:val="baseline"/>
                <w:lang w:val="en-US" w:eastAsia="zh-CN" w:bidi="ar"/>
              </w:rPr>
              <w:t>第三标段</w:t>
            </w:r>
          </w:p>
        </w:tc>
        <w:tc>
          <w:tcPr>
            <w:tcW w:w="3166" w:type="dxa"/>
            <w:vMerge w:val="continue"/>
            <w:noWrap w:val="0"/>
            <w:vAlign w:val="center"/>
          </w:tcPr>
          <w:p w14:paraId="32B2F85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left"/>
              <w:textAlignment w:val="auto"/>
              <w:rPr>
                <w:rFonts w:hint="eastAsia" w:ascii="仿宋" w:hAnsi="仿宋" w:eastAsia="仿宋" w:cs="仿宋"/>
                <w:i w:val="0"/>
                <w:iCs w:val="0"/>
                <w:color w:val="auto"/>
                <w:sz w:val="24"/>
                <w:szCs w:val="24"/>
                <w:highlight w:val="none"/>
                <w:vertAlign w:val="baseline"/>
                <w:lang w:val="en-US" w:eastAsia="zh-CN"/>
              </w:rPr>
            </w:pPr>
          </w:p>
        </w:tc>
        <w:tc>
          <w:tcPr>
            <w:tcW w:w="1075" w:type="dxa"/>
            <w:noWrap w:val="0"/>
            <w:vAlign w:val="center"/>
          </w:tcPr>
          <w:p w14:paraId="608C41A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default"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4895.6</w:t>
            </w:r>
          </w:p>
        </w:tc>
        <w:tc>
          <w:tcPr>
            <w:tcW w:w="736" w:type="dxa"/>
            <w:noWrap w:val="0"/>
            <w:vAlign w:val="center"/>
          </w:tcPr>
          <w:p w14:paraId="10E664D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4"/>
                <w:szCs w:val="24"/>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6AA7905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aps w:val="0"/>
                <w:color w:val="auto"/>
                <w:spacing w:val="12"/>
                <w:sz w:val="24"/>
                <w:szCs w:val="24"/>
                <w:highlight w:val="none"/>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6017ED9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临翔区五老山国有林场（65-91小班）</w:t>
            </w:r>
          </w:p>
        </w:tc>
      </w:tr>
    </w:tbl>
    <w:p w14:paraId="102B9A67">
      <w:pPr>
        <w:keepNext w:val="0"/>
        <w:keepLines w:val="0"/>
        <w:pageBreakBefore w:val="0"/>
        <w:numPr>
          <w:ilvl w:val="0"/>
          <w:numId w:val="0"/>
        </w:numPr>
        <w:kinsoku/>
        <w:wordWrap/>
        <w:overflowPunct/>
        <w:topLinePunct w:val="0"/>
        <w:autoSpaceDE/>
        <w:autoSpaceDN/>
        <w:bidi w:val="0"/>
        <w:adjustRightInd/>
        <w:snapToGrid/>
        <w:spacing w:beforeAutospacing="0" w:line="480" w:lineRule="auto"/>
        <w:ind w:firstLine="482" w:firstLineChars="200"/>
        <w:textAlignment w:val="auto"/>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auto"/>
          <w:kern w:val="0"/>
          <w:sz w:val="24"/>
          <w:szCs w:val="24"/>
          <w:highlight w:val="none"/>
          <w:lang w:val="en-US" w:eastAsia="zh-CN"/>
        </w:rPr>
        <w:t>（三）质量要求：</w:t>
      </w:r>
      <w:r>
        <w:rPr>
          <w:rFonts w:hint="eastAsia" w:ascii="仿宋" w:hAnsi="仿宋" w:eastAsia="仿宋" w:cs="仿宋"/>
          <w:b w:val="0"/>
          <w:bCs w:val="0"/>
          <w:i w:val="0"/>
          <w:iCs w:val="0"/>
          <w:color w:val="000000" w:themeColor="text1"/>
          <w:sz w:val="24"/>
          <w:szCs w:val="24"/>
          <w:highlight w:val="none"/>
          <w:vertAlign w:val="baseline"/>
          <w:lang w:val="en-US" w:eastAsia="zh-CN"/>
          <w14:textFill>
            <w14:solidFill>
              <w14:schemeClr w14:val="tx1"/>
            </w14:solidFill>
          </w14:textFill>
        </w:rPr>
        <w:t>满足《森林抚育规程》和《森林采伐作业规程》等相关要求。</w:t>
      </w:r>
    </w:p>
    <w:p w14:paraId="5D747C3F">
      <w:pPr>
        <w:keepNext w:val="0"/>
        <w:keepLines w:val="0"/>
        <w:pageBreakBefore w:val="0"/>
        <w:widowControl w:val="0"/>
        <w:numPr>
          <w:ilvl w:val="0"/>
          <w:numId w:val="0"/>
        </w:numPr>
        <w:kinsoku/>
        <w:wordWrap/>
        <w:overflowPunct/>
        <w:topLinePunct w:val="0"/>
        <w:autoSpaceDE/>
        <w:autoSpaceDN/>
        <w:bidi w:val="0"/>
        <w:adjustRightInd/>
        <w:snapToGrid/>
        <w:spacing w:beforeAutospacing="0" w:line="480" w:lineRule="auto"/>
        <w:ind w:firstLine="482" w:firstLineChars="200"/>
        <w:textAlignment w:val="auto"/>
        <w:rPr>
          <w:rFonts w:hint="eastAsia" w:ascii="仿宋" w:hAnsi="仿宋" w:eastAsia="仿宋" w:cs="仿宋"/>
          <w:i w:val="0"/>
          <w:iCs w:val="0"/>
          <w:color w:val="000000" w:themeColor="text1"/>
          <w:sz w:val="24"/>
          <w:szCs w:val="24"/>
          <w:highlight w:val="green"/>
          <w:lang w:val="en-US" w:eastAsia="zh-CN"/>
          <w14:textFill>
            <w14:solidFill>
              <w14:schemeClr w14:val="tx1"/>
            </w14:solidFill>
          </w14:textFill>
        </w:rPr>
      </w:pPr>
      <w:r>
        <w:rPr>
          <w:rFonts w:hint="eastAsia" w:ascii="仿宋" w:hAnsi="仿宋" w:eastAsia="仿宋" w:cs="仿宋"/>
          <w:b/>
          <w:bCs/>
          <w:i w:val="0"/>
          <w:iCs w:val="0"/>
          <w:color w:val="auto"/>
          <w:sz w:val="24"/>
          <w:szCs w:val="24"/>
          <w:highlight w:val="none"/>
          <w:lang w:val="en-US" w:eastAsia="zh-CN"/>
        </w:rPr>
        <w:t>（四）合同履约期限</w:t>
      </w:r>
      <w:r>
        <w:rPr>
          <w:rFonts w:hint="eastAsia" w:ascii="仿宋" w:hAnsi="仿宋" w:eastAsia="仿宋" w:cs="仿宋"/>
          <w:i w:val="0"/>
          <w:iCs w:val="0"/>
          <w:color w:val="auto"/>
          <w:sz w:val="24"/>
          <w:szCs w:val="24"/>
          <w:highlight w:val="none"/>
          <w:lang w:val="en-US" w:eastAsia="zh-CN"/>
        </w:rPr>
        <w:t>：</w:t>
      </w:r>
      <w:r>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t>2025年12月30日前。</w:t>
      </w:r>
    </w:p>
    <w:p w14:paraId="13E240DB">
      <w:pPr>
        <w:keepNext w:val="0"/>
        <w:keepLines w:val="0"/>
        <w:pageBreakBefore w:val="0"/>
        <w:widowControl w:val="0"/>
        <w:numPr>
          <w:ilvl w:val="0"/>
          <w:numId w:val="0"/>
        </w:numPr>
        <w:kinsoku/>
        <w:wordWrap/>
        <w:overflowPunct/>
        <w:topLinePunct w:val="0"/>
        <w:autoSpaceDE/>
        <w:autoSpaceDN/>
        <w:bidi w:val="0"/>
        <w:adjustRightInd/>
        <w:snapToGrid/>
        <w:spacing w:beforeAutospacing="0" w:line="480" w:lineRule="auto"/>
        <w:ind w:leftChars="200" w:firstLine="720" w:firstLineChars="300"/>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本项目（否）接受联合体投标。</w:t>
      </w:r>
    </w:p>
    <w:p w14:paraId="3B1360FF">
      <w:pPr>
        <w:pStyle w:val="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2" w:firstLineChars="200"/>
        <w:jc w:val="both"/>
        <w:textAlignment w:val="auto"/>
        <w:rPr>
          <w:rFonts w:hint="eastAsia" w:ascii="仿宋" w:hAnsi="仿宋" w:eastAsia="仿宋" w:cs="仿宋"/>
          <w:b/>
          <w:bCs/>
          <w:i w:val="0"/>
          <w:iCs w:val="0"/>
          <w:color w:val="auto"/>
          <w:sz w:val="24"/>
          <w:szCs w:val="24"/>
          <w:highlight w:val="none"/>
        </w:rPr>
      </w:pPr>
      <w:bookmarkStart w:id="14" w:name="_Toc35393622"/>
      <w:bookmarkStart w:id="15" w:name="_Toc28359003"/>
      <w:bookmarkStart w:id="16" w:name="_Toc28359080"/>
      <w:bookmarkStart w:id="17" w:name="_Toc35393791"/>
      <w:bookmarkStart w:id="18" w:name="_Toc35393623"/>
      <w:bookmarkStart w:id="19" w:name="_Toc35393792"/>
      <w:r>
        <w:rPr>
          <w:rFonts w:hint="eastAsia" w:ascii="仿宋" w:hAnsi="仿宋" w:eastAsia="仿宋" w:cs="仿宋"/>
          <w:b/>
          <w:bCs/>
          <w:i w:val="0"/>
          <w:iCs w:val="0"/>
          <w:color w:val="auto"/>
          <w:sz w:val="24"/>
          <w:szCs w:val="24"/>
          <w:highlight w:val="none"/>
        </w:rPr>
        <w:t>二、</w:t>
      </w:r>
      <w:r>
        <w:rPr>
          <w:rFonts w:hint="eastAsia" w:ascii="仿宋" w:hAnsi="仿宋" w:eastAsia="仿宋" w:cs="仿宋"/>
          <w:b/>
          <w:bCs/>
          <w:i w:val="0"/>
          <w:iCs w:val="0"/>
          <w:color w:val="auto"/>
          <w:sz w:val="24"/>
          <w:szCs w:val="24"/>
          <w:highlight w:val="none"/>
          <w:lang w:val="en-US" w:eastAsia="zh-CN"/>
        </w:rPr>
        <w:t>供应商</w:t>
      </w:r>
      <w:r>
        <w:rPr>
          <w:rFonts w:hint="eastAsia" w:ascii="仿宋" w:hAnsi="仿宋" w:eastAsia="仿宋" w:cs="仿宋"/>
          <w:b/>
          <w:bCs/>
          <w:i w:val="0"/>
          <w:iCs w:val="0"/>
          <w:color w:val="auto"/>
          <w:sz w:val="24"/>
          <w:szCs w:val="24"/>
          <w:highlight w:val="none"/>
        </w:rPr>
        <w:t>的资格要求：</w:t>
      </w:r>
      <w:bookmarkEnd w:id="14"/>
      <w:bookmarkEnd w:id="15"/>
      <w:bookmarkEnd w:id="16"/>
      <w:bookmarkEnd w:id="17"/>
    </w:p>
    <w:p w14:paraId="05DE2B8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1.满足《中华人民共和国政府采购法》第二十二条规定：</w:t>
      </w:r>
    </w:p>
    <w:p w14:paraId="4A422495">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2.落实政府采购政策需满足的资格要求：</w:t>
      </w:r>
    </w:p>
    <w:p w14:paraId="3AA950A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财政部关于进一步加大政府采购支持中小企业力度的通知》（财库〔2022〕19号）、《关于政府采购支持监狱企业发展有关问题的通知》(财库[2014]68号)、《关于促进残疾人就业政府采购政策的通知》（财库[2017]141号）等规定，对小型和微型企业产品的价格给予扣除10%，用扣除后的价格参与评审；监狱企业、残疾人福利性单位视同小型、微型企业，其产品在评审时给予相同的价格扣除。</w:t>
      </w:r>
    </w:p>
    <w:p w14:paraId="279C48A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3.本项目的特定资格要求：</w:t>
      </w:r>
    </w:p>
    <w:p w14:paraId="17FC3B92">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（1）供应商须为在中华人民共和国注册且具有独立承担民事责任能力的法人或其他组织，持有有效的法人或者其他组织的营业执照等证明文件；</w:t>
      </w:r>
    </w:p>
    <w:p w14:paraId="121F2C57">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（2）供应商须具有良好的商业信誉和健全的财务会计制度，提供2023、2024年度任意一年度财务报表（资产负债表、现金流量表、利润表）（2025年以后新成立的公司则提供银行出具的资信证明或验资报告等）；</w:t>
      </w:r>
    </w:p>
    <w:p w14:paraId="590CD8D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（3）供应商须具有履行合同所必需的设备和专业技术能力；</w:t>
      </w:r>
    </w:p>
    <w:p w14:paraId="169377F1">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须具有依法缴纳税收和社保资金的良好记录，提供税务局税收通用缴款书或银行电子缴税（费）凭证或税务局出具纳税情况的相关证明（新成立的供应商，提供情况说明或未拖欠税收、社保资金承诺或证明材料）；依法免税或无需缴纳社会保障资金的供应商，应具有相应证明文件；</w:t>
      </w:r>
    </w:p>
    <w:p w14:paraId="0B6DA42B">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（5）供应商参加政府采购活动前三年内，在经营活动中没有重大违法记录；</w:t>
      </w:r>
    </w:p>
    <w:p w14:paraId="08EAFB67">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供应商未被列入“信用中国”网站“失信被执行人”、“重大税收违法案件当事人名单”、“政府采购严重违法失信行为记录名单”及中国政府采购网“政府采购严重违法失信行为信息记录”（被禁止在一定期限内参加政府采购活动但期限届满的除外，由采购人或采购代理机构在项目评审前统一查询）；</w:t>
      </w:r>
    </w:p>
    <w:p w14:paraId="72921296">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（7）根据《中华人民共和国政府采购法实施条例》第十八条规定，单位负责人为同一人或者存在直接控股、管理关系的不同供应商，不得参加同一合同项下的政府采购活动；</w:t>
      </w:r>
    </w:p>
    <w:p w14:paraId="6505ABFE">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（8）其他要求详见招标文件。</w:t>
      </w:r>
    </w:p>
    <w:p w14:paraId="1C63E921">
      <w:pPr>
        <w:keepNext w:val="0"/>
        <w:keepLines w:val="0"/>
        <w:pageBreakBefore w:val="0"/>
        <w:widowControl w:val="0"/>
        <w:shd w:val="clear" w:color="auto" w:fill="auto"/>
        <w:kinsoku/>
        <w:wordWrap/>
        <w:overflowPunct/>
        <w:topLinePunct w:val="0"/>
        <w:autoSpaceDE/>
        <w:bidi w:val="0"/>
        <w:adjustRightInd/>
        <w:snapToGrid/>
        <w:spacing w:line="52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三、获取招标</w:t>
      </w:r>
      <w:bookmarkEnd w:id="18"/>
      <w:bookmarkEnd w:id="19"/>
      <w:r>
        <w:rPr>
          <w:rFonts w:hint="eastAsia" w:ascii="仿宋" w:hAnsi="仿宋" w:eastAsia="仿宋" w:cs="仿宋"/>
          <w:b/>
          <w:bCs/>
          <w:color w:val="auto"/>
          <w:sz w:val="24"/>
          <w:szCs w:val="24"/>
          <w:highlight w:val="none"/>
          <w:lang w:val="en-US" w:eastAsia="zh-CN"/>
        </w:rPr>
        <w:t>文件</w:t>
      </w:r>
    </w:p>
    <w:p w14:paraId="49007B1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lang w:eastAsia="zh-CN"/>
        </w:rPr>
      </w:pPr>
      <w:bookmarkStart w:id="20" w:name="_Toc28359082"/>
      <w:bookmarkStart w:id="21" w:name="_Toc28359005"/>
      <w:bookmarkStart w:id="22" w:name="_Toc35393624"/>
      <w:bookmarkStart w:id="23" w:name="_Toc35393793"/>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09</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22</w:t>
      </w:r>
      <w:r>
        <w:rPr>
          <w:rFonts w:hint="eastAsia" w:ascii="仿宋" w:hAnsi="仿宋" w:eastAsia="仿宋" w:cs="仿宋"/>
          <w:color w:val="auto"/>
          <w:sz w:val="24"/>
          <w:szCs w:val="24"/>
          <w:highlight w:val="none"/>
          <w:u w:val="none"/>
        </w:rPr>
        <w:t>日至</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09</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29</w:t>
      </w:r>
      <w:r>
        <w:rPr>
          <w:rFonts w:hint="eastAsia" w:ascii="仿宋" w:hAnsi="仿宋" w:eastAsia="仿宋" w:cs="仿宋"/>
          <w:color w:val="auto"/>
          <w:sz w:val="24"/>
          <w:szCs w:val="24"/>
          <w:highlight w:val="none"/>
          <w:u w:val="none"/>
        </w:rPr>
        <w:t>日</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每天上午06时00分至12时00分，下午12时00分至23时59分</w:t>
      </w:r>
      <w:r>
        <w:rPr>
          <w:rFonts w:hint="eastAsia" w:ascii="仿宋" w:hAnsi="仿宋" w:eastAsia="仿宋" w:cs="仿宋"/>
          <w:color w:val="auto"/>
          <w:sz w:val="24"/>
          <w:szCs w:val="24"/>
          <w:highlight w:val="none"/>
        </w:rPr>
        <w:t>（北京时间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法定节假日除外</w:t>
      </w:r>
      <w:r>
        <w:rPr>
          <w:rFonts w:hint="eastAsia" w:ascii="仿宋" w:hAnsi="仿宋" w:eastAsia="仿宋" w:cs="仿宋"/>
          <w:color w:val="auto"/>
          <w:sz w:val="24"/>
          <w:szCs w:val="24"/>
          <w:highlight w:val="none"/>
        </w:rPr>
        <w:t>）</w:t>
      </w:r>
    </w:p>
    <w:p w14:paraId="443F77C3">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政采云平台（http://www.zcygov.cn）线上获取（操作路径：登录“政采云”平台-项目采购-获取采购文件-找到本项目-点击“申请获取采购文件”）。政采云电子交易服务热线：95763。</w:t>
      </w:r>
    </w:p>
    <w:p w14:paraId="5DA954B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方式：1.凡有意参加投标者，须在政采云平台办理数字证书（CA），并在政采云绑定数字证书（CA）后线上获取</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文件及其它</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资料。CA申领链接：https://middle.zcygov.cn/ca/apply/list?_app_=zcy.sys，CA申领后需登陆政采云平台完成数字证书（CA）绑定才可以使用，数字证书（CA）详见其办理流程。</w:t>
      </w:r>
    </w:p>
    <w:p w14:paraId="139C11B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.按上述要求获取文件的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视为合法获取了本项目</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文件，具备本项目的投标资格。</w:t>
      </w:r>
    </w:p>
    <w:p w14:paraId="5DBA26C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eastAsia="zh-CN"/>
        </w:rPr>
        <w:t>0.00元</w:t>
      </w:r>
    </w:p>
    <w:p w14:paraId="7E3C2473">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四、提交投标文件</w:t>
      </w:r>
      <w:bookmarkEnd w:id="20"/>
      <w:bookmarkEnd w:id="21"/>
      <w:r>
        <w:rPr>
          <w:rFonts w:hint="eastAsia" w:ascii="仿宋" w:hAnsi="仿宋" w:eastAsia="仿宋" w:cs="仿宋"/>
          <w:b/>
          <w:bCs/>
          <w:color w:val="auto"/>
          <w:sz w:val="24"/>
          <w:szCs w:val="24"/>
          <w:highlight w:val="none"/>
        </w:rPr>
        <w:t>截止时间、开标时间和地点</w:t>
      </w:r>
      <w:bookmarkEnd w:id="22"/>
      <w:bookmarkEnd w:id="23"/>
    </w:p>
    <w:p w14:paraId="1AD403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bookmarkStart w:id="24" w:name="_Toc28359084"/>
      <w:bookmarkStart w:id="25" w:name="_Toc35393625"/>
      <w:bookmarkStart w:id="26" w:name="_Toc28359007"/>
      <w:bookmarkStart w:id="27" w:name="_Toc35393794"/>
      <w:r>
        <w:rPr>
          <w:rFonts w:hint="eastAsia" w:ascii="仿宋" w:hAnsi="仿宋" w:eastAsia="仿宋" w:cs="仿宋"/>
          <w:color w:val="auto"/>
          <w:sz w:val="24"/>
          <w:szCs w:val="24"/>
          <w:highlight w:val="none"/>
          <w:lang w:val="en-US" w:eastAsia="zh-CN"/>
        </w:rPr>
        <w:t>截止时间：2025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u w:val="none"/>
          <w:lang w:val="en-US" w:eastAsia="zh-CN"/>
        </w:rPr>
        <w:t>09</w:t>
      </w:r>
      <w:r>
        <w:rPr>
          <w:rFonts w:hint="eastAsia" w:ascii="仿宋" w:hAnsi="仿宋" w:eastAsia="仿宋" w:cs="仿宋"/>
          <w:color w:val="auto"/>
          <w:sz w:val="24"/>
          <w:szCs w:val="24"/>
          <w:highlight w:val="none"/>
          <w:lang w:val="en-US" w:eastAsia="zh-CN"/>
        </w:rPr>
        <w:t>时</w:t>
      </w:r>
      <w:r>
        <w:rPr>
          <w:rFonts w:hint="eastAsia" w:ascii="仿宋" w:hAnsi="仿宋" w:eastAsia="仿宋" w:cs="仿宋"/>
          <w:color w:val="auto"/>
          <w:sz w:val="24"/>
          <w:szCs w:val="24"/>
          <w:highlight w:val="none"/>
          <w:u w:val="none"/>
          <w:lang w:val="en-US" w:eastAsia="zh-CN"/>
        </w:rPr>
        <w:t>00</w:t>
      </w:r>
      <w:r>
        <w:rPr>
          <w:rFonts w:hint="eastAsia" w:ascii="仿宋" w:hAnsi="仿宋" w:eastAsia="仿宋" w:cs="仿宋"/>
          <w:color w:val="auto"/>
          <w:sz w:val="24"/>
          <w:szCs w:val="24"/>
          <w:highlight w:val="none"/>
        </w:rPr>
        <w:t>分（北京时间）</w:t>
      </w:r>
    </w:p>
    <w:p w14:paraId="362C9F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开标时间：2025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u w:val="none"/>
          <w:lang w:val="en-US" w:eastAsia="zh-CN"/>
        </w:rPr>
        <w:t>09</w:t>
      </w:r>
      <w:r>
        <w:rPr>
          <w:rFonts w:hint="eastAsia" w:ascii="仿宋" w:hAnsi="仿宋" w:eastAsia="仿宋" w:cs="仿宋"/>
          <w:color w:val="auto"/>
          <w:sz w:val="24"/>
          <w:szCs w:val="24"/>
          <w:highlight w:val="none"/>
          <w:lang w:val="en-US" w:eastAsia="zh-CN"/>
        </w:rPr>
        <w:t>时</w:t>
      </w:r>
      <w:r>
        <w:rPr>
          <w:rFonts w:hint="eastAsia" w:ascii="仿宋" w:hAnsi="仿宋" w:eastAsia="仿宋" w:cs="仿宋"/>
          <w:color w:val="auto"/>
          <w:sz w:val="24"/>
          <w:szCs w:val="24"/>
          <w:highlight w:val="none"/>
          <w:u w:val="none"/>
          <w:lang w:val="en-US" w:eastAsia="zh-CN"/>
        </w:rPr>
        <w:t>00</w:t>
      </w:r>
      <w:r>
        <w:rPr>
          <w:rFonts w:hint="eastAsia" w:ascii="仿宋" w:hAnsi="仿宋" w:eastAsia="仿宋" w:cs="仿宋"/>
          <w:color w:val="auto"/>
          <w:sz w:val="24"/>
          <w:szCs w:val="24"/>
          <w:highlight w:val="none"/>
        </w:rPr>
        <w:t>分（北京时间）</w:t>
      </w:r>
    </w:p>
    <w:p w14:paraId="2B05291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eastAsia="zh-CN"/>
        </w:rPr>
        <w:t>临沧市临翔区忙令路569号</w:t>
      </w:r>
    </w:p>
    <w:p w14:paraId="746FD7BF">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五、公告期限</w:t>
      </w:r>
      <w:bookmarkEnd w:id="24"/>
      <w:bookmarkEnd w:id="25"/>
      <w:bookmarkEnd w:id="26"/>
      <w:bookmarkEnd w:id="27"/>
    </w:p>
    <w:p w14:paraId="2BE7D23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75165F1C">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仿宋" w:hAnsi="仿宋" w:eastAsia="仿宋" w:cs="仿宋"/>
          <w:b/>
          <w:bCs/>
          <w:color w:val="auto"/>
          <w:sz w:val="24"/>
          <w:szCs w:val="24"/>
          <w:highlight w:val="none"/>
        </w:rPr>
      </w:pPr>
      <w:bookmarkStart w:id="28" w:name="_Toc35393795"/>
      <w:bookmarkStart w:id="29" w:name="_Toc35393626"/>
      <w:r>
        <w:rPr>
          <w:rFonts w:hint="eastAsia" w:ascii="仿宋" w:hAnsi="仿宋" w:eastAsia="仿宋" w:cs="仿宋"/>
          <w:b/>
          <w:bCs/>
          <w:color w:val="auto"/>
          <w:sz w:val="24"/>
          <w:szCs w:val="24"/>
          <w:highlight w:val="none"/>
        </w:rPr>
        <w:t>六、其他补充事宜</w:t>
      </w:r>
      <w:bookmarkEnd w:id="28"/>
      <w:bookmarkEnd w:id="29"/>
    </w:p>
    <w:p w14:paraId="1251500A">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bookmarkStart w:id="30" w:name="_Toc28359085"/>
      <w:bookmarkStart w:id="31" w:name="_Toc28359008"/>
      <w:bookmarkStart w:id="32" w:name="_Toc35393796"/>
      <w:bookmarkStart w:id="33" w:name="_Toc35393627"/>
      <w:r>
        <w:rPr>
          <w:rFonts w:hint="eastAsia" w:ascii="仿宋" w:hAnsi="仿宋" w:eastAsia="仿宋" w:cs="仿宋"/>
          <w:b w:val="0"/>
          <w:bCs w:val="0"/>
          <w:color w:val="auto"/>
          <w:sz w:val="24"/>
          <w:szCs w:val="24"/>
          <w:highlight w:val="none"/>
          <w:lang w:val="en-US" w:eastAsia="zh-CN"/>
        </w:rPr>
        <w:t>（一）获取招标文件</w:t>
      </w:r>
    </w:p>
    <w:p w14:paraId="781EF84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凡有意参加本项目投标的供应商，须在本项目规定的“获取招标文件”时限内在政采云平台完成“注册”、“登录”、“办理数字证书（CA）”、“绑定数字证书（CA）”等流程后，即可线上获取招标文件及相关资料。</w:t>
      </w:r>
    </w:p>
    <w:p w14:paraId="0991B0A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bookmarkStart w:id="34" w:name="OLE_LINK7"/>
      <w:r>
        <w:rPr>
          <w:rFonts w:hint="eastAsia" w:ascii="仿宋" w:hAnsi="仿宋" w:eastAsia="仿宋" w:cs="仿宋"/>
          <w:b w:val="0"/>
          <w:bCs w:val="0"/>
          <w:color w:val="auto"/>
          <w:sz w:val="24"/>
          <w:szCs w:val="24"/>
          <w:highlight w:val="none"/>
          <w:lang w:val="en-US" w:eastAsia="zh-CN"/>
        </w:rPr>
        <w:t>供应商已在政采云平台办理过数字证书（CA）的，直接绑定即可，无需重复办理。云南省外供应商在政采云平台办理的其他CA可直接使用，无需重复办理。</w:t>
      </w:r>
      <w:bookmarkEnd w:id="34"/>
      <w:r>
        <w:rPr>
          <w:rFonts w:hint="eastAsia" w:ascii="仿宋" w:hAnsi="仿宋" w:eastAsia="仿宋" w:cs="仿宋"/>
          <w:b w:val="0"/>
          <w:bCs w:val="0"/>
          <w:color w:val="auto"/>
          <w:sz w:val="24"/>
          <w:szCs w:val="24"/>
          <w:highlight w:val="none"/>
          <w:lang w:val="en-US" w:eastAsia="zh-CN"/>
        </w:rPr>
        <w:t>若供应商未办理数字证书（CA）的，政府采购云平台支持多家CA服务商，供应商可根据自己需求，在政采云平台自主选择CA办理方式，其中：</w:t>
      </w:r>
    </w:p>
    <w:p w14:paraId="4AFCB31B">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方式一（云南壹证通CA）：CA申领链接为</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"http://yzt.ynsmartcert.cn/cms/yztlccb.html"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http://yzt.ynsmartcert.cn/cms/yztlccb.html</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，支持线上、线下办理方式，并提供7*24小时全天候客户服务支持，客服热线400-004-0628（紧急CA办理电话：19988166369）；</w:t>
      </w:r>
    </w:p>
    <w:p w14:paraId="608E0EC5">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方式二（云南CA）：CA申领链接为</w:t>
      </w:r>
      <w:bookmarkStart w:id="35" w:name="OLE_LINK3"/>
      <w:r>
        <w:rPr>
          <w:rFonts w:hint="eastAsia" w:ascii="仿宋" w:hAnsi="仿宋" w:eastAsia="仿宋" w:cs="仿宋"/>
          <w:b w:val="0"/>
          <w:bCs w:val="0"/>
          <w:color w:val="auto"/>
          <w:sz w:val="24"/>
          <w:szCs w:val="24"/>
          <w:highlight w:val="none"/>
          <w:lang w:val="en-US" w:eastAsia="zh-CN"/>
        </w:rPr>
        <w:t>https://cap.yunnanca.net/，支持线上、线下办理方式，并提供7*24小时全天候客户服务支持，客服热线400-672-7666（紧急办理CA电话：18725158190）</w:t>
      </w:r>
      <w:bookmarkEnd w:id="35"/>
      <w:r>
        <w:rPr>
          <w:rFonts w:hint="eastAsia" w:ascii="仿宋" w:hAnsi="仿宋" w:eastAsia="仿宋" w:cs="仿宋"/>
          <w:b w:val="0"/>
          <w:bCs w:val="0"/>
          <w:color w:val="auto"/>
          <w:sz w:val="24"/>
          <w:szCs w:val="24"/>
          <w:highlight w:val="none"/>
          <w:lang w:val="en-US" w:eastAsia="zh-CN"/>
        </w:rPr>
        <w:t>。</w:t>
      </w:r>
    </w:p>
    <w:p w14:paraId="158FF71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3.数字证书（CA）申领完成之后进入政采云平台，将企业账号与CA进行绑定，凭CA进行项目报名并下载招标文件。</w:t>
      </w:r>
    </w:p>
    <w:p w14:paraId="6EFF4D3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（二）提交投标文件方式</w:t>
      </w:r>
    </w:p>
    <w:p w14:paraId="7187A7F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1.本项目为云南省全流程电子化项目，通过“政采云平台”（https://w ww.zcygov.cn/）实行在线电子投标，供应商应先安装“政采云电子交易客户端”（请自行前往政采云平台进行下载），并按照本项目采购文件和政采云平台的要求编制、加密、提交投标文件。</w:t>
      </w:r>
    </w:p>
    <w:p w14:paraId="6CB9AE4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2.供应商完成投标文件的编制、加密后，须在提交投标文件截止时间前上传至政采云平台，未按规定完成投标文件上传的，视为撤回投标文件。</w:t>
      </w:r>
    </w:p>
    <w:p w14:paraId="45CE676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在政采云平台提交电子版投标文件时，请填写参加远程采购活动经办人联系方式。供应商应提前调试好网络、音视频设备并于提交投标文件截止时间（开标时间）前在系统上等待通知，并进行“投标文件远程解密及签字”等开标流程。</w:t>
      </w:r>
    </w:p>
    <w:p w14:paraId="2FA4BE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（三）其他</w:t>
      </w:r>
    </w:p>
    <w:p w14:paraId="3D05038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1.与本项目有关的通知将在“云南省政府采购网”、</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b w:val="0"/>
          <w:bCs w:val="0"/>
          <w:color w:val="auto"/>
          <w:sz w:val="24"/>
          <w:szCs w:val="24"/>
          <w:highlight w:val="none"/>
          <w:lang w:val="en-US" w:eastAsia="zh-CN"/>
        </w:rPr>
        <w:t>发布，请各供应商在提交投标文件前随时查看，以获取最新信息。因供应商不留意网站公告，导致后果由其自行负责，采购人及采购代理机构不承担任何责任。采购人及代理机构对其他网站发布的同类信息不承担任何责任。</w:t>
      </w:r>
    </w:p>
    <w:p w14:paraId="1997444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将政采云电子交易客户端下载、安装完成后，通过账号密码或CA登录客户端进行投标文件的制作。各供应商应确保在开标前成为政采云平台的供应商，并完成CA数字证书申领，因未注册入库、未办理CA数字证书等原因造成无法投标或投标失败等后果由供应商自行承担。</w:t>
      </w:r>
    </w:p>
    <w:p w14:paraId="7EFB53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在使用政采云电子交易客户端时，建议使用WIN7（64位）及以上操作系统。如因供应商自身原因导致在规定时间内无法正常解密的（如：浏览器故障、未安装相关驱动、网络故障、加密CA与解密CA不一致等），代理机构不予异常处理，视为供应商放弃本次投标。</w:t>
      </w:r>
    </w:p>
    <w:p w14:paraId="576FA282">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注：政采云电子交易客户端可在政采云公司网站（</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"https://edu.zcygov.cn/luban/yunnan-dzjy-gys"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https://edu.zcygov.cn/luban/yunnan-dzjy-gys</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）进行查看下载，如有问题可拨打政采云客户服务热线400-881-7190或95763进行咨询。</w:t>
      </w:r>
    </w:p>
    <w:p w14:paraId="649954E7">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未进行网上注册并办理数字证书（CA认证）的供应商将无法参与本项目采购活动，供应商应提交投标文件截止时间前完成政采云平台的CA数字证书办理及投标文件提交等。办理CA数字证书需要花费一定的时间，请各供应商合理安排办理时间。</w:t>
      </w:r>
    </w:p>
    <w:p w14:paraId="15C2D59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5.本招标公告如与招标文件不一致之处，以招标文件为准。</w:t>
      </w:r>
    </w:p>
    <w:p w14:paraId="26CACA26">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七、对本次招标提出询问，请按以下方式联系</w:t>
      </w:r>
      <w:bookmarkEnd w:id="30"/>
      <w:bookmarkEnd w:id="31"/>
      <w:bookmarkEnd w:id="32"/>
      <w:bookmarkEnd w:id="33"/>
    </w:p>
    <w:p w14:paraId="7447AE4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信息</w:t>
      </w:r>
    </w:p>
    <w:p w14:paraId="44595FA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名称：临沧市临翔区林业和草原局</w:t>
      </w:r>
    </w:p>
    <w:p w14:paraId="51316BC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地址：</w:t>
      </w:r>
      <w:r>
        <w:rPr>
          <w:rFonts w:hint="eastAsia" w:ascii="仿宋" w:hAnsi="仿宋" w:eastAsia="仿宋" w:cs="仿宋"/>
          <w:b w:val="0"/>
          <w:bCs w:val="0"/>
          <w:color w:val="auto"/>
          <w:sz w:val="24"/>
          <w:szCs w:val="24"/>
          <w:highlight w:val="none"/>
          <w:lang w:eastAsia="zh-CN"/>
        </w:rPr>
        <w:t>临沧市临翔区汀旗路134号</w:t>
      </w:r>
    </w:p>
    <w:p w14:paraId="1192049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联系方式：</w:t>
      </w:r>
      <w:r>
        <w:rPr>
          <w:rFonts w:hint="eastAsia" w:ascii="仿宋" w:hAnsi="仿宋" w:eastAsia="仿宋" w:cs="仿宋"/>
          <w:color w:val="auto"/>
          <w:sz w:val="24"/>
          <w:szCs w:val="24"/>
          <w:highlight w:val="none"/>
          <w:u w:val="none"/>
          <w:lang w:val="en-US" w:eastAsia="zh-CN"/>
        </w:rPr>
        <w:t>15126510334</w:t>
      </w:r>
    </w:p>
    <w:p w14:paraId="753553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信息</w:t>
      </w:r>
    </w:p>
    <w:p w14:paraId="0CEBB0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名称：</w:t>
      </w:r>
      <w:r>
        <w:rPr>
          <w:rFonts w:hint="eastAsia" w:ascii="仿宋" w:hAnsi="仿宋" w:eastAsia="仿宋" w:cs="仿宋"/>
          <w:b w:val="0"/>
          <w:bCs w:val="0"/>
          <w:color w:val="auto"/>
          <w:sz w:val="24"/>
          <w:szCs w:val="24"/>
          <w:highlight w:val="none"/>
          <w:lang w:eastAsia="zh-CN"/>
        </w:rPr>
        <w:t>云南临祥项目管理咨询有限公司</w:t>
      </w:r>
    </w:p>
    <w:p w14:paraId="1A34797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地址：</w:t>
      </w:r>
      <w:r>
        <w:rPr>
          <w:rFonts w:hint="eastAsia" w:ascii="仿宋" w:hAnsi="仿宋" w:eastAsia="仿宋" w:cs="仿宋"/>
          <w:b w:val="0"/>
          <w:bCs w:val="0"/>
          <w:color w:val="auto"/>
          <w:sz w:val="24"/>
          <w:szCs w:val="24"/>
          <w:highlight w:val="none"/>
          <w:lang w:eastAsia="zh-CN"/>
        </w:rPr>
        <w:t>云南省临沧市临翔区迎宾路159号锦绣花园二期4单元101</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室</w:t>
      </w:r>
    </w:p>
    <w:p w14:paraId="0A0ECAF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rPr>
        <w:t>联系方式：</w:t>
      </w:r>
      <w:r>
        <w:rPr>
          <w:rFonts w:hint="eastAsia" w:ascii="仿宋" w:hAnsi="仿宋" w:eastAsia="仿宋" w:cs="仿宋"/>
          <w:b w:val="0"/>
          <w:bCs w:val="0"/>
          <w:color w:val="auto"/>
          <w:sz w:val="24"/>
          <w:szCs w:val="24"/>
          <w:highlight w:val="none"/>
          <w:lang w:val="en-US" w:eastAsia="zh-CN"/>
        </w:rPr>
        <w:t>18213744303</w:t>
      </w:r>
    </w:p>
    <w:p w14:paraId="329C1CC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3.项目联系方式</w:t>
      </w:r>
    </w:p>
    <w:p w14:paraId="50185E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项目联系人：</w:t>
      </w:r>
      <w:r>
        <w:rPr>
          <w:rFonts w:hint="eastAsia" w:ascii="仿宋" w:hAnsi="仿宋" w:eastAsia="仿宋" w:cs="仿宋"/>
          <w:b w:val="0"/>
          <w:bCs w:val="0"/>
          <w:color w:val="auto"/>
          <w:sz w:val="24"/>
          <w:szCs w:val="24"/>
          <w:highlight w:val="none"/>
          <w:lang w:val="en-US" w:eastAsia="zh-CN"/>
        </w:rPr>
        <w:t>李工</w:t>
      </w:r>
    </w:p>
    <w:p w14:paraId="1272554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rPr>
        <w:t>电话：</w:t>
      </w:r>
      <w:bookmarkStart w:id="36" w:name="_Toc2956"/>
      <w:r>
        <w:rPr>
          <w:rFonts w:hint="eastAsia" w:ascii="仿宋" w:hAnsi="仿宋" w:eastAsia="仿宋" w:cs="仿宋"/>
          <w:b w:val="0"/>
          <w:bCs w:val="0"/>
          <w:color w:val="auto"/>
          <w:sz w:val="24"/>
          <w:szCs w:val="24"/>
          <w:highlight w:val="none"/>
          <w:lang w:val="en-US" w:eastAsia="zh-CN"/>
        </w:rPr>
        <w:t>18213744303、19087584542</w:t>
      </w:r>
    </w:p>
    <w:p w14:paraId="31072543">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3DF36E17">
      <w:pPr>
        <w:pStyle w:val="3"/>
        <w:shd w:val="clear" w:color="auto" w:fill="auto"/>
        <w:tabs>
          <w:tab w:val="left" w:pos="360"/>
        </w:tabs>
        <w:spacing w:before="0" w:line="540" w:lineRule="exact"/>
        <w:ind w:left="0" w:firstLine="0"/>
        <w:jc w:val="center"/>
        <w:rPr>
          <w:rFonts w:hint="eastAsia" w:ascii="仿宋" w:hAnsi="仿宋" w:eastAsia="仿宋" w:cs="仿宋"/>
          <w:color w:val="auto"/>
          <w:sz w:val="36"/>
          <w:szCs w:val="36"/>
          <w:highlight w:val="none"/>
        </w:rPr>
      </w:pPr>
      <w:bookmarkStart w:id="37" w:name="_Toc24233"/>
      <w:bookmarkStart w:id="38" w:name="_Toc18107"/>
      <w:r>
        <w:rPr>
          <w:rFonts w:hint="eastAsia" w:ascii="仿宋" w:hAnsi="仿宋" w:eastAsia="仿宋" w:cs="仿宋"/>
          <w:color w:val="auto"/>
          <w:sz w:val="36"/>
          <w:szCs w:val="36"/>
          <w:highlight w:val="none"/>
        </w:rPr>
        <w:t xml:space="preserve">第二章 </w:t>
      </w:r>
      <w:r>
        <w:rPr>
          <w:rFonts w:hint="eastAsia" w:ascii="仿宋" w:hAnsi="仿宋" w:eastAsia="仿宋" w:cs="仿宋"/>
          <w:color w:val="auto"/>
          <w:sz w:val="36"/>
          <w:szCs w:val="36"/>
          <w:highlight w:val="none"/>
          <w:lang w:val="en-US" w:eastAsia="zh-CN"/>
        </w:rPr>
        <w:t>供应商</w:t>
      </w:r>
      <w:r>
        <w:rPr>
          <w:rFonts w:hint="eastAsia" w:ascii="仿宋" w:hAnsi="仿宋" w:eastAsia="仿宋" w:cs="仿宋"/>
          <w:color w:val="auto"/>
          <w:sz w:val="36"/>
          <w:szCs w:val="36"/>
          <w:highlight w:val="none"/>
        </w:rPr>
        <w:t>须知</w:t>
      </w:r>
      <w:bookmarkEnd w:id="36"/>
      <w:bookmarkEnd w:id="37"/>
      <w:bookmarkEnd w:id="38"/>
    </w:p>
    <w:p w14:paraId="14BE557F">
      <w:pPr>
        <w:widowControl/>
        <w:shd w:val="clear" w:color="auto" w:fill="auto"/>
        <w:spacing w:line="413" w:lineRule="auto"/>
        <w:ind w:right="960"/>
        <w:jc w:val="left"/>
        <w:rPr>
          <w:rFonts w:hint="eastAsia" w:ascii="仿宋" w:hAnsi="仿宋" w:eastAsia="仿宋" w:cs="仿宋"/>
          <w:b/>
          <w:bCs/>
          <w:color w:val="auto"/>
          <w:sz w:val="24"/>
          <w:szCs w:val="24"/>
          <w:highlight w:val="none"/>
        </w:rPr>
      </w:pPr>
      <w:bookmarkStart w:id="39" w:name="_Toc30758"/>
      <w:bookmarkStart w:id="40" w:name="_Toc213141090"/>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须知前附表</w:t>
      </w:r>
    </w:p>
    <w:tbl>
      <w:tblPr>
        <w:tblStyle w:val="26"/>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2498"/>
        <w:gridCol w:w="6054"/>
      </w:tblGrid>
      <w:tr w14:paraId="12A0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109" w:type="dxa"/>
            <w:noWrap w:val="0"/>
            <w:vAlign w:val="center"/>
          </w:tcPr>
          <w:p w14:paraId="7DE9F0B2">
            <w:pPr>
              <w:shd w:val="clear" w:color="auto" w:fill="auto"/>
              <w:spacing w:line="48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498" w:type="dxa"/>
            <w:noWrap w:val="0"/>
            <w:vAlign w:val="center"/>
          </w:tcPr>
          <w:p w14:paraId="1E7C621D">
            <w:pPr>
              <w:shd w:val="clear" w:color="auto" w:fill="auto"/>
              <w:spacing w:line="48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6054" w:type="dxa"/>
            <w:noWrap w:val="0"/>
            <w:vAlign w:val="center"/>
          </w:tcPr>
          <w:p w14:paraId="1FD92EC4">
            <w:pPr>
              <w:shd w:val="clear" w:color="auto" w:fill="auto"/>
              <w:spacing w:line="48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2B1F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09" w:type="dxa"/>
            <w:vMerge w:val="restart"/>
            <w:noWrap w:val="0"/>
            <w:vAlign w:val="center"/>
          </w:tcPr>
          <w:p w14:paraId="5051FF1F">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98" w:type="dxa"/>
            <w:noWrap w:val="0"/>
            <w:vAlign w:val="center"/>
          </w:tcPr>
          <w:p w14:paraId="6F0DD867">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054" w:type="dxa"/>
            <w:noWrap w:val="0"/>
            <w:vAlign w:val="center"/>
          </w:tcPr>
          <w:p w14:paraId="42009C18">
            <w:pPr>
              <w:shd w:val="clear" w:color="auto" w:fill="auto"/>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采购单位名称</w:t>
            </w:r>
            <w:r>
              <w:rPr>
                <w:rFonts w:hint="eastAsia" w:ascii="仿宋" w:hAnsi="仿宋" w:eastAsia="仿宋" w:cs="仿宋"/>
                <w:color w:val="auto"/>
                <w:sz w:val="24"/>
                <w:szCs w:val="24"/>
                <w:highlight w:val="none"/>
                <w:lang w:eastAsia="zh-CN"/>
              </w:rPr>
              <w:t>：临沧市临翔区林业和草原局</w:t>
            </w:r>
          </w:p>
          <w:p w14:paraId="0BB28BA9">
            <w:pPr>
              <w:shd w:val="clear" w:color="auto" w:fill="auto"/>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eastAsia="zh-CN"/>
              </w:rPr>
              <w:t>地址：</w:t>
            </w:r>
            <w:r>
              <w:rPr>
                <w:rFonts w:hint="eastAsia" w:ascii="仿宋" w:hAnsi="仿宋" w:eastAsia="仿宋" w:cs="仿宋"/>
                <w:b w:val="0"/>
                <w:bCs w:val="0"/>
                <w:color w:val="auto"/>
                <w:sz w:val="24"/>
                <w:szCs w:val="24"/>
                <w:highlight w:val="none"/>
                <w:lang w:eastAsia="zh-CN"/>
              </w:rPr>
              <w:t>临沧市临翔区汀旗路134号</w:t>
            </w:r>
          </w:p>
          <w:p w14:paraId="115D4D4E">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sz w:val="24"/>
                <w:szCs w:val="24"/>
                <w:highlight w:val="none"/>
                <w:u w:val="none"/>
                <w:lang w:val="en-US" w:eastAsia="zh-CN"/>
              </w:rPr>
              <w:t>15126510334</w:t>
            </w:r>
          </w:p>
          <w:p w14:paraId="2555507B">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b w:val="0"/>
                <w:bCs w:val="0"/>
                <w:color w:val="auto"/>
                <w:sz w:val="24"/>
                <w:szCs w:val="24"/>
                <w:highlight w:val="none"/>
                <w:lang w:val="en-US" w:eastAsia="zh-CN"/>
              </w:rPr>
              <w:t>李老师</w:t>
            </w:r>
          </w:p>
        </w:tc>
      </w:tr>
      <w:tr w14:paraId="584F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09" w:type="dxa"/>
            <w:vMerge w:val="continue"/>
            <w:noWrap w:val="0"/>
            <w:vAlign w:val="center"/>
          </w:tcPr>
          <w:p w14:paraId="67418E76">
            <w:pPr>
              <w:shd w:val="clear" w:color="auto" w:fill="auto"/>
              <w:spacing w:line="480" w:lineRule="exact"/>
              <w:jc w:val="center"/>
              <w:rPr>
                <w:rFonts w:hint="eastAsia" w:ascii="仿宋" w:hAnsi="仿宋" w:eastAsia="仿宋" w:cs="仿宋"/>
                <w:color w:val="auto"/>
                <w:sz w:val="24"/>
                <w:szCs w:val="24"/>
                <w:highlight w:val="none"/>
              </w:rPr>
            </w:pPr>
          </w:p>
        </w:tc>
        <w:tc>
          <w:tcPr>
            <w:tcW w:w="2498" w:type="dxa"/>
            <w:noWrap w:val="0"/>
            <w:vAlign w:val="center"/>
          </w:tcPr>
          <w:p w14:paraId="22BEA558">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054" w:type="dxa"/>
            <w:noWrap w:val="0"/>
            <w:vAlign w:val="center"/>
          </w:tcPr>
          <w:p w14:paraId="2CF1C20B">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采购代理机构：云南临祥项目管理咨询有限公司</w:t>
            </w:r>
          </w:p>
          <w:p w14:paraId="71A397AA">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地址：云南省临沧市临翔区凤翔街道办事处章嘎社区迎宾路159号锦绣花园二期4单元101-1室</w:t>
            </w:r>
          </w:p>
          <w:p w14:paraId="534F1066">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b w:val="0"/>
                <w:bCs w:val="0"/>
                <w:color w:val="auto"/>
                <w:sz w:val="24"/>
                <w:szCs w:val="24"/>
                <w:highlight w:val="none"/>
                <w:lang w:val="en-US" w:eastAsia="zh-CN"/>
              </w:rPr>
              <w:t>18213744303、19087584542</w:t>
            </w:r>
          </w:p>
          <w:p w14:paraId="0438AFD0">
            <w:pPr>
              <w:shd w:val="clear" w:color="auto" w:fill="auto"/>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联系人：李工</w:t>
            </w:r>
          </w:p>
        </w:tc>
      </w:tr>
      <w:tr w14:paraId="2E8F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109" w:type="dxa"/>
            <w:noWrap w:val="0"/>
            <w:vAlign w:val="center"/>
          </w:tcPr>
          <w:p w14:paraId="0905FDA4">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498" w:type="dxa"/>
            <w:noWrap w:val="0"/>
            <w:vAlign w:val="center"/>
          </w:tcPr>
          <w:p w14:paraId="75BBFFC8">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054" w:type="dxa"/>
            <w:noWrap w:val="0"/>
            <w:vAlign w:val="center"/>
          </w:tcPr>
          <w:p w14:paraId="2BE07CF6">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已落实</w:t>
            </w:r>
          </w:p>
        </w:tc>
      </w:tr>
      <w:tr w14:paraId="7841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109" w:type="dxa"/>
            <w:noWrap w:val="0"/>
            <w:vAlign w:val="center"/>
          </w:tcPr>
          <w:p w14:paraId="6FB5670E">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498" w:type="dxa"/>
            <w:noWrap w:val="0"/>
            <w:vAlign w:val="center"/>
          </w:tcPr>
          <w:p w14:paraId="0D515291">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采购需求</w:t>
            </w:r>
          </w:p>
        </w:tc>
        <w:tc>
          <w:tcPr>
            <w:tcW w:w="6054" w:type="dxa"/>
            <w:noWrap w:val="0"/>
            <w:vAlign w:val="center"/>
          </w:tcPr>
          <w:p w14:paraId="5D1E31D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招标公告</w:t>
            </w:r>
            <w:r>
              <w:rPr>
                <w:rFonts w:hint="eastAsia" w:ascii="仿宋" w:hAnsi="仿宋" w:eastAsia="仿宋" w:cs="仿宋"/>
                <w:color w:val="auto"/>
                <w:sz w:val="24"/>
                <w:szCs w:val="24"/>
                <w:highlight w:val="none"/>
                <w:lang w:val="en-US" w:eastAsia="zh-CN"/>
              </w:rPr>
              <w:t>及招标文件要求</w:t>
            </w:r>
          </w:p>
        </w:tc>
      </w:tr>
      <w:tr w14:paraId="0C0F1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09" w:type="dxa"/>
            <w:noWrap w:val="0"/>
            <w:vAlign w:val="center"/>
          </w:tcPr>
          <w:p w14:paraId="1CD51162">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498" w:type="dxa"/>
            <w:noWrap w:val="0"/>
            <w:vAlign w:val="center"/>
          </w:tcPr>
          <w:p w14:paraId="0BF947DF">
            <w:pPr>
              <w:shd w:val="clear" w:color="auto" w:fill="auto"/>
              <w:spacing w:line="24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投标报价</w:t>
            </w:r>
          </w:p>
        </w:tc>
        <w:tc>
          <w:tcPr>
            <w:tcW w:w="6054" w:type="dxa"/>
            <w:noWrap w:val="0"/>
            <w:vAlign w:val="center"/>
          </w:tcPr>
          <w:p w14:paraId="285C3A1B">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1.报价方式</w:t>
            </w:r>
          </w:p>
          <w:p w14:paraId="5B5B2516">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（1）供应商应结合市场行情及自身实际情况，报出投标价（投标价不得超出最高限价），即为投标报价。</w:t>
            </w:r>
          </w:p>
          <w:p w14:paraId="691070E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（2）投标报价为中标价，在合同期限内不得调整。</w:t>
            </w:r>
          </w:p>
          <w:p w14:paraId="3C704577">
            <w:pPr>
              <w:shd w:val="clear" w:color="auto" w:fill="auto"/>
              <w:spacing w:line="480" w:lineRule="exact"/>
              <w:rPr>
                <w:rFonts w:hint="eastAsia" w:ascii="仿宋" w:hAnsi="仿宋" w:eastAsia="仿宋" w:cs="仿宋"/>
                <w:i w:val="0"/>
                <w:iCs w:val="0"/>
                <w:color w:val="auto"/>
                <w:sz w:val="22"/>
                <w:szCs w:val="22"/>
                <w:highlight w:val="none"/>
                <w:vertAlign w:val="baseli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报价应充分考虑市场风险、价格风险、政策风险、汇率风险等所有因素。</w:t>
            </w:r>
          </w:p>
        </w:tc>
      </w:tr>
      <w:tr w14:paraId="436B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09" w:type="dxa"/>
            <w:noWrap w:val="0"/>
            <w:vAlign w:val="center"/>
          </w:tcPr>
          <w:p w14:paraId="2E377962">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2498" w:type="dxa"/>
            <w:noWrap w:val="0"/>
            <w:vAlign w:val="center"/>
          </w:tcPr>
          <w:p w14:paraId="5B509416">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资格要求</w:t>
            </w:r>
          </w:p>
        </w:tc>
        <w:tc>
          <w:tcPr>
            <w:tcW w:w="6054" w:type="dxa"/>
            <w:noWrap w:val="0"/>
            <w:vAlign w:val="center"/>
          </w:tcPr>
          <w:p w14:paraId="1D9B6290">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招标公告</w:t>
            </w:r>
            <w:r>
              <w:rPr>
                <w:rFonts w:hint="eastAsia" w:ascii="仿宋" w:hAnsi="仿宋" w:eastAsia="仿宋" w:cs="仿宋"/>
                <w:color w:val="auto"/>
                <w:sz w:val="24"/>
                <w:szCs w:val="24"/>
                <w:highlight w:val="none"/>
                <w:lang w:val="en-US" w:eastAsia="zh-CN"/>
              </w:rPr>
              <w:t>要求</w:t>
            </w:r>
          </w:p>
        </w:tc>
      </w:tr>
      <w:tr w14:paraId="262B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09" w:type="dxa"/>
            <w:noWrap w:val="0"/>
            <w:vAlign w:val="center"/>
          </w:tcPr>
          <w:p w14:paraId="1790A2FA">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2498" w:type="dxa"/>
            <w:noWrap w:val="0"/>
            <w:vAlign w:val="center"/>
          </w:tcPr>
          <w:p w14:paraId="54CE1327">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联合体投标</w:t>
            </w:r>
          </w:p>
        </w:tc>
        <w:tc>
          <w:tcPr>
            <w:tcW w:w="6054" w:type="dxa"/>
            <w:noWrap w:val="0"/>
            <w:vAlign w:val="center"/>
          </w:tcPr>
          <w:p w14:paraId="1818917C">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接受联合体投标</w:t>
            </w:r>
          </w:p>
        </w:tc>
      </w:tr>
      <w:tr w14:paraId="582A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09" w:type="dxa"/>
            <w:noWrap w:val="0"/>
            <w:vAlign w:val="center"/>
          </w:tcPr>
          <w:p w14:paraId="51110D1E">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2498" w:type="dxa"/>
            <w:noWrap w:val="0"/>
            <w:vAlign w:val="center"/>
          </w:tcPr>
          <w:p w14:paraId="4E7F6BA2">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w:t>
            </w:r>
          </w:p>
        </w:tc>
        <w:tc>
          <w:tcPr>
            <w:tcW w:w="6054" w:type="dxa"/>
            <w:noWrap w:val="0"/>
            <w:vAlign w:val="center"/>
          </w:tcPr>
          <w:p w14:paraId="583EDDE3">
            <w:pPr>
              <w:shd w:val="clear" w:color="auto" w:fill="auto"/>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b w:val="0"/>
                <w:bCs/>
                <w:color w:val="auto"/>
                <w:sz w:val="24"/>
                <w:szCs w:val="24"/>
                <w:highlight w:val="none"/>
                <w:lang w:val="en-US" w:eastAsia="zh-CN"/>
              </w:rPr>
              <w:t>本项目不允许分包</w:t>
            </w:r>
          </w:p>
        </w:tc>
      </w:tr>
      <w:tr w14:paraId="79FC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09" w:type="dxa"/>
            <w:noWrap w:val="0"/>
            <w:vAlign w:val="center"/>
          </w:tcPr>
          <w:p w14:paraId="6926AC38">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2498" w:type="dxa"/>
            <w:noWrap w:val="0"/>
            <w:vAlign w:val="center"/>
          </w:tcPr>
          <w:p w14:paraId="7202A748">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中标服务费</w:t>
            </w:r>
          </w:p>
        </w:tc>
        <w:tc>
          <w:tcPr>
            <w:tcW w:w="6054" w:type="dxa"/>
            <w:noWrap w:val="0"/>
            <w:vAlign w:val="center"/>
          </w:tcPr>
          <w:p w14:paraId="12DE66DB">
            <w:pPr>
              <w:shd w:val="clear" w:color="auto" w:fill="auto"/>
              <w:spacing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招标代理服务费参照云建招协〔2025〕10号的规定计取，由中标人在领取中标通知书时向招标代理机构支付，支付形式可为网银转账或现金。</w:t>
            </w:r>
          </w:p>
        </w:tc>
      </w:tr>
      <w:tr w14:paraId="5AC4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109" w:type="dxa"/>
            <w:noWrap w:val="0"/>
            <w:vAlign w:val="center"/>
          </w:tcPr>
          <w:p w14:paraId="33141ADF">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w:t>
            </w:r>
          </w:p>
        </w:tc>
        <w:tc>
          <w:tcPr>
            <w:tcW w:w="2498" w:type="dxa"/>
            <w:noWrap w:val="0"/>
            <w:vAlign w:val="center"/>
          </w:tcPr>
          <w:p w14:paraId="0971CDCB">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招标文件澄清截止时间</w:t>
            </w:r>
          </w:p>
        </w:tc>
        <w:tc>
          <w:tcPr>
            <w:tcW w:w="6054" w:type="dxa"/>
            <w:noWrap w:val="0"/>
            <w:vAlign w:val="center"/>
          </w:tcPr>
          <w:p w14:paraId="5607FD37">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提交投标文件截止时间十五日前</w:t>
            </w:r>
          </w:p>
        </w:tc>
      </w:tr>
      <w:tr w14:paraId="1818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09" w:type="dxa"/>
            <w:noWrap w:val="0"/>
            <w:vAlign w:val="center"/>
          </w:tcPr>
          <w:p w14:paraId="54B7ECA6">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498" w:type="dxa"/>
            <w:noWrap w:val="0"/>
            <w:vAlign w:val="center"/>
          </w:tcPr>
          <w:p w14:paraId="790C9614">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投标文件的组成</w:t>
            </w:r>
          </w:p>
        </w:tc>
        <w:tc>
          <w:tcPr>
            <w:tcW w:w="6054" w:type="dxa"/>
            <w:noWrap w:val="0"/>
            <w:vAlign w:val="center"/>
          </w:tcPr>
          <w:p w14:paraId="11AF0697">
            <w:pPr>
              <w:shd w:val="clear" w:color="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详见第五章投标文件格式部分</w:t>
            </w:r>
          </w:p>
        </w:tc>
      </w:tr>
      <w:tr w14:paraId="2FCB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109" w:type="dxa"/>
            <w:noWrap w:val="0"/>
            <w:vAlign w:val="center"/>
          </w:tcPr>
          <w:p w14:paraId="6B58FF82">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12.1</w:t>
            </w:r>
          </w:p>
        </w:tc>
        <w:tc>
          <w:tcPr>
            <w:tcW w:w="2498" w:type="dxa"/>
            <w:noWrap w:val="0"/>
            <w:vAlign w:val="center"/>
          </w:tcPr>
          <w:p w14:paraId="5B12ED75">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投标文件</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编制</w:t>
            </w:r>
          </w:p>
        </w:tc>
        <w:tc>
          <w:tcPr>
            <w:tcW w:w="6054" w:type="dxa"/>
            <w:noWrap w:val="0"/>
            <w:vAlign w:val="center"/>
          </w:tcPr>
          <w:p w14:paraId="64035718">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电子投标文件应使用政采云平台中下载的政采云电子投标客户端</w:t>
            </w:r>
            <w:r>
              <w:rPr>
                <w:rFonts w:hint="eastAsia" w:ascii="仿宋" w:hAnsi="仿宋" w:eastAsia="仿宋" w:cs="仿宋"/>
                <w:color w:val="auto"/>
                <w:sz w:val="24"/>
                <w:szCs w:val="24"/>
                <w:highlight w:val="none"/>
                <w:lang w:val="en-US" w:eastAsia="zh-CN"/>
              </w:rPr>
              <w:t>进行</w:t>
            </w:r>
            <w:r>
              <w:rPr>
                <w:rFonts w:hint="eastAsia" w:ascii="仿宋" w:hAnsi="仿宋" w:eastAsia="仿宋" w:cs="仿宋"/>
                <w:color w:val="auto"/>
                <w:sz w:val="24"/>
                <w:szCs w:val="24"/>
                <w:highlight w:val="none"/>
              </w:rPr>
              <w:t>制作，编制要求详见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供应商操作手册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tc>
      </w:tr>
      <w:tr w14:paraId="73F1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09" w:type="dxa"/>
            <w:noWrap w:val="0"/>
            <w:vAlign w:val="center"/>
          </w:tcPr>
          <w:p w14:paraId="0AC8726A">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12.4</w:t>
            </w:r>
          </w:p>
        </w:tc>
        <w:tc>
          <w:tcPr>
            <w:tcW w:w="2498" w:type="dxa"/>
            <w:noWrap w:val="0"/>
            <w:vAlign w:val="center"/>
          </w:tcPr>
          <w:p w14:paraId="2AE66A5F">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签字或盖章要求</w:t>
            </w:r>
          </w:p>
        </w:tc>
        <w:tc>
          <w:tcPr>
            <w:tcW w:w="6054" w:type="dxa"/>
            <w:noWrap w:val="0"/>
            <w:vAlign w:val="center"/>
          </w:tcPr>
          <w:p w14:paraId="442E6A7A">
            <w:pPr>
              <w:shd w:val="clear" w:color="auto" w:fill="auto"/>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供应商应按照投标文件格式，在需要电子签章的地方采用单位数字证书（CA）、法定代表人（或委托代理人）的个人数字证书（CA）进行电子签章。</w:t>
            </w:r>
          </w:p>
          <w:p w14:paraId="3802D92D">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注：投标文件中法定代表人及委托代理人的签字笔迹应保持前后一致（包括授权委托书），若因签字笔迹差异过大，经评标委员会评审后认为投标文件由未经授权的人员签署，存在投标文件未按规定签字盖章的情形判定投标文件无效时，其后果由供应商自行承担</w:t>
            </w:r>
            <w:r>
              <w:rPr>
                <w:rFonts w:hint="eastAsia" w:ascii="仿宋" w:hAnsi="仿宋" w:eastAsia="仿宋" w:cs="仿宋"/>
                <w:b w:val="0"/>
                <w:bCs w:val="0"/>
                <w:color w:val="auto"/>
                <w:sz w:val="24"/>
                <w:szCs w:val="24"/>
                <w:highlight w:val="none"/>
              </w:rPr>
              <w:t>。</w:t>
            </w:r>
          </w:p>
        </w:tc>
      </w:tr>
      <w:tr w14:paraId="556B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109" w:type="dxa"/>
            <w:noWrap w:val="0"/>
            <w:vAlign w:val="center"/>
          </w:tcPr>
          <w:p w14:paraId="7F067512">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498" w:type="dxa"/>
            <w:noWrap w:val="0"/>
            <w:vAlign w:val="center"/>
          </w:tcPr>
          <w:p w14:paraId="284155E1">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提交电子投标文件截止时间</w:t>
            </w:r>
          </w:p>
        </w:tc>
        <w:tc>
          <w:tcPr>
            <w:tcW w:w="6054" w:type="dxa"/>
            <w:noWrap w:val="0"/>
            <w:vAlign w:val="center"/>
          </w:tcPr>
          <w:p w14:paraId="30867F4D">
            <w:pPr>
              <w:shd w:val="clear" w:color="auto" w:fill="auto"/>
              <w:spacing w:line="480" w:lineRule="exact"/>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2025年10月13日09时00分（北京时间）</w:t>
            </w:r>
          </w:p>
        </w:tc>
      </w:tr>
      <w:tr w14:paraId="5495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109" w:type="dxa"/>
            <w:noWrap w:val="0"/>
            <w:vAlign w:val="center"/>
          </w:tcPr>
          <w:p w14:paraId="4172CE16">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14.2</w:t>
            </w:r>
          </w:p>
        </w:tc>
        <w:tc>
          <w:tcPr>
            <w:tcW w:w="2498" w:type="dxa"/>
            <w:noWrap w:val="0"/>
            <w:vAlign w:val="center"/>
          </w:tcPr>
          <w:p w14:paraId="05E84604">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提交电子投标文件的网址</w:t>
            </w:r>
          </w:p>
        </w:tc>
        <w:tc>
          <w:tcPr>
            <w:tcW w:w="6054" w:type="dxa"/>
            <w:noWrap w:val="0"/>
            <w:vAlign w:val="center"/>
          </w:tcPr>
          <w:p w14:paraId="5F7DB24B">
            <w:pPr>
              <w:shd w:val="clear" w:color="auto" w:fill="auto"/>
              <w:spacing w:line="480" w:lineRule="exact"/>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“政采云平台”（https://www.zcygov.cn/）</w:t>
            </w:r>
          </w:p>
        </w:tc>
      </w:tr>
      <w:tr w14:paraId="06CD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09" w:type="dxa"/>
            <w:noWrap w:val="0"/>
            <w:vAlign w:val="center"/>
          </w:tcPr>
          <w:p w14:paraId="0FE1FD77">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p>
        </w:tc>
        <w:tc>
          <w:tcPr>
            <w:tcW w:w="2498" w:type="dxa"/>
            <w:noWrap w:val="0"/>
            <w:vAlign w:val="center"/>
          </w:tcPr>
          <w:p w14:paraId="4CF23ED2">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054" w:type="dxa"/>
            <w:noWrap w:val="0"/>
            <w:vAlign w:val="center"/>
          </w:tcPr>
          <w:p w14:paraId="34E3F943">
            <w:pPr>
              <w:shd w:val="clear" w:color="auto" w:fill="auto"/>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一、保证金提交方式</w:t>
            </w:r>
          </w:p>
          <w:p w14:paraId="0DB3FC29">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sz w:val="24"/>
                <w:highlight w:val="none"/>
                <w:lang w:val="en-US" w:eastAsia="zh-CN"/>
              </w:rPr>
              <w:t>支票、汇票、本票、银行转账、银行保函、保证保险。</w:t>
            </w:r>
          </w:p>
          <w:p w14:paraId="77145F03">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（一）银行转账：投标保证金应以供应商自身的名义提交，并且必须从其基本账户转出。</w:t>
            </w:r>
          </w:p>
          <w:p w14:paraId="7A37E2B1">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保函：保函申请人必须是供应商，受益人必须是采购人，保证人必须是供应商基本账号的开户银行或其他担保机构；保函必须正确填写受益人和申请人的全称，并与招标文件规定的名称一致，以免造成投标无效。</w:t>
            </w:r>
          </w:p>
          <w:p w14:paraId="4C1928A5">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（三）保证保险：1.供应商在支付投标保证金保险费时，必须使用基本账户支付购买，未从基本账户转出支付保费造成的后果由供应商自行承担。2.在保证保险单中，供应商为投保人，采购人为被保险人。</w:t>
            </w:r>
          </w:p>
          <w:p w14:paraId="056E3245">
            <w:pPr>
              <w:shd w:val="clear" w:color="auto" w:fill="auto"/>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二、投标保证金的递交时间</w:t>
            </w:r>
          </w:p>
          <w:p w14:paraId="41573A66">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投标保证金递交截止时间与提交投标文件截止时间一致。供应商需在提交投标文件截止时间前按招标文件规定递交保证金，否则，一切后果由供应商自行承担。</w:t>
            </w:r>
          </w:p>
          <w:p w14:paraId="14F45758">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投标保证金有效期与投标有效期一致。</w:t>
            </w:r>
          </w:p>
          <w:p w14:paraId="10A2D890">
            <w:pPr>
              <w:numPr>
                <w:ilvl w:val="0"/>
                <w:numId w:val="0"/>
              </w:numPr>
              <w:shd w:val="clear" w:color="auto" w:fill="auto"/>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三、</w:t>
            </w:r>
            <w:r>
              <w:rPr>
                <w:rFonts w:hint="eastAsia" w:ascii="仿宋" w:hAnsi="仿宋" w:eastAsia="仿宋" w:cs="仿宋"/>
                <w:b/>
                <w:bCs/>
                <w:color w:val="auto"/>
                <w:sz w:val="24"/>
                <w:szCs w:val="24"/>
                <w:highlight w:val="none"/>
                <w:lang w:val="en-US" w:eastAsia="zh-CN"/>
              </w:rPr>
              <w:t>投标保证金的办理程序</w:t>
            </w:r>
          </w:p>
          <w:p w14:paraId="583BC018">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第一标段</w:t>
            </w:r>
            <w:r>
              <w:rPr>
                <w:rFonts w:hint="eastAsia" w:ascii="仿宋" w:hAnsi="仿宋" w:eastAsia="仿宋" w:cs="仿宋"/>
                <w:color w:val="auto"/>
                <w:sz w:val="24"/>
                <w:szCs w:val="24"/>
                <w:highlight w:val="none"/>
                <w:lang w:val="en-US" w:eastAsia="zh-CN"/>
              </w:rPr>
              <w:t>；</w:t>
            </w:r>
          </w:p>
          <w:p w14:paraId="505DCD38">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保证金金额：20000.00元。</w:t>
            </w:r>
          </w:p>
          <w:p w14:paraId="2AFC6B98">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第二标段</w:t>
            </w:r>
            <w:r>
              <w:rPr>
                <w:rFonts w:hint="eastAsia" w:ascii="仿宋" w:hAnsi="仿宋" w:eastAsia="仿宋" w:cs="仿宋"/>
                <w:color w:val="auto"/>
                <w:sz w:val="24"/>
                <w:szCs w:val="24"/>
                <w:highlight w:val="none"/>
                <w:lang w:val="en-US" w:eastAsia="zh-CN"/>
              </w:rPr>
              <w:t>；</w:t>
            </w:r>
          </w:p>
          <w:p w14:paraId="471D7DC3">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保证金金额：9000.00元。</w:t>
            </w:r>
          </w:p>
          <w:p w14:paraId="157C5285">
            <w:pPr>
              <w:pStyle w:val="1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第三标段</w:t>
            </w:r>
          </w:p>
          <w:p w14:paraId="755F74E3">
            <w:pPr>
              <w:shd w:val="clear" w:color="auto" w:fill="auto"/>
              <w:spacing w:line="480" w:lineRule="exact"/>
              <w:rPr>
                <w:rFonts w:hint="eastAsia"/>
                <w:lang w:val="en-US" w:eastAsia="zh-CN"/>
              </w:rPr>
            </w:pPr>
            <w:r>
              <w:rPr>
                <w:rFonts w:hint="eastAsia" w:ascii="仿宋" w:hAnsi="仿宋" w:eastAsia="仿宋" w:cs="仿宋"/>
                <w:color w:val="auto"/>
                <w:sz w:val="24"/>
                <w:szCs w:val="24"/>
                <w:highlight w:val="none"/>
                <w:lang w:val="en-US" w:eastAsia="zh-CN"/>
              </w:rPr>
              <w:t>保证金金额：10000.00元。</w:t>
            </w:r>
          </w:p>
          <w:p w14:paraId="39CDFD50">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1.采用银行转账方式</w:t>
            </w:r>
          </w:p>
          <w:p w14:paraId="6B332759">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   标段</w:t>
            </w:r>
            <w:r>
              <w:rPr>
                <w:rFonts w:hint="eastAsia" w:ascii="仿宋" w:hAnsi="仿宋" w:eastAsia="仿宋" w:cs="仿宋"/>
                <w:color w:val="auto"/>
                <w:sz w:val="24"/>
                <w:szCs w:val="24"/>
                <w:highlight w:val="none"/>
                <w:lang w:val="en-US" w:eastAsia="zh-CN"/>
              </w:rPr>
              <w:t>；</w:t>
            </w:r>
          </w:p>
          <w:p w14:paraId="08F1854D">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户名：云南临祥项目管理咨询有限公司；</w:t>
            </w:r>
          </w:p>
          <w:p w14:paraId="409192F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开户行：中国工商银行股份有限公司临沧临翔支行；</w:t>
            </w:r>
          </w:p>
          <w:p w14:paraId="1F686806">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保证金提交账号：2518041309200361920；</w:t>
            </w:r>
          </w:p>
          <w:p w14:paraId="661C4D09">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联系人：李工    19087584542</w:t>
            </w:r>
          </w:p>
          <w:p w14:paraId="2631502B">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办理程序：供应商应在2025年10月13日09时00分前，将投标保证金转入上述账户，进账凭证空白处或汇款凭证汇款用途栏上应明确项目名称、联系人及电话。</w:t>
            </w:r>
          </w:p>
          <w:p w14:paraId="3D09B27A">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投标保证金缴费凭证以银行回执单、网上银行电子回执单为准。</w:t>
            </w:r>
          </w:p>
          <w:p w14:paraId="234B69A0">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2.采用保函方式</w:t>
            </w:r>
          </w:p>
          <w:p w14:paraId="7F8B0354">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   标段</w:t>
            </w:r>
            <w:r>
              <w:rPr>
                <w:rFonts w:hint="eastAsia" w:ascii="仿宋" w:hAnsi="仿宋" w:eastAsia="仿宋" w:cs="仿宋"/>
                <w:color w:val="auto"/>
                <w:sz w:val="24"/>
                <w:szCs w:val="24"/>
                <w:highlight w:val="none"/>
                <w:lang w:val="en-US" w:eastAsia="zh-CN"/>
              </w:rPr>
              <w:t>；</w:t>
            </w:r>
          </w:p>
          <w:p w14:paraId="5BF5BCB2">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保函申请人必须是供应商，受益人必须是采购人，保证人必须是供应商基本账号的开户银行；保函必须正确填写受益人和申请人的全称，并与招标文件规定的名称相一致，以免造成投标无效。</w:t>
            </w:r>
          </w:p>
          <w:p w14:paraId="5E9AE47B">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注：供应商需对其真实性负责，经查证不属实的，所有责任由供应商自行承担。</w:t>
            </w:r>
          </w:p>
          <w:p w14:paraId="5BE7D32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投标保证金缴费凭证以金融机构保函为准。</w:t>
            </w:r>
          </w:p>
          <w:p w14:paraId="751D662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3.采用保证保险方式</w:t>
            </w:r>
          </w:p>
          <w:p w14:paraId="505384C5">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项目名称：临翔区2024年第二批中央财政森林可持续经营项目</w:t>
            </w:r>
            <w:r>
              <w:rPr>
                <w:rFonts w:hint="eastAsia" w:ascii="仿宋" w:hAnsi="仿宋" w:eastAsia="仿宋" w:cs="仿宋"/>
                <w:color w:val="auto"/>
                <w:sz w:val="24"/>
                <w:szCs w:val="24"/>
                <w:highlight w:val="none"/>
                <w:u w:val="single"/>
                <w:lang w:val="en-US" w:eastAsia="zh-CN"/>
              </w:rPr>
              <w:t>第   标段</w:t>
            </w:r>
            <w:r>
              <w:rPr>
                <w:rFonts w:hint="eastAsia" w:ascii="仿宋" w:hAnsi="仿宋" w:eastAsia="仿宋" w:cs="仿宋"/>
                <w:color w:val="auto"/>
                <w:sz w:val="24"/>
                <w:szCs w:val="24"/>
                <w:highlight w:val="none"/>
                <w:lang w:val="en-US" w:eastAsia="zh-CN"/>
              </w:rPr>
              <w:t>。</w:t>
            </w:r>
          </w:p>
          <w:p w14:paraId="60F97C4A">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在支付投标保证金保险费时，必须使用基本账号资金支付购买，未从基本账户转出支付保费造成经济纠纷的应由企业自行承担。在投标保证保险中，</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为投保人，</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为被保险人。</w:t>
            </w:r>
          </w:p>
          <w:p w14:paraId="582DA634">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注：供应商需对其真实性负责，经查证不属实的，所有责任由供应商自行承担。</w:t>
            </w:r>
          </w:p>
          <w:p w14:paraId="358D0A14">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投标保证金缴费凭证以保险保单为准。</w:t>
            </w:r>
          </w:p>
          <w:p w14:paraId="24F6155C">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4.注意事项</w:t>
            </w:r>
          </w:p>
          <w:p w14:paraId="236E1C48">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（1）采用银行转账方式</w:t>
            </w:r>
          </w:p>
          <w:p w14:paraId="68876BB1">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①保证金转账方式包括电汇、网银方式，其他转账方式视为无效；</w:t>
            </w:r>
          </w:p>
          <w:p w14:paraId="2CC0C440">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②保证金提交时间以保证金账户实际到账时间为准，未在投标文件递交截止时间前到账的保证金无效；</w:t>
            </w:r>
          </w:p>
          <w:p w14:paraId="59101DE4">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③请潜在供应商在跨行转账时考虑以下因素：①按照人民银行相关规定，跨行转账在工作日下午16时30分前办理手续，可以保证实时跨行到账；②跨行转账尽量采用电汇方式。</w:t>
            </w:r>
          </w:p>
          <w:p w14:paraId="253687F2">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④拒绝私人账户汇款及银行存现。</w:t>
            </w:r>
          </w:p>
          <w:p w14:paraId="50397477">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（2）采用保函、保证保险方式：</w:t>
            </w:r>
          </w:p>
          <w:p w14:paraId="5E740B5A">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供应商应充分考虑保函、保证保险办理所需时间，尽量提前办理，避免出现保证金不能顺利递交情况。</w:t>
            </w:r>
          </w:p>
          <w:p w14:paraId="62F91FFC">
            <w:pPr>
              <w:numPr>
                <w:ilvl w:val="0"/>
                <w:numId w:val="1"/>
              </w:numPr>
              <w:shd w:val="clear" w:color="auto" w:fill="auto"/>
              <w:spacing w:line="480" w:lineRule="exac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缴纳投标保证金时注明：</w:t>
            </w:r>
            <w:r>
              <w:rPr>
                <w:rFonts w:hint="eastAsia" w:ascii="仿宋" w:hAnsi="仿宋" w:eastAsia="仿宋" w:cs="仿宋"/>
                <w:color w:val="auto"/>
                <w:sz w:val="24"/>
                <w:szCs w:val="24"/>
                <w:highlight w:val="none"/>
                <w:u w:val="none"/>
                <w:lang w:val="en-US" w:eastAsia="zh-CN"/>
              </w:rPr>
              <w:t>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标段保证金。</w:t>
            </w:r>
          </w:p>
          <w:p w14:paraId="20CA4327">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⑤未中标供应商的保证金应在中标通知书发出后5个工作日内无息退还；中标供应商的保证金应在合同签订后5个工作日内无息退还。</w:t>
            </w:r>
          </w:p>
          <w:p w14:paraId="3E1745E1">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⑥因供应商原因导致保证金不退还的情形应：</w:t>
            </w:r>
          </w:p>
          <w:p w14:paraId="482FBE94">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（1）供应商在提交响应文件截止时间后撤回响应文件的；</w:t>
            </w:r>
          </w:p>
          <w:p w14:paraId="13E25FCE">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（2）供应商在响应文件中提供虚假材料的；</w:t>
            </w:r>
          </w:p>
          <w:p w14:paraId="6B3346AC">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（3）除因不可抗力或招标文件认可的情形以外，成交供应商不与采购人签订合同的；</w:t>
            </w:r>
          </w:p>
          <w:p w14:paraId="3DDE4A5A">
            <w:pPr>
              <w:shd w:val="clear" w:color="auto" w:fill="auto"/>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（4）供应商与采购人、其他供应商或者采购代理机构恶意串通的；</w:t>
            </w:r>
          </w:p>
          <w:p w14:paraId="02C52D01">
            <w:pPr>
              <w:shd w:val="clear" w:color="auto" w:fill="auto"/>
              <w:spacing w:line="480" w:lineRule="exact"/>
              <w:rPr>
                <w:rFonts w:hint="default"/>
                <w:lang w:val="en-US" w:eastAsia="zh-CN"/>
              </w:rPr>
            </w:pPr>
            <w:r>
              <w:rPr>
                <w:rFonts w:hint="default" w:ascii="仿宋" w:hAnsi="仿宋" w:eastAsia="仿宋" w:cs="仿宋"/>
                <w:color w:val="auto"/>
                <w:sz w:val="24"/>
                <w:szCs w:val="24"/>
                <w:highlight w:val="none"/>
                <w:lang w:val="en-US" w:eastAsia="zh-CN"/>
              </w:rPr>
              <w:t>（5）招标文件规定的其他情形。</w:t>
            </w:r>
          </w:p>
        </w:tc>
      </w:tr>
      <w:tr w14:paraId="6B14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109" w:type="dxa"/>
            <w:noWrap w:val="0"/>
            <w:vAlign w:val="center"/>
          </w:tcPr>
          <w:p w14:paraId="1344F1DA">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498" w:type="dxa"/>
            <w:noWrap w:val="0"/>
            <w:vAlign w:val="center"/>
          </w:tcPr>
          <w:p w14:paraId="2DEB119F">
            <w:pPr>
              <w:shd w:val="clear" w:color="auto" w:fill="auto"/>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纸质投标文件</w:t>
            </w:r>
          </w:p>
        </w:tc>
        <w:tc>
          <w:tcPr>
            <w:tcW w:w="6054" w:type="dxa"/>
            <w:noWrap w:val="0"/>
            <w:vAlign w:val="center"/>
          </w:tcPr>
          <w:p w14:paraId="01411505">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参加本项目的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无需提交纸质投标文件，签订</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合同时中标人须向采购人提交纸质投标文件正本1份，副本1份，所提交纸质投标文件应与</w:t>
            </w:r>
            <w:r>
              <w:rPr>
                <w:rFonts w:hint="eastAsia" w:ascii="仿宋" w:hAnsi="仿宋" w:eastAsia="仿宋" w:cs="仿宋"/>
                <w:color w:val="auto"/>
                <w:sz w:val="24"/>
                <w:szCs w:val="24"/>
                <w:highlight w:val="none"/>
                <w:lang w:eastAsia="zh-CN"/>
              </w:rPr>
              <w:t>供应商提交</w:t>
            </w:r>
            <w:r>
              <w:rPr>
                <w:rFonts w:hint="eastAsia" w:ascii="仿宋" w:hAnsi="仿宋" w:eastAsia="仿宋" w:cs="仿宋"/>
                <w:color w:val="auto"/>
                <w:sz w:val="24"/>
                <w:szCs w:val="24"/>
                <w:highlight w:val="none"/>
              </w:rPr>
              <w:t>的电子投标文件一致，若不一致</w:t>
            </w:r>
            <w:r>
              <w:rPr>
                <w:rFonts w:hint="eastAsia" w:ascii="仿宋" w:hAnsi="仿宋" w:eastAsia="仿宋" w:cs="仿宋"/>
                <w:color w:val="auto"/>
                <w:sz w:val="24"/>
                <w:szCs w:val="24"/>
                <w:highlight w:val="none"/>
                <w:lang w:val="en-US" w:eastAsia="zh-CN"/>
              </w:rPr>
              <w:t>的以电子版为主，且</w:t>
            </w:r>
            <w:r>
              <w:rPr>
                <w:rFonts w:hint="eastAsia" w:ascii="仿宋" w:hAnsi="仿宋" w:eastAsia="仿宋" w:cs="仿宋"/>
                <w:color w:val="auto"/>
                <w:sz w:val="24"/>
                <w:szCs w:val="24"/>
                <w:highlight w:val="none"/>
              </w:rPr>
              <w:t>采购人可以就此作出对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最不利的处理决定。</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向采购人提供的纸质投标文件，应按照</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w:t>
            </w:r>
            <w:r>
              <w:rPr>
                <w:rFonts w:hint="eastAsia" w:ascii="仿宋" w:hAnsi="仿宋" w:eastAsia="仿宋" w:cs="仿宋"/>
                <w:color w:val="auto"/>
                <w:sz w:val="24"/>
                <w:szCs w:val="24"/>
                <w:highlight w:val="none"/>
                <w:lang w:val="en-US" w:eastAsia="zh-CN"/>
              </w:rPr>
              <w:t>11.1</w:t>
            </w:r>
            <w:r>
              <w:rPr>
                <w:rFonts w:hint="eastAsia" w:ascii="仿宋" w:hAnsi="仿宋" w:eastAsia="仿宋" w:cs="仿宋"/>
                <w:color w:val="auto"/>
                <w:sz w:val="24"/>
                <w:szCs w:val="24"/>
                <w:highlight w:val="none"/>
              </w:rPr>
              <w:t>项规定的投标文件组成内容编制，</w:t>
            </w:r>
            <w:r>
              <w:rPr>
                <w:rFonts w:hint="eastAsia" w:ascii="仿宋" w:hAnsi="仿宋" w:eastAsia="仿宋" w:cs="仿宋"/>
                <w:color w:val="auto"/>
                <w:sz w:val="24"/>
                <w:szCs w:val="24"/>
                <w:highlight w:val="none"/>
                <w:lang w:val="en-US" w:eastAsia="zh-CN"/>
              </w:rPr>
              <w:t>纸质文件</w:t>
            </w:r>
            <w:r>
              <w:rPr>
                <w:rFonts w:hint="eastAsia" w:ascii="仿宋" w:hAnsi="仿宋" w:eastAsia="仿宋" w:cs="仿宋"/>
                <w:color w:val="auto"/>
                <w:sz w:val="24"/>
                <w:szCs w:val="24"/>
                <w:highlight w:val="none"/>
              </w:rPr>
              <w:t>正本与副本应分别装订成册，装订应牢固，不易拆散和换页，不得采用活页夹装订。</w:t>
            </w:r>
          </w:p>
        </w:tc>
      </w:tr>
      <w:tr w14:paraId="767D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109" w:type="dxa"/>
            <w:noWrap w:val="0"/>
            <w:vAlign w:val="center"/>
          </w:tcPr>
          <w:p w14:paraId="662BA778">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18.1</w:t>
            </w:r>
          </w:p>
        </w:tc>
        <w:tc>
          <w:tcPr>
            <w:tcW w:w="2498" w:type="dxa"/>
            <w:noWrap w:val="0"/>
            <w:vAlign w:val="center"/>
          </w:tcPr>
          <w:p w14:paraId="3643E4B1">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054" w:type="dxa"/>
            <w:noWrap w:val="0"/>
            <w:vAlign w:val="center"/>
          </w:tcPr>
          <w:p w14:paraId="51CC1A7B">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从提交投标文件截止之日起90日历天</w:t>
            </w:r>
          </w:p>
        </w:tc>
      </w:tr>
      <w:tr w14:paraId="727B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jc w:val="center"/>
        </w:trPr>
        <w:tc>
          <w:tcPr>
            <w:tcW w:w="1109" w:type="dxa"/>
            <w:noWrap w:val="0"/>
            <w:vAlign w:val="center"/>
          </w:tcPr>
          <w:p w14:paraId="0A5B3B4F">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.1</w:t>
            </w:r>
          </w:p>
        </w:tc>
        <w:tc>
          <w:tcPr>
            <w:tcW w:w="2498" w:type="dxa"/>
            <w:noWrap w:val="0"/>
            <w:vAlign w:val="center"/>
          </w:tcPr>
          <w:p w14:paraId="7222AAC7">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6054" w:type="dxa"/>
            <w:noWrap w:val="0"/>
            <w:vAlign w:val="center"/>
          </w:tcPr>
          <w:p w14:paraId="3102121E">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开标时间：</w:t>
            </w:r>
            <w:r>
              <w:rPr>
                <w:rFonts w:hint="eastAsia" w:ascii="仿宋" w:hAnsi="仿宋" w:eastAsia="仿宋" w:cs="仿宋"/>
                <w:color w:val="auto"/>
                <w:sz w:val="24"/>
                <w:szCs w:val="24"/>
                <w:highlight w:val="none"/>
                <w:lang w:val="en-US" w:eastAsia="zh-CN"/>
              </w:rPr>
              <w:t>2025年10月13日09时00分</w:t>
            </w:r>
            <w:r>
              <w:rPr>
                <w:rFonts w:hint="eastAsia" w:ascii="仿宋" w:hAnsi="仿宋" w:eastAsia="仿宋" w:cs="仿宋"/>
                <w:color w:val="auto"/>
                <w:sz w:val="24"/>
                <w:szCs w:val="24"/>
                <w:highlight w:val="none"/>
              </w:rPr>
              <w:t>（北京时间）；</w:t>
            </w:r>
          </w:p>
          <w:p w14:paraId="09ADCBF2">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w:t>
            </w:r>
            <w:r>
              <w:rPr>
                <w:rFonts w:hint="eastAsia" w:ascii="仿宋" w:hAnsi="仿宋" w:eastAsia="仿宋" w:cs="仿宋"/>
                <w:b w:val="0"/>
                <w:bCs w:val="0"/>
                <w:color w:val="auto"/>
                <w:sz w:val="24"/>
                <w:szCs w:val="24"/>
                <w:highlight w:val="none"/>
                <w:lang w:val="en-US" w:eastAsia="zh-CN"/>
              </w:rPr>
              <w:t>“政采云平台”（https://www.zcygov.cn/）</w:t>
            </w:r>
          </w:p>
          <w:p w14:paraId="3A1E8C7D">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现场会议地点：</w:t>
            </w:r>
            <w:r>
              <w:rPr>
                <w:rFonts w:hint="eastAsia" w:ascii="仿宋" w:hAnsi="仿宋" w:eastAsia="仿宋" w:cs="仿宋"/>
                <w:color w:val="auto"/>
                <w:sz w:val="24"/>
                <w:szCs w:val="24"/>
                <w:highlight w:val="none"/>
                <w:lang w:eastAsia="zh-CN"/>
              </w:rPr>
              <w:t>云南临祥项目管理咨询有限公司</w:t>
            </w:r>
            <w:r>
              <w:rPr>
                <w:rFonts w:hint="eastAsia" w:ascii="仿宋" w:hAnsi="仿宋" w:eastAsia="仿宋" w:cs="仿宋"/>
                <w:color w:val="auto"/>
                <w:sz w:val="24"/>
                <w:szCs w:val="24"/>
                <w:highlight w:val="none"/>
              </w:rPr>
              <w:t>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标室（</w:t>
            </w:r>
            <w:r>
              <w:rPr>
                <w:rFonts w:hint="eastAsia" w:ascii="仿宋" w:hAnsi="仿宋" w:eastAsia="仿宋" w:cs="仿宋"/>
                <w:color w:val="auto"/>
                <w:sz w:val="24"/>
                <w:szCs w:val="24"/>
                <w:highlight w:val="none"/>
                <w:lang w:val="en-US" w:eastAsia="zh-CN"/>
              </w:rPr>
              <w:t>临沧市临翔区忙令路569号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除供应商代表外现场开标的人员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tc>
      </w:tr>
      <w:tr w14:paraId="4836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109" w:type="dxa"/>
            <w:noWrap w:val="0"/>
            <w:vAlign w:val="center"/>
          </w:tcPr>
          <w:p w14:paraId="2810C74B">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w:t>
            </w:r>
          </w:p>
        </w:tc>
        <w:tc>
          <w:tcPr>
            <w:tcW w:w="2498" w:type="dxa"/>
            <w:noWrap w:val="0"/>
            <w:vAlign w:val="center"/>
          </w:tcPr>
          <w:p w14:paraId="21FA82B3">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6054" w:type="dxa"/>
            <w:noWrap w:val="0"/>
            <w:vAlign w:val="center"/>
          </w:tcPr>
          <w:p w14:paraId="45B66468">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09AD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109" w:type="dxa"/>
            <w:noWrap w:val="0"/>
            <w:vAlign w:val="center"/>
          </w:tcPr>
          <w:p w14:paraId="1D9A4CE8">
            <w:pPr>
              <w:shd w:val="clear" w:color="auto" w:fill="auto"/>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rPr>
              <w:t>.1</w:t>
            </w:r>
          </w:p>
        </w:tc>
        <w:tc>
          <w:tcPr>
            <w:tcW w:w="2498" w:type="dxa"/>
            <w:noWrap w:val="0"/>
            <w:vAlign w:val="center"/>
          </w:tcPr>
          <w:p w14:paraId="4ECC4DBA">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备选方案</w:t>
            </w:r>
          </w:p>
        </w:tc>
        <w:tc>
          <w:tcPr>
            <w:tcW w:w="6054" w:type="dxa"/>
            <w:noWrap w:val="0"/>
            <w:vAlign w:val="center"/>
          </w:tcPr>
          <w:p w14:paraId="2EE8D3D2">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不接受</w:t>
            </w:r>
          </w:p>
        </w:tc>
      </w:tr>
      <w:tr w14:paraId="1AC6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54B4E4CD">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2498" w:type="dxa"/>
            <w:noWrap w:val="0"/>
            <w:vAlign w:val="center"/>
          </w:tcPr>
          <w:p w14:paraId="7D4EAB83">
            <w:pPr>
              <w:shd w:val="clear" w:color="auto" w:fill="auto"/>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数量变更</w:t>
            </w:r>
          </w:p>
        </w:tc>
        <w:tc>
          <w:tcPr>
            <w:tcW w:w="6054" w:type="dxa"/>
            <w:noWrap w:val="0"/>
            <w:vAlign w:val="center"/>
          </w:tcPr>
          <w:p w14:paraId="46C4ADC0">
            <w:pPr>
              <w:shd w:val="clear" w:color="auto" w:fill="auto"/>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政府采购合同履行中，采购人需追加与合同标的相同的货物、工程或者服务的，在不改变合同其他条款的前提下，可以与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协商签订补充合同，但所有补充合同的采购金额不得超过原合同采购金额的百分之十</w:t>
            </w:r>
            <w:r>
              <w:rPr>
                <w:rFonts w:hint="eastAsia" w:ascii="仿宋" w:hAnsi="仿宋" w:eastAsia="仿宋" w:cs="仿宋"/>
                <w:color w:val="auto"/>
                <w:sz w:val="24"/>
                <w:szCs w:val="24"/>
                <w:highlight w:val="none"/>
                <w:lang w:eastAsia="zh-CN"/>
              </w:rPr>
              <w:t>。</w:t>
            </w:r>
          </w:p>
        </w:tc>
      </w:tr>
      <w:tr w14:paraId="280C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2505B06F">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498" w:type="dxa"/>
            <w:noWrap w:val="0"/>
            <w:vAlign w:val="center"/>
          </w:tcPr>
          <w:p w14:paraId="1546A0FB">
            <w:pPr>
              <w:shd w:val="clear" w:color="auto" w:fill="auto"/>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同品牌产品不同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的处理方式（如有）</w:t>
            </w:r>
          </w:p>
        </w:tc>
        <w:tc>
          <w:tcPr>
            <w:tcW w:w="6054" w:type="dxa"/>
            <w:noWrap w:val="0"/>
            <w:vAlign w:val="center"/>
          </w:tcPr>
          <w:p w14:paraId="499D99BD">
            <w:pPr>
              <w:shd w:val="clear" w:color="auto" w:fill="auto"/>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供应商提供产品品牌相同的，</w:t>
            </w:r>
            <w:r>
              <w:rPr>
                <w:rFonts w:hint="eastAsia" w:ascii="仿宋" w:hAnsi="仿宋" w:eastAsia="仿宋" w:cs="仿宋"/>
                <w:color w:val="auto"/>
                <w:sz w:val="24"/>
                <w:szCs w:val="24"/>
                <w:highlight w:val="none"/>
              </w:rPr>
              <w:t>按照《政府采购货物和服务招标投标管理办法》（财政部87号令）第三十一条第二款规定执行，即使用综合评分法的</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项目，提供相同品牌产品且通过资格审查、符合性审查的不同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lang w:val="en-US" w:eastAsia="zh-CN"/>
              </w:rPr>
              <w:t>同一合同项下</w:t>
            </w:r>
            <w:r>
              <w:rPr>
                <w:rFonts w:hint="eastAsia" w:ascii="仿宋" w:hAnsi="仿宋" w:eastAsia="仿宋" w:cs="仿宋"/>
                <w:color w:val="auto"/>
                <w:sz w:val="24"/>
                <w:szCs w:val="24"/>
                <w:highlight w:val="none"/>
              </w:rPr>
              <w:t>投标的，按一家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计算，评审后得分最高的同品牌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获得中标人推荐资格；评审得分相同的，由采购人或者采购人委托评标委员会按照招标文件规定的方式确定一个</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获得中标人推荐资格，招标文件未规定的采取随机抽取方式确定，其他同品牌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不作为中标候选人</w:t>
            </w:r>
            <w:r>
              <w:rPr>
                <w:rFonts w:hint="eastAsia" w:ascii="仿宋" w:hAnsi="仿宋" w:eastAsia="仿宋" w:cs="仿宋"/>
                <w:color w:val="auto"/>
                <w:sz w:val="24"/>
                <w:szCs w:val="24"/>
                <w:highlight w:val="none"/>
                <w:lang w:eastAsia="zh-CN"/>
              </w:rPr>
              <w:t>。</w:t>
            </w:r>
          </w:p>
        </w:tc>
      </w:tr>
      <w:tr w14:paraId="291B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6F97C095">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2498" w:type="dxa"/>
            <w:noWrap w:val="0"/>
            <w:vAlign w:val="center"/>
          </w:tcPr>
          <w:p w14:paraId="265BE19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中小企业</w:t>
            </w:r>
          </w:p>
        </w:tc>
        <w:tc>
          <w:tcPr>
            <w:tcW w:w="6054" w:type="dxa"/>
            <w:noWrap w:val="0"/>
            <w:vAlign w:val="bottom"/>
          </w:tcPr>
          <w:p w14:paraId="57CF122B">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根据《政府采购促进中小企业发展管理办法》（财库﹝2020﹞46号）的规定，中小企业（含中型、小型、微型企业，下同）应当同时符合以下条件：</w:t>
            </w:r>
          </w:p>
          <w:p w14:paraId="3F089448">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（1）符合中小企业划分标准；</w:t>
            </w:r>
          </w:p>
          <w:p w14:paraId="42EB9B1F">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（2）提供本企业制造的货物、承担的工程或者服务，或者提供其他中小企业制造的货物。本项</w:t>
            </w:r>
            <w:r>
              <w:rPr>
                <w:rFonts w:hint="eastAsia" w:ascii="仿宋" w:hAnsi="仿宋" w:eastAsia="仿宋" w:cs="仿宋"/>
                <w:b w:val="0"/>
                <w:bCs w:val="0"/>
                <w:color w:val="auto"/>
                <w:sz w:val="24"/>
                <w:szCs w:val="24"/>
                <w:highlight w:val="none"/>
                <w:lang w:val="en-US" w:eastAsia="zh-CN"/>
              </w:rPr>
              <w:t>目</w:t>
            </w:r>
            <w:r>
              <w:rPr>
                <w:rFonts w:hint="eastAsia" w:ascii="仿宋" w:hAnsi="仿宋" w:eastAsia="仿宋" w:cs="仿宋"/>
                <w:b w:val="0"/>
                <w:bCs w:val="0"/>
                <w:color w:val="auto"/>
                <w:sz w:val="24"/>
                <w:szCs w:val="24"/>
                <w:highlight w:val="none"/>
              </w:rPr>
              <w:t>所称货物不包括使用大型企业注册商标的货物。</w:t>
            </w:r>
          </w:p>
          <w:p w14:paraId="2CBBBD7F">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本规定所称中小企业划分标准，是指国务院有关部门根据企业从业人员、营业收入、资产总额等指标制定的中小企业划型标准，详见《关于印发中小企业划型标准规定的通知》（工信部联企业〔2011〕300 号） 。</w:t>
            </w:r>
          </w:p>
          <w:p w14:paraId="4DF52D64">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小型、微型企业提供中型企业制造的货物的，视同为中型企业。</w:t>
            </w:r>
          </w:p>
          <w:p w14:paraId="3242E4B5">
            <w:pPr>
              <w:pStyle w:val="44"/>
              <w:tabs>
                <w:tab w:val="left" w:pos="1635"/>
              </w:tabs>
              <w:autoSpaceDE w:val="0"/>
              <w:autoSpaceDN w:val="0"/>
              <w:spacing w:line="360" w:lineRule="auto"/>
              <w:ind w:left="0" w:leftChars="0"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中小企业提供本企业制造的货物或服务参与投标时，须提供本企业的《中小企业声明函》及证明材料；中小企业提供其他中小企业制造的货物参与投标时，还须同时提供货物制造企业的《中小企业声明函》及其证明材料。</w:t>
            </w:r>
          </w:p>
        </w:tc>
      </w:tr>
      <w:tr w14:paraId="24A2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6B1C99C5">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498" w:type="dxa"/>
            <w:noWrap w:val="0"/>
            <w:vAlign w:val="center"/>
          </w:tcPr>
          <w:p w14:paraId="28D78B3C">
            <w:pPr>
              <w:pStyle w:val="7"/>
              <w:autoSpaceDE w:val="0"/>
              <w:autoSpaceDN w:val="0"/>
              <w:spacing w:line="360" w:lineRule="auto"/>
              <w:ind w:left="0" w:leftChars="0"/>
              <w:jc w:val="center"/>
              <w:rPr>
                <w:rFonts w:hint="eastAsia" w:ascii="仿宋" w:hAnsi="仿宋" w:eastAsia="仿宋" w:cs="仿宋"/>
                <w:color w:val="auto"/>
                <w:sz w:val="24"/>
                <w:szCs w:val="24"/>
              </w:rPr>
            </w:pPr>
            <w:r>
              <w:rPr>
                <w:rFonts w:hint="eastAsia" w:ascii="仿宋" w:hAnsi="仿宋" w:eastAsia="仿宋" w:cs="仿宋"/>
                <w:b w:val="0"/>
                <w:bCs w:val="0"/>
                <w:color w:val="auto"/>
                <w:highlight w:val="none"/>
                <w:lang w:val="en-US" w:eastAsia="zh-CN"/>
              </w:rPr>
              <w:t>残疾人福利性单位</w:t>
            </w:r>
          </w:p>
        </w:tc>
        <w:tc>
          <w:tcPr>
            <w:tcW w:w="6054" w:type="dxa"/>
            <w:noWrap w:val="0"/>
            <w:vAlign w:val="bottom"/>
          </w:tcPr>
          <w:p w14:paraId="0BAC6D6E">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享受政府采购支持政策的残疾人福利性单位应当同时满足以下条件：</w:t>
            </w:r>
          </w:p>
          <w:p w14:paraId="31B4C944">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（1）安置的残疾人占本单位在职职工人数的比例不低于 25%（含 25%），并且安置的残疾人人数不少于 10 人（含10人）；</w:t>
            </w:r>
          </w:p>
          <w:p w14:paraId="15C65A4C">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（2）依法与安置的每位残疾人签订了一年以上（含一年）的劳动合同或服务协议；</w:t>
            </w:r>
          </w:p>
          <w:p w14:paraId="36ED3002">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为安置的每位残疾人按月足额缴纳了基本养老保险、基本医疗保险、失业保险、工伤保险和生育保险等社会保险费；</w:t>
            </w:r>
          </w:p>
          <w:p w14:paraId="1A433E9F">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（3）通过银行等金融机构向安置的每位残疾人，按月支付了不低于单位所在区县适用的经省级人民政府批准的月最低工资标准的工资；</w:t>
            </w:r>
          </w:p>
          <w:p w14:paraId="7838BDAA">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（4）提供本单位制造的货物、承担的工程或者服务（以下简称产品），或者提供其他残疾人福利性单位制造的货物（不包括使用非残疾人福利性单位注册商标的货物）。</w:t>
            </w:r>
          </w:p>
          <w:p w14:paraId="52779073">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05A537FF">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36255B50">
            <w:pPr>
              <w:pStyle w:val="44"/>
              <w:tabs>
                <w:tab w:val="left" w:pos="1635"/>
              </w:tabs>
              <w:autoSpaceDE w:val="0"/>
              <w:autoSpaceDN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成交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为残疾人福利性单位的，《残疾人福利性单位声明函》将与成交结果同时公告，接受社会监督。</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提供的《残疾人福利性单位声明函》与事实不符的，依照《</w:t>
            </w:r>
            <w:r>
              <w:rPr>
                <w:rFonts w:hint="eastAsia" w:ascii="仿宋" w:hAnsi="仿宋" w:eastAsia="仿宋" w:cs="仿宋"/>
                <w:color w:val="auto"/>
                <w:sz w:val="24"/>
                <w:szCs w:val="24"/>
                <w:highlight w:val="none"/>
                <w:lang w:val="en-US" w:eastAsia="zh-CN"/>
              </w:rPr>
              <w:t>中华人民共和国</w:t>
            </w:r>
            <w:r>
              <w:rPr>
                <w:rFonts w:hint="eastAsia" w:ascii="仿宋" w:hAnsi="仿宋" w:eastAsia="仿宋" w:cs="仿宋"/>
                <w:color w:val="auto"/>
                <w:sz w:val="24"/>
                <w:szCs w:val="24"/>
                <w:highlight w:val="none"/>
              </w:rPr>
              <w:t>政府采购法》第七十七条第一款的规定追究法律责任。</w:t>
            </w:r>
          </w:p>
        </w:tc>
      </w:tr>
      <w:tr w14:paraId="5126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7785F5DE">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2498" w:type="dxa"/>
            <w:noWrap w:val="0"/>
            <w:vAlign w:val="center"/>
          </w:tcPr>
          <w:p w14:paraId="6AC17F6C">
            <w:pPr>
              <w:pStyle w:val="7"/>
              <w:autoSpaceDE w:val="0"/>
              <w:autoSpaceDN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b w:val="0"/>
                <w:bCs w:val="0"/>
                <w:color w:val="auto"/>
                <w:highlight w:val="none"/>
                <w:lang w:val="en-US" w:eastAsia="zh-CN"/>
              </w:rPr>
              <w:t>监狱企业</w:t>
            </w:r>
          </w:p>
        </w:tc>
        <w:tc>
          <w:tcPr>
            <w:tcW w:w="6054" w:type="dxa"/>
            <w:noWrap w:val="0"/>
            <w:vAlign w:val="bottom"/>
          </w:tcPr>
          <w:p w14:paraId="03098410">
            <w:pPr>
              <w:pStyle w:val="44"/>
              <w:tabs>
                <w:tab w:val="left" w:pos="1635"/>
              </w:tabs>
              <w:autoSpaceDE w:val="0"/>
              <w:autoSpaceDN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74AE7D">
            <w:pPr>
              <w:pStyle w:val="44"/>
              <w:tabs>
                <w:tab w:val="left" w:pos="1635"/>
              </w:tabs>
              <w:autoSpaceDE w:val="0"/>
              <w:autoSpaceDN w:val="0"/>
              <w:spacing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tc>
      </w:tr>
      <w:tr w14:paraId="206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5499796A">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2498" w:type="dxa"/>
            <w:noWrap w:val="0"/>
            <w:vAlign w:val="center"/>
          </w:tcPr>
          <w:p w14:paraId="6FDC7A1A">
            <w:pPr>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节能、环境标志产品</w:t>
            </w:r>
          </w:p>
        </w:tc>
        <w:tc>
          <w:tcPr>
            <w:tcW w:w="6054" w:type="dxa"/>
            <w:noWrap w:val="0"/>
            <w:vAlign w:val="bottom"/>
          </w:tcPr>
          <w:p w14:paraId="5F98D9AD">
            <w:pPr>
              <w:widowControl/>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12B2CDCA">
            <w:pPr>
              <w:widowControl/>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1739957">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可通过中国政府采购网(http：//ccgp.gov.cn/)、国家</w:t>
            </w:r>
            <w:r>
              <w:rPr>
                <w:rFonts w:hint="eastAsia" w:ascii="仿宋" w:hAnsi="仿宋" w:eastAsia="仿宋" w:cs="仿宋"/>
                <w:color w:val="auto"/>
                <w:sz w:val="24"/>
                <w:szCs w:val="24"/>
                <w:highlight w:val="none"/>
                <w:lang w:eastAsia="zh-CN"/>
              </w:rPr>
              <w:t>生态环境部</w:t>
            </w:r>
            <w:r>
              <w:rPr>
                <w:rFonts w:hint="eastAsia" w:ascii="仿宋" w:hAnsi="仿宋" w:eastAsia="仿宋" w:cs="仿宋"/>
                <w:color w:val="auto"/>
                <w:sz w:val="24"/>
                <w:szCs w:val="24"/>
                <w:highlight w:val="none"/>
              </w:rPr>
              <w:t>网(http：//www.sepa.gov.cn/)查阅、下载认证机构和获证产品相关情况。</w:t>
            </w:r>
          </w:p>
        </w:tc>
      </w:tr>
      <w:tr w14:paraId="130F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noWrap w:val="0"/>
            <w:vAlign w:val="center"/>
          </w:tcPr>
          <w:p w14:paraId="33C8C113">
            <w:pPr>
              <w:shd w:val="clear" w:color="auto" w:fill="auto"/>
              <w:spacing w:line="48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2498" w:type="dxa"/>
            <w:shd w:val="clear" w:color="auto" w:fill="auto"/>
            <w:noWrap w:val="0"/>
            <w:vAlign w:val="center"/>
          </w:tcPr>
          <w:p w14:paraId="79EBF4BE">
            <w:pPr>
              <w:pStyle w:val="11"/>
              <w:spacing w:line="500" w:lineRule="exact"/>
              <w:ind w:left="420" w:leftChars="200" w:firstLine="120" w:firstLineChars="50"/>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备选方案</w:t>
            </w:r>
          </w:p>
        </w:tc>
        <w:tc>
          <w:tcPr>
            <w:tcW w:w="6054" w:type="dxa"/>
            <w:shd w:val="clear" w:color="auto" w:fill="auto"/>
            <w:noWrap w:val="0"/>
            <w:vAlign w:val="center"/>
          </w:tcPr>
          <w:p w14:paraId="73D1A327">
            <w:pPr>
              <w:pStyle w:val="11"/>
              <w:spacing w:line="500" w:lineRule="exact"/>
              <w:ind w:left="420" w:leftChars="200" w:firstLine="120" w:firstLineChars="50"/>
              <w:rPr>
                <w:rFonts w:hint="eastAsia" w:ascii="仿宋" w:hAnsi="仿宋" w:eastAsia="仿宋" w:cs="仿宋"/>
                <w:kern w:val="2"/>
                <w:sz w:val="24"/>
                <w:szCs w:val="24"/>
                <w:lang w:val="en-US" w:eastAsia="zh-CN" w:bidi="ar-SA"/>
              </w:rPr>
            </w:pPr>
            <w:r>
              <w:rPr>
                <w:rFonts w:hint="eastAsia" w:ascii="仿宋" w:hAnsi="仿宋" w:eastAsia="仿宋" w:cs="仿宋"/>
                <w:sz w:val="24"/>
              </w:rPr>
              <w:t>不接受</w:t>
            </w:r>
          </w:p>
        </w:tc>
      </w:tr>
      <w:tr w14:paraId="0E91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9" w:type="dxa"/>
            <w:shd w:val="clear" w:color="auto" w:fill="auto"/>
            <w:noWrap w:val="0"/>
            <w:vAlign w:val="center"/>
          </w:tcPr>
          <w:p w14:paraId="2859B0F4">
            <w:pPr>
              <w:shd w:val="clear" w:color="auto" w:fill="auto"/>
              <w:spacing w:line="48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36</w:t>
            </w:r>
          </w:p>
        </w:tc>
        <w:tc>
          <w:tcPr>
            <w:tcW w:w="2498" w:type="dxa"/>
            <w:shd w:val="clear" w:color="auto" w:fill="auto"/>
            <w:noWrap w:val="0"/>
            <w:vAlign w:val="center"/>
          </w:tcPr>
          <w:p w14:paraId="0D2EA4B0">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需要补充的其他内容</w:t>
            </w:r>
          </w:p>
        </w:tc>
        <w:tc>
          <w:tcPr>
            <w:tcW w:w="6054" w:type="dxa"/>
            <w:shd w:val="clear" w:color="auto" w:fill="auto"/>
            <w:noWrap w:val="0"/>
            <w:vAlign w:val="center"/>
          </w:tcPr>
          <w:p w14:paraId="0F6164B1">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履约担保：</w:t>
            </w:r>
          </w:p>
          <w:p w14:paraId="3A01538E">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（1）履约担保的形式：支票、汇票、本票或者金融机构、担保机构出具的保函等（履约担保的相关资料作为合同的附件）；</w:t>
            </w:r>
          </w:p>
          <w:p w14:paraId="793BE82B">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（2）履约担保的金额：合同总金额的5%，验收合格后7日内退还；</w:t>
            </w:r>
          </w:p>
          <w:p w14:paraId="052C6029">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（3）履约担保的提交时间：合同签订前；</w:t>
            </w:r>
          </w:p>
          <w:p w14:paraId="6DEA470F">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（4）履约担保的期限：自提交履约担保之日起至合同履行期限届满之日止；</w:t>
            </w:r>
          </w:p>
          <w:p w14:paraId="4C227F96">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（5）履约担保的退还时间：如为银行转账则合同履行期限到期后一次性退还履约保证金，如为银行保函或者保证保函形式则自动失效。</w:t>
            </w:r>
          </w:p>
          <w:p w14:paraId="245A12E5">
            <w:pPr>
              <w:widowControl/>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注:不按招标文件要求缴纳履约担保的，视为放弃中标。</w:t>
            </w:r>
          </w:p>
        </w:tc>
      </w:tr>
    </w:tbl>
    <w:p w14:paraId="15194105">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2C341044">
      <w:pPr>
        <w:spacing w:line="500" w:lineRule="exact"/>
        <w:ind w:firstLine="510"/>
        <w:jc w:val="center"/>
        <w:rPr>
          <w:rFonts w:hint="eastAsia" w:ascii="仿宋" w:hAnsi="仿宋" w:eastAsia="仿宋" w:cs="仿宋"/>
          <w:b/>
          <w:bCs/>
          <w:color w:val="auto"/>
          <w:spacing w:val="14"/>
          <w:sz w:val="44"/>
        </w:rPr>
      </w:pPr>
      <w:r>
        <w:rPr>
          <w:rFonts w:hint="eastAsia" w:ascii="仿宋" w:hAnsi="仿宋" w:eastAsia="仿宋" w:cs="仿宋"/>
          <w:b/>
          <w:bCs/>
          <w:color w:val="auto"/>
          <w:spacing w:val="14"/>
          <w:sz w:val="44"/>
        </w:rPr>
        <w:t>投 标 人 须 知</w:t>
      </w:r>
    </w:p>
    <w:p w14:paraId="36A007EC">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8"/>
          <w:szCs w:val="28"/>
          <w:highlight w:val="none"/>
        </w:rPr>
      </w:pPr>
    </w:p>
    <w:p w14:paraId="23500155">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一、总  则</w:t>
      </w:r>
    </w:p>
    <w:p w14:paraId="6037F5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1.采购人、采购代理机构、项目名称，详见招标文件“</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w:t>
      </w:r>
    </w:p>
    <w:p w14:paraId="39BCD65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2.资金来源</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详见招标文件“</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w:t>
      </w:r>
    </w:p>
    <w:p w14:paraId="376B89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3.采购</w:t>
      </w:r>
      <w:r>
        <w:rPr>
          <w:rFonts w:hint="eastAsia" w:ascii="仿宋" w:hAnsi="仿宋" w:eastAsia="仿宋" w:cs="仿宋"/>
          <w:b w:val="0"/>
          <w:bCs/>
          <w:color w:val="auto"/>
          <w:sz w:val="24"/>
          <w:szCs w:val="24"/>
          <w:highlight w:val="none"/>
          <w:lang w:val="en-US" w:eastAsia="zh-CN"/>
        </w:rPr>
        <w:t>需求</w:t>
      </w:r>
      <w:r>
        <w:rPr>
          <w:rFonts w:hint="eastAsia" w:ascii="仿宋" w:hAnsi="仿宋" w:eastAsia="仿宋" w:cs="仿宋"/>
          <w:b w:val="0"/>
          <w:bCs/>
          <w:color w:val="auto"/>
          <w:sz w:val="24"/>
          <w:szCs w:val="24"/>
          <w:highlight w:val="none"/>
        </w:rPr>
        <w:t>详见招标文件。</w:t>
      </w:r>
    </w:p>
    <w:p w14:paraId="5FD69B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4.合格的</w:t>
      </w:r>
      <w:r>
        <w:rPr>
          <w:rFonts w:hint="eastAsia" w:ascii="仿宋" w:hAnsi="仿宋" w:eastAsia="仿宋" w:cs="仿宋"/>
          <w:b w:val="0"/>
          <w:bCs/>
          <w:color w:val="auto"/>
          <w:sz w:val="24"/>
          <w:szCs w:val="24"/>
          <w:highlight w:val="none"/>
          <w:lang w:eastAsia="zh-CN"/>
        </w:rPr>
        <w:t>供应商</w:t>
      </w:r>
    </w:p>
    <w:p w14:paraId="706C607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4.1</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lang w:val="en-US" w:eastAsia="zh-CN"/>
        </w:rPr>
        <w:t>资格要求详</w:t>
      </w:r>
      <w:r>
        <w:rPr>
          <w:rFonts w:hint="eastAsia" w:ascii="仿宋" w:hAnsi="仿宋" w:eastAsia="仿宋" w:cs="仿宋"/>
          <w:b w:val="0"/>
          <w:bCs/>
          <w:color w:val="auto"/>
          <w:sz w:val="24"/>
          <w:szCs w:val="24"/>
          <w:highlight w:val="none"/>
        </w:rPr>
        <w:t>见招标文件“</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w:t>
      </w:r>
      <w:r>
        <w:rPr>
          <w:rFonts w:hint="eastAsia" w:ascii="仿宋" w:hAnsi="仿宋" w:eastAsia="仿宋" w:cs="仿宋"/>
          <w:b w:val="0"/>
          <w:bCs/>
          <w:color w:val="auto"/>
          <w:sz w:val="24"/>
          <w:szCs w:val="24"/>
          <w:highlight w:val="none"/>
          <w:lang w:eastAsia="zh-CN"/>
        </w:rPr>
        <w:t>。</w:t>
      </w:r>
    </w:p>
    <w:p w14:paraId="26DA631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4.2</w:t>
      </w:r>
      <w:r>
        <w:rPr>
          <w:rFonts w:hint="eastAsia" w:ascii="仿宋" w:hAnsi="仿宋" w:eastAsia="仿宋" w:cs="仿宋"/>
          <w:b w:val="0"/>
          <w:bCs/>
          <w:color w:val="auto"/>
          <w:sz w:val="24"/>
          <w:szCs w:val="24"/>
          <w:highlight w:val="none"/>
          <w:lang w:val="en-US" w:eastAsia="zh-CN"/>
        </w:rPr>
        <w:t>本项目不接受联合体投标。</w:t>
      </w:r>
    </w:p>
    <w:p w14:paraId="33357C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4.3本项目不允许分包。</w:t>
      </w:r>
    </w:p>
    <w:p w14:paraId="24E467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5.投标费用</w:t>
      </w:r>
    </w:p>
    <w:p w14:paraId="75FF9B38">
      <w:pPr>
        <w:pStyle w:val="13"/>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rPr>
        <w:t>不论投标结果如何，</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均应自行承担所有与准备和参加投标活动有关的全部费用。</w:t>
      </w:r>
      <w:bookmarkStart w:id="41" w:name="_Toc321836357"/>
    </w:p>
    <w:p w14:paraId="22A136C8">
      <w:pPr>
        <w:pStyle w:val="13"/>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5.2供应商需成交本项目的成交服务费，详见招标文件“供应商须知前附表”。</w:t>
      </w:r>
    </w:p>
    <w:p w14:paraId="455D7BC0">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bookmarkEnd w:id="41"/>
      <w:r>
        <w:rPr>
          <w:rFonts w:hint="eastAsia" w:ascii="仿宋" w:hAnsi="仿宋" w:eastAsia="仿宋" w:cs="仿宋"/>
          <w:b/>
          <w:color w:val="auto"/>
          <w:sz w:val="28"/>
          <w:szCs w:val="28"/>
          <w:highlight w:val="none"/>
        </w:rPr>
        <w:t>二、招标文件</w:t>
      </w:r>
    </w:p>
    <w:p w14:paraId="54D4F85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.招标文件构成</w:t>
      </w:r>
    </w:p>
    <w:p w14:paraId="5CF1580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.1招标文件</w:t>
      </w:r>
      <w:r>
        <w:rPr>
          <w:rFonts w:hint="eastAsia" w:ascii="仿宋" w:hAnsi="仿宋" w:eastAsia="仿宋" w:cs="仿宋"/>
          <w:color w:val="auto"/>
          <w:sz w:val="24"/>
          <w:szCs w:val="24"/>
          <w:highlight w:val="none"/>
          <w:lang w:val="en-US" w:eastAsia="zh-CN"/>
        </w:rPr>
        <w:t>包括下列</w:t>
      </w:r>
      <w:r>
        <w:rPr>
          <w:rFonts w:hint="eastAsia" w:ascii="仿宋" w:hAnsi="仿宋" w:eastAsia="仿宋" w:cs="仿宋"/>
          <w:color w:val="auto"/>
          <w:sz w:val="24"/>
          <w:szCs w:val="24"/>
          <w:highlight w:val="none"/>
        </w:rPr>
        <w:t>内容：</w:t>
      </w:r>
    </w:p>
    <w:p w14:paraId="50ABD03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7340D87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w:t>
      </w:r>
      <w:r>
        <w:rPr>
          <w:rFonts w:hint="eastAsia" w:ascii="仿宋" w:hAnsi="仿宋" w:eastAsia="仿宋" w:cs="仿宋"/>
          <w:color w:val="auto"/>
          <w:sz w:val="24"/>
          <w:szCs w:val="24"/>
          <w:highlight w:val="none"/>
        </w:rPr>
        <w:tab/>
      </w:r>
    </w:p>
    <w:p w14:paraId="6B3F8D7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评标方法（综合评分法）</w:t>
      </w:r>
      <w:r>
        <w:rPr>
          <w:rFonts w:hint="eastAsia" w:ascii="仿宋" w:hAnsi="仿宋" w:eastAsia="仿宋" w:cs="仿宋"/>
          <w:color w:val="auto"/>
          <w:sz w:val="24"/>
          <w:szCs w:val="24"/>
          <w:highlight w:val="none"/>
        </w:rPr>
        <w:tab/>
      </w:r>
    </w:p>
    <w:p w14:paraId="2744762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合同主要条款及格式</w:t>
      </w:r>
      <w:r>
        <w:rPr>
          <w:rFonts w:hint="eastAsia" w:ascii="仿宋" w:hAnsi="仿宋" w:eastAsia="仿宋" w:cs="仿宋"/>
          <w:color w:val="auto"/>
          <w:sz w:val="24"/>
          <w:szCs w:val="24"/>
          <w:highlight w:val="none"/>
        </w:rPr>
        <w:tab/>
      </w:r>
    </w:p>
    <w:p w14:paraId="07CAECA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投标文件格式</w:t>
      </w:r>
      <w:r>
        <w:rPr>
          <w:rFonts w:hint="eastAsia" w:ascii="仿宋" w:hAnsi="仿宋" w:eastAsia="仿宋" w:cs="仿宋"/>
          <w:color w:val="auto"/>
          <w:sz w:val="24"/>
          <w:szCs w:val="24"/>
          <w:highlight w:val="none"/>
        </w:rPr>
        <w:tab/>
      </w:r>
    </w:p>
    <w:p w14:paraId="2AC7E4D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采购需求</w:t>
      </w:r>
    </w:p>
    <w:p w14:paraId="0203F81B">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b w:val="0"/>
          <w:bCs w:val="0"/>
          <w:color w:val="auto"/>
          <w:sz w:val="24"/>
          <w:szCs w:val="24"/>
          <w:highlight w:val="none"/>
          <w:lang w:val="en-US" w:eastAsia="zh-CN"/>
        </w:rPr>
      </w:pPr>
      <w:bookmarkStart w:id="42" w:name="_Toc35701783"/>
      <w:bookmarkStart w:id="43" w:name="_Toc22930"/>
      <w:bookmarkStart w:id="44" w:name="_Toc35700926"/>
      <w:bookmarkStart w:id="45" w:name="_Toc7867"/>
      <w:bookmarkStart w:id="46" w:name="_Toc26868"/>
      <w:bookmarkStart w:id="47" w:name="_Toc22304"/>
      <w:bookmarkStart w:id="48" w:name="_Toc3194"/>
      <w:bookmarkStart w:id="49" w:name="_Toc35700997"/>
      <w:bookmarkStart w:id="50" w:name="_Toc12240"/>
      <w:bookmarkStart w:id="51" w:name="_Toc31972"/>
      <w:bookmarkStart w:id="52" w:name="_Toc30125"/>
      <w:bookmarkStart w:id="53" w:name="_Toc32361"/>
      <w:bookmarkStart w:id="54" w:name="_Toc17071"/>
      <w:bookmarkStart w:id="55" w:name="_Toc49935309"/>
      <w:bookmarkStart w:id="56" w:name="_Toc14269"/>
      <w:bookmarkStart w:id="57" w:name="_Toc36116052"/>
      <w:bookmarkStart w:id="58" w:name="_Hlk530349586"/>
      <w:bookmarkStart w:id="59" w:name="_Hlk530346927"/>
      <w:r>
        <w:rPr>
          <w:rFonts w:hint="eastAsia" w:ascii="仿宋" w:hAnsi="仿宋" w:eastAsia="仿宋" w:cs="仿宋"/>
          <w:b w:val="0"/>
          <w:bCs w:val="0"/>
          <w:color w:val="auto"/>
          <w:sz w:val="24"/>
          <w:szCs w:val="24"/>
          <w:highlight w:val="none"/>
          <w:lang w:val="en-US" w:eastAsia="zh-CN"/>
        </w:rPr>
        <w:t>7.招标文件的询问、澄清、修改</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5C762674">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供应商应仔细阅读和检查招标文件的全部内容，如有疑问，供应商应当在提交投标文件截止时间10日前凭企业数字证书（CA）登录“政采云平台”（https://www.zcygov.cn/）通过在线方式向采购人或采购代理机构提出询问，采购人或者采购代理机构自收到异议之日起3日内对供应商依法提出的询问通过在线形式作出答复，但答复的内容不涉及商业秘密。</w:t>
      </w:r>
    </w:p>
    <w:p w14:paraId="0FA81140">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采购人或者采购代理机构可以对已发出的招标文件进行必要的澄清或者修改，该澄清或者修改的内容为招标文件的组成部分。澄清或者修改的内容可能影响投标文件编制的，采购人或者采购代理机构应当在提交投标文件截止时间至少15日前澄清或者修改招标文件；不足15日的，采购人或者采购代理机构应当顺延提交投标文件的截止时间。</w:t>
      </w:r>
    </w:p>
    <w:p w14:paraId="565AFE1C">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7.3采购人对招标文件中的涉及评标办法、评审项目等重要评审内容做出变更，将同时发布补遗文件进行说明，以便各供应商都能下载招标文件并用于编制电子投标文件。</w:t>
      </w:r>
    </w:p>
    <w:p w14:paraId="6DBDB08A">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7.4招标文件澄清、招标文件修改文件内容均以网上电子文件为准，当招标文件、招标文件澄清、招标文件修改文件内容前后不一致时，以后发出的内容为准。</w:t>
      </w:r>
    </w:p>
    <w:p w14:paraId="71FA6234">
      <w:pPr>
        <w:pStyle w:val="13"/>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7.5本项目招标澄清和补遗全部通过网络送达，供应商须在提交投标文件截止时间前自行登录“政采云平台”（https://www.zcygov.cn/）查看有关该项目招标文件的答疑、补遗内容。否则，由此引起的投标损失自负。</w:t>
      </w:r>
      <w:bookmarkEnd w:id="58"/>
      <w:bookmarkEnd w:id="59"/>
    </w:p>
    <w:p w14:paraId="3F2B97D1">
      <w:pPr>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三、</w:t>
      </w:r>
      <w:r>
        <w:rPr>
          <w:rFonts w:hint="eastAsia" w:ascii="仿宋" w:hAnsi="仿宋" w:eastAsia="仿宋" w:cs="仿宋"/>
          <w:b/>
          <w:bCs w:val="0"/>
          <w:color w:val="auto"/>
          <w:sz w:val="28"/>
          <w:szCs w:val="28"/>
          <w:highlight w:val="none"/>
        </w:rPr>
        <w:t>投标文件</w:t>
      </w:r>
    </w:p>
    <w:p w14:paraId="6B6125A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8.投标文件编写注意事项</w:t>
      </w:r>
    </w:p>
    <w:p w14:paraId="5707047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8.1供应商应仔细阅读招标文件，在完全了解本采购项目的实质性要求（技术要求和商务要求）后编写投标文件。投标文件必须响应招标文件的实质性要求（技术要求和商务要求）。</w:t>
      </w:r>
    </w:p>
    <w:p w14:paraId="5941616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8.2技术要求包括采购标的的名称、规格、产品技术要求、功能、性能、数量、产品质量要求、配置要求等。</w:t>
      </w:r>
    </w:p>
    <w:p w14:paraId="53C81A34">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480" w:firstLineChars="200"/>
        <w:jc w:val="both"/>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8.3商务要求包括合同履行期限、投标报价说明等。</w:t>
      </w:r>
    </w:p>
    <w:p w14:paraId="0078F29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9.投标的语言及计量单位</w:t>
      </w:r>
    </w:p>
    <w:p w14:paraId="37B4CFB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9.1供应商的投标文件、供应商与采购人、采购代理机构就有关投标的所有来往函电统一使用中文（特别规定除外）。</w:t>
      </w:r>
    </w:p>
    <w:p w14:paraId="3F30A88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    9.2除招标文件中有特殊规定外，本项目一律使用中国法定计量单位，投标货币为人民币。</w:t>
      </w:r>
    </w:p>
    <w:p w14:paraId="555DA2D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1</w:t>
      </w:r>
      <w:r>
        <w:rPr>
          <w:rFonts w:hint="eastAsia" w:ascii="仿宋" w:hAnsi="仿宋" w:eastAsia="仿宋" w:cs="仿宋"/>
          <w:b w:val="0"/>
          <w:bCs/>
          <w:color w:val="auto"/>
          <w:sz w:val="24"/>
          <w:szCs w:val="24"/>
          <w:highlight w:val="none"/>
          <w:lang w:val="en-US" w:eastAsia="zh-CN"/>
        </w:rPr>
        <w:t>0</w:t>
      </w:r>
      <w:r>
        <w:rPr>
          <w:rFonts w:hint="eastAsia" w:ascii="仿宋" w:hAnsi="仿宋" w:eastAsia="仿宋" w:cs="仿宋"/>
          <w:b w:val="0"/>
          <w:bCs/>
          <w:color w:val="auto"/>
          <w:sz w:val="24"/>
          <w:szCs w:val="24"/>
          <w:highlight w:val="none"/>
        </w:rPr>
        <w:t>.投标报价</w:t>
      </w:r>
    </w:p>
    <w:p w14:paraId="4A65710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10.1报价应为人民币含税价（元），注：报价须包含完成项目所必须的全部费用，包含人工费、材料费、机械费、运输费（含二次运输）、企业管理费、利润、税费、安装费、运维费等招标文件明示或暗示的所有费用。产品以外汇报价应有汇率、折扣以及最终人民币报价，无人民币报价或报价无法折算成人民币的投标属无效投标。</w:t>
      </w:r>
    </w:p>
    <w:p w14:paraId="5AF86D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10.2供应商须提交保证接受“最低报价不能作为成交依据”的保证书。</w:t>
      </w:r>
    </w:p>
    <w:p w14:paraId="72D76F0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10.3投标报价大小写金额不一致的，以大写金额为准；总价金额与单价汇总金额不一致的，以单价金额计算结果为准；单价金额小数点有明显错位的，应以总价为准，并修改单价；对不同文字文本投标文件的解释发生异议的，以中文文本为准。</w:t>
      </w:r>
    </w:p>
    <w:p w14:paraId="0214C2B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10.4任何有选择的报价将不予接受，每种产品只允许有一个报价。</w:t>
      </w:r>
    </w:p>
    <w:p w14:paraId="3CDE4CA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10.5开标一览表中标明的价格在合同执行过程中是固定不变的，不得以任何理由予以变更。以可调整的价格提交的投标将作为非响应性投标而予以拒绝。</w:t>
      </w:r>
    </w:p>
    <w:p w14:paraId="56D231C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10.6供应商不得哄抬报价，也不应低于成本价(或进价)报价，否则一经查实，其投标将可能被拒绝或被宣布为废标。</w:t>
      </w:r>
    </w:p>
    <w:p w14:paraId="5DF5804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10.7供应商须书面承诺其投标报价不低于成本价，其报价不会影响商品质量及合同履约，否则作无效标书处理。</w:t>
      </w:r>
    </w:p>
    <w:p w14:paraId="124D63D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10.8报价必须包含一切费用，本项目全部相关的费用，供应商须在投标文件里单独进行承诺我公司所做出的报价均已考虑过各项风险因素（单独提供承诺书），未提供承诺的按无效标书处理。</w:t>
      </w:r>
    </w:p>
    <w:p w14:paraId="026DBDD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11.投标文件构成</w:t>
      </w:r>
    </w:p>
    <w:p w14:paraId="14A0A47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    11.1供应商编写的投标文件应按招标文件中“投标文件格式”要求填写。</w:t>
      </w:r>
    </w:p>
    <w:p w14:paraId="3C4501B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bookmarkStart w:id="60" w:name="_Hlk530347046"/>
      <w:r>
        <w:rPr>
          <w:rFonts w:hint="eastAsia" w:ascii="仿宋" w:hAnsi="仿宋" w:eastAsia="仿宋" w:cs="仿宋"/>
          <w:b w:val="0"/>
          <w:bCs/>
          <w:color w:val="auto"/>
          <w:sz w:val="24"/>
          <w:szCs w:val="24"/>
          <w:highlight w:val="none"/>
          <w:lang w:val="en-US" w:eastAsia="zh-CN"/>
        </w:rPr>
        <w:t>11.2各供应商应登录“政采云平台”（https://www.zcygov.cn/），下载安装“政采云电子交易客户端”，并按照本项目采购文件和政采云平台的要求编制、加密、提交投标文件。</w:t>
      </w:r>
    </w:p>
    <w:p w14:paraId="3C3C2AF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12.电子投标文件的编制</w:t>
      </w:r>
    </w:p>
    <w:p w14:paraId="379BC96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12.</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电子投标文件应使用</w:t>
      </w:r>
      <w:r>
        <w:rPr>
          <w:rFonts w:hint="eastAsia" w:ascii="仿宋" w:hAnsi="仿宋" w:eastAsia="仿宋" w:cs="仿宋"/>
          <w:b w:val="0"/>
          <w:bCs/>
          <w:color w:val="auto"/>
          <w:sz w:val="24"/>
          <w:szCs w:val="24"/>
          <w:highlight w:val="none"/>
          <w:lang w:val="en-US" w:eastAsia="zh-CN"/>
        </w:rPr>
        <w:t>“政采云电子交易客户端”</w:t>
      </w:r>
      <w:r>
        <w:rPr>
          <w:rFonts w:hint="eastAsia" w:ascii="仿宋" w:hAnsi="仿宋" w:eastAsia="仿宋" w:cs="仿宋"/>
          <w:b w:val="0"/>
          <w:bCs/>
          <w:color w:val="auto"/>
          <w:sz w:val="24"/>
          <w:szCs w:val="24"/>
          <w:highlight w:val="none"/>
          <w:lang w:eastAsia="zh-CN"/>
        </w:rPr>
        <w:t>编制，编制要求详见</w:t>
      </w:r>
      <w:r>
        <w:rPr>
          <w:rFonts w:hint="eastAsia" w:ascii="仿宋" w:hAnsi="仿宋" w:eastAsia="仿宋" w:cs="仿宋"/>
          <w:b w:val="0"/>
          <w:bCs/>
          <w:color w:val="auto"/>
          <w:sz w:val="24"/>
          <w:szCs w:val="24"/>
          <w:highlight w:val="none"/>
          <w:lang w:val="en-US" w:eastAsia="zh-CN"/>
        </w:rPr>
        <w:t>“政采云平台”</w:t>
      </w:r>
      <w:r>
        <w:rPr>
          <w:rFonts w:hint="eastAsia" w:ascii="仿宋" w:hAnsi="仿宋" w:eastAsia="仿宋" w:cs="仿宋"/>
          <w:b w:val="0"/>
          <w:bCs/>
          <w:color w:val="auto"/>
          <w:sz w:val="24"/>
          <w:szCs w:val="24"/>
          <w:highlight w:val="none"/>
          <w:lang w:eastAsia="zh-CN"/>
        </w:rPr>
        <w:t>《供应商操作手册》</w:t>
      </w:r>
      <w:r>
        <w:rPr>
          <w:rFonts w:hint="eastAsia" w:ascii="仿宋" w:hAnsi="仿宋" w:eastAsia="仿宋" w:cs="仿宋"/>
          <w:b w:val="0"/>
          <w:bCs/>
          <w:color w:val="auto"/>
          <w:sz w:val="24"/>
          <w:szCs w:val="24"/>
          <w:highlight w:val="none"/>
        </w:rPr>
        <w:t>。</w:t>
      </w:r>
    </w:p>
    <w:p w14:paraId="3D712F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12.2在编制电子投标文件时，上传的单个资料不能大于100MB或300MB（具体以政采云平台系统要求为准）。</w:t>
      </w:r>
      <w:bookmarkEnd w:id="60"/>
      <w:bookmarkStart w:id="61" w:name="_Hlk530347140"/>
    </w:p>
    <w:bookmarkEnd w:id="61"/>
    <w:p w14:paraId="2E607D9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bookmarkStart w:id="62" w:name="_Hlk530347202"/>
      <w:bookmarkStart w:id="63" w:name="_Hlk530349759"/>
      <w:r>
        <w:rPr>
          <w:rFonts w:hint="eastAsia" w:ascii="仿宋" w:hAnsi="仿宋" w:eastAsia="仿宋" w:cs="仿宋"/>
          <w:b w:val="0"/>
          <w:bCs/>
          <w:color w:val="auto"/>
          <w:sz w:val="24"/>
          <w:szCs w:val="24"/>
          <w:highlight w:val="none"/>
          <w:lang w:eastAsia="zh-CN"/>
        </w:rPr>
        <w:t>12.</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投标文件中提供的资料（包括</w:t>
      </w:r>
      <w:r>
        <w:rPr>
          <w:rFonts w:hint="eastAsia" w:ascii="仿宋" w:hAnsi="仿宋" w:eastAsia="仿宋" w:cs="仿宋"/>
          <w:b w:val="0"/>
          <w:bCs/>
          <w:color w:val="auto"/>
          <w:sz w:val="24"/>
          <w:szCs w:val="24"/>
          <w:highlight w:val="none"/>
          <w:lang w:val="en-US" w:eastAsia="zh-CN"/>
        </w:rPr>
        <w:t>原件扫描件</w:t>
      </w:r>
      <w:r>
        <w:rPr>
          <w:rFonts w:hint="eastAsia" w:ascii="仿宋" w:hAnsi="仿宋" w:eastAsia="仿宋" w:cs="仿宋"/>
          <w:b w:val="0"/>
          <w:bCs/>
          <w:color w:val="auto"/>
          <w:sz w:val="24"/>
          <w:szCs w:val="24"/>
          <w:highlight w:val="none"/>
        </w:rPr>
        <w:t>），内容必须清晰可辨，若内容模糊</w:t>
      </w:r>
      <w:r>
        <w:rPr>
          <w:rFonts w:hint="eastAsia" w:ascii="仿宋" w:hAnsi="仿宋" w:eastAsia="仿宋" w:cs="仿宋"/>
          <w:b w:val="0"/>
          <w:bCs/>
          <w:color w:val="auto"/>
          <w:sz w:val="24"/>
          <w:szCs w:val="24"/>
          <w:highlight w:val="none"/>
          <w:lang w:val="en-US" w:eastAsia="zh-CN"/>
        </w:rPr>
        <w:t>不完整</w:t>
      </w:r>
      <w:r>
        <w:rPr>
          <w:rFonts w:hint="eastAsia" w:ascii="仿宋" w:hAnsi="仿宋" w:eastAsia="仿宋" w:cs="仿宋"/>
          <w:b w:val="0"/>
          <w:bCs/>
          <w:color w:val="auto"/>
          <w:sz w:val="24"/>
          <w:szCs w:val="24"/>
          <w:highlight w:val="none"/>
        </w:rPr>
        <w:t>，无法辨识</w:t>
      </w:r>
      <w:r>
        <w:rPr>
          <w:rFonts w:hint="eastAsia" w:ascii="仿宋" w:hAnsi="仿宋" w:eastAsia="仿宋" w:cs="仿宋"/>
          <w:b w:val="0"/>
          <w:bCs/>
          <w:color w:val="auto"/>
          <w:sz w:val="24"/>
          <w:szCs w:val="24"/>
          <w:highlight w:val="none"/>
          <w:lang w:eastAsia="zh-CN"/>
        </w:rPr>
        <w:t>的，</w:t>
      </w:r>
      <w:r>
        <w:rPr>
          <w:rFonts w:hint="eastAsia" w:ascii="仿宋" w:hAnsi="仿宋" w:eastAsia="仿宋" w:cs="仿宋"/>
          <w:b w:val="0"/>
          <w:bCs/>
          <w:color w:val="auto"/>
          <w:sz w:val="24"/>
          <w:szCs w:val="24"/>
          <w:highlight w:val="none"/>
          <w:lang w:val="en-US" w:eastAsia="zh-CN"/>
        </w:rPr>
        <w:t>评标委员会有权作出对供应商不利的处理决定。</w:t>
      </w:r>
    </w:p>
    <w:p w14:paraId="6DF3A2F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12.</w:t>
      </w: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投标文件应由法定代表人或其委托代理人在规定签字处签字，要求盖章处应盖单位章，签字及盖章要求详见</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w:t>
      </w:r>
    </w:p>
    <w:bookmarkEnd w:id="62"/>
    <w:p w14:paraId="110348E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13.提交电子投标文件截止时间</w:t>
      </w:r>
    </w:p>
    <w:p w14:paraId="55448A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详见</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w:t>
      </w:r>
      <w:r>
        <w:rPr>
          <w:rFonts w:hint="eastAsia" w:ascii="仿宋" w:hAnsi="仿宋" w:eastAsia="仿宋" w:cs="仿宋"/>
          <w:b w:val="0"/>
          <w:bCs/>
          <w:color w:val="auto"/>
          <w:sz w:val="24"/>
          <w:szCs w:val="24"/>
          <w:highlight w:val="none"/>
          <w:lang w:eastAsia="zh-CN"/>
        </w:rPr>
        <w:t>。</w:t>
      </w:r>
    </w:p>
    <w:p w14:paraId="2419695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eastAsia="zh-CN"/>
        </w:rPr>
      </w:pPr>
      <w:bookmarkStart w:id="64" w:name="_Hlk530347395"/>
      <w:r>
        <w:rPr>
          <w:rFonts w:hint="eastAsia" w:ascii="仿宋" w:hAnsi="仿宋" w:eastAsia="仿宋" w:cs="仿宋"/>
          <w:b w:val="0"/>
          <w:bCs/>
          <w:color w:val="auto"/>
          <w:sz w:val="24"/>
          <w:szCs w:val="24"/>
          <w:highlight w:val="none"/>
          <w:lang w:val="en-US" w:eastAsia="zh-CN"/>
        </w:rPr>
        <w:t>14.电子</w:t>
      </w:r>
      <w:r>
        <w:rPr>
          <w:rFonts w:hint="eastAsia" w:ascii="仿宋" w:hAnsi="仿宋" w:eastAsia="仿宋" w:cs="仿宋"/>
          <w:b w:val="0"/>
          <w:bCs/>
          <w:color w:val="auto"/>
          <w:sz w:val="24"/>
          <w:szCs w:val="24"/>
          <w:highlight w:val="none"/>
        </w:rPr>
        <w:t>投标文件的</w:t>
      </w:r>
      <w:r>
        <w:rPr>
          <w:rFonts w:hint="eastAsia" w:ascii="仿宋" w:hAnsi="仿宋" w:eastAsia="仿宋" w:cs="仿宋"/>
          <w:b w:val="0"/>
          <w:bCs/>
          <w:color w:val="auto"/>
          <w:sz w:val="24"/>
          <w:szCs w:val="24"/>
          <w:highlight w:val="none"/>
          <w:lang w:eastAsia="zh-CN"/>
        </w:rPr>
        <w:t>提交</w:t>
      </w:r>
    </w:p>
    <w:p w14:paraId="4F8C850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bookmarkStart w:id="65" w:name="_Hlk530347341"/>
      <w:bookmarkStart w:id="66" w:name="_Toc152045558"/>
      <w:bookmarkStart w:id="67" w:name="_Toc144974526"/>
      <w:bookmarkStart w:id="68" w:name="_Toc247527583"/>
      <w:bookmarkStart w:id="69" w:name="_Toc152042334"/>
      <w:bookmarkStart w:id="70" w:name="_Toc247513982"/>
      <w:r>
        <w:rPr>
          <w:rFonts w:hint="eastAsia" w:ascii="仿宋" w:hAnsi="仿宋" w:eastAsia="仿宋" w:cs="仿宋"/>
          <w:b w:val="0"/>
          <w:bCs/>
          <w:color w:val="auto"/>
          <w:sz w:val="24"/>
          <w:szCs w:val="24"/>
          <w:highlight w:val="none"/>
          <w:lang w:val="en-US" w:eastAsia="zh-CN"/>
        </w:rPr>
        <w:t>14.1</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lang w:val="en-US" w:eastAsia="zh-CN"/>
        </w:rPr>
        <w:t>须</w:t>
      </w:r>
      <w:r>
        <w:rPr>
          <w:rFonts w:hint="eastAsia" w:ascii="仿宋" w:hAnsi="仿宋" w:eastAsia="仿宋" w:cs="仿宋"/>
          <w:b w:val="0"/>
          <w:bCs/>
          <w:color w:val="auto"/>
          <w:sz w:val="24"/>
          <w:szCs w:val="24"/>
          <w:highlight w:val="none"/>
        </w:rPr>
        <w:t>对</w:t>
      </w:r>
      <w:r>
        <w:rPr>
          <w:rFonts w:hint="eastAsia" w:ascii="仿宋" w:hAnsi="仿宋" w:eastAsia="仿宋" w:cs="仿宋"/>
          <w:b w:val="0"/>
          <w:bCs/>
          <w:color w:val="auto"/>
          <w:sz w:val="24"/>
          <w:szCs w:val="24"/>
          <w:highlight w:val="none"/>
          <w:lang w:val="en-US" w:eastAsia="zh-CN"/>
        </w:rPr>
        <w:t>电子</w:t>
      </w:r>
      <w:r>
        <w:rPr>
          <w:rFonts w:hint="eastAsia" w:ascii="仿宋" w:hAnsi="仿宋" w:eastAsia="仿宋" w:cs="仿宋"/>
          <w:b w:val="0"/>
          <w:bCs/>
          <w:color w:val="auto"/>
          <w:sz w:val="24"/>
          <w:szCs w:val="24"/>
          <w:highlight w:val="none"/>
        </w:rPr>
        <w:t>投标文件进行加密</w:t>
      </w:r>
      <w:bookmarkEnd w:id="65"/>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未按要求加密的，采购人不予受理</w:t>
      </w:r>
      <w:r>
        <w:rPr>
          <w:rFonts w:hint="eastAsia" w:ascii="仿宋" w:hAnsi="仿宋" w:eastAsia="仿宋" w:cs="仿宋"/>
          <w:b w:val="0"/>
          <w:bCs/>
          <w:color w:val="auto"/>
          <w:sz w:val="24"/>
          <w:szCs w:val="24"/>
          <w:highlight w:val="none"/>
          <w:lang w:eastAsia="zh-CN"/>
        </w:rPr>
        <w:t>。</w:t>
      </w:r>
    </w:p>
    <w:p w14:paraId="2185FEA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14.2</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须在</w:t>
      </w:r>
      <w:r>
        <w:rPr>
          <w:rFonts w:hint="eastAsia" w:ascii="仿宋" w:hAnsi="仿宋" w:eastAsia="仿宋" w:cs="仿宋"/>
          <w:b w:val="0"/>
          <w:bCs/>
          <w:color w:val="auto"/>
          <w:sz w:val="24"/>
          <w:szCs w:val="24"/>
          <w:highlight w:val="none"/>
          <w:lang w:val="en-US" w:eastAsia="zh-CN"/>
        </w:rPr>
        <w:t>提交投标文件截止时间</w:t>
      </w:r>
      <w:r>
        <w:rPr>
          <w:rFonts w:hint="eastAsia" w:ascii="仿宋" w:hAnsi="仿宋" w:eastAsia="仿宋" w:cs="仿宋"/>
          <w:b w:val="0"/>
          <w:bCs/>
          <w:color w:val="auto"/>
          <w:sz w:val="24"/>
          <w:szCs w:val="24"/>
          <w:highlight w:val="none"/>
        </w:rPr>
        <w:t>前</w:t>
      </w:r>
      <w:r>
        <w:rPr>
          <w:rFonts w:hint="eastAsia" w:ascii="仿宋" w:hAnsi="仿宋" w:eastAsia="仿宋" w:cs="仿宋"/>
          <w:b w:val="0"/>
          <w:bCs/>
          <w:color w:val="auto"/>
          <w:sz w:val="24"/>
          <w:szCs w:val="24"/>
          <w:highlight w:val="none"/>
          <w:lang w:val="en-US" w:eastAsia="zh-CN"/>
        </w:rPr>
        <w:t>登录政采云平台</w:t>
      </w:r>
      <w:r>
        <w:rPr>
          <w:rFonts w:hint="eastAsia" w:ascii="仿宋" w:hAnsi="仿宋" w:eastAsia="仿宋" w:cs="仿宋"/>
          <w:b w:val="0"/>
          <w:bCs/>
          <w:color w:val="auto"/>
          <w:sz w:val="24"/>
          <w:szCs w:val="24"/>
          <w:highlight w:val="none"/>
        </w:rPr>
        <w:t>完成所有投标文件的上传</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提交投标文件截止时间</w:t>
      </w:r>
      <w:r>
        <w:rPr>
          <w:rFonts w:hint="eastAsia" w:ascii="仿宋" w:hAnsi="仿宋" w:eastAsia="仿宋" w:cs="仿宋"/>
          <w:b w:val="0"/>
          <w:bCs/>
          <w:color w:val="auto"/>
          <w:sz w:val="24"/>
          <w:szCs w:val="24"/>
          <w:highlight w:val="none"/>
        </w:rPr>
        <w:t>前未完成投标文件传输的，</w:t>
      </w:r>
      <w:r>
        <w:rPr>
          <w:rFonts w:hint="eastAsia" w:ascii="仿宋" w:hAnsi="仿宋" w:eastAsia="仿宋" w:cs="仿宋"/>
          <w:b w:val="0"/>
          <w:bCs/>
          <w:color w:val="auto"/>
          <w:sz w:val="24"/>
          <w:szCs w:val="24"/>
          <w:highlight w:val="none"/>
          <w:lang w:eastAsia="zh-CN"/>
        </w:rPr>
        <w:t>视为未提交投标文件</w:t>
      </w:r>
      <w:r>
        <w:rPr>
          <w:rFonts w:hint="eastAsia" w:ascii="仿宋" w:hAnsi="仿宋" w:eastAsia="仿宋" w:cs="仿宋"/>
          <w:b w:val="0"/>
          <w:bCs/>
          <w:color w:val="auto"/>
          <w:sz w:val="24"/>
          <w:szCs w:val="24"/>
          <w:highlight w:val="none"/>
        </w:rPr>
        <w:t>。</w:t>
      </w:r>
    </w:p>
    <w:p w14:paraId="31D1E5E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15.电子</w:t>
      </w:r>
      <w:r>
        <w:rPr>
          <w:rFonts w:hint="eastAsia" w:ascii="仿宋" w:hAnsi="仿宋" w:eastAsia="仿宋" w:cs="仿宋"/>
          <w:b w:val="0"/>
          <w:bCs/>
          <w:color w:val="auto"/>
          <w:sz w:val="24"/>
          <w:szCs w:val="24"/>
          <w:highlight w:val="none"/>
        </w:rPr>
        <w:t>投标文件的修改与撤回</w:t>
      </w:r>
      <w:bookmarkEnd w:id="66"/>
      <w:bookmarkEnd w:id="67"/>
      <w:bookmarkEnd w:id="68"/>
      <w:bookmarkEnd w:id="69"/>
      <w:bookmarkEnd w:id="70"/>
    </w:p>
    <w:p w14:paraId="06DAB58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.1在</w:t>
      </w:r>
      <w:r>
        <w:rPr>
          <w:rFonts w:hint="eastAsia" w:ascii="仿宋" w:hAnsi="仿宋" w:eastAsia="仿宋" w:cs="仿宋"/>
          <w:color w:val="auto"/>
          <w:sz w:val="24"/>
          <w:szCs w:val="24"/>
          <w:highlight w:val="none"/>
          <w:lang w:eastAsia="zh-CN"/>
        </w:rPr>
        <w:t>提交投标文件截止时间</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可以补充、修改或撤回已在网上</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的投标文件。</w:t>
      </w:r>
    </w:p>
    <w:p w14:paraId="44D64DB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补充、修改的内容应当按招标文件要求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本须知附件1</w:t>
      </w:r>
      <w:r>
        <w:rPr>
          <w:rFonts w:hint="eastAsia" w:ascii="仿宋" w:hAnsi="仿宋" w:eastAsia="仿宋" w:cs="仿宋"/>
          <w:color w:val="auto"/>
          <w:sz w:val="24"/>
          <w:szCs w:val="24"/>
          <w:highlight w:val="none"/>
        </w:rPr>
        <w:t>《政府采购项目电子化交易操作须知》进行编制和</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w:t>
      </w:r>
      <w:bookmarkEnd w:id="64"/>
    </w:p>
    <w:p w14:paraId="2FB36CA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16</w:t>
      </w:r>
      <w:r>
        <w:rPr>
          <w:rFonts w:hint="eastAsia" w:ascii="仿宋" w:hAnsi="仿宋" w:eastAsia="仿宋" w:cs="仿宋"/>
          <w:b w:val="0"/>
          <w:bCs w:val="0"/>
          <w:color w:val="auto"/>
          <w:sz w:val="24"/>
          <w:szCs w:val="24"/>
          <w:highlight w:val="none"/>
        </w:rPr>
        <w:t>.投标保证金</w:t>
      </w:r>
    </w:p>
    <w:p w14:paraId="2329D90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应在提交投标文件截止时间前按“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规定提交投标保证金。</w:t>
      </w:r>
    </w:p>
    <w:p w14:paraId="7EC6DD7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采购人或者采购代理机构应当自中标通知书发出之日起5个工作日内退还未中标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的投标保证金，自政府采购合同签订之日起5个工作日内退还中标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的投标保证金。</w:t>
      </w:r>
    </w:p>
    <w:p w14:paraId="2842765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下列情况发生时，投标保证金将不予退还</w:t>
      </w:r>
      <w:r>
        <w:rPr>
          <w:rFonts w:hint="eastAsia" w:ascii="仿宋" w:hAnsi="仿宋" w:eastAsia="仿宋" w:cs="仿宋"/>
          <w:color w:val="auto"/>
          <w:sz w:val="24"/>
          <w:szCs w:val="24"/>
          <w:highlight w:val="none"/>
          <w:lang w:eastAsia="zh-CN"/>
        </w:rPr>
        <w:t>：</w:t>
      </w:r>
    </w:p>
    <w:bookmarkEnd w:id="63"/>
    <w:p w14:paraId="3476AA5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（1）供应商在提交响应文件截止时间后撤回响应文件的；</w:t>
      </w:r>
    </w:p>
    <w:p w14:paraId="11B50DA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（2）供应商在响应文件中提供虚假材料的；</w:t>
      </w:r>
    </w:p>
    <w:p w14:paraId="0E5DF78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（3）除因不可抗力或招标文件认可的情形以外，成交供应商不与采购人签订合同的；</w:t>
      </w:r>
    </w:p>
    <w:p w14:paraId="337A6AD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（4）供应商与采购人、其他供应商或者采购代理机构恶意串通的；</w:t>
      </w:r>
    </w:p>
    <w:p w14:paraId="765CC47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（5）招标文件规定的其他情形。</w:t>
      </w:r>
    </w:p>
    <w:p w14:paraId="6760291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17.纸质投标文件</w:t>
      </w:r>
    </w:p>
    <w:p w14:paraId="520087C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rPr>
        <w:t>中标人提供的</w:t>
      </w:r>
      <w:r>
        <w:rPr>
          <w:rFonts w:hint="eastAsia" w:ascii="仿宋" w:hAnsi="仿宋" w:eastAsia="仿宋" w:cs="仿宋"/>
          <w:b w:val="0"/>
          <w:bCs w:val="0"/>
          <w:color w:val="auto"/>
          <w:sz w:val="24"/>
          <w:szCs w:val="24"/>
          <w:highlight w:val="none"/>
        </w:rPr>
        <w:t>纸质投标文件份数见“</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须知前附表”要求。投标文件封面上应标明项目名称、</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名称等内容。投标文件内容须清晰可辨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编制目录装订成册</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装订应牢固，不得采用活页夹。</w:t>
      </w:r>
    </w:p>
    <w:p w14:paraId="6BECF06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.投标文件有效期</w:t>
      </w:r>
    </w:p>
    <w:p w14:paraId="7D4A88C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.1在“</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须知前附表”规</w:t>
      </w:r>
      <w:r>
        <w:rPr>
          <w:rFonts w:hint="eastAsia" w:ascii="仿宋" w:hAnsi="仿宋" w:eastAsia="仿宋" w:cs="仿宋"/>
          <w:color w:val="auto"/>
          <w:sz w:val="24"/>
          <w:szCs w:val="24"/>
          <w:highlight w:val="none"/>
        </w:rPr>
        <w:t>定的投标有效期内，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不得要求撤销或修改其投标文件。</w:t>
      </w:r>
    </w:p>
    <w:p w14:paraId="1D1852A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w:t>
      </w:r>
      <w:bookmarkStart w:id="71" w:name="_Hlk530349676"/>
      <w:r>
        <w:rPr>
          <w:rFonts w:hint="eastAsia" w:ascii="仿宋" w:hAnsi="仿宋" w:eastAsia="仿宋" w:cs="仿宋"/>
          <w:color w:val="auto"/>
          <w:sz w:val="24"/>
          <w:szCs w:val="24"/>
          <w:highlight w:val="none"/>
        </w:rPr>
        <w:t>在特殊情况需要延长投标有效期的，采购人在</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上通知所有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延长投标有效期。</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同意延长的，应相应延长其投标保证金的有效期，但不得要求或被允许修改或撤销其投标文件；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拒绝延长的，其投标文件失效，但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有权</w:t>
      </w:r>
      <w:r>
        <w:rPr>
          <w:rFonts w:hint="eastAsia" w:ascii="仿宋" w:hAnsi="仿宋" w:eastAsia="仿宋" w:cs="仿宋"/>
          <w:color w:val="auto"/>
          <w:sz w:val="24"/>
          <w:szCs w:val="24"/>
          <w:highlight w:val="none"/>
          <w:lang w:val="en-US" w:eastAsia="zh-CN"/>
        </w:rPr>
        <w:t>予以退还</w:t>
      </w:r>
      <w:r>
        <w:rPr>
          <w:rFonts w:hint="eastAsia" w:ascii="仿宋" w:hAnsi="仿宋" w:eastAsia="仿宋" w:cs="仿宋"/>
          <w:color w:val="auto"/>
          <w:sz w:val="24"/>
          <w:szCs w:val="24"/>
          <w:highlight w:val="none"/>
        </w:rPr>
        <w:t>其投标保证金。</w:t>
      </w:r>
      <w:bookmarkEnd w:id="71"/>
    </w:p>
    <w:p w14:paraId="57F5096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color w:val="auto"/>
          <w:sz w:val="28"/>
          <w:szCs w:val="28"/>
          <w:highlight w:val="none"/>
        </w:rPr>
        <w:t>开标与评标</w:t>
      </w:r>
    </w:p>
    <w:p w14:paraId="1B6E14F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en-US" w:eastAsia="zh-CN"/>
        </w:rPr>
        <w:t>19</w:t>
      </w:r>
      <w:r>
        <w:rPr>
          <w:rFonts w:hint="eastAsia" w:ascii="仿宋" w:hAnsi="仿宋" w:eastAsia="仿宋" w:cs="仿宋"/>
          <w:b w:val="0"/>
          <w:bCs w:val="0"/>
          <w:color w:val="auto"/>
          <w:sz w:val="24"/>
          <w:szCs w:val="24"/>
          <w:highlight w:val="none"/>
        </w:rPr>
        <w:t>.开标</w:t>
      </w:r>
    </w:p>
    <w:p w14:paraId="57F64BF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.1采购代理机构将在“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须知前附表”规定的时间和地点进行</w:t>
      </w:r>
      <w:r>
        <w:rPr>
          <w:rFonts w:hint="eastAsia" w:ascii="仿宋" w:hAnsi="仿宋" w:eastAsia="仿宋" w:cs="仿宋"/>
          <w:color w:val="auto"/>
          <w:sz w:val="24"/>
          <w:szCs w:val="24"/>
          <w:highlight w:val="none"/>
          <w:lang w:val="en-US" w:eastAsia="zh-CN"/>
        </w:rPr>
        <w:t>网上公开</w:t>
      </w:r>
      <w:r>
        <w:rPr>
          <w:rFonts w:hint="eastAsia" w:ascii="仿宋" w:hAnsi="仿宋" w:eastAsia="仿宋" w:cs="仿宋"/>
          <w:color w:val="auto"/>
          <w:sz w:val="24"/>
          <w:szCs w:val="24"/>
          <w:highlight w:val="none"/>
        </w:rPr>
        <w:t>开标，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的法定代表人或委托代理人应</w:t>
      </w:r>
      <w:r>
        <w:rPr>
          <w:rFonts w:hint="eastAsia" w:ascii="仿宋" w:hAnsi="仿宋" w:eastAsia="仿宋" w:cs="仿宋"/>
          <w:color w:val="auto"/>
          <w:sz w:val="24"/>
          <w:szCs w:val="24"/>
          <w:highlight w:val="none"/>
          <w:lang w:val="en-US" w:eastAsia="zh-CN"/>
        </w:rPr>
        <w:t>按时按规定</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lang w:val="en-US" w:eastAsia="zh-CN"/>
        </w:rPr>
        <w:t>网上</w:t>
      </w:r>
      <w:r>
        <w:rPr>
          <w:rFonts w:hint="eastAsia" w:ascii="仿宋" w:hAnsi="仿宋" w:eastAsia="仿宋" w:cs="仿宋"/>
          <w:color w:val="auto"/>
          <w:sz w:val="24"/>
          <w:szCs w:val="24"/>
          <w:highlight w:val="none"/>
        </w:rPr>
        <w:t>开标会，如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未出席</w:t>
      </w:r>
      <w:r>
        <w:rPr>
          <w:rFonts w:hint="eastAsia" w:ascii="仿宋" w:hAnsi="仿宋" w:eastAsia="仿宋" w:cs="仿宋"/>
          <w:color w:val="auto"/>
          <w:sz w:val="24"/>
          <w:szCs w:val="24"/>
          <w:highlight w:val="none"/>
          <w:lang w:val="en-US" w:eastAsia="zh-CN"/>
        </w:rPr>
        <w:t>网上</w:t>
      </w:r>
      <w:r>
        <w:rPr>
          <w:rFonts w:hint="eastAsia" w:ascii="仿宋" w:hAnsi="仿宋" w:eastAsia="仿宋" w:cs="仿宋"/>
          <w:color w:val="auto"/>
          <w:sz w:val="24"/>
          <w:szCs w:val="24"/>
          <w:highlight w:val="none"/>
        </w:rPr>
        <w:t>开标会，由此产生的后果由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自行负责。</w:t>
      </w:r>
    </w:p>
    <w:p w14:paraId="76915C7B">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提交投标文件截止时间</w:t>
      </w:r>
      <w:r>
        <w:rPr>
          <w:rFonts w:hint="eastAsia" w:ascii="仿宋" w:hAnsi="仿宋" w:eastAsia="仿宋" w:cs="仿宋"/>
          <w:color w:val="auto"/>
          <w:sz w:val="24"/>
          <w:szCs w:val="24"/>
          <w:highlight w:val="none"/>
        </w:rPr>
        <w:t>参加投标的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不足三家的，停止开标。</w:t>
      </w:r>
    </w:p>
    <w:p w14:paraId="6944508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bookmarkStart w:id="72" w:name="_Hlk530349793"/>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.3开标程序：</w:t>
      </w:r>
    </w:p>
    <w:p w14:paraId="5D4590A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主持人按下列程序进行开标：</w:t>
      </w:r>
    </w:p>
    <w:p w14:paraId="3BA95A8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（1）开标由本项目</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主持；</w:t>
      </w:r>
    </w:p>
    <w:p w14:paraId="527AD39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（2）本</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项目的开标会议将于上述投标截止的同一时间在线远程网络公开进行（无需</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到开标现场），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lang w:eastAsia="zh-CN"/>
        </w:rPr>
        <w:t>提交投标文件截止时间</w:t>
      </w:r>
      <w:r>
        <w:rPr>
          <w:rFonts w:hint="eastAsia" w:ascii="仿宋" w:hAnsi="仿宋" w:eastAsia="仿宋" w:cs="仿宋"/>
          <w:color w:val="auto"/>
          <w:sz w:val="24"/>
          <w:szCs w:val="24"/>
          <w:highlight w:val="none"/>
        </w:rPr>
        <w:t>前进入</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投标项目</w:t>
      </w:r>
      <w:r>
        <w:rPr>
          <w:rFonts w:hint="eastAsia" w:ascii="仿宋" w:hAnsi="仿宋" w:eastAsia="仿宋" w:cs="仿宋"/>
          <w:color w:val="auto"/>
          <w:sz w:val="24"/>
          <w:szCs w:val="24"/>
          <w:highlight w:val="none"/>
          <w:lang w:val="en-US" w:eastAsia="zh-CN"/>
        </w:rPr>
        <w:t>网上</w:t>
      </w:r>
      <w:r>
        <w:rPr>
          <w:rFonts w:hint="eastAsia" w:ascii="仿宋" w:hAnsi="仿宋" w:eastAsia="仿宋" w:cs="仿宋"/>
          <w:color w:val="auto"/>
          <w:sz w:val="24"/>
          <w:szCs w:val="24"/>
          <w:highlight w:val="none"/>
        </w:rPr>
        <w:t>开标会</w:t>
      </w:r>
      <w:r>
        <w:rPr>
          <w:rFonts w:hint="eastAsia" w:ascii="仿宋" w:hAnsi="仿宋" w:eastAsia="仿宋" w:cs="仿宋"/>
          <w:color w:val="auto"/>
          <w:sz w:val="24"/>
          <w:szCs w:val="24"/>
          <w:highlight w:val="none"/>
          <w:lang w:eastAsia="zh-CN"/>
        </w:rPr>
        <w:t>；</w:t>
      </w:r>
    </w:p>
    <w:p w14:paraId="0EF3E26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）采购人或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通过远程在线开标系统下达“网上解密”指令后，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应在采购人规定的投标文件解密时间内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w:t>
      </w:r>
      <w:r>
        <w:rPr>
          <w:rFonts w:hint="eastAsia" w:ascii="仿宋" w:hAnsi="仿宋" w:eastAsia="仿宋" w:cs="仿宋"/>
          <w:color w:val="auto"/>
          <w:sz w:val="24"/>
          <w:szCs w:val="24"/>
          <w:highlight w:val="none"/>
          <w:lang w:eastAsia="zh-CN"/>
        </w:rPr>
        <w:t>政采云平台</w:t>
      </w:r>
      <w:r>
        <w:rPr>
          <w:rFonts w:hint="eastAsia" w:ascii="仿宋" w:hAnsi="仿宋" w:eastAsia="仿宋" w:cs="仿宋"/>
          <w:color w:val="auto"/>
          <w:sz w:val="24"/>
          <w:szCs w:val="24"/>
          <w:highlight w:val="none"/>
          <w:lang w:val="en-US" w:eastAsia="zh-CN"/>
        </w:rPr>
        <w:t>——网上开标室显示时间为准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，使用编制投标文件时加密的数字证书进行解密。如若未在规定的解密时间内完成解密操作或因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自身原因致使其投标文件未成功解密的投标视为</w:t>
      </w:r>
      <w:r>
        <w:rPr>
          <w:rFonts w:hint="eastAsia" w:ascii="仿宋" w:hAnsi="仿宋" w:eastAsia="仿宋" w:cs="仿宋"/>
          <w:color w:val="auto"/>
          <w:sz w:val="24"/>
          <w:szCs w:val="24"/>
          <w:highlight w:val="none"/>
          <w:lang w:val="en-US" w:eastAsia="zh-CN"/>
        </w:rPr>
        <w:t>未提交</w:t>
      </w:r>
      <w:r>
        <w:rPr>
          <w:rFonts w:hint="eastAsia" w:ascii="仿宋" w:hAnsi="仿宋" w:eastAsia="仿宋" w:cs="仿宋"/>
          <w:color w:val="auto"/>
          <w:sz w:val="24"/>
          <w:szCs w:val="24"/>
          <w:highlight w:val="none"/>
        </w:rPr>
        <w:t xml:space="preserve">投标。 </w:t>
      </w:r>
    </w:p>
    <w:p w14:paraId="026881D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代表、记录人等有关人员在开标记录上签字确认；</w:t>
      </w:r>
    </w:p>
    <w:p w14:paraId="2487330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）开标结束。</w:t>
      </w:r>
    </w:p>
    <w:p w14:paraId="1EE7E17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开标异议</w:t>
      </w:r>
    </w:p>
    <w:p w14:paraId="725420A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供应商若对本项目在线开标过程有任何异议，应在开标结束指令下达前提出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否则，视为供应商对本项目开标过程无任何异议。</w:t>
      </w:r>
      <w:r>
        <w:rPr>
          <w:rFonts w:hint="eastAsia" w:ascii="仿宋" w:hAnsi="仿宋" w:eastAsia="仿宋" w:cs="仿宋"/>
          <w:color w:val="auto"/>
          <w:sz w:val="24"/>
          <w:szCs w:val="24"/>
          <w:highlight w:val="none"/>
          <w:lang w:val="en-US" w:eastAsia="zh-CN"/>
        </w:rPr>
        <w:t>采购人或采购代理机构将在线</w:t>
      </w:r>
      <w:r>
        <w:rPr>
          <w:rFonts w:hint="eastAsia" w:ascii="仿宋" w:hAnsi="仿宋" w:eastAsia="仿宋" w:cs="仿宋"/>
          <w:color w:val="auto"/>
          <w:sz w:val="24"/>
          <w:szCs w:val="24"/>
          <w:highlight w:val="none"/>
        </w:rPr>
        <w:t>进行查看并回复</w:t>
      </w:r>
      <w:r>
        <w:rPr>
          <w:rFonts w:hint="eastAsia" w:ascii="仿宋" w:hAnsi="仿宋" w:eastAsia="仿宋" w:cs="仿宋"/>
          <w:color w:val="auto"/>
          <w:sz w:val="24"/>
          <w:szCs w:val="24"/>
          <w:highlight w:val="none"/>
          <w:lang w:eastAsia="zh-CN"/>
        </w:rPr>
        <w:t>。</w:t>
      </w:r>
    </w:p>
    <w:bookmarkEnd w:id="72"/>
    <w:p w14:paraId="344516A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b w:val="0"/>
          <w:bCs/>
          <w:color w:val="auto"/>
          <w:sz w:val="24"/>
          <w:szCs w:val="24"/>
          <w:highlight w:val="none"/>
        </w:rPr>
        <w:t xml:space="preserve"> 2</w:t>
      </w:r>
      <w:r>
        <w:rPr>
          <w:rFonts w:hint="eastAsia" w:ascii="仿宋" w:hAnsi="仿宋" w:eastAsia="仿宋" w:cs="仿宋"/>
          <w:b w:val="0"/>
          <w:bCs/>
          <w:color w:val="auto"/>
          <w:sz w:val="24"/>
          <w:szCs w:val="24"/>
          <w:highlight w:val="none"/>
          <w:lang w:val="en-US" w:eastAsia="zh-CN"/>
        </w:rPr>
        <w:t>0</w:t>
      </w:r>
      <w:r>
        <w:rPr>
          <w:rFonts w:hint="eastAsia" w:ascii="仿宋" w:hAnsi="仿宋" w:eastAsia="仿宋" w:cs="仿宋"/>
          <w:b w:val="0"/>
          <w:bCs/>
          <w:color w:val="auto"/>
          <w:sz w:val="24"/>
          <w:szCs w:val="24"/>
          <w:highlight w:val="none"/>
        </w:rPr>
        <w:t>.评标</w:t>
      </w:r>
    </w:p>
    <w:p w14:paraId="17244BF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.1评标由采购人依法组建的评标委员会负责。评标委员会由采购人代表和有关技术、经济等方面的专家组成，成员人数应当为</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人以上单数。其中，技术、经济等方面的专家不得少于成员总数的三分之二。评标委员会应当推选组长，采购人代表不得担任组长。</w:t>
      </w:r>
    </w:p>
    <w:p w14:paraId="159A1D3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bookmarkStart w:id="73" w:name="_Toc191374422"/>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.2评标原则</w:t>
      </w:r>
      <w:bookmarkEnd w:id="73"/>
      <w:r>
        <w:rPr>
          <w:rFonts w:hint="eastAsia" w:ascii="仿宋" w:hAnsi="仿宋" w:eastAsia="仿宋" w:cs="仿宋"/>
          <w:color w:val="auto"/>
          <w:sz w:val="24"/>
          <w:szCs w:val="24"/>
          <w:highlight w:val="none"/>
        </w:rPr>
        <w:t>及方法</w:t>
      </w:r>
    </w:p>
    <w:p w14:paraId="44F373C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1B191E1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.3评标方法</w:t>
      </w:r>
    </w:p>
    <w:p w14:paraId="4173C60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须知前附表”规定的评标方法评标。在评标中，不得改变招标文件中规定的评标标准、方法。“评标方法”没有规定的评审因素和标准，不作为评标依据。</w:t>
      </w:r>
    </w:p>
    <w:p w14:paraId="13441BA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1CFD452D">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成交</w:t>
      </w:r>
      <w:r>
        <w:rPr>
          <w:rFonts w:hint="eastAsia" w:ascii="仿宋" w:hAnsi="仿宋" w:eastAsia="仿宋" w:cs="仿宋"/>
          <w:b/>
          <w:color w:val="auto"/>
          <w:sz w:val="28"/>
          <w:szCs w:val="28"/>
          <w:highlight w:val="none"/>
        </w:rPr>
        <w:t>结果</w:t>
      </w:r>
    </w:p>
    <w:p w14:paraId="3C7A5E36">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的确定</w:t>
      </w:r>
    </w:p>
    <w:p w14:paraId="53811C1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.1采购代理机构应当</w:t>
      </w:r>
      <w:r>
        <w:rPr>
          <w:rFonts w:hint="eastAsia" w:ascii="仿宋" w:hAnsi="仿宋" w:eastAsia="仿宋" w:cs="仿宋"/>
          <w:color w:val="auto"/>
          <w:sz w:val="24"/>
          <w:szCs w:val="24"/>
          <w:highlight w:val="none"/>
          <w:lang w:val="en-US" w:eastAsia="zh-CN"/>
        </w:rPr>
        <w:t>自</w:t>
      </w:r>
      <w:r>
        <w:rPr>
          <w:rFonts w:hint="eastAsia" w:ascii="仿宋" w:hAnsi="仿宋" w:eastAsia="仿宋" w:cs="仿宋"/>
          <w:color w:val="auto"/>
          <w:sz w:val="24"/>
          <w:szCs w:val="24"/>
          <w:highlight w:val="none"/>
        </w:rPr>
        <w:t>评</w:t>
      </w:r>
      <w:r>
        <w:rPr>
          <w:rFonts w:hint="eastAsia" w:ascii="仿宋" w:hAnsi="仿宋" w:eastAsia="仿宋" w:cs="仿宋"/>
          <w:color w:val="auto"/>
          <w:sz w:val="24"/>
          <w:szCs w:val="24"/>
          <w:highlight w:val="none"/>
          <w:lang w:val="en-US" w:eastAsia="zh-CN"/>
        </w:rPr>
        <w:t>审</w:t>
      </w:r>
      <w:r>
        <w:rPr>
          <w:rFonts w:hint="eastAsia" w:ascii="仿宋" w:hAnsi="仿宋" w:eastAsia="仿宋" w:cs="仿宋"/>
          <w:color w:val="auto"/>
          <w:sz w:val="24"/>
          <w:szCs w:val="24"/>
          <w:highlight w:val="none"/>
        </w:rPr>
        <w:t>结束</w:t>
      </w:r>
      <w:r>
        <w:rPr>
          <w:rFonts w:hint="eastAsia" w:ascii="仿宋" w:hAnsi="仿宋" w:eastAsia="仿宋" w:cs="仿宋"/>
          <w:color w:val="auto"/>
          <w:sz w:val="24"/>
          <w:szCs w:val="24"/>
          <w:highlight w:val="none"/>
          <w:lang w:val="en-US" w:eastAsia="zh-CN"/>
        </w:rPr>
        <w:t>之日起2</w:t>
      </w:r>
      <w:r>
        <w:rPr>
          <w:rFonts w:hint="eastAsia" w:ascii="仿宋" w:hAnsi="仿宋" w:eastAsia="仿宋" w:cs="仿宋"/>
          <w:color w:val="auto"/>
          <w:sz w:val="24"/>
          <w:szCs w:val="24"/>
          <w:highlight w:val="none"/>
        </w:rPr>
        <w:t>个工作日内将</w:t>
      </w:r>
      <w:r>
        <w:rPr>
          <w:rFonts w:hint="eastAsia" w:ascii="仿宋" w:hAnsi="仿宋" w:eastAsia="仿宋" w:cs="仿宋"/>
          <w:color w:val="auto"/>
          <w:sz w:val="24"/>
          <w:szCs w:val="24"/>
          <w:highlight w:val="none"/>
          <w:lang w:eastAsia="zh-CN"/>
        </w:rPr>
        <w:t>评审报告</w:t>
      </w:r>
      <w:r>
        <w:rPr>
          <w:rFonts w:hint="eastAsia" w:ascii="仿宋" w:hAnsi="仿宋" w:eastAsia="仿宋" w:cs="仿宋"/>
          <w:color w:val="auto"/>
          <w:sz w:val="24"/>
          <w:szCs w:val="24"/>
          <w:highlight w:val="none"/>
        </w:rPr>
        <w:t>送</w:t>
      </w:r>
      <w:r>
        <w:rPr>
          <w:rFonts w:hint="eastAsia" w:ascii="仿宋" w:hAnsi="仿宋" w:eastAsia="仿宋" w:cs="仿宋"/>
          <w:color w:val="auto"/>
          <w:sz w:val="24"/>
          <w:szCs w:val="24"/>
          <w:highlight w:val="none"/>
          <w:lang w:val="en-US" w:eastAsia="zh-CN"/>
        </w:rPr>
        <w:t>交</w:t>
      </w:r>
      <w:r>
        <w:rPr>
          <w:rFonts w:hint="eastAsia" w:ascii="仿宋" w:hAnsi="仿宋" w:eastAsia="仿宋" w:cs="仿宋"/>
          <w:color w:val="auto"/>
          <w:sz w:val="24"/>
          <w:szCs w:val="24"/>
          <w:highlight w:val="none"/>
        </w:rPr>
        <w:t>采购人。</w:t>
      </w:r>
    </w:p>
    <w:p w14:paraId="4F30139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.2采购人应当</w:t>
      </w:r>
      <w:r>
        <w:rPr>
          <w:rFonts w:hint="eastAsia" w:ascii="仿宋" w:hAnsi="仿宋" w:eastAsia="仿宋" w:cs="仿宋"/>
          <w:color w:val="auto"/>
          <w:sz w:val="24"/>
          <w:szCs w:val="24"/>
          <w:highlight w:val="none"/>
          <w:lang w:val="en-US" w:eastAsia="zh-CN"/>
        </w:rPr>
        <w:t>自</w:t>
      </w:r>
      <w:r>
        <w:rPr>
          <w:rFonts w:hint="eastAsia" w:ascii="仿宋" w:hAnsi="仿宋" w:eastAsia="仿宋" w:cs="仿宋"/>
          <w:color w:val="auto"/>
          <w:sz w:val="24"/>
          <w:szCs w:val="24"/>
          <w:highlight w:val="none"/>
        </w:rPr>
        <w:t>收到评</w:t>
      </w:r>
      <w:r>
        <w:rPr>
          <w:rFonts w:hint="eastAsia" w:ascii="仿宋" w:hAnsi="仿宋" w:eastAsia="仿宋" w:cs="仿宋"/>
          <w:color w:val="auto"/>
          <w:sz w:val="24"/>
          <w:szCs w:val="24"/>
          <w:highlight w:val="none"/>
          <w:lang w:val="en-US" w:eastAsia="zh-CN"/>
        </w:rPr>
        <w:t>审</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val="en-US" w:eastAsia="zh-CN"/>
        </w:rPr>
        <w:t>之日起5</w:t>
      </w:r>
      <w:r>
        <w:rPr>
          <w:rFonts w:hint="eastAsia" w:ascii="仿宋" w:hAnsi="仿宋" w:eastAsia="仿宋" w:cs="仿宋"/>
          <w:color w:val="auto"/>
          <w:sz w:val="24"/>
          <w:szCs w:val="24"/>
          <w:highlight w:val="none"/>
        </w:rPr>
        <w:t>个工作日内</w:t>
      </w:r>
      <w:r>
        <w:rPr>
          <w:rFonts w:hint="eastAsia" w:ascii="仿宋" w:hAnsi="仿宋" w:eastAsia="仿宋" w:cs="仿宋"/>
          <w:color w:val="auto"/>
          <w:sz w:val="24"/>
          <w:szCs w:val="24"/>
          <w:highlight w:val="none"/>
          <w:lang w:val="en-US" w:eastAsia="zh-CN"/>
        </w:rPr>
        <w:t>在</w:t>
      </w:r>
      <w:r>
        <w:rPr>
          <w:rFonts w:hint="eastAsia" w:ascii="仿宋" w:hAnsi="仿宋" w:eastAsia="仿宋" w:cs="仿宋"/>
          <w:color w:val="auto"/>
          <w:sz w:val="24"/>
          <w:szCs w:val="24"/>
          <w:highlight w:val="none"/>
        </w:rPr>
        <w:t>评</w:t>
      </w:r>
      <w:r>
        <w:rPr>
          <w:rFonts w:hint="eastAsia" w:ascii="仿宋" w:hAnsi="仿宋" w:eastAsia="仿宋" w:cs="仿宋"/>
          <w:color w:val="auto"/>
          <w:sz w:val="24"/>
          <w:szCs w:val="24"/>
          <w:highlight w:val="none"/>
          <w:lang w:val="en-US" w:eastAsia="zh-CN"/>
        </w:rPr>
        <w:t>审</w:t>
      </w:r>
      <w:r>
        <w:rPr>
          <w:rFonts w:hint="eastAsia" w:ascii="仿宋" w:hAnsi="仿宋" w:eastAsia="仿宋" w:cs="仿宋"/>
          <w:color w:val="auto"/>
          <w:sz w:val="24"/>
          <w:szCs w:val="24"/>
          <w:highlight w:val="none"/>
        </w:rPr>
        <w:t>报告推荐的</w:t>
      </w:r>
      <w:r>
        <w:rPr>
          <w:rFonts w:hint="eastAsia" w:ascii="仿宋" w:hAnsi="仿宋" w:eastAsia="仿宋" w:cs="仿宋"/>
          <w:color w:val="auto"/>
          <w:sz w:val="24"/>
          <w:szCs w:val="24"/>
          <w:highlight w:val="none"/>
          <w:lang w:val="en-US" w:eastAsia="zh-CN"/>
        </w:rPr>
        <w:t>成交候选中按</w:t>
      </w:r>
      <w:r>
        <w:rPr>
          <w:rFonts w:hint="eastAsia" w:ascii="仿宋" w:hAnsi="仿宋" w:eastAsia="仿宋" w:cs="仿宋"/>
          <w:color w:val="auto"/>
          <w:sz w:val="24"/>
          <w:szCs w:val="24"/>
          <w:highlight w:val="none"/>
        </w:rPr>
        <w:t>顺序确定中标</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w:t>
      </w:r>
    </w:p>
    <w:p w14:paraId="2EC97DB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74" w:name="_Hlk530347524"/>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w:t>
      </w:r>
      <w:bookmarkStart w:id="75" w:name="_Hlk530349836"/>
      <w:r>
        <w:rPr>
          <w:rFonts w:hint="eastAsia" w:ascii="仿宋" w:hAnsi="仿宋" w:eastAsia="仿宋" w:cs="仿宋"/>
          <w:color w:val="auto"/>
          <w:sz w:val="24"/>
          <w:szCs w:val="24"/>
          <w:highlight w:val="none"/>
        </w:rPr>
        <w:t>采购人或者采购代理机构应当自</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确定之日起2个工作日内，在省级以上</w:t>
      </w:r>
      <w:r>
        <w:rPr>
          <w:rFonts w:hint="eastAsia" w:ascii="仿宋" w:hAnsi="仿宋" w:eastAsia="仿宋" w:cs="仿宋"/>
          <w:color w:val="auto"/>
          <w:sz w:val="24"/>
          <w:szCs w:val="24"/>
          <w:highlight w:val="none"/>
          <w:lang w:val="en-US" w:eastAsia="zh-CN"/>
        </w:rPr>
        <w:t>人民政府</w:t>
      </w:r>
      <w:r>
        <w:rPr>
          <w:rFonts w:hint="eastAsia" w:ascii="仿宋" w:hAnsi="仿宋" w:eastAsia="仿宋" w:cs="仿宋"/>
          <w:color w:val="auto"/>
          <w:sz w:val="24"/>
          <w:szCs w:val="24"/>
          <w:highlight w:val="none"/>
        </w:rPr>
        <w:t>财政部门指定的媒体上</w:t>
      </w:r>
      <w:r>
        <w:rPr>
          <w:rFonts w:hint="eastAsia" w:ascii="仿宋" w:hAnsi="仿宋" w:eastAsia="仿宋" w:cs="仿宋"/>
          <w:color w:val="auto"/>
          <w:sz w:val="24"/>
          <w:szCs w:val="24"/>
          <w:highlight w:val="none"/>
          <w:lang w:val="en-US" w:eastAsia="zh-CN"/>
        </w:rPr>
        <w:t>依法</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结果。</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公告期限为1个工作日。</w:t>
      </w:r>
    </w:p>
    <w:bookmarkEnd w:id="74"/>
    <w:bookmarkEnd w:id="75"/>
    <w:p w14:paraId="77F32C4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 </w:t>
      </w:r>
      <w:r>
        <w:rPr>
          <w:rFonts w:hint="eastAsia" w:ascii="仿宋" w:hAnsi="仿宋" w:eastAsia="仿宋" w:cs="仿宋"/>
          <w:b w:val="0"/>
          <w:bCs/>
          <w:color w:val="auto"/>
          <w:sz w:val="24"/>
          <w:szCs w:val="24"/>
          <w:highlight w:val="none"/>
        </w:rPr>
        <w:t xml:space="preserve">   2</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eastAsia="zh-CN"/>
        </w:rPr>
        <w:t>成交通知书</w:t>
      </w:r>
    </w:p>
    <w:p w14:paraId="4BC1A15F">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76" w:name="_Hlk530347544"/>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公告期限</w:t>
      </w:r>
      <w:r>
        <w:rPr>
          <w:rFonts w:hint="eastAsia" w:ascii="仿宋" w:hAnsi="仿宋" w:eastAsia="仿宋" w:cs="仿宋"/>
          <w:color w:val="auto"/>
          <w:sz w:val="24"/>
          <w:szCs w:val="24"/>
          <w:highlight w:val="none"/>
          <w:lang w:val="en-US" w:eastAsia="zh-CN"/>
        </w:rPr>
        <w:t>结束后</w:t>
      </w:r>
      <w:r>
        <w:rPr>
          <w:rFonts w:hint="eastAsia" w:ascii="仿宋" w:hAnsi="仿宋" w:eastAsia="仿宋" w:cs="仿宋"/>
          <w:color w:val="auto"/>
          <w:sz w:val="24"/>
          <w:szCs w:val="24"/>
          <w:highlight w:val="none"/>
        </w:rPr>
        <w:t>，采购人或者采购代理机构应当</w:t>
      </w:r>
      <w:r>
        <w:rPr>
          <w:rFonts w:hint="eastAsia" w:ascii="仿宋" w:hAnsi="仿宋" w:eastAsia="仿宋" w:cs="仿宋"/>
          <w:color w:val="auto"/>
          <w:sz w:val="24"/>
          <w:szCs w:val="24"/>
          <w:highlight w:val="none"/>
          <w:lang w:val="en-US" w:eastAsia="zh-CN"/>
        </w:rPr>
        <w:t>按规定</w:t>
      </w:r>
      <w:r>
        <w:rPr>
          <w:rFonts w:hint="eastAsia" w:ascii="仿宋" w:hAnsi="仿宋" w:eastAsia="仿宋" w:cs="仿宋"/>
          <w:color w:val="auto"/>
          <w:sz w:val="24"/>
          <w:szCs w:val="24"/>
          <w:highlight w:val="none"/>
        </w:rPr>
        <w:t>向</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发出</w:t>
      </w:r>
      <w:r>
        <w:rPr>
          <w:rFonts w:hint="eastAsia" w:ascii="仿宋" w:hAnsi="仿宋" w:eastAsia="仿宋" w:cs="仿宋"/>
          <w:color w:val="auto"/>
          <w:sz w:val="24"/>
          <w:szCs w:val="24"/>
          <w:highlight w:val="none"/>
          <w:lang w:eastAsia="zh-CN"/>
        </w:rPr>
        <w:t>成交通知书</w:t>
      </w:r>
      <w:r>
        <w:rPr>
          <w:rFonts w:hint="eastAsia" w:ascii="仿宋" w:hAnsi="仿宋" w:eastAsia="仿宋" w:cs="仿宋"/>
          <w:color w:val="auto"/>
          <w:sz w:val="24"/>
          <w:szCs w:val="24"/>
          <w:highlight w:val="none"/>
        </w:rPr>
        <w:t>。</w:t>
      </w:r>
    </w:p>
    <w:bookmarkEnd w:id="76"/>
    <w:p w14:paraId="696DD340">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成交通知书</w:t>
      </w:r>
      <w:r>
        <w:rPr>
          <w:rFonts w:hint="eastAsia" w:ascii="仿宋" w:hAnsi="仿宋" w:eastAsia="仿宋" w:cs="仿宋"/>
          <w:color w:val="auto"/>
          <w:sz w:val="24"/>
          <w:szCs w:val="24"/>
          <w:highlight w:val="none"/>
        </w:rPr>
        <w:t>是合同的一个组成部分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与合同具有同等效力</w:t>
      </w:r>
      <w:r>
        <w:rPr>
          <w:rFonts w:hint="eastAsia" w:ascii="仿宋" w:hAnsi="仿宋" w:eastAsia="仿宋" w:cs="仿宋"/>
          <w:color w:val="auto"/>
          <w:sz w:val="24"/>
          <w:szCs w:val="24"/>
          <w:highlight w:val="none"/>
        </w:rPr>
        <w:t>。</w:t>
      </w:r>
    </w:p>
    <w:p w14:paraId="7E0DBE8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b w:val="0"/>
          <w:bCs/>
          <w:color w:val="auto"/>
          <w:sz w:val="24"/>
          <w:szCs w:val="24"/>
          <w:highlight w:val="none"/>
        </w:rPr>
        <w:t xml:space="preserve"> 2</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.签订合同</w:t>
      </w:r>
    </w:p>
    <w:p w14:paraId="7708C249">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.1采购人应当自</w:t>
      </w:r>
      <w:r>
        <w:rPr>
          <w:rFonts w:hint="eastAsia" w:ascii="仿宋" w:hAnsi="仿宋" w:eastAsia="仿宋" w:cs="仿宋"/>
          <w:color w:val="auto"/>
          <w:sz w:val="24"/>
          <w:szCs w:val="24"/>
          <w:highlight w:val="none"/>
          <w:lang w:eastAsia="zh-CN"/>
        </w:rPr>
        <w:t>成交通知书</w:t>
      </w:r>
      <w:r>
        <w:rPr>
          <w:rFonts w:hint="eastAsia" w:ascii="仿宋" w:hAnsi="仿宋" w:eastAsia="仿宋" w:cs="仿宋"/>
          <w:color w:val="auto"/>
          <w:sz w:val="24"/>
          <w:szCs w:val="24"/>
          <w:highlight w:val="none"/>
        </w:rPr>
        <w:t>发出之日起30日内，按照招标文件和中标人投标文件的规定，与中标人签订书面合同。所签订的合同不得对招标文件确定的事项和</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投标文件作实质性修改。</w:t>
      </w:r>
    </w:p>
    <w:p w14:paraId="16D06D1A">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拒绝与采购人签订合同的，采购人可以按照评审报告推荐的</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候选人名单排序，确定下一候选人为</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，也可以重新开展政府采购活动。</w:t>
      </w:r>
    </w:p>
    <w:p w14:paraId="68E751E0">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.3政府采购合同履行中，采购人需追加与合同标的相同的</w:t>
      </w: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的，在不改变合同</w:t>
      </w:r>
      <w:r>
        <w:rPr>
          <w:rFonts w:hint="eastAsia" w:ascii="仿宋" w:hAnsi="仿宋" w:eastAsia="仿宋" w:cs="仿宋"/>
          <w:color w:val="auto"/>
          <w:sz w:val="24"/>
          <w:szCs w:val="24"/>
          <w:highlight w:val="none"/>
          <w:lang w:val="en-US" w:eastAsia="zh-CN"/>
        </w:rPr>
        <w:t>实质性条款和</w:t>
      </w:r>
      <w:r>
        <w:rPr>
          <w:rFonts w:hint="eastAsia" w:ascii="仿宋" w:hAnsi="仿宋" w:eastAsia="仿宋" w:cs="仿宋"/>
          <w:color w:val="auto"/>
          <w:sz w:val="24"/>
          <w:szCs w:val="24"/>
          <w:highlight w:val="none"/>
        </w:rPr>
        <w:t>其他条款的前提下，可以与</w:t>
      </w:r>
      <w:r>
        <w:rPr>
          <w:rFonts w:hint="eastAsia" w:ascii="仿宋" w:hAnsi="仿宋" w:eastAsia="仿宋" w:cs="仿宋"/>
          <w:color w:val="auto"/>
          <w:sz w:val="24"/>
          <w:szCs w:val="24"/>
          <w:highlight w:val="none"/>
          <w:lang w:val="en-US" w:eastAsia="zh-CN"/>
        </w:rPr>
        <w:t>成交单位</w:t>
      </w:r>
      <w:r>
        <w:rPr>
          <w:rFonts w:hint="eastAsia" w:ascii="仿宋" w:hAnsi="仿宋" w:eastAsia="仿宋" w:cs="仿宋"/>
          <w:color w:val="auto"/>
          <w:sz w:val="24"/>
          <w:szCs w:val="24"/>
          <w:highlight w:val="none"/>
        </w:rPr>
        <w:t>协商签订补充合同，但所有补充合同的采购金额不得超过原合同采购金额的百分之十。</w:t>
      </w:r>
    </w:p>
    <w:p w14:paraId="6226E10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、其他事项</w:t>
      </w:r>
    </w:p>
    <w:p w14:paraId="7286822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.在招标采购中，出现下列情形之一的，应予废标：</w:t>
      </w:r>
    </w:p>
    <w:p w14:paraId="33B87FC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24.1</w:t>
      </w:r>
      <w:r>
        <w:rPr>
          <w:rFonts w:hint="eastAsia" w:ascii="仿宋" w:hAnsi="仿宋" w:eastAsia="仿宋" w:cs="仿宋"/>
          <w:color w:val="auto"/>
          <w:sz w:val="24"/>
          <w:szCs w:val="24"/>
          <w:highlight w:val="none"/>
        </w:rPr>
        <w:t>符合专业条件的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或者对招标文件作实质</w:t>
      </w:r>
      <w:r>
        <w:rPr>
          <w:rFonts w:hint="eastAsia" w:ascii="仿宋" w:hAnsi="仿宋" w:eastAsia="仿宋" w:cs="仿宋"/>
          <w:color w:val="auto"/>
          <w:sz w:val="24"/>
          <w:szCs w:val="24"/>
          <w:highlight w:val="none"/>
          <w:lang w:val="en-US" w:eastAsia="zh-CN"/>
        </w:rPr>
        <w:t>性</w:t>
      </w:r>
      <w:r>
        <w:rPr>
          <w:rFonts w:hint="eastAsia" w:ascii="仿宋" w:hAnsi="仿宋" w:eastAsia="仿宋" w:cs="仿宋"/>
          <w:color w:val="auto"/>
          <w:sz w:val="24"/>
          <w:szCs w:val="24"/>
          <w:highlight w:val="none"/>
        </w:rPr>
        <w:t>响应的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不足</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家的；</w:t>
      </w:r>
    </w:p>
    <w:p w14:paraId="43B7D22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24.2</w:t>
      </w:r>
      <w:r>
        <w:rPr>
          <w:rFonts w:hint="eastAsia" w:ascii="仿宋" w:hAnsi="仿宋" w:eastAsia="仿宋" w:cs="仿宋"/>
          <w:color w:val="auto"/>
          <w:sz w:val="24"/>
          <w:szCs w:val="24"/>
          <w:highlight w:val="none"/>
        </w:rPr>
        <w:t>出现影响采购公正的违法、违规行为的；</w:t>
      </w:r>
    </w:p>
    <w:p w14:paraId="1764C2F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24.3供应商</w:t>
      </w:r>
      <w:r>
        <w:rPr>
          <w:rFonts w:hint="eastAsia" w:ascii="仿宋" w:hAnsi="仿宋" w:eastAsia="仿宋" w:cs="仿宋"/>
          <w:color w:val="auto"/>
          <w:sz w:val="24"/>
          <w:szCs w:val="24"/>
          <w:highlight w:val="none"/>
        </w:rPr>
        <w:t>的报价均超过了采购预算，采购人不能支付的；</w:t>
      </w:r>
    </w:p>
    <w:p w14:paraId="5403617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24.4</w:t>
      </w:r>
      <w:r>
        <w:rPr>
          <w:rFonts w:hint="eastAsia" w:ascii="仿宋" w:hAnsi="仿宋" w:eastAsia="仿宋" w:cs="仿宋"/>
          <w:color w:val="auto"/>
          <w:sz w:val="24"/>
          <w:szCs w:val="24"/>
          <w:highlight w:val="none"/>
        </w:rPr>
        <w:t>因重大变故，采购任务取消的。</w:t>
      </w:r>
    </w:p>
    <w:p w14:paraId="626B768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.招标文件编制依据</w:t>
      </w:r>
    </w:p>
    <w:p w14:paraId="5675EAF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本招标文件根据《中华人民共和国政府采购法》及相关法律法规编制。</w:t>
      </w:r>
    </w:p>
    <w:p w14:paraId="2B37DF71">
      <w:pPr>
        <w:keepNext w:val="0"/>
        <w:keepLines w:val="0"/>
        <w:pageBreakBefore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szCs w:val="24"/>
          <w:highlight w:val="none"/>
          <w:lang w:val="en-US" w:eastAsia="zh-CN"/>
        </w:rPr>
      </w:pPr>
      <w:bookmarkStart w:id="77" w:name="_Toc321836356"/>
      <w:r>
        <w:rPr>
          <w:rFonts w:hint="eastAsia" w:ascii="仿宋" w:hAnsi="仿宋" w:eastAsia="仿宋" w:cs="仿宋"/>
          <w:b/>
          <w:bCs/>
          <w:color w:val="auto"/>
          <w:sz w:val="24"/>
          <w:szCs w:val="24"/>
          <w:highlight w:val="none"/>
          <w:lang w:val="en-US" w:eastAsia="zh-CN"/>
        </w:rPr>
        <w:t>26.</w:t>
      </w:r>
      <w:r>
        <w:rPr>
          <w:rFonts w:hint="eastAsia" w:ascii="仿宋" w:hAnsi="仿宋" w:eastAsia="仿宋" w:cs="仿宋"/>
          <w:b/>
          <w:bCs/>
          <w:color w:val="auto"/>
          <w:sz w:val="24"/>
          <w:szCs w:val="24"/>
          <w:highlight w:val="none"/>
        </w:rPr>
        <w:t>质疑</w:t>
      </w:r>
      <w:bookmarkEnd w:id="77"/>
      <w:r>
        <w:rPr>
          <w:rFonts w:hint="eastAsia" w:ascii="仿宋" w:hAnsi="仿宋" w:eastAsia="仿宋" w:cs="仿宋"/>
          <w:b/>
          <w:bCs/>
          <w:color w:val="auto"/>
          <w:sz w:val="24"/>
          <w:szCs w:val="24"/>
          <w:highlight w:val="none"/>
          <w:lang w:val="en-US" w:eastAsia="zh-CN"/>
        </w:rPr>
        <w:t>与投诉</w:t>
      </w:r>
    </w:p>
    <w:p w14:paraId="0859B06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26.1供应商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08F6C6C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受理质疑单位：云南临祥项目管理咨询有限公司</w:t>
      </w:r>
    </w:p>
    <w:p w14:paraId="68C5410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地址：临沧市临翔区忙令路569号</w:t>
      </w:r>
    </w:p>
    <w:p w14:paraId="6C84D35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联 系 人：李工</w:t>
      </w:r>
    </w:p>
    <w:p w14:paraId="7926501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电    话：</w:t>
      </w:r>
      <w:r>
        <w:rPr>
          <w:rFonts w:hint="eastAsia" w:ascii="仿宋" w:hAnsi="仿宋" w:eastAsia="仿宋" w:cs="仿宋"/>
          <w:color w:val="auto"/>
          <w:sz w:val="24"/>
          <w:szCs w:val="24"/>
          <w:highlight w:val="none"/>
          <w:lang w:val="en-US" w:eastAsia="zh-CN"/>
        </w:rPr>
        <w:t>19087584542</w:t>
      </w:r>
    </w:p>
    <w:p w14:paraId="16A04C8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26.2供应商提供的质疑书应符合中华人民共和国财政部第94号令《政府采购质疑和投诉办法》的规定。供应商提供的质疑书（如材料中有外文资料应同时附上中文译本）应当包括以下主要内容：</w:t>
      </w:r>
    </w:p>
    <w:p w14:paraId="30675E2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（1）质疑项目名称；</w:t>
      </w:r>
    </w:p>
    <w:p w14:paraId="59A712B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（2）质疑理由及事实依据；</w:t>
      </w:r>
    </w:p>
    <w:p w14:paraId="7FD7820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（3）质疑对象；</w:t>
      </w:r>
    </w:p>
    <w:p w14:paraId="226E1AB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（4）联系电话和地址；</w:t>
      </w:r>
    </w:p>
    <w:p w14:paraId="59C9B39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（5）质疑的日期；</w:t>
      </w:r>
    </w:p>
    <w:p w14:paraId="0385FA9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（6）质疑人署名。</w:t>
      </w:r>
    </w:p>
    <w:p w14:paraId="4A640B2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质疑书实行实名制，并提交由法定代表人或其授权代理人签字并加盖单位公章的原件。</w:t>
      </w:r>
    </w:p>
    <w:p w14:paraId="5CA2FF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26.3采购人、采购代理机构将在收到供应商的书面质疑后七个工作日内做出书面答复，但答复的内容不涉及商业秘密。</w:t>
      </w:r>
    </w:p>
    <w:p w14:paraId="43C6DFE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26.4参与政府采购活动的供应商对开标过程或者结果提出质疑的，采购人或采购代理机构可以组织原评标委员会成员协助处理质疑事项，并依据评标委员会成员出具的意见进行书面答复。质疑答复导致成交结果改变的，采购人或采购代理机构应当将相关情况报财政部门备案。</w:t>
      </w:r>
    </w:p>
    <w:p w14:paraId="4ACFE3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26.5投诉人必须首先经过质疑程序，在对采购人、采购代理机构的答复不满意，或者采购人、采购代理机构未在规定的时间内做出答复的，可以在答复期满后十五个工作日内书面向当地政府采购监督管理部门投诉。</w:t>
      </w:r>
    </w:p>
    <w:p w14:paraId="4F9D85C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lang w:val="en-US" w:eastAsia="zh-CN"/>
        </w:rPr>
        <w:t>27</w:t>
      </w:r>
      <w:r>
        <w:rPr>
          <w:rFonts w:hint="eastAsia" w:ascii="仿宋" w:hAnsi="仿宋" w:eastAsia="仿宋" w:cs="仿宋"/>
          <w:b w:val="0"/>
          <w:bCs/>
          <w:color w:val="auto"/>
          <w:sz w:val="24"/>
          <w:szCs w:val="24"/>
          <w:highlight w:val="none"/>
        </w:rPr>
        <w:t>.需要补充的其他内容</w:t>
      </w:r>
    </w:p>
    <w:p w14:paraId="49D83DA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须知前附表”中若规定可以接受备选方案的，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3652AAB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27</w:t>
      </w:r>
      <w:r>
        <w:rPr>
          <w:rFonts w:hint="eastAsia" w:ascii="仿宋" w:hAnsi="仿宋" w:eastAsia="仿宋" w:cs="仿宋"/>
          <w:b w:val="0"/>
          <w:bCs w:val="0"/>
          <w:color w:val="auto"/>
          <w:sz w:val="24"/>
          <w:szCs w:val="24"/>
          <w:highlight w:val="none"/>
        </w:rPr>
        <w:t>.2本</w:t>
      </w:r>
      <w:r>
        <w:rPr>
          <w:rFonts w:hint="eastAsia" w:ascii="仿宋" w:hAnsi="仿宋" w:eastAsia="仿宋" w:cs="仿宋"/>
          <w:b w:val="0"/>
          <w:bCs w:val="0"/>
          <w:color w:val="auto"/>
          <w:sz w:val="24"/>
          <w:szCs w:val="24"/>
          <w:highlight w:val="none"/>
          <w:lang w:val="en-US" w:eastAsia="zh-CN"/>
        </w:rPr>
        <w:t>采购</w:t>
      </w:r>
      <w:r>
        <w:rPr>
          <w:rFonts w:hint="eastAsia" w:ascii="仿宋" w:hAnsi="仿宋" w:eastAsia="仿宋" w:cs="仿宋"/>
          <w:b w:val="0"/>
          <w:bCs w:val="0"/>
          <w:color w:val="auto"/>
          <w:sz w:val="24"/>
          <w:szCs w:val="24"/>
          <w:highlight w:val="none"/>
        </w:rPr>
        <w:t>项目采购人不统一组织</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对现场情况进行踏勘，由</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根据</w:t>
      </w:r>
      <w:r>
        <w:rPr>
          <w:rFonts w:hint="eastAsia" w:ascii="仿宋" w:hAnsi="仿宋" w:eastAsia="仿宋" w:cs="仿宋"/>
          <w:b w:val="0"/>
          <w:bCs w:val="0"/>
          <w:color w:val="auto"/>
          <w:sz w:val="24"/>
          <w:szCs w:val="24"/>
          <w:highlight w:val="none"/>
          <w:lang w:val="en-US" w:eastAsia="zh-CN"/>
        </w:rPr>
        <w:t>本项目采购需求等</w:t>
      </w:r>
      <w:r>
        <w:rPr>
          <w:rFonts w:hint="eastAsia" w:ascii="仿宋" w:hAnsi="仿宋" w:eastAsia="仿宋" w:cs="仿宋"/>
          <w:b w:val="0"/>
          <w:bCs w:val="0"/>
          <w:color w:val="auto"/>
          <w:sz w:val="24"/>
          <w:szCs w:val="24"/>
          <w:highlight w:val="none"/>
        </w:rPr>
        <w:t>，自行踏勘。</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对踏勘中获取的现场资料</w:t>
      </w:r>
      <w:r>
        <w:rPr>
          <w:rFonts w:hint="eastAsia" w:ascii="仿宋" w:hAnsi="仿宋" w:eastAsia="仿宋" w:cs="仿宋"/>
          <w:b w:val="0"/>
          <w:bCs w:val="0"/>
          <w:color w:val="auto"/>
          <w:sz w:val="24"/>
          <w:szCs w:val="24"/>
          <w:highlight w:val="none"/>
          <w:lang w:val="en-US" w:eastAsia="zh-CN"/>
        </w:rPr>
        <w:t>自行承担理解及应用的责任</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并对踏勘过程中的责任和风险负责，无论</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是否踏勘过</w:t>
      </w:r>
      <w:r>
        <w:rPr>
          <w:rFonts w:hint="eastAsia" w:ascii="仿宋" w:hAnsi="仿宋" w:eastAsia="仿宋" w:cs="仿宋"/>
          <w:b w:val="0"/>
          <w:bCs w:val="0"/>
          <w:color w:val="auto"/>
          <w:sz w:val="24"/>
          <w:szCs w:val="24"/>
          <w:highlight w:val="none"/>
          <w:lang w:val="en-US" w:eastAsia="zh-CN"/>
        </w:rPr>
        <w:t>本项目</w:t>
      </w:r>
      <w:r>
        <w:rPr>
          <w:rFonts w:hint="eastAsia" w:ascii="仿宋" w:hAnsi="仿宋" w:eastAsia="仿宋" w:cs="仿宋"/>
          <w:b w:val="0"/>
          <w:bCs w:val="0"/>
          <w:color w:val="auto"/>
          <w:sz w:val="24"/>
          <w:szCs w:val="24"/>
          <w:highlight w:val="none"/>
        </w:rPr>
        <w:t>现场，均被认为在</w:t>
      </w:r>
      <w:r>
        <w:rPr>
          <w:rFonts w:hint="eastAsia" w:ascii="仿宋" w:hAnsi="仿宋" w:eastAsia="仿宋" w:cs="仿宋"/>
          <w:b w:val="0"/>
          <w:bCs w:val="0"/>
          <w:color w:val="auto"/>
          <w:sz w:val="24"/>
          <w:szCs w:val="24"/>
          <w:highlight w:val="none"/>
          <w:lang w:eastAsia="zh-CN"/>
        </w:rPr>
        <w:t>提交</w:t>
      </w:r>
      <w:r>
        <w:rPr>
          <w:rFonts w:hint="eastAsia" w:ascii="仿宋" w:hAnsi="仿宋" w:eastAsia="仿宋" w:cs="仿宋"/>
          <w:b w:val="0"/>
          <w:bCs w:val="0"/>
          <w:color w:val="auto"/>
          <w:sz w:val="24"/>
          <w:szCs w:val="24"/>
          <w:highlight w:val="none"/>
        </w:rPr>
        <w:t>投标文件之前已踏勘过</w:t>
      </w:r>
      <w:r>
        <w:rPr>
          <w:rFonts w:hint="eastAsia" w:ascii="仿宋" w:hAnsi="仿宋" w:eastAsia="仿宋" w:cs="仿宋"/>
          <w:b w:val="0"/>
          <w:bCs w:val="0"/>
          <w:color w:val="auto"/>
          <w:sz w:val="24"/>
          <w:szCs w:val="24"/>
          <w:highlight w:val="none"/>
          <w:lang w:val="en-US" w:eastAsia="zh-CN"/>
        </w:rPr>
        <w:t>项目</w:t>
      </w:r>
      <w:r>
        <w:rPr>
          <w:rFonts w:hint="eastAsia" w:ascii="仿宋" w:hAnsi="仿宋" w:eastAsia="仿宋" w:cs="仿宋"/>
          <w:b w:val="0"/>
          <w:bCs w:val="0"/>
          <w:color w:val="auto"/>
          <w:sz w:val="24"/>
          <w:szCs w:val="24"/>
          <w:highlight w:val="none"/>
        </w:rPr>
        <w:t>现场，对本项目的风险和义务十分了解，并在其投标文件中充分考虑了</w:t>
      </w:r>
      <w:r>
        <w:rPr>
          <w:rFonts w:hint="eastAsia" w:ascii="仿宋" w:hAnsi="仿宋" w:eastAsia="仿宋" w:cs="仿宋"/>
          <w:b w:val="0"/>
          <w:bCs w:val="0"/>
          <w:color w:val="auto"/>
          <w:sz w:val="24"/>
          <w:szCs w:val="24"/>
          <w:highlight w:val="none"/>
          <w:lang w:val="en-US" w:eastAsia="zh-CN"/>
        </w:rPr>
        <w:t>项目</w:t>
      </w:r>
      <w:r>
        <w:rPr>
          <w:rFonts w:hint="eastAsia" w:ascii="仿宋" w:hAnsi="仿宋" w:eastAsia="仿宋" w:cs="仿宋"/>
          <w:b w:val="0"/>
          <w:bCs w:val="0"/>
          <w:color w:val="auto"/>
          <w:sz w:val="24"/>
          <w:szCs w:val="24"/>
          <w:highlight w:val="none"/>
        </w:rPr>
        <w:t>现场的</w:t>
      </w:r>
      <w:r>
        <w:rPr>
          <w:rFonts w:hint="eastAsia" w:ascii="仿宋" w:hAnsi="仿宋" w:eastAsia="仿宋" w:cs="仿宋"/>
          <w:b w:val="0"/>
          <w:bCs w:val="0"/>
          <w:color w:val="auto"/>
          <w:sz w:val="24"/>
          <w:szCs w:val="24"/>
          <w:highlight w:val="none"/>
          <w:lang w:val="en-US" w:eastAsia="zh-CN"/>
        </w:rPr>
        <w:t>各项</w:t>
      </w:r>
      <w:r>
        <w:rPr>
          <w:rFonts w:hint="eastAsia" w:ascii="仿宋" w:hAnsi="仿宋" w:eastAsia="仿宋" w:cs="仿宋"/>
          <w:b w:val="0"/>
          <w:bCs w:val="0"/>
          <w:color w:val="auto"/>
          <w:sz w:val="24"/>
          <w:szCs w:val="24"/>
          <w:highlight w:val="none"/>
        </w:rPr>
        <w:t>条件</w:t>
      </w:r>
      <w:r>
        <w:rPr>
          <w:rFonts w:hint="eastAsia" w:ascii="仿宋" w:hAnsi="仿宋" w:eastAsia="仿宋" w:cs="仿宋"/>
          <w:b w:val="0"/>
          <w:bCs w:val="0"/>
          <w:color w:val="auto"/>
          <w:sz w:val="24"/>
          <w:szCs w:val="24"/>
          <w:highlight w:val="none"/>
          <w:lang w:eastAsia="zh-CN"/>
        </w:rPr>
        <w:t>。</w:t>
      </w:r>
    </w:p>
    <w:p w14:paraId="604BBE7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.3需要补充的其他内容详见</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须知前附表。</w:t>
      </w:r>
    </w:p>
    <w:p w14:paraId="03EA4AFF">
      <w:pPr>
        <w:pStyle w:val="10"/>
        <w:rPr>
          <w:rFonts w:hint="eastAsia" w:ascii="仿宋" w:hAnsi="仿宋" w:eastAsia="仿宋" w:cs="仿宋"/>
          <w:b/>
          <w:color w:val="auto"/>
          <w:sz w:val="24"/>
          <w:szCs w:val="24"/>
          <w:highlight w:val="none"/>
        </w:rPr>
      </w:pPr>
      <w:bookmarkStart w:id="78" w:name="_Toc1256"/>
    </w:p>
    <w:p w14:paraId="71070222">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472D1DB3">
      <w:pPr>
        <w:shd w:val="clear" w:color="auto" w:fill="auto"/>
        <w:spacing w:line="413"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附件1：</w:t>
      </w:r>
      <w:bookmarkEnd w:id="78"/>
      <w:r>
        <w:rPr>
          <w:rFonts w:hint="eastAsia" w:ascii="仿宋" w:hAnsi="仿宋" w:eastAsia="仿宋" w:cs="仿宋"/>
          <w:b/>
          <w:color w:val="auto"/>
          <w:sz w:val="24"/>
          <w:szCs w:val="24"/>
          <w:highlight w:val="none"/>
        </w:rPr>
        <w:t>政府采购项目电子化交易操作须知</w:t>
      </w:r>
    </w:p>
    <w:p w14:paraId="04907DE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为规范临沧市政府采购电子交易平台操作和使用，整理交易操作流程等内容供各位潜在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学习，请认真阅读以免影响投标。</w:t>
      </w:r>
    </w:p>
    <w:p w14:paraId="6D14C4F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凡有意参加投标者，须提前在政采云平台注册账号并办理数字证书（CA）。涉及电子交易平台使用问题的，请致电</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：95763。</w:t>
      </w:r>
    </w:p>
    <w:p w14:paraId="144A4CE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账号注册：登录</w:t>
      </w:r>
      <w:r>
        <w:rPr>
          <w:rFonts w:hint="eastAsia" w:ascii="仿宋" w:hAnsi="仿宋" w:eastAsia="仿宋" w:cs="仿宋"/>
          <w:color w:val="auto"/>
          <w:sz w:val="24"/>
          <w:szCs w:val="24"/>
          <w:highlight w:val="none"/>
          <w:lang w:eastAsia="zh-CN"/>
        </w:rPr>
        <w:t>“政采云平台”</w:t>
      </w:r>
      <w:r>
        <w:rPr>
          <w:rFonts w:hint="eastAsia" w:ascii="仿宋" w:hAnsi="仿宋" w:eastAsia="仿宋" w:cs="仿宋"/>
          <w:color w:val="auto"/>
          <w:sz w:val="24"/>
          <w:szCs w:val="24"/>
          <w:highlight w:val="none"/>
        </w:rPr>
        <w:t>（https：//www.zcygov.cn/）注册账号。操作路径：政府采购云平台首页—商家入驻—云南省（找到云南省立即前往）—云南省政府采购</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入驻登记（立即登记），</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根据平台系统提示逐步进行操作即可。</w:t>
      </w:r>
    </w:p>
    <w:p w14:paraId="6519130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须办理数字证书（CA），并在政采云绑定数字证书（CA）后线上获取采购文件及其它采购资料。CA申领链接：http：//yzt.ynsmartcert.cn/cms/yztlccb.html云南壹证通CA可支持线上、线下办理方式，并提供7*24小时全天候客户服务支持，客服热线400-004-0628（紧急CA办理电话：19988166369）政府采购云平台支持多家CA服务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可自行选择。CA申领后需登陆政采云平台完成数字证书（CA）绑定才可以使用，数字证书（CA）详见其办理流程。</w:t>
      </w:r>
    </w:p>
    <w:p w14:paraId="0EA15BD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在政采云平台注册账号后，登录</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（www.zcygov.cn），绑定数字证书（CA）后，在线申请获取电子招标（或采购）文件及其他相关资料（如有）；未办理数字证书（CA） 的潜在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，请登录CA数字证书申请系统注册并在网上申请办理证书；此前已经在云南省公共资源交易电子化平台申请过云南CA数字证书的，不用重复申请数字证书，可以互通共用。</w:t>
      </w:r>
    </w:p>
    <w:p w14:paraId="04D9F18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政府采购项目电子化操作流程</w:t>
      </w:r>
    </w:p>
    <w:p w14:paraId="696304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政府采购项目电子化操作学习：请各位潜在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自行登录</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进行学习。（操作路径：登录首页—操作指南—登录</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账号—查看</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操作手册进行学习）。</w:t>
      </w:r>
    </w:p>
    <w:p w14:paraId="23BC185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招标（或采购）文件获取：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可自行在</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下载采购文件（操作路径：登录</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—项目采购—获取采购文件—找到本项目—点击“申请获取采购文件”）。获取时间截止到截标前，请各位</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合理安排好时间，妥善处理好文件下载与制作响应文件时间关系。</w:t>
      </w:r>
    </w:p>
    <w:p w14:paraId="6DC756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投标（或响应）文件编制与导入</w:t>
      </w:r>
    </w:p>
    <w:p w14:paraId="33C3BFB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投标（或响应）文件编制：（操作路径：政采云投标客户端—投标响应文件编制），电子投标（响应）文件应使用</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（http：//www.zcygov.cn）中下载的政采云电子投标客户端制作，并进行电子签章及加密后上传至</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w:t>
      </w:r>
    </w:p>
    <w:p w14:paraId="568D6C7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提交的电子标书不符合（1）要求或开标时无法读取导入或解密，其投标（响应）文件将不予受理。</w:t>
      </w:r>
    </w:p>
    <w:p w14:paraId="3E3AF77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投标（或响应）文件导入：单个资料上传不能大于100MB或300MB（具体以政采云平台系统要求为准）。</w:t>
      </w:r>
    </w:p>
    <w:p w14:paraId="2951CC8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投标文件格式：</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应当在政采云电子投标客户端上编制投标（或响应）文件，并生成电子加密标书，响应文件制作完成并生成加密标书后，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需在开标前将加密的响应文件上传至政采云平台。具体操作请下载附件（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政府采购电子交易平台操作指南）</w:t>
      </w:r>
    </w:p>
    <w:p w14:paraId="19CC23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投标（或响应）文件递交：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必须通过</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递交电子投标响应文件。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须在投标截止时间前递交投标文件，完成所有电子投标文件的上传。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投标文件提交截止时间前可以补充、修改或者撤回投标文件。补充或者修改投标文件的，应当先行撤回原文件，补充、修改后重新上传、递交。投标截止时间前未完成投标文件传输的，视为未上传或撤回投标文件。不通过</w:t>
      </w:r>
      <w:r>
        <w:rPr>
          <w:rFonts w:hint="eastAsia" w:ascii="仿宋" w:hAnsi="仿宋" w:eastAsia="仿宋" w:cs="仿宋"/>
          <w:color w:val="auto"/>
          <w:sz w:val="24"/>
          <w:szCs w:val="24"/>
          <w:highlight w:val="none"/>
          <w:lang w:val="en-US" w:eastAsia="zh-CN"/>
        </w:rPr>
        <w:t>“政采云平台”</w:t>
      </w:r>
      <w:r>
        <w:rPr>
          <w:rFonts w:hint="eastAsia" w:ascii="仿宋" w:hAnsi="仿宋" w:eastAsia="仿宋" w:cs="仿宋"/>
          <w:color w:val="auto"/>
          <w:sz w:val="24"/>
          <w:szCs w:val="24"/>
          <w:highlight w:val="none"/>
        </w:rPr>
        <w:t>递交投标文件的，均为无效</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6BFC28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采用网上开标，远程解密投标响应文件，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无须参加开标活动。</w:t>
      </w:r>
    </w:p>
    <w:p w14:paraId="4DED696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远程解密、签字确认时间：本项目远程解密时间为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分钟，签名确认时间为5分钟，请</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务必携带加密数字证书在规定的时间内完成投标响应文件解密和签名确认工作。若在规定的时间内不能成功完成网上远程解密的，则视为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放弃此次投标；若未在签名确认时间内完成签名确认，则视为对本次开标无异议。</w:t>
      </w:r>
    </w:p>
    <w:p w14:paraId="0876E89D">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4AC634CF">
      <w:pPr>
        <w:pStyle w:val="3"/>
        <w:numPr>
          <w:ilvl w:val="0"/>
          <w:numId w:val="0"/>
        </w:numPr>
        <w:shd w:val="clear" w:color="auto" w:fill="auto"/>
        <w:tabs>
          <w:tab w:val="left" w:pos="360"/>
        </w:tabs>
        <w:ind w:left="0" w:leftChars="0" w:firstLine="0" w:firstLineChars="0"/>
        <w:jc w:val="center"/>
        <w:rPr>
          <w:rFonts w:hint="eastAsia" w:ascii="仿宋" w:hAnsi="仿宋" w:eastAsia="仿宋" w:cs="仿宋"/>
          <w:color w:val="auto"/>
          <w:sz w:val="32"/>
          <w:szCs w:val="32"/>
          <w:highlight w:val="none"/>
        </w:rPr>
      </w:pPr>
      <w:bookmarkStart w:id="79" w:name="_Toc21165"/>
      <w:bookmarkStart w:id="80" w:name="_Toc28379"/>
      <w:r>
        <w:rPr>
          <w:rFonts w:hint="eastAsia" w:ascii="仿宋" w:hAnsi="仿宋" w:eastAsia="仿宋" w:cs="仿宋"/>
          <w:b/>
          <w:color w:val="auto"/>
          <w:kern w:val="44"/>
          <w:sz w:val="32"/>
          <w:szCs w:val="32"/>
          <w:lang w:val="en-US" w:eastAsia="zh-CN" w:bidi="ar"/>
        </w:rPr>
        <w:t xml:space="preserve">第三章   </w:t>
      </w:r>
      <w:r>
        <w:rPr>
          <w:rFonts w:hint="eastAsia" w:ascii="仿宋" w:hAnsi="仿宋" w:eastAsia="仿宋" w:cs="仿宋"/>
          <w:color w:val="auto"/>
          <w:sz w:val="32"/>
          <w:szCs w:val="32"/>
          <w:highlight w:val="none"/>
        </w:rPr>
        <w:t>评标方法（综合评分法）</w:t>
      </w:r>
      <w:bookmarkEnd w:id="79"/>
      <w:bookmarkEnd w:id="80"/>
    </w:p>
    <w:p w14:paraId="792AE8C4">
      <w:pPr>
        <w:numPr>
          <w:ilvl w:val="0"/>
          <w:numId w:val="0"/>
        </w:numPr>
        <w:jc w:val="center"/>
        <w:rPr>
          <w:rFonts w:hint="eastAsia" w:ascii="仿宋" w:hAnsi="仿宋" w:eastAsia="仿宋" w:cs="仿宋"/>
          <w:highlight w:val="none"/>
          <w:lang w:val="en-US" w:eastAsia="zh-CN"/>
        </w:rPr>
      </w:pPr>
      <w:r>
        <w:rPr>
          <w:rFonts w:hint="eastAsia" w:ascii="仿宋" w:hAnsi="仿宋" w:eastAsia="仿宋" w:cs="仿宋"/>
          <w:b/>
          <w:color w:val="auto"/>
          <w:kern w:val="44"/>
          <w:sz w:val="32"/>
          <w:szCs w:val="32"/>
          <w:highlight w:val="none"/>
          <w:lang w:val="en-US" w:eastAsia="zh-CN" w:bidi="ar"/>
        </w:rPr>
        <w:t>第一标段评标办法</w:t>
      </w:r>
    </w:p>
    <w:p w14:paraId="61F9AB6F">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color w:val="auto"/>
          <w:sz w:val="24"/>
          <w:szCs w:val="24"/>
          <w:highlight w:val="none"/>
        </w:rPr>
        <w:t>评标方法前附表</w:t>
      </w:r>
      <w:bookmarkStart w:id="81" w:name="_Toc15395"/>
      <w:bookmarkStart w:id="82" w:name="_Toc312150716"/>
      <w:bookmarkStart w:id="83" w:name="_Toc393222602"/>
      <w:bookmarkStart w:id="84" w:name="_Toc354867106"/>
      <w:bookmarkStart w:id="85" w:name="_Toc24895"/>
      <w:bookmarkStart w:id="86" w:name="_Toc313403325"/>
    </w:p>
    <w:tbl>
      <w:tblPr>
        <w:tblStyle w:val="26"/>
        <w:tblpPr w:leftFromText="180" w:rightFromText="180" w:vertAnchor="text" w:tblpXSpec="center" w:tblpY="1"/>
        <w:tblOverlap w:val="never"/>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
        <w:gridCol w:w="3566"/>
        <w:gridCol w:w="4537"/>
      </w:tblGrid>
      <w:tr w14:paraId="1139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34" w:type="dxa"/>
            <w:gridSpan w:val="2"/>
            <w:noWrap w:val="0"/>
            <w:vAlign w:val="center"/>
          </w:tcPr>
          <w:p w14:paraId="5A82FB1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3566" w:type="dxa"/>
            <w:noWrap w:val="0"/>
            <w:vAlign w:val="center"/>
          </w:tcPr>
          <w:p w14:paraId="66FD2B3B">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 审 内 容</w:t>
            </w:r>
          </w:p>
        </w:tc>
        <w:tc>
          <w:tcPr>
            <w:tcW w:w="4537" w:type="dxa"/>
            <w:noWrap w:val="0"/>
            <w:vAlign w:val="center"/>
          </w:tcPr>
          <w:p w14:paraId="24D535E8">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 审 标 准</w:t>
            </w:r>
          </w:p>
        </w:tc>
      </w:tr>
      <w:tr w14:paraId="5DF1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tcBorders>
              <w:right w:val="single" w:color="auto" w:sz="4" w:space="0"/>
            </w:tcBorders>
            <w:noWrap w:val="0"/>
            <w:vAlign w:val="center"/>
          </w:tcPr>
          <w:p w14:paraId="2D09050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.1.1</w:t>
            </w:r>
          </w:p>
        </w:tc>
        <w:tc>
          <w:tcPr>
            <w:tcW w:w="606" w:type="dxa"/>
            <w:vMerge w:val="restart"/>
            <w:tcBorders>
              <w:top w:val="single" w:color="auto" w:sz="4" w:space="0"/>
              <w:left w:val="single" w:color="auto" w:sz="4" w:space="0"/>
              <w:right w:val="single" w:color="auto" w:sz="4" w:space="0"/>
            </w:tcBorders>
            <w:noWrap w:val="0"/>
            <w:vAlign w:val="center"/>
          </w:tcPr>
          <w:p w14:paraId="022E1D7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3566" w:type="dxa"/>
            <w:tcBorders>
              <w:left w:val="single" w:color="auto" w:sz="4" w:space="0"/>
            </w:tcBorders>
            <w:noWrap w:val="0"/>
            <w:vAlign w:val="center"/>
          </w:tcPr>
          <w:p w14:paraId="0EE5E4A1">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营业执照</w:t>
            </w:r>
          </w:p>
        </w:tc>
        <w:tc>
          <w:tcPr>
            <w:tcW w:w="4537" w:type="dxa"/>
            <w:noWrap w:val="0"/>
            <w:vAlign w:val="center"/>
          </w:tcPr>
          <w:p w14:paraId="53F8D80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供应商须为在中华人民共和国注册且具有独立承担民事责任能力的法人或其他组织，持有有效的法人或者其他组织的营业执照等证明文件</w:t>
            </w:r>
            <w:r>
              <w:rPr>
                <w:rFonts w:hint="eastAsia" w:ascii="仿宋" w:hAnsi="仿宋" w:eastAsia="仿宋" w:cs="仿宋"/>
                <w:color w:val="auto"/>
                <w:sz w:val="24"/>
                <w:szCs w:val="24"/>
                <w:highlight w:val="none"/>
                <w:lang w:eastAsia="zh-CN"/>
              </w:rPr>
              <w:t>。</w:t>
            </w:r>
          </w:p>
        </w:tc>
      </w:tr>
      <w:tr w14:paraId="6B7A2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613A191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0BEEFAB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noWrap w:val="0"/>
            <w:vAlign w:val="center"/>
          </w:tcPr>
          <w:p w14:paraId="11B724B6">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供应商须具有良好的商业信誉和健全的财务会计制度</w:t>
            </w:r>
          </w:p>
        </w:tc>
        <w:tc>
          <w:tcPr>
            <w:tcW w:w="4537" w:type="dxa"/>
            <w:noWrap w:val="0"/>
            <w:vAlign w:val="center"/>
          </w:tcPr>
          <w:p w14:paraId="105B396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提供2023、2024年度任意一年度财务报表（资产负债表、现金流量表、利润表）（2025年以后新成立的公司则提供银行出具的资信证明或验资报告等）。</w:t>
            </w:r>
          </w:p>
        </w:tc>
      </w:tr>
      <w:tr w14:paraId="16C8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5D708B7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10C2EF4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noWrap w:val="0"/>
            <w:vAlign w:val="center"/>
          </w:tcPr>
          <w:p w14:paraId="760F05BC">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供应商须具有履行合同所必需的设备和专业技术能力</w:t>
            </w:r>
          </w:p>
        </w:tc>
        <w:tc>
          <w:tcPr>
            <w:tcW w:w="4537" w:type="dxa"/>
            <w:noWrap w:val="0"/>
            <w:vAlign w:val="center"/>
          </w:tcPr>
          <w:p w14:paraId="5A9A2B8C">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投标文件中提供承诺书或证明材料</w:t>
            </w:r>
          </w:p>
        </w:tc>
      </w:tr>
      <w:tr w14:paraId="49B6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978781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58E9BE0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noWrap w:val="0"/>
            <w:vAlign w:val="center"/>
          </w:tcPr>
          <w:p w14:paraId="4BCFA85D">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lang w:val="en-US" w:eastAsia="zh-CN"/>
              </w:rPr>
            </w:pPr>
            <w:r>
              <w:rPr>
                <w:rFonts w:hint="eastAsia" w:ascii="仿宋" w:hAnsi="仿宋" w:eastAsia="仿宋" w:cs="仿宋"/>
                <w:color w:val="auto"/>
                <w:sz w:val="24"/>
                <w:szCs w:val="24"/>
                <w:highlight w:val="none"/>
                <w:lang w:val="en-US" w:eastAsia="zh-CN"/>
              </w:rPr>
              <w:t>供应商须具有依法缴纳税收和社保资金的良好记录</w:t>
            </w:r>
          </w:p>
        </w:tc>
        <w:tc>
          <w:tcPr>
            <w:tcW w:w="4537" w:type="dxa"/>
            <w:noWrap w:val="0"/>
            <w:vAlign w:val="center"/>
          </w:tcPr>
          <w:p w14:paraId="551E8C52">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提供税务局税收通用缴款书或银行电子缴税（费）凭证或税务局出具纳税情况的相关证明（新成立的供应商，提供情况说明或未拖欠税收、社保资金承诺或证明材料）；依法免税或无需缴纳社会保障资金的供应商，应具有相应证明文件。</w:t>
            </w:r>
          </w:p>
        </w:tc>
      </w:tr>
      <w:tr w14:paraId="6CB7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47B2C3F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402EC43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noWrap w:val="0"/>
            <w:vAlign w:val="center"/>
          </w:tcPr>
          <w:p w14:paraId="354FA347">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参加政府采购活动前三年内，在经营活动中没有重大违法记录（没有因违法经营受到刑事处罚或者没有被责令停产停业、被吊销许可证或者执照、被处以较大数额罚款等行政处罚，没有因违法经营被禁止参加政府采购活动的期限未满情形）。</w:t>
            </w:r>
          </w:p>
        </w:tc>
        <w:tc>
          <w:tcPr>
            <w:tcW w:w="4537" w:type="dxa"/>
            <w:noWrap w:val="0"/>
            <w:vAlign w:val="center"/>
          </w:tcPr>
          <w:p w14:paraId="5C2E739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投标文件中提供承诺书或证明材料</w:t>
            </w:r>
          </w:p>
        </w:tc>
      </w:tr>
      <w:tr w14:paraId="1D88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72E59C3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21C97AD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noWrap w:val="0"/>
            <w:vAlign w:val="center"/>
          </w:tcPr>
          <w:p w14:paraId="25509EB7">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信誉要求：供应商未被列入“信用中国”网站（www.creditchina.gov.cn）“失信被执行人”、“重大税收违法案件当事人名单”、“政府采购严重违法失信行为记录名单”及中国政府采购网（www.ccgp.gov.cn）“政府采购严重违法失信行为信息记录”（被禁止在一定期限内参加政府采购活动但期限届满的除外，查询方式及时间：由采购人或采购代理机构在项目评审前在上述官网统一查询）。</w:t>
            </w:r>
          </w:p>
        </w:tc>
        <w:tc>
          <w:tcPr>
            <w:tcW w:w="4537" w:type="dxa"/>
            <w:noWrap w:val="0"/>
            <w:vAlign w:val="center"/>
          </w:tcPr>
          <w:p w14:paraId="1582B2C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购人或代理机构于项目评审前在“信用中国”网站（www.creditchina.gov.cn）和“中国政府采购网”（www.ccgp.gov.cn）进行查询，供应商若被列入上述任意一项查询名单的，不予通过资格评审，其投标文件按无效响应处理，并留存查询结果的网页截图或网页打印稿。</w:t>
            </w:r>
          </w:p>
        </w:tc>
      </w:tr>
      <w:tr w14:paraId="1C07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noWrap w:val="0"/>
            <w:vAlign w:val="center"/>
          </w:tcPr>
          <w:p w14:paraId="123200B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tcBorders>
              <w:left w:val="single" w:color="auto" w:sz="4" w:space="0"/>
              <w:right w:val="single" w:color="auto" w:sz="4" w:space="0"/>
            </w:tcBorders>
            <w:noWrap w:val="0"/>
            <w:vAlign w:val="center"/>
          </w:tcPr>
          <w:p w14:paraId="1C2C137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tcBorders>
              <w:left w:val="single" w:color="auto" w:sz="4" w:space="0"/>
            </w:tcBorders>
            <w:shd w:val="clear" w:color="auto" w:fill="auto"/>
            <w:noWrap w:val="0"/>
            <w:vAlign w:val="center"/>
          </w:tcPr>
          <w:p w14:paraId="7BDC3AA0">
            <w:pPr>
              <w:pStyle w:val="13"/>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根据《中华人民共和国政府采购法实施条例》第十八条规定，单位负责人为同一人或者存在直接控股、管理关系的不同供应商，不得参加同一合同项下的政府采购活动</w:t>
            </w:r>
          </w:p>
        </w:tc>
        <w:tc>
          <w:tcPr>
            <w:tcW w:w="4537" w:type="dxa"/>
            <w:shd w:val="clear" w:color="auto" w:fill="auto"/>
            <w:noWrap w:val="0"/>
            <w:vAlign w:val="center"/>
          </w:tcPr>
          <w:p w14:paraId="2BCCD7E4">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投标文件中提供承诺书或证明材料</w:t>
            </w:r>
          </w:p>
        </w:tc>
      </w:tr>
      <w:tr w14:paraId="64CF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noWrap w:val="0"/>
            <w:vAlign w:val="center"/>
          </w:tcPr>
          <w:p w14:paraId="32F9E2D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.1.2</w:t>
            </w:r>
          </w:p>
        </w:tc>
        <w:tc>
          <w:tcPr>
            <w:tcW w:w="606" w:type="dxa"/>
            <w:vMerge w:val="restart"/>
            <w:tcBorders>
              <w:top w:val="single" w:color="auto" w:sz="4" w:space="0"/>
            </w:tcBorders>
            <w:noWrap w:val="0"/>
            <w:vAlign w:val="center"/>
          </w:tcPr>
          <w:p w14:paraId="75D1E79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符合性评审标准</w:t>
            </w:r>
          </w:p>
        </w:tc>
        <w:tc>
          <w:tcPr>
            <w:tcW w:w="3566" w:type="dxa"/>
            <w:noWrap w:val="0"/>
            <w:vAlign w:val="center"/>
          </w:tcPr>
          <w:p w14:paraId="71151F15">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投标保证金</w:t>
            </w:r>
          </w:p>
        </w:tc>
        <w:tc>
          <w:tcPr>
            <w:tcW w:w="4537" w:type="dxa"/>
            <w:noWrap w:val="0"/>
            <w:vAlign w:val="center"/>
          </w:tcPr>
          <w:p w14:paraId="77BCD37C">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按时、足额缴纳投标保证金</w:t>
            </w:r>
          </w:p>
        </w:tc>
      </w:tr>
      <w:tr w14:paraId="27BD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064E3E1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62E81E8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3014E70D">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投标文件格式及内容</w:t>
            </w:r>
          </w:p>
        </w:tc>
        <w:tc>
          <w:tcPr>
            <w:tcW w:w="4537" w:type="dxa"/>
            <w:noWrap w:val="0"/>
            <w:vAlign w:val="center"/>
          </w:tcPr>
          <w:p w14:paraId="6AC6433F">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符合招标文件中规定的“投标文件格式”的要求</w:t>
            </w:r>
          </w:p>
        </w:tc>
      </w:tr>
      <w:tr w14:paraId="5C07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714EF5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6252F56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2F350277">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投标文件签字盖章</w:t>
            </w:r>
          </w:p>
        </w:tc>
        <w:tc>
          <w:tcPr>
            <w:tcW w:w="4537" w:type="dxa"/>
            <w:noWrap w:val="0"/>
            <w:vAlign w:val="center"/>
          </w:tcPr>
          <w:p w14:paraId="3E8E5AC9">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有法定代表人或委托代理人签字及加盖单位</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w:t>
            </w:r>
          </w:p>
        </w:tc>
      </w:tr>
      <w:tr w14:paraId="7D0A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A5FBB9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77D29DE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50D566F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法定代表人身份证明书</w:t>
            </w:r>
          </w:p>
        </w:tc>
        <w:tc>
          <w:tcPr>
            <w:tcW w:w="4537" w:type="dxa"/>
            <w:noWrap w:val="0"/>
            <w:vAlign w:val="center"/>
          </w:tcPr>
          <w:p w14:paraId="537605CF">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符合招标文件规定的格式及内容</w:t>
            </w:r>
          </w:p>
        </w:tc>
      </w:tr>
      <w:tr w14:paraId="3EC4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11F2ED1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460B4DF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10DE5F5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法定代表人授权委托书</w:t>
            </w:r>
          </w:p>
        </w:tc>
        <w:tc>
          <w:tcPr>
            <w:tcW w:w="4537" w:type="dxa"/>
            <w:noWrap w:val="0"/>
            <w:vAlign w:val="center"/>
          </w:tcPr>
          <w:p w14:paraId="33DDF7A4">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符合招标文件规定的格式及内容</w:t>
            </w:r>
          </w:p>
        </w:tc>
      </w:tr>
      <w:tr w14:paraId="1257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6876FBD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3334064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43B811BB">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法定代表人或委托代理人身份证</w:t>
            </w:r>
          </w:p>
        </w:tc>
        <w:tc>
          <w:tcPr>
            <w:tcW w:w="4537" w:type="dxa"/>
            <w:noWrap w:val="0"/>
            <w:vAlign w:val="center"/>
          </w:tcPr>
          <w:p w14:paraId="1EDC5EBB">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投标文件中提供扫描件</w:t>
            </w:r>
          </w:p>
        </w:tc>
      </w:tr>
      <w:tr w14:paraId="042C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28" w:type="dxa"/>
            <w:vMerge w:val="continue"/>
            <w:noWrap w:val="0"/>
            <w:vAlign w:val="center"/>
          </w:tcPr>
          <w:p w14:paraId="2B1E5B5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141CF59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14F6DBB2">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rPr>
              <w:t>投标报价</w:t>
            </w:r>
          </w:p>
        </w:tc>
        <w:tc>
          <w:tcPr>
            <w:tcW w:w="4537" w:type="dxa"/>
            <w:noWrap w:val="0"/>
            <w:vAlign w:val="center"/>
          </w:tcPr>
          <w:p w14:paraId="63C15E82">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符合“</w:t>
            </w:r>
            <w:r>
              <w:rPr>
                <w:rFonts w:hint="eastAsia" w:ascii="仿宋" w:hAnsi="仿宋" w:eastAsia="仿宋" w:cs="仿宋"/>
                <w:color w:val="auto"/>
                <w:sz w:val="24"/>
                <w:szCs w:val="24"/>
                <w:highlight w:val="none"/>
                <w:lang w:eastAsia="zh-CN"/>
              </w:rPr>
              <w:t>供应商须知前附表</w:t>
            </w:r>
            <w:r>
              <w:rPr>
                <w:rFonts w:hint="eastAsia" w:ascii="仿宋" w:hAnsi="仿宋" w:eastAsia="仿宋" w:cs="仿宋"/>
                <w:color w:val="auto"/>
                <w:sz w:val="24"/>
                <w:szCs w:val="24"/>
                <w:highlight w:val="none"/>
                <w:lang w:val="en-US" w:eastAsia="zh-CN"/>
              </w:rPr>
              <w:t>4”的规定</w:t>
            </w:r>
          </w:p>
        </w:tc>
      </w:tr>
      <w:tr w14:paraId="47C8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28" w:type="dxa"/>
            <w:vMerge w:val="continue"/>
            <w:noWrap w:val="0"/>
            <w:vAlign w:val="center"/>
          </w:tcPr>
          <w:p w14:paraId="1FE8D3B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52838CE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7EDB8C14">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建设地点</w:t>
            </w:r>
          </w:p>
        </w:tc>
        <w:tc>
          <w:tcPr>
            <w:tcW w:w="4537" w:type="dxa"/>
            <w:noWrap w:val="0"/>
            <w:vAlign w:val="center"/>
          </w:tcPr>
          <w:p w14:paraId="65E49C52">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符合招标文件规定</w:t>
            </w:r>
          </w:p>
        </w:tc>
      </w:tr>
      <w:tr w14:paraId="2632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28" w:type="dxa"/>
            <w:vMerge w:val="continue"/>
            <w:noWrap w:val="0"/>
            <w:vAlign w:val="center"/>
          </w:tcPr>
          <w:p w14:paraId="5EEF31F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2A6CC35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shd w:val="clear" w:color="auto" w:fill="auto"/>
            <w:noWrap w:val="0"/>
            <w:vAlign w:val="center"/>
          </w:tcPr>
          <w:p w14:paraId="17A1F20A">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合同履约期限</w:t>
            </w:r>
          </w:p>
        </w:tc>
        <w:tc>
          <w:tcPr>
            <w:tcW w:w="4537" w:type="dxa"/>
            <w:shd w:val="clear" w:color="auto" w:fill="auto"/>
            <w:noWrap w:val="0"/>
            <w:vAlign w:val="center"/>
          </w:tcPr>
          <w:p w14:paraId="09C09FB2">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符合招标文件规定</w:t>
            </w:r>
          </w:p>
        </w:tc>
      </w:tr>
      <w:tr w14:paraId="5275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28" w:type="dxa"/>
            <w:vMerge w:val="continue"/>
            <w:noWrap w:val="0"/>
            <w:vAlign w:val="center"/>
          </w:tcPr>
          <w:p w14:paraId="1442BC9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6C387DD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shd w:val="clear" w:color="auto" w:fill="auto"/>
            <w:noWrap w:val="0"/>
            <w:vAlign w:val="center"/>
          </w:tcPr>
          <w:p w14:paraId="7CF87552">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投标有效期</w:t>
            </w:r>
            <w:bookmarkStart w:id="106" w:name="_GoBack"/>
            <w:bookmarkEnd w:id="106"/>
          </w:p>
        </w:tc>
        <w:tc>
          <w:tcPr>
            <w:tcW w:w="4537" w:type="dxa"/>
            <w:shd w:val="clear" w:color="auto" w:fill="auto"/>
            <w:noWrap w:val="0"/>
            <w:vAlign w:val="center"/>
          </w:tcPr>
          <w:p w14:paraId="2ED3F59F">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符合招标文件规定</w:t>
            </w:r>
          </w:p>
        </w:tc>
      </w:tr>
      <w:tr w14:paraId="7B69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19D6D73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5B1ADB9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37DBFD7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无效</w:t>
            </w:r>
            <w:r>
              <w:rPr>
                <w:rFonts w:hint="eastAsia" w:ascii="仿宋" w:hAnsi="仿宋" w:eastAsia="仿宋" w:cs="仿宋"/>
                <w:color w:val="auto"/>
                <w:sz w:val="24"/>
                <w:szCs w:val="24"/>
                <w:highlight w:val="none"/>
                <w:lang w:val="en-US" w:eastAsia="zh-CN"/>
              </w:rPr>
              <w:t>投</w:t>
            </w:r>
            <w:r>
              <w:rPr>
                <w:rFonts w:hint="eastAsia" w:ascii="仿宋" w:hAnsi="仿宋" w:eastAsia="仿宋" w:cs="仿宋"/>
                <w:color w:val="auto"/>
                <w:sz w:val="24"/>
                <w:szCs w:val="24"/>
                <w:highlight w:val="none"/>
              </w:rPr>
              <w:t>标条件</w:t>
            </w:r>
          </w:p>
        </w:tc>
        <w:tc>
          <w:tcPr>
            <w:tcW w:w="4537" w:type="dxa"/>
            <w:noWrap w:val="0"/>
            <w:vAlign w:val="center"/>
          </w:tcPr>
          <w:p w14:paraId="50143229">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供应商或投标文件有下列情形之一的，其投标作无效标处理：</w:t>
            </w:r>
          </w:p>
          <w:p w14:paraId="3F00A0D5">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1.投标文件的内容及有关材料弄虚作假；</w:t>
            </w:r>
          </w:p>
          <w:p w14:paraId="1D15408D">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2.有串通投标或有其他违法行为的；</w:t>
            </w:r>
          </w:p>
          <w:p w14:paraId="017BFE94">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3.投标文件不符合招标文件规定的实质性要求；</w:t>
            </w:r>
          </w:p>
          <w:p w14:paraId="33E05951">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4.投标文件不按规定格式及内容填写；</w:t>
            </w:r>
          </w:p>
          <w:p w14:paraId="73805E67">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5.投标文件未按招标文件规定的要求签名与盖章的；</w:t>
            </w:r>
          </w:p>
          <w:p w14:paraId="720E7FB3">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6.供应商不按评标委员会要求对投标文件相关内容进行澄清、说明或补正的；</w:t>
            </w:r>
          </w:p>
          <w:p w14:paraId="4D3F8C0E">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7.供应商拒绝对投标文件中存在的算术错误按规定进行修正的；</w:t>
            </w:r>
          </w:p>
          <w:p w14:paraId="64B7EF44">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8.投标文件附有其他</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人不能接受的条件的；</w:t>
            </w:r>
          </w:p>
          <w:p w14:paraId="0B301F67">
            <w:pPr>
              <w:keepNext w:val="0"/>
              <w:keepLines w:val="0"/>
              <w:pageBreakBefore w:val="0"/>
              <w:widowControl w:val="0"/>
              <w:kinsoku/>
              <w:wordWrap w:val="0"/>
              <w:overflowPunct/>
              <w:topLinePunct w:val="0"/>
              <w:autoSpaceDE/>
              <w:autoSpaceDN/>
              <w:bidi w:val="0"/>
              <w:snapToGrid/>
              <w:spacing w:line="4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9.不同单位的投标文件出现芯片序列号、硬盘序列号、网卡序列号中的某一项或几项一致的</w:t>
            </w:r>
            <w:r>
              <w:rPr>
                <w:rFonts w:hint="eastAsia" w:ascii="仿宋" w:hAnsi="仿宋" w:eastAsia="仿宋" w:cs="仿宋"/>
                <w:color w:val="auto"/>
                <w:sz w:val="24"/>
                <w:szCs w:val="24"/>
                <w:highlight w:val="none"/>
              </w:rPr>
              <w:t>。</w:t>
            </w:r>
          </w:p>
          <w:p w14:paraId="6EF13D8B">
            <w:pPr>
              <w:pStyle w:val="13"/>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10.法律、法规和招标文件规定的其他无效情形</w:t>
            </w:r>
          </w:p>
        </w:tc>
      </w:tr>
      <w:tr w14:paraId="3982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noWrap w:val="0"/>
            <w:vAlign w:val="center"/>
          </w:tcPr>
          <w:p w14:paraId="2120EDD2">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w:t>
            </w:r>
          </w:p>
        </w:tc>
        <w:tc>
          <w:tcPr>
            <w:tcW w:w="606" w:type="dxa"/>
            <w:vMerge w:val="restart"/>
            <w:tcBorders>
              <w:top w:val="single" w:color="auto" w:sz="4" w:space="0"/>
            </w:tcBorders>
            <w:noWrap w:val="0"/>
            <w:vAlign w:val="center"/>
          </w:tcPr>
          <w:p w14:paraId="6D394CA2">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详细评审标准</w:t>
            </w:r>
          </w:p>
        </w:tc>
        <w:tc>
          <w:tcPr>
            <w:tcW w:w="3566" w:type="dxa"/>
            <w:noWrap w:val="0"/>
            <w:vAlign w:val="center"/>
          </w:tcPr>
          <w:p w14:paraId="187BBBB5">
            <w:pPr>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highlight w:val="none"/>
              </w:rPr>
              <w:t>评标总得分计算公式</w:t>
            </w:r>
          </w:p>
        </w:tc>
        <w:tc>
          <w:tcPr>
            <w:tcW w:w="4537" w:type="dxa"/>
            <w:noWrap w:val="0"/>
            <w:vAlign w:val="center"/>
          </w:tcPr>
          <w:p w14:paraId="07B9C6E5">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的评标总得分＝F1＋F2＋F3</w:t>
            </w:r>
            <w:r>
              <w:rPr>
                <w:rFonts w:hint="eastAsia" w:ascii="仿宋" w:hAnsi="仿宋" w:eastAsia="仿宋" w:cs="仿宋"/>
                <w:color w:val="auto"/>
                <w:sz w:val="24"/>
                <w:szCs w:val="24"/>
                <w:highlight w:val="none"/>
                <w:lang w:val="en-US" w:eastAsia="zh-CN"/>
              </w:rPr>
              <w:t>+F4+F5+F6+F7+F8</w:t>
            </w:r>
          </w:p>
          <w:p w14:paraId="56CC2079">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其中：F1、F2、F3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F4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F5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F6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F7、F8,8</w:t>
            </w:r>
            <w:r>
              <w:rPr>
                <w:rFonts w:hint="eastAsia" w:ascii="仿宋" w:hAnsi="仿宋" w:eastAsia="仿宋" w:cs="仿宋"/>
                <w:color w:val="auto"/>
                <w:sz w:val="24"/>
                <w:szCs w:val="24"/>
                <w:highlight w:val="none"/>
              </w:rPr>
              <w:t>项评分因素的汇总得分。</w:t>
            </w:r>
          </w:p>
        </w:tc>
      </w:tr>
      <w:tr w14:paraId="4EEE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5682D58D">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noWrap w:val="0"/>
            <w:vAlign w:val="center"/>
          </w:tcPr>
          <w:p w14:paraId="7A94A5A1">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3566" w:type="dxa"/>
            <w:noWrap w:val="0"/>
            <w:vAlign w:val="center"/>
          </w:tcPr>
          <w:p w14:paraId="756D360C">
            <w:pPr>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F1</w:t>
            </w:r>
            <w:r>
              <w:rPr>
                <w:rFonts w:hint="eastAsia" w:ascii="仿宋" w:hAnsi="仿宋" w:eastAsia="仿宋" w:cs="仿宋"/>
                <w:color w:val="auto"/>
                <w:sz w:val="24"/>
                <w:szCs w:val="24"/>
              </w:rPr>
              <w:t>报价得分</w:t>
            </w:r>
          </w:p>
          <w:p w14:paraId="040BFDA7">
            <w:pPr>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rPr>
              <w:t>（满分</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分）</w:t>
            </w:r>
          </w:p>
        </w:tc>
        <w:tc>
          <w:tcPr>
            <w:tcW w:w="4537" w:type="dxa"/>
            <w:noWrap w:val="0"/>
            <w:vAlign w:val="center"/>
          </w:tcPr>
          <w:p w14:paraId="10094180">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供应商提供的产品符合政策要求的小微企业（监狱企业、残疾人福利性单位）制造的其报价给予10%扣除，评标委员会应当用扣除后的价格参与评审，即评审报价=投标报价×（1-10%）。该扣除后的评审报价仅作为计算报价得分之用，不作为采购合同签订报价，采购合同价格仍按供应商的实际报价进行签订。</w:t>
            </w:r>
          </w:p>
          <w:p w14:paraId="73C6D507">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highlight w:val="none"/>
              </w:rPr>
              <w:t>投标报价计算公式=（评标基准价/该</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报价）×</w:t>
            </w:r>
            <w:r>
              <w:rPr>
                <w:rFonts w:hint="eastAsia" w:ascii="仿宋" w:hAnsi="仿宋" w:eastAsia="仿宋" w:cs="仿宋"/>
                <w:color w:val="auto"/>
                <w:sz w:val="24"/>
                <w:szCs w:val="24"/>
                <w:highlight w:val="none"/>
                <w:lang w:val="en-US" w:eastAsia="zh-CN"/>
              </w:rPr>
              <w:t>10。</w:t>
            </w:r>
          </w:p>
          <w:p w14:paraId="30D5ADEE">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评标基准价为经初步评审合格且</w:t>
            </w:r>
            <w:r>
              <w:rPr>
                <w:rFonts w:hint="eastAsia" w:ascii="仿宋" w:hAnsi="仿宋" w:eastAsia="仿宋" w:cs="仿宋"/>
                <w:color w:val="auto"/>
                <w:sz w:val="24"/>
                <w:szCs w:val="24"/>
                <w:highlight w:val="none"/>
                <w:lang w:val="en-US" w:eastAsia="zh-CN"/>
              </w:rPr>
              <w:t>该</w:t>
            </w:r>
            <w:r>
              <w:rPr>
                <w:rFonts w:hint="eastAsia" w:ascii="仿宋" w:hAnsi="仿宋" w:eastAsia="仿宋" w:cs="仿宋"/>
                <w:color w:val="auto"/>
                <w:sz w:val="24"/>
                <w:szCs w:val="24"/>
                <w:highlight w:val="none"/>
              </w:rPr>
              <w:t>价格最低的投标报价；</w:t>
            </w:r>
          </w:p>
          <w:p w14:paraId="58D25F75">
            <w:pPr>
              <w:spacing w:line="360" w:lineRule="exac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（2）评审过程中，不得去掉报价中的最高报价和最低报价。</w:t>
            </w:r>
          </w:p>
          <w:p w14:paraId="57027A81">
            <w:pPr>
              <w:spacing w:line="3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、投标报价超预算的按废标处理。</w:t>
            </w:r>
          </w:p>
        </w:tc>
      </w:tr>
      <w:tr w14:paraId="2395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5D3F417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606" w:type="dxa"/>
            <w:vMerge w:val="continue"/>
            <w:noWrap w:val="0"/>
            <w:vAlign w:val="center"/>
          </w:tcPr>
          <w:p w14:paraId="6F8433B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仿宋" w:hAnsi="仿宋" w:eastAsia="仿宋" w:cs="仿宋"/>
                <w:color w:val="auto"/>
                <w:sz w:val="24"/>
                <w:szCs w:val="24"/>
                <w:highlight w:val="none"/>
              </w:rPr>
            </w:pPr>
          </w:p>
        </w:tc>
        <w:tc>
          <w:tcPr>
            <w:tcW w:w="3566" w:type="dxa"/>
            <w:noWrap w:val="0"/>
            <w:vAlign w:val="center"/>
          </w:tcPr>
          <w:p w14:paraId="7918339C">
            <w:pPr>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F2</w:t>
            </w:r>
            <w:r>
              <w:rPr>
                <w:rFonts w:hint="eastAsia" w:ascii="仿宋" w:hAnsi="仿宋" w:eastAsia="仿宋" w:cs="仿宋"/>
                <w:color w:val="auto"/>
                <w:sz w:val="24"/>
                <w:szCs w:val="24"/>
                <w:lang w:val="zh-CN"/>
              </w:rPr>
              <w:t>项目实施计划方案评审</w:t>
            </w:r>
          </w:p>
          <w:p w14:paraId="1128FE40">
            <w:pPr>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zh-CN"/>
              </w:rPr>
              <w:t>（满分</w:t>
            </w:r>
            <w:r>
              <w:rPr>
                <w:rFonts w:hint="eastAsia" w:ascii="仿宋" w:hAnsi="仿宋" w:eastAsia="仿宋" w:cs="仿宋"/>
                <w:color w:val="auto"/>
                <w:sz w:val="24"/>
                <w:szCs w:val="24"/>
              </w:rPr>
              <w:t>20</w:t>
            </w:r>
            <w:r>
              <w:rPr>
                <w:rFonts w:hint="eastAsia" w:ascii="仿宋" w:hAnsi="仿宋" w:eastAsia="仿宋" w:cs="仿宋"/>
                <w:color w:val="auto"/>
                <w:sz w:val="24"/>
                <w:szCs w:val="24"/>
                <w:lang w:val="zh-CN"/>
              </w:rPr>
              <w:t>分）</w:t>
            </w:r>
          </w:p>
        </w:tc>
        <w:tc>
          <w:tcPr>
            <w:tcW w:w="4537" w:type="dxa"/>
            <w:noWrap w:val="0"/>
            <w:vAlign w:val="center"/>
          </w:tcPr>
          <w:p w14:paraId="2929F5F6">
            <w:pPr>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项目实施计划方案内容完整、方案科学合理、针对性及可操作性强技术保证措施比较完善，具有一定的项目实施经验，能保证各项目标完成</w:t>
            </w:r>
            <w:r>
              <w:rPr>
                <w:rFonts w:hint="eastAsia" w:ascii="仿宋" w:hAnsi="仿宋" w:eastAsia="仿宋" w:cs="仿宋"/>
                <w:color w:val="auto"/>
                <w:sz w:val="24"/>
                <w:szCs w:val="24"/>
                <w:lang w:eastAsia="zh-CN"/>
              </w:rPr>
              <w:t>的得</w:t>
            </w:r>
            <w:r>
              <w:rPr>
                <w:rFonts w:hint="eastAsia" w:ascii="仿宋" w:hAnsi="仿宋" w:eastAsia="仿宋" w:cs="仿宋"/>
                <w:color w:val="auto"/>
                <w:sz w:val="24"/>
                <w:szCs w:val="24"/>
                <w:lang w:val="en-US" w:eastAsia="zh-CN"/>
              </w:rPr>
              <w:t>12-20分</w:t>
            </w:r>
            <w:r>
              <w:rPr>
                <w:rFonts w:hint="eastAsia" w:ascii="仿宋" w:hAnsi="仿宋" w:eastAsia="仿宋" w:cs="仿宋"/>
                <w:color w:val="auto"/>
                <w:sz w:val="24"/>
                <w:szCs w:val="24"/>
              </w:rPr>
              <w:t>；</w:t>
            </w:r>
          </w:p>
          <w:p w14:paraId="2954F820">
            <w:pPr>
              <w:spacing w:line="360" w:lineRule="exact"/>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项目实施计划方案基本能保证项目实施，但针对性及操作性一般，技术保证措施完善</w:t>
            </w:r>
            <w:r>
              <w:rPr>
                <w:rFonts w:hint="eastAsia" w:ascii="仿宋" w:hAnsi="仿宋" w:eastAsia="仿宋" w:cs="仿宋"/>
                <w:color w:val="auto"/>
                <w:sz w:val="24"/>
                <w:szCs w:val="24"/>
                <w:lang w:eastAsia="zh-CN"/>
              </w:rPr>
              <w:t>的得</w:t>
            </w:r>
            <w:r>
              <w:rPr>
                <w:rFonts w:hint="eastAsia" w:ascii="仿宋" w:hAnsi="仿宋" w:eastAsia="仿宋" w:cs="仿宋"/>
                <w:color w:val="auto"/>
                <w:sz w:val="24"/>
                <w:szCs w:val="24"/>
              </w:rPr>
              <w:t>6</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分</w:t>
            </w:r>
            <w:r>
              <w:rPr>
                <w:rFonts w:hint="eastAsia" w:ascii="仿宋" w:hAnsi="仿宋" w:eastAsia="仿宋" w:cs="仿宋"/>
                <w:color w:val="auto"/>
                <w:sz w:val="24"/>
                <w:szCs w:val="24"/>
                <w:lang w:eastAsia="zh-CN"/>
              </w:rPr>
              <w:t>；</w:t>
            </w:r>
          </w:p>
          <w:p w14:paraId="5C33648E">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项目实施计划方案不完整，针对性及可操作性差，技术保证措施不完善</w:t>
            </w:r>
            <w:r>
              <w:rPr>
                <w:rFonts w:hint="eastAsia" w:ascii="仿宋" w:hAnsi="仿宋" w:eastAsia="仿宋" w:cs="仿宋"/>
                <w:color w:val="auto"/>
                <w:sz w:val="24"/>
                <w:szCs w:val="24"/>
                <w:lang w:eastAsia="zh-CN"/>
              </w:rPr>
              <w:t>的得</w:t>
            </w:r>
            <w:r>
              <w:rPr>
                <w:rFonts w:hint="eastAsia" w:ascii="仿宋" w:hAnsi="仿宋" w:eastAsia="仿宋" w:cs="仿宋"/>
                <w:color w:val="auto"/>
                <w:sz w:val="24"/>
                <w:szCs w:val="24"/>
                <w:lang w:val="en-US" w:eastAsia="zh-CN"/>
              </w:rPr>
              <w:t>1-5分；</w:t>
            </w:r>
          </w:p>
          <w:p w14:paraId="29BB2D17">
            <w:pPr>
              <w:pStyle w:val="8"/>
              <w:ind w:left="0" w:leftChars="0" w:firstLine="0" w:firstLineChars="0"/>
              <w:rPr>
                <w:rFonts w:hint="eastAsia" w:ascii="仿宋" w:hAnsi="仿宋" w:eastAsia="仿宋" w:cs="仿宋"/>
              </w:rPr>
            </w:pPr>
            <w:r>
              <w:rPr>
                <w:rFonts w:hint="eastAsia" w:ascii="仿宋" w:hAnsi="仿宋" w:eastAsia="仿宋" w:cs="仿宋"/>
                <w:color w:val="auto"/>
                <w:sz w:val="24"/>
                <w:szCs w:val="24"/>
                <w:lang w:val="en-US" w:eastAsia="zh-CN"/>
              </w:rPr>
              <w:t>4.</w:t>
            </w:r>
            <w:r>
              <w:rPr>
                <w:rFonts w:hint="eastAsia" w:ascii="仿宋" w:hAnsi="仿宋" w:eastAsia="仿宋" w:cs="仿宋"/>
                <w:sz w:val="24"/>
                <w:szCs w:val="24"/>
                <w:rtl w:val="0"/>
                <w:lang w:val="en-US" w:eastAsia="zh-CN"/>
              </w:rPr>
              <w:t>未提供</w:t>
            </w:r>
            <w:r>
              <w:rPr>
                <w:rFonts w:hint="eastAsia" w:ascii="仿宋" w:hAnsi="仿宋" w:eastAsia="仿宋" w:cs="仿宋"/>
                <w:color w:val="auto"/>
                <w:sz w:val="24"/>
                <w:szCs w:val="24"/>
                <w:lang w:val="en-US" w:eastAsia="zh-CN"/>
              </w:rPr>
              <w:t>质量承诺及保证措施</w:t>
            </w:r>
            <w:r>
              <w:rPr>
                <w:rFonts w:hint="eastAsia" w:ascii="仿宋" w:hAnsi="仿宋" w:eastAsia="仿宋" w:cs="仿宋"/>
                <w:sz w:val="24"/>
                <w:szCs w:val="24"/>
                <w:rtl w:val="0"/>
                <w:lang w:val="en-US" w:eastAsia="zh-CN"/>
              </w:rPr>
              <w:t>的不得分。</w:t>
            </w:r>
          </w:p>
        </w:tc>
      </w:tr>
      <w:tr w14:paraId="4D40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noWrap w:val="0"/>
            <w:vAlign w:val="center"/>
          </w:tcPr>
          <w:p w14:paraId="3BBBDF78">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noWrap w:val="0"/>
            <w:vAlign w:val="center"/>
          </w:tcPr>
          <w:p w14:paraId="5A9D8B8E">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3566" w:type="dxa"/>
            <w:noWrap w:val="0"/>
            <w:vAlign w:val="center"/>
          </w:tcPr>
          <w:p w14:paraId="3A188603">
            <w:pPr>
              <w:spacing w:line="3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F3质量承诺及保证措施评审</w:t>
            </w:r>
          </w:p>
          <w:p w14:paraId="3A497E31">
            <w:pPr>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满分</w:t>
            </w:r>
            <w:r>
              <w:rPr>
                <w:rFonts w:hint="eastAsia" w:ascii="仿宋" w:hAnsi="仿宋" w:eastAsia="仿宋" w:cs="仿宋"/>
                <w:color w:val="auto"/>
                <w:sz w:val="24"/>
                <w:szCs w:val="24"/>
                <w:lang w:val="en-US" w:eastAsia="zh-CN"/>
              </w:rPr>
              <w:t>10分）</w:t>
            </w:r>
          </w:p>
        </w:tc>
        <w:tc>
          <w:tcPr>
            <w:tcW w:w="4537" w:type="dxa"/>
            <w:noWrap w:val="0"/>
            <w:vAlign w:val="center"/>
          </w:tcPr>
          <w:p w14:paraId="461BCAA7">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1.质量承诺满足招标文件且有具体的违约责任承诺，质量保证措施科学、合理，措施得当针对性强的得7-10分；</w:t>
            </w:r>
          </w:p>
          <w:p w14:paraId="554B6B04">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2.质量承诺满足招标文件且有具体的违约责任承诺，质量保证措施基本得当，针对性一般的得4-6分；</w:t>
            </w:r>
          </w:p>
          <w:p w14:paraId="36C83D8E">
            <w:p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3.质量承诺满足招标文件且有具体的违约责任承诺，质量保证措施不得当，无针对性的得1-3分；</w:t>
            </w:r>
          </w:p>
          <w:p w14:paraId="7131848E">
            <w:pPr>
              <w:pStyle w:val="8"/>
              <w:ind w:left="0" w:leftChars="0" w:firstLine="0" w:firstLineChars="0"/>
              <w:rPr>
                <w:rFonts w:hint="eastAsia" w:ascii="仿宋" w:hAnsi="仿宋" w:eastAsia="仿宋" w:cs="仿宋"/>
                <w:lang w:val="en-US" w:eastAsia="zh-CN"/>
              </w:rPr>
            </w:pPr>
            <w:r>
              <w:rPr>
                <w:rFonts w:hint="eastAsia" w:ascii="仿宋" w:hAnsi="仿宋" w:eastAsia="仿宋" w:cs="仿宋"/>
                <w:color w:val="auto"/>
                <w:sz w:val="24"/>
                <w:szCs w:val="24"/>
                <w:lang w:val="en-US" w:eastAsia="zh-CN"/>
              </w:rPr>
              <w:t>4.</w:t>
            </w:r>
            <w:r>
              <w:rPr>
                <w:rFonts w:hint="eastAsia" w:ascii="仿宋" w:hAnsi="仿宋" w:eastAsia="仿宋" w:cs="仿宋"/>
                <w:sz w:val="24"/>
                <w:szCs w:val="24"/>
                <w:rtl w:val="0"/>
                <w:lang w:val="en-US" w:eastAsia="zh-CN"/>
              </w:rPr>
              <w:t>未提供</w:t>
            </w:r>
            <w:r>
              <w:rPr>
                <w:rFonts w:hint="eastAsia" w:ascii="仿宋" w:hAnsi="仿宋" w:eastAsia="仿宋" w:cs="仿宋"/>
                <w:color w:val="auto"/>
                <w:sz w:val="24"/>
                <w:szCs w:val="24"/>
                <w:lang w:val="en-US" w:eastAsia="zh-CN"/>
              </w:rPr>
              <w:t>质量承诺及保证措施</w:t>
            </w:r>
            <w:r>
              <w:rPr>
                <w:rFonts w:hint="eastAsia" w:ascii="仿宋" w:hAnsi="仿宋" w:eastAsia="仿宋" w:cs="仿宋"/>
                <w:sz w:val="24"/>
                <w:szCs w:val="24"/>
                <w:rtl w:val="0"/>
                <w:lang w:val="en-US" w:eastAsia="zh-CN"/>
              </w:rPr>
              <w:t>的不得分。</w:t>
            </w:r>
          </w:p>
        </w:tc>
      </w:tr>
      <w:tr w14:paraId="1D42A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noWrap w:val="0"/>
            <w:vAlign w:val="center"/>
          </w:tcPr>
          <w:p w14:paraId="39CA0B72">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noWrap w:val="0"/>
            <w:vAlign w:val="center"/>
          </w:tcPr>
          <w:p w14:paraId="58ECE0AB">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3566" w:type="dxa"/>
            <w:shd w:val="clear" w:color="auto" w:fill="auto"/>
            <w:noWrap w:val="0"/>
            <w:vAlign w:val="center"/>
          </w:tcPr>
          <w:p w14:paraId="1169A91B">
            <w:pPr>
              <w:spacing w:line="3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F4服务保障评审</w:t>
            </w:r>
          </w:p>
          <w:p w14:paraId="70D406A3">
            <w:pPr>
              <w:spacing w:line="3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lang w:val="en-US" w:eastAsia="zh-CN"/>
              </w:rPr>
              <w:t>（满分10分）</w:t>
            </w:r>
          </w:p>
        </w:tc>
        <w:tc>
          <w:tcPr>
            <w:tcW w:w="4537" w:type="dxa"/>
            <w:shd w:val="clear" w:color="auto" w:fill="auto"/>
            <w:noWrap w:val="0"/>
            <w:vAlign w:val="center"/>
          </w:tcPr>
          <w:p w14:paraId="0A2B5119">
            <w:pPr>
              <w:numPr>
                <w:ilvl w:val="0"/>
                <w:numId w:val="0"/>
              </w:num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1.合同履约期限承诺满足招标文件要求，有具体的违约责任，合同履约期限保证措施科学、合理且有针对性的得7-10分；</w:t>
            </w:r>
          </w:p>
          <w:p w14:paraId="25A67CCC">
            <w:pPr>
              <w:numPr>
                <w:ilvl w:val="0"/>
                <w:numId w:val="0"/>
              </w:num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2.合同履约期限满足招标文件要求，违约责任不具体，合同履约期限保证措施基本合理但针对性一般的得4-6分；</w:t>
            </w:r>
          </w:p>
          <w:p w14:paraId="4DE06B63">
            <w:pPr>
              <w:numPr>
                <w:ilvl w:val="0"/>
                <w:numId w:val="0"/>
              </w:numPr>
              <w:spacing w:line="360" w:lineRule="exact"/>
              <w:ind w:left="0" w:leftChars="0" w:firstLine="0" w:firstLineChars="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3.合同履约期限承诺满足招标文件要求，无违约责任，合同履约期限保证措施不合理，无针对性的得1-3分。</w:t>
            </w:r>
          </w:p>
          <w:p w14:paraId="3740DDD7">
            <w:pPr>
              <w:pStyle w:val="34"/>
              <w:rPr>
                <w:rFonts w:hint="eastAsia" w:ascii="仿宋" w:hAnsi="仿宋" w:eastAsia="仿宋" w:cs="仿宋"/>
                <w:rtl w:val="0"/>
                <w:lang w:val="en-US" w:eastAsia="zh-CN"/>
              </w:rPr>
            </w:pPr>
            <w:r>
              <w:rPr>
                <w:rFonts w:hint="eastAsia" w:ascii="仿宋" w:hAnsi="仿宋" w:eastAsia="仿宋" w:cs="仿宋"/>
                <w:color w:val="auto"/>
                <w:sz w:val="24"/>
                <w:szCs w:val="24"/>
                <w:lang w:val="en-US" w:eastAsia="zh-CN"/>
              </w:rPr>
              <w:t>4.未提供服务保障的不得分。</w:t>
            </w:r>
          </w:p>
        </w:tc>
      </w:tr>
      <w:tr w14:paraId="7B73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vAlign w:val="center"/>
          </w:tcPr>
          <w:p w14:paraId="4B9EC4C3">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vAlign w:val="center"/>
          </w:tcPr>
          <w:p w14:paraId="0A2AECD4">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0" w:type="auto"/>
            <w:shd w:val="clear" w:color="auto" w:fill="auto"/>
            <w:vAlign w:val="center"/>
          </w:tcPr>
          <w:p w14:paraId="1330D665">
            <w:pPr>
              <w:spacing w:line="3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F5施工技术方案评审</w:t>
            </w:r>
          </w:p>
          <w:p w14:paraId="25553228">
            <w:pPr>
              <w:spacing w:line="3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（满分10分）</w:t>
            </w:r>
          </w:p>
        </w:tc>
        <w:tc>
          <w:tcPr>
            <w:tcW w:w="0" w:type="auto"/>
            <w:shd w:val="clear" w:color="auto" w:fill="auto"/>
            <w:vAlign w:val="center"/>
          </w:tcPr>
          <w:p w14:paraId="104A90C5">
            <w:pPr>
              <w:numPr>
                <w:ilvl w:val="0"/>
                <w:numId w:val="0"/>
              </w:num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1.施工技术方案和措施科学合理，针对性强，施工部署全面，具有较强的施工技术能力，对施工重点、难点解决方案和保证措施强的得7-10分；</w:t>
            </w:r>
          </w:p>
          <w:p w14:paraId="635E5CF3">
            <w:pPr>
              <w:numPr>
                <w:ilvl w:val="0"/>
                <w:numId w:val="0"/>
              </w:numPr>
              <w:spacing w:line="360" w:lineRule="exact"/>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2.施工技术方案和措施科学合理，但针对性一般，施工部署一般，对施工重点、难点解决方案和保证措施比较一般4-6分；</w:t>
            </w:r>
          </w:p>
          <w:p w14:paraId="445B4C95">
            <w:pPr>
              <w:numPr>
                <w:ilvl w:val="0"/>
                <w:numId w:val="0"/>
              </w:numPr>
              <w:spacing w:line="360" w:lineRule="exact"/>
              <w:ind w:left="0" w:leftChars="0" w:firstLine="0" w:firstLineChars="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3.施工技术方案和措施科学合理，但针对性比较弱，施工部署不全面，对施工重点、难点解决方案和保证措施不当的得1-3分；</w:t>
            </w:r>
          </w:p>
          <w:p w14:paraId="4BF158EA">
            <w:pPr>
              <w:pStyle w:val="8"/>
              <w:ind w:left="0" w:leftChars="0" w:firstLine="0" w:firstLineChars="0"/>
              <w:rPr>
                <w:rFonts w:hint="eastAsia" w:ascii="仿宋" w:hAnsi="仿宋" w:eastAsia="仿宋" w:cs="仿宋"/>
                <w:rtl w:val="0"/>
                <w:lang w:val="en-US" w:eastAsia="zh-CN"/>
              </w:rPr>
            </w:pPr>
            <w:r>
              <w:rPr>
                <w:rFonts w:hint="eastAsia" w:ascii="仿宋" w:hAnsi="仿宋" w:eastAsia="仿宋" w:cs="仿宋"/>
                <w:color w:val="auto"/>
                <w:sz w:val="24"/>
                <w:szCs w:val="24"/>
                <w:lang w:val="en-US" w:eastAsia="zh-CN"/>
              </w:rPr>
              <w:t>4.</w:t>
            </w:r>
            <w:r>
              <w:rPr>
                <w:rFonts w:hint="eastAsia" w:ascii="仿宋" w:hAnsi="仿宋" w:eastAsia="仿宋" w:cs="仿宋"/>
                <w:sz w:val="24"/>
                <w:szCs w:val="24"/>
                <w:rtl w:val="0"/>
                <w:lang w:val="en-US" w:eastAsia="zh-CN"/>
              </w:rPr>
              <w:t>未提供施工技术方案的不得分。</w:t>
            </w:r>
          </w:p>
        </w:tc>
      </w:tr>
      <w:tr w14:paraId="6359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vAlign w:val="center"/>
          </w:tcPr>
          <w:p w14:paraId="65227BC3">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vAlign w:val="center"/>
          </w:tcPr>
          <w:p w14:paraId="2F6A33F5">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0" w:type="auto"/>
            <w:shd w:val="clear" w:color="auto" w:fill="auto"/>
            <w:vAlign w:val="center"/>
          </w:tcPr>
          <w:p w14:paraId="62EFC7C3">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F6培训方案</w:t>
            </w:r>
          </w:p>
          <w:p w14:paraId="6244ED0E">
            <w:pPr>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（满分15分）</w:t>
            </w:r>
          </w:p>
        </w:tc>
        <w:tc>
          <w:tcPr>
            <w:tcW w:w="0" w:type="auto"/>
            <w:shd w:val="clear" w:color="auto" w:fill="auto"/>
            <w:vAlign w:val="center"/>
          </w:tcPr>
          <w:p w14:paraId="553AF7B9">
            <w:pPr>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培训方案明确、合理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针对性比较完善</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得</w:t>
            </w:r>
            <w:r>
              <w:rPr>
                <w:rFonts w:hint="eastAsia" w:ascii="仿宋" w:hAnsi="仿宋" w:eastAsia="仿宋" w:cs="仿宋"/>
                <w:color w:val="auto"/>
                <w:sz w:val="24"/>
                <w:szCs w:val="24"/>
                <w:lang w:val="en-US" w:eastAsia="zh-CN"/>
              </w:rPr>
              <w:t>10-15</w:t>
            </w:r>
            <w:r>
              <w:rPr>
                <w:rFonts w:hint="eastAsia" w:ascii="仿宋" w:hAnsi="仿宋" w:eastAsia="仿宋" w:cs="仿宋"/>
                <w:color w:val="auto"/>
                <w:sz w:val="24"/>
                <w:szCs w:val="24"/>
              </w:rPr>
              <w:t>分；</w:t>
            </w:r>
          </w:p>
          <w:p w14:paraId="001A0DBB">
            <w:pPr>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培训方案明确、合理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针对</w:t>
            </w:r>
            <w:r>
              <w:rPr>
                <w:rFonts w:hint="eastAsia" w:ascii="仿宋" w:hAnsi="仿宋" w:eastAsia="仿宋" w:cs="仿宋"/>
                <w:color w:val="auto"/>
                <w:sz w:val="24"/>
                <w:szCs w:val="24"/>
              </w:rPr>
              <w:t>性一般的得</w:t>
            </w:r>
            <w:r>
              <w:rPr>
                <w:rFonts w:hint="eastAsia" w:ascii="仿宋" w:hAnsi="仿宋" w:eastAsia="仿宋" w:cs="仿宋"/>
                <w:color w:val="auto"/>
                <w:sz w:val="24"/>
                <w:szCs w:val="24"/>
                <w:lang w:val="en-US" w:eastAsia="zh-CN"/>
              </w:rPr>
              <w:t>4-9</w:t>
            </w:r>
            <w:r>
              <w:rPr>
                <w:rFonts w:hint="eastAsia" w:ascii="仿宋" w:hAnsi="仿宋" w:eastAsia="仿宋" w:cs="仿宋"/>
                <w:color w:val="auto"/>
                <w:sz w:val="24"/>
                <w:szCs w:val="24"/>
              </w:rPr>
              <w:t>分；</w:t>
            </w:r>
          </w:p>
          <w:p w14:paraId="6A7C5E7B">
            <w:pPr>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培训方案明确、合理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针对性性差的得</w:t>
            </w:r>
            <w:r>
              <w:rPr>
                <w:rFonts w:hint="eastAsia" w:ascii="仿宋" w:hAnsi="仿宋" w:eastAsia="仿宋" w:cs="仿宋"/>
                <w:color w:val="auto"/>
                <w:sz w:val="24"/>
                <w:szCs w:val="24"/>
                <w:lang w:val="en-US" w:eastAsia="zh-CN"/>
              </w:rPr>
              <w:t>1-3</w:t>
            </w:r>
            <w:r>
              <w:rPr>
                <w:rFonts w:hint="eastAsia" w:ascii="仿宋" w:hAnsi="仿宋" w:eastAsia="仿宋" w:cs="仿宋"/>
                <w:color w:val="auto"/>
                <w:sz w:val="24"/>
                <w:szCs w:val="24"/>
              </w:rPr>
              <w:t>分；</w:t>
            </w:r>
          </w:p>
          <w:p w14:paraId="69D01CB3">
            <w:pPr>
              <w:pStyle w:val="8"/>
              <w:ind w:left="0" w:leftChars="0" w:firstLine="0" w:firstLineChars="0"/>
              <w:rPr>
                <w:rFonts w:hint="eastAsia" w:ascii="仿宋" w:hAnsi="仿宋" w:eastAsia="仿宋" w:cs="仿宋"/>
                <w:rtl w:val="0"/>
                <w:lang w:val="en-US" w:eastAsia="zh-CN"/>
              </w:rPr>
            </w:pPr>
            <w:r>
              <w:rPr>
                <w:rFonts w:hint="eastAsia" w:ascii="仿宋" w:hAnsi="仿宋" w:eastAsia="仿宋" w:cs="仿宋"/>
                <w:rtl w:val="0"/>
                <w:lang w:val="en-US" w:eastAsia="zh-CN"/>
              </w:rPr>
              <w:t>4.</w:t>
            </w:r>
            <w:r>
              <w:rPr>
                <w:rFonts w:hint="eastAsia" w:ascii="仿宋" w:hAnsi="仿宋" w:eastAsia="仿宋" w:cs="仿宋"/>
                <w:sz w:val="24"/>
                <w:szCs w:val="24"/>
                <w:rtl w:val="0"/>
                <w:lang w:val="en-US" w:eastAsia="zh-CN"/>
              </w:rPr>
              <w:t>未提供培训方案的不得分。</w:t>
            </w:r>
          </w:p>
        </w:tc>
      </w:tr>
      <w:tr w14:paraId="1DE4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vAlign w:val="center"/>
          </w:tcPr>
          <w:p w14:paraId="5140BEE2">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vAlign w:val="center"/>
          </w:tcPr>
          <w:p w14:paraId="46846A09">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3566" w:type="dxa"/>
            <w:shd w:val="clear" w:color="auto" w:fill="auto"/>
            <w:vAlign w:val="center"/>
          </w:tcPr>
          <w:p w14:paraId="475179EE">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F7应急预案评审</w:t>
            </w:r>
          </w:p>
          <w:p w14:paraId="7AF3D112">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（满分10分）</w:t>
            </w:r>
          </w:p>
        </w:tc>
        <w:tc>
          <w:tcPr>
            <w:tcW w:w="4537" w:type="dxa"/>
            <w:shd w:val="clear" w:color="auto" w:fill="auto"/>
            <w:vAlign w:val="center"/>
          </w:tcPr>
          <w:p w14:paraId="3ADE6460">
            <w:pPr>
              <w:numPr>
                <w:ilvl w:val="0"/>
                <w:numId w:val="0"/>
              </w:numPr>
              <w:spacing w:line="360" w:lineRule="exact"/>
              <w:jc w:val="both"/>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1.应急方案及保障措施完善具体、针对性及合理性优的，得5-10分；</w:t>
            </w:r>
          </w:p>
          <w:p w14:paraId="1078848E">
            <w:pPr>
              <w:numPr>
                <w:ilvl w:val="0"/>
                <w:numId w:val="0"/>
              </w:numPr>
              <w:spacing w:line="360" w:lineRule="exact"/>
              <w:jc w:val="both"/>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2.应急方案及保障措施基本可行、针对性及合理性一般的，得1-4分；</w:t>
            </w:r>
          </w:p>
          <w:p w14:paraId="4829D563">
            <w:pPr>
              <w:spacing w:line="360" w:lineRule="exact"/>
              <w:jc w:val="both"/>
              <w:rPr>
                <w:rFonts w:hint="eastAsia" w:ascii="仿宋" w:hAnsi="仿宋" w:eastAsia="仿宋" w:cs="仿宋"/>
                <w:sz w:val="24"/>
                <w:szCs w:val="24"/>
              </w:rPr>
            </w:pPr>
            <w:r>
              <w:rPr>
                <w:rFonts w:hint="eastAsia" w:ascii="仿宋" w:hAnsi="仿宋" w:eastAsia="仿宋" w:cs="仿宋"/>
                <w:sz w:val="24"/>
                <w:szCs w:val="24"/>
                <w:rtl w:val="0"/>
                <w:lang w:val="en-US" w:eastAsia="zh-CN"/>
              </w:rPr>
              <w:t>3.未提供应急预案方案的不得分。</w:t>
            </w:r>
          </w:p>
        </w:tc>
      </w:tr>
      <w:tr w14:paraId="6D6A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28" w:type="dxa"/>
            <w:vMerge w:val="continue"/>
            <w:vAlign w:val="center"/>
          </w:tcPr>
          <w:p w14:paraId="723C0373">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606" w:type="dxa"/>
            <w:vMerge w:val="continue"/>
            <w:vAlign w:val="center"/>
          </w:tcPr>
          <w:p w14:paraId="4E3F8745">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仿宋" w:hAnsi="仿宋" w:eastAsia="仿宋" w:cs="仿宋"/>
                <w:b/>
                <w:bCs/>
                <w:color w:val="auto"/>
                <w:sz w:val="24"/>
                <w:szCs w:val="24"/>
                <w:highlight w:val="none"/>
              </w:rPr>
            </w:pPr>
          </w:p>
        </w:tc>
        <w:tc>
          <w:tcPr>
            <w:tcW w:w="0" w:type="auto"/>
            <w:shd w:val="clear" w:color="auto" w:fill="auto"/>
            <w:vAlign w:val="center"/>
          </w:tcPr>
          <w:p w14:paraId="63D8F38E">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F8劳动力安排和材料投入计划及其保证措施评审</w:t>
            </w:r>
          </w:p>
          <w:p w14:paraId="52A19255">
            <w:pPr>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（满分15分）</w:t>
            </w:r>
          </w:p>
        </w:tc>
        <w:tc>
          <w:tcPr>
            <w:tcW w:w="0" w:type="auto"/>
            <w:shd w:val="clear" w:color="auto" w:fill="auto"/>
            <w:vAlign w:val="center"/>
          </w:tcPr>
          <w:p w14:paraId="307AE281">
            <w:pPr>
              <w:spacing w:line="360" w:lineRule="exact"/>
              <w:jc w:val="both"/>
              <w:rPr>
                <w:rFonts w:hint="eastAsia" w:ascii="仿宋" w:hAnsi="仿宋" w:eastAsia="仿宋" w:cs="仿宋"/>
                <w:sz w:val="24"/>
                <w:szCs w:val="24"/>
              </w:rPr>
            </w:pPr>
            <w:r>
              <w:rPr>
                <w:rFonts w:hint="eastAsia" w:ascii="仿宋" w:hAnsi="仿宋" w:eastAsia="仿宋" w:cs="仿宋"/>
                <w:sz w:val="24"/>
                <w:szCs w:val="24"/>
              </w:rPr>
              <w:t>1.劳动力安排和材料投入计划科学合理、切实可行、针对性强的得</w:t>
            </w:r>
            <w:r>
              <w:rPr>
                <w:rFonts w:hint="eastAsia" w:ascii="仿宋" w:hAnsi="仿宋" w:eastAsia="仿宋" w:cs="仿宋"/>
                <w:sz w:val="24"/>
                <w:szCs w:val="24"/>
                <w:lang w:val="en-US" w:eastAsia="zh-CN"/>
              </w:rPr>
              <w:t>10</w:t>
            </w:r>
            <w:r>
              <w:rPr>
                <w:rFonts w:hint="eastAsia" w:ascii="仿宋" w:hAnsi="仿宋" w:eastAsia="仿宋" w:cs="仿宋"/>
                <w:sz w:val="24"/>
                <w:szCs w:val="24"/>
              </w:rPr>
              <w:t>-</w:t>
            </w:r>
            <w:r>
              <w:rPr>
                <w:rFonts w:hint="eastAsia" w:ascii="仿宋" w:hAnsi="仿宋" w:eastAsia="仿宋" w:cs="仿宋"/>
                <w:sz w:val="24"/>
                <w:szCs w:val="24"/>
                <w:lang w:val="en-US" w:eastAsia="zh-CN"/>
              </w:rPr>
              <w:t>15</w:t>
            </w:r>
            <w:r>
              <w:rPr>
                <w:rFonts w:hint="eastAsia" w:ascii="仿宋" w:hAnsi="仿宋" w:eastAsia="仿宋" w:cs="仿宋"/>
                <w:sz w:val="24"/>
                <w:szCs w:val="24"/>
              </w:rPr>
              <w:t>分；</w:t>
            </w:r>
          </w:p>
          <w:p w14:paraId="6041AF49">
            <w:pPr>
              <w:spacing w:line="360" w:lineRule="exact"/>
              <w:jc w:val="both"/>
              <w:rPr>
                <w:rFonts w:hint="eastAsia" w:ascii="仿宋" w:hAnsi="仿宋" w:eastAsia="仿宋" w:cs="仿宋"/>
                <w:sz w:val="24"/>
                <w:szCs w:val="24"/>
              </w:rPr>
            </w:pPr>
            <w:r>
              <w:rPr>
                <w:rFonts w:hint="eastAsia" w:ascii="仿宋" w:hAnsi="仿宋" w:eastAsia="仿宋" w:cs="仿宋"/>
                <w:sz w:val="24"/>
                <w:szCs w:val="24"/>
              </w:rPr>
              <w:t>2.劳动力安排和材料投入计划基本合理、基本可行、针对性一般的得</w:t>
            </w:r>
            <w:r>
              <w:rPr>
                <w:rFonts w:hint="eastAsia" w:ascii="仿宋" w:hAnsi="仿宋" w:eastAsia="仿宋" w:cs="仿宋"/>
                <w:sz w:val="24"/>
                <w:szCs w:val="24"/>
                <w:lang w:val="en-US" w:eastAsia="zh-CN"/>
              </w:rPr>
              <w:t>4</w:t>
            </w: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分；</w:t>
            </w:r>
          </w:p>
          <w:p w14:paraId="0EAEC062">
            <w:pPr>
              <w:spacing w:line="360" w:lineRule="exact"/>
              <w:jc w:val="both"/>
              <w:rPr>
                <w:rFonts w:hint="eastAsia" w:ascii="仿宋" w:hAnsi="仿宋" w:eastAsia="仿宋" w:cs="仿宋"/>
                <w:sz w:val="24"/>
                <w:szCs w:val="24"/>
                <w:lang w:eastAsia="zh-CN"/>
              </w:rPr>
            </w:pPr>
            <w:r>
              <w:rPr>
                <w:rFonts w:hint="eastAsia" w:ascii="仿宋" w:hAnsi="仿宋" w:eastAsia="仿宋" w:cs="仿宋"/>
                <w:sz w:val="24"/>
                <w:szCs w:val="24"/>
              </w:rPr>
              <w:t>3.劳动力安排和材料投入计划不合理，无针对性的得</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sz w:val="24"/>
                <w:szCs w:val="24"/>
                <w:lang w:eastAsia="zh-CN"/>
              </w:rPr>
              <w:t>；</w:t>
            </w:r>
          </w:p>
          <w:p w14:paraId="0F757AA3">
            <w:pPr>
              <w:pStyle w:val="8"/>
              <w:ind w:left="0" w:leftChars="0" w:firstLine="0" w:firstLineChars="0"/>
              <w:rPr>
                <w:rFonts w:hint="eastAsia" w:ascii="仿宋" w:hAnsi="仿宋" w:eastAsia="仿宋" w:cs="仿宋"/>
                <w:lang w:val="en-US" w:eastAsia="zh-CN"/>
              </w:rPr>
            </w:pPr>
            <w:r>
              <w:rPr>
                <w:rFonts w:hint="eastAsia" w:ascii="仿宋" w:hAnsi="仿宋" w:eastAsia="仿宋" w:cs="仿宋"/>
                <w:lang w:val="en-US" w:eastAsia="zh-CN"/>
              </w:rPr>
              <w:t>4.</w:t>
            </w:r>
            <w:r>
              <w:rPr>
                <w:rFonts w:hint="eastAsia" w:ascii="仿宋" w:hAnsi="仿宋" w:eastAsia="仿宋" w:cs="仿宋"/>
                <w:sz w:val="24"/>
                <w:szCs w:val="24"/>
                <w:rtl w:val="0"/>
                <w:lang w:val="en-US" w:eastAsia="zh-CN"/>
              </w:rPr>
              <w:t>未提供劳动力安排和材料投入计划及其保证措施的不得分。</w:t>
            </w:r>
          </w:p>
        </w:tc>
      </w:tr>
    </w:tbl>
    <w:p w14:paraId="46114E5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本次评标采用综合评分法。</w:t>
      </w:r>
      <w:r>
        <w:rPr>
          <w:rFonts w:hint="eastAsia" w:ascii="仿宋" w:hAnsi="仿宋" w:eastAsia="仿宋" w:cs="仿宋"/>
          <w:b w:val="0"/>
          <w:bCs w:val="0"/>
          <w:color w:val="auto"/>
          <w:sz w:val="24"/>
          <w:szCs w:val="24"/>
          <w:highlight w:val="none"/>
        </w:rPr>
        <w:t>评标委员会对满足招标文件初步评审要求的投标文件，按照本章前附表规定的评分标准进行打分，并按下列评标总得分计算公式计算评标总得分：按</w:t>
      </w:r>
      <w:r>
        <w:rPr>
          <w:rFonts w:hint="eastAsia" w:ascii="仿宋" w:hAnsi="仿宋" w:eastAsia="仿宋" w:cs="仿宋"/>
          <w:b w:val="0"/>
          <w:bCs w:val="0"/>
          <w:color w:val="auto"/>
          <w:sz w:val="24"/>
          <w:szCs w:val="24"/>
          <w:highlight w:val="none"/>
          <w:lang w:val="en-US" w:eastAsia="zh-CN"/>
        </w:rPr>
        <w:t>评审得分</w:t>
      </w:r>
      <w:r>
        <w:rPr>
          <w:rFonts w:hint="eastAsia" w:ascii="仿宋" w:hAnsi="仿宋" w:eastAsia="仿宋" w:cs="仿宋"/>
          <w:b w:val="0"/>
          <w:bCs w:val="0"/>
          <w:color w:val="auto"/>
          <w:sz w:val="24"/>
          <w:szCs w:val="24"/>
          <w:highlight w:val="none"/>
        </w:rPr>
        <w:t>由高到低的顺序推荐中标候选人排序，评审得分相同的，按照</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rPr>
        <w:t>投标报价（符合相关价格扣除政策的以扣除前的报价为准）由低到高进行排序；评审得分且最后报价都相同的，</w:t>
      </w:r>
      <w:r>
        <w:rPr>
          <w:rFonts w:hint="eastAsia" w:ascii="仿宋" w:hAnsi="仿宋" w:eastAsia="仿宋" w:cs="仿宋"/>
          <w:b w:val="0"/>
          <w:bCs w:val="0"/>
          <w:color w:val="auto"/>
          <w:sz w:val="24"/>
          <w:szCs w:val="24"/>
          <w:highlight w:val="none"/>
          <w:lang w:val="en-US" w:eastAsia="zh-CN"/>
        </w:rPr>
        <w:t>提供节能产品、环境标志产品的供应商排序在前</w:t>
      </w:r>
      <w:r>
        <w:rPr>
          <w:rFonts w:hint="eastAsia" w:ascii="仿宋" w:hAnsi="仿宋" w:eastAsia="仿宋" w:cs="仿宋"/>
          <w:b w:val="0"/>
          <w:bCs w:val="0"/>
          <w:color w:val="auto"/>
          <w:sz w:val="24"/>
          <w:szCs w:val="24"/>
          <w:highlight w:val="none"/>
        </w:rPr>
        <w:t>；出现其他情形的，由评标委员会投票，得票多者排序在前。</w:t>
      </w:r>
    </w:p>
    <w:p w14:paraId="5C01718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1.节能产品、环境标志产品认定</w:t>
      </w:r>
    </w:p>
    <w:p w14:paraId="6E7FE57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对列入财政部、发展改革委、生态环境部等部门发布的节能设备政府采购品目清单、环境标志设备政府采购品目清单，且取得市场监督管理总局等认证机构出具的、处于有效期之内的节能设备、环境标志设备认证证书的设备，实施政府优先采购或强制采购。若供应商所供设备属于上述清单内产品的，须在投标文件格式部分投标分项报价表“备注”中注明，并提供相应的认证证书，否则不予认可。</w:t>
      </w:r>
    </w:p>
    <w:p w14:paraId="718B947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（2）节能产品政府采购品目清单、环境标志产品政府采购品目清单可通过中国政府采购网（http://www.ccgp.gov.cn/）查阅。</w:t>
      </w:r>
    </w:p>
    <w:p w14:paraId="580A4CF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2.评审标准</w:t>
      </w:r>
    </w:p>
    <w:p w14:paraId="3FD57EF9">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2.1初步评审标准</w:t>
      </w:r>
    </w:p>
    <w:p w14:paraId="5C9AC81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2.1.1资格评审标准：依据法律法规和招标文件的规定，对投标文件中的资格证明文件、</w:t>
      </w:r>
      <w:r>
        <w:rPr>
          <w:rFonts w:hint="eastAsia" w:ascii="仿宋" w:hAnsi="仿宋" w:eastAsia="仿宋" w:cs="仿宋"/>
          <w:color w:val="auto"/>
          <w:sz w:val="24"/>
          <w:szCs w:val="24"/>
          <w:highlight w:val="none"/>
          <w:lang w:val="en-US" w:eastAsia="zh-CN"/>
        </w:rPr>
        <w:t>财务报表</w:t>
      </w:r>
      <w:r>
        <w:rPr>
          <w:rFonts w:hint="eastAsia" w:ascii="仿宋" w:hAnsi="仿宋" w:eastAsia="仿宋" w:cs="仿宋"/>
          <w:color w:val="auto"/>
          <w:sz w:val="24"/>
          <w:szCs w:val="24"/>
          <w:highlight w:val="none"/>
        </w:rPr>
        <w:t>等进行审查，见评标方法前附表。</w:t>
      </w:r>
    </w:p>
    <w:p w14:paraId="0FF8476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2.1.2符合性评审标准：依据招标文件的规定，从投标文件的有效性、完整性和对招标文件的响应程度进行审查，见评标方法前附表。</w:t>
      </w:r>
    </w:p>
    <w:p w14:paraId="1E23F5D0">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2.2分值构成与评分标准</w:t>
      </w:r>
    </w:p>
    <w:p w14:paraId="2A52A50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2.2.1分值构成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见评标方法前附表</w:t>
      </w:r>
      <w:r>
        <w:rPr>
          <w:rFonts w:hint="eastAsia" w:ascii="仿宋" w:hAnsi="仿宋" w:eastAsia="仿宋" w:cs="仿宋"/>
          <w:color w:val="auto"/>
          <w:sz w:val="24"/>
          <w:szCs w:val="24"/>
          <w:highlight w:val="none"/>
          <w:lang w:eastAsia="zh-CN"/>
        </w:rPr>
        <w:t>。</w:t>
      </w:r>
    </w:p>
    <w:p w14:paraId="24F6D0B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2.2.2评分标准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见评标方法前附表</w:t>
      </w:r>
      <w:r>
        <w:rPr>
          <w:rFonts w:hint="eastAsia" w:ascii="仿宋" w:hAnsi="仿宋" w:eastAsia="仿宋" w:cs="仿宋"/>
          <w:color w:val="auto"/>
          <w:sz w:val="24"/>
          <w:szCs w:val="24"/>
          <w:highlight w:val="none"/>
          <w:lang w:eastAsia="zh-CN"/>
        </w:rPr>
        <w:t>。</w:t>
      </w:r>
    </w:p>
    <w:p w14:paraId="526A2FF8">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3.评标程序</w:t>
      </w:r>
    </w:p>
    <w:p w14:paraId="53AF7677">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3.1初步评审</w:t>
      </w:r>
    </w:p>
    <w:p w14:paraId="4009D88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3.1.1评标委员会依据本章第2.1.1项、第2.1.2项规定的标准对投标文件进行初步评审。有一项不符合评审标准的，该投标文件按无效投标处理。</w:t>
      </w:r>
    </w:p>
    <w:p w14:paraId="713C43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3.1.2投标文件如果出现计算或表达上的错误，修正错误的原则如下：</w:t>
      </w:r>
    </w:p>
    <w:p w14:paraId="14B0764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1）开标时，投标文件中开标一览表内容与投标文件中明细表内容不一致的，以开标一览表为准。</w:t>
      </w:r>
    </w:p>
    <w:p w14:paraId="6659DFB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2）投标文件的大写金额和小写金额不一致的，以大写金额为准；</w:t>
      </w:r>
    </w:p>
    <w:p w14:paraId="3501C0F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）对不同文字文本投标文件的解释发生异议的，以中文文本为准。</w:t>
      </w:r>
    </w:p>
    <w:p w14:paraId="777DE98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）按上述修正错误的原则及方法调整或修正投标文件的投标报价，</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同意后，调整后的投标报价对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起约束作用。如果</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不接受修正后的报价，视为未实质性响应招标文件要求。</w:t>
      </w:r>
    </w:p>
    <w:p w14:paraId="4BE81C45">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3.2详细评审</w:t>
      </w:r>
    </w:p>
    <w:p w14:paraId="4D24E4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3.2.1评标委员会按本章第2款规定的量化因素和分值进行打分，并计算出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的评标总得分。对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的客观评分项的评分应当一致，对其他需要借助专业知识评判的主观评分项，应当严格按照评分细则公正评分。</w:t>
      </w:r>
    </w:p>
    <w:p w14:paraId="3A32C5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w:t>
      </w:r>
      <w:r>
        <w:rPr>
          <w:rFonts w:hint="eastAsia" w:ascii="仿宋" w:hAnsi="仿宋" w:eastAsia="仿宋" w:cs="仿宋"/>
          <w:color w:val="auto"/>
          <w:sz w:val="24"/>
          <w:szCs w:val="24"/>
          <w:highlight w:val="none"/>
          <w:lang w:val="en-US" w:eastAsia="zh-CN"/>
        </w:rPr>
        <w:t>详细评审部分</w:t>
      </w:r>
      <w:r>
        <w:rPr>
          <w:rFonts w:hint="eastAsia" w:ascii="仿宋" w:hAnsi="仿宋" w:eastAsia="仿宋" w:cs="仿宋"/>
          <w:color w:val="auto"/>
          <w:sz w:val="24"/>
          <w:szCs w:val="24"/>
          <w:highlight w:val="none"/>
        </w:rPr>
        <w:t>得分由评标委员会成员独立评分，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各项评分因素得分为该项因素各评委评分的算术平均值（保留小数点后两位），小数点后第三位“四舍五入”。</w:t>
      </w:r>
    </w:p>
    <w:p w14:paraId="66D399F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08503253">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3.3投标文件的澄清</w:t>
      </w:r>
      <w:r>
        <w:rPr>
          <w:rFonts w:hint="eastAsia" w:ascii="仿宋" w:hAnsi="仿宋" w:eastAsia="仿宋" w:cs="仿宋"/>
          <w:color w:val="auto"/>
          <w:sz w:val="24"/>
          <w:szCs w:val="24"/>
          <w:highlight w:val="none"/>
        </w:rPr>
        <w:t xml:space="preserve"> </w:t>
      </w:r>
    </w:p>
    <w:p w14:paraId="7B2B783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3.3.1评标委员会可以要求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对投标文件中含义不明确的内容作必要的澄清或者说明，但是澄清或者说明不得超出投标文件的范围或者改变投标文件的实质性内容。评标委员会不得暗示或者诱导</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作出澄清、说明，不得接受</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主动提出的澄清、说明。</w:t>
      </w:r>
    </w:p>
    <w:p w14:paraId="367DB62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w:t>
      </w:r>
      <w:bookmarkStart w:id="87" w:name="_Toc297531588"/>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电子招标投标办法</w:t>
      </w:r>
      <w:bookmarkEnd w:id="87"/>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八部委20号令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规定，</w:t>
      </w:r>
      <w:r>
        <w:rPr>
          <w:rFonts w:hint="eastAsia" w:ascii="仿宋" w:hAnsi="仿宋" w:eastAsia="仿宋" w:cs="仿宋"/>
          <w:color w:val="auto"/>
          <w:sz w:val="24"/>
          <w:szCs w:val="24"/>
          <w:highlight w:val="none"/>
        </w:rPr>
        <w:t>评标中需要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对投标文件澄清或者说明的，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应当通过电子招标投标交易平台交换数据电文。</w:t>
      </w:r>
    </w:p>
    <w:p w14:paraId="0ADECB1A">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3.4评标结果</w:t>
      </w:r>
    </w:p>
    <w:p w14:paraId="79DA3C9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3.4.1评标委员会按最终得分由高到低顺序推荐中标候选人，并提出书面评标报告。</w:t>
      </w:r>
    </w:p>
    <w:p w14:paraId="5B54C15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根据评标委员会提出的书面评标报告和推荐的中标候选人名单，确定中标人。</w:t>
      </w:r>
    </w:p>
    <w:p w14:paraId="0BEB16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3.4.3评审委员会发现采购文件存在歧义、重大缺陷导致评审工作无法进行，或者采购文件内容违反国家有关规定的，要停止评审工作并向</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书面说明情况，</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应当修改采购文件后重新组织采购活动；发现</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提供虚假材料、串通等违法违规行为的，要及时向</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报告</w:t>
      </w:r>
      <w:bookmarkEnd w:id="81"/>
      <w:bookmarkEnd w:id="82"/>
      <w:bookmarkEnd w:id="83"/>
      <w:bookmarkEnd w:id="84"/>
      <w:bookmarkEnd w:id="85"/>
      <w:bookmarkEnd w:id="86"/>
      <w:r>
        <w:rPr>
          <w:rFonts w:hint="eastAsia" w:ascii="仿宋" w:hAnsi="仿宋" w:eastAsia="仿宋" w:cs="仿宋"/>
          <w:color w:val="auto"/>
          <w:sz w:val="24"/>
          <w:szCs w:val="24"/>
          <w:highlight w:val="none"/>
          <w:lang w:eastAsia="zh-CN"/>
        </w:rPr>
        <w:t>。</w:t>
      </w:r>
      <w:bookmarkEnd w:id="39"/>
      <w:bookmarkEnd w:id="40"/>
    </w:p>
    <w:p w14:paraId="4D35CC02">
      <w:pPr>
        <w:rPr>
          <w:rFonts w:hint="eastAsia" w:ascii="仿宋" w:hAnsi="仿宋" w:eastAsia="仿宋" w:cs="仿宋"/>
          <w:color w:val="auto"/>
          <w:sz w:val="32"/>
          <w:szCs w:val="32"/>
          <w:highlight w:val="none"/>
          <w:lang w:val="en-US" w:eastAsia="zh-CN"/>
        </w:rPr>
      </w:pPr>
    </w:p>
    <w:p w14:paraId="4CF01F3D">
      <w:pPr>
        <w:rPr>
          <w:rFonts w:hint="eastAsia" w:ascii="仿宋" w:hAnsi="仿宋" w:eastAsia="仿宋" w:cs="仿宋"/>
          <w:color w:val="auto"/>
          <w:sz w:val="36"/>
          <w:szCs w:val="36"/>
          <w:highlight w:val="none"/>
          <w:lang w:val="en-US" w:eastAsia="zh-CN"/>
        </w:rPr>
      </w:pPr>
      <w:bookmarkStart w:id="88" w:name="_Toc28640"/>
      <w:bookmarkStart w:id="89" w:name="_Toc27203"/>
      <w:r>
        <w:rPr>
          <w:rFonts w:hint="eastAsia" w:ascii="仿宋" w:hAnsi="仿宋" w:eastAsia="仿宋" w:cs="仿宋"/>
          <w:color w:val="auto"/>
          <w:sz w:val="36"/>
          <w:szCs w:val="36"/>
          <w:highlight w:val="none"/>
          <w:lang w:val="en-US" w:eastAsia="zh-CN"/>
        </w:rPr>
        <w:br w:type="page"/>
      </w:r>
    </w:p>
    <w:p w14:paraId="29E65FE4">
      <w:pPr>
        <w:pStyle w:val="3"/>
        <w:numPr>
          <w:ilvl w:val="0"/>
          <w:numId w:val="0"/>
        </w:numPr>
        <w:shd w:val="clear" w:color="auto" w:fill="auto"/>
        <w:tabs>
          <w:tab w:val="left" w:pos="360"/>
        </w:tabs>
        <w:jc w:val="center"/>
        <w:rPr>
          <w:rFonts w:hint="eastAsia" w:ascii="仿宋" w:hAnsi="仿宋" w:eastAsia="仿宋" w:cs="仿宋"/>
          <w:color w:val="auto"/>
          <w:sz w:val="36"/>
          <w:szCs w:val="36"/>
          <w:highlight w:val="none"/>
          <w:lang w:val="en-US" w:eastAsia="zh-CN"/>
        </w:rPr>
      </w:pPr>
    </w:p>
    <w:p w14:paraId="6437E44D">
      <w:pPr>
        <w:pStyle w:val="3"/>
        <w:numPr>
          <w:ilvl w:val="0"/>
          <w:numId w:val="0"/>
        </w:numPr>
        <w:shd w:val="clear" w:color="auto" w:fill="auto"/>
        <w:tabs>
          <w:tab w:val="left" w:pos="360"/>
        </w:tabs>
        <w:jc w:val="center"/>
        <w:rPr>
          <w:rFonts w:hint="eastAsia" w:ascii="仿宋" w:hAnsi="仿宋" w:eastAsia="仿宋" w:cs="仿宋"/>
          <w:color w:val="auto"/>
          <w:sz w:val="40"/>
          <w:szCs w:val="40"/>
          <w:highlight w:val="none"/>
        </w:rPr>
      </w:pPr>
      <w:r>
        <w:rPr>
          <w:rFonts w:hint="eastAsia" w:ascii="仿宋" w:hAnsi="仿宋" w:eastAsia="仿宋" w:cs="仿宋"/>
          <w:color w:val="auto"/>
          <w:sz w:val="36"/>
          <w:szCs w:val="36"/>
          <w:highlight w:val="none"/>
          <w:lang w:val="en-US" w:eastAsia="zh-CN"/>
        </w:rPr>
        <w:t xml:space="preserve">第四章 </w:t>
      </w:r>
      <w:r>
        <w:rPr>
          <w:rFonts w:hint="eastAsia" w:ascii="仿宋" w:hAnsi="仿宋" w:eastAsia="仿宋" w:cs="仿宋"/>
          <w:color w:val="auto"/>
          <w:sz w:val="36"/>
          <w:szCs w:val="36"/>
          <w:highlight w:val="none"/>
        </w:rPr>
        <w:t>合同主要条款</w:t>
      </w:r>
      <w:r>
        <w:rPr>
          <w:rFonts w:hint="eastAsia" w:ascii="仿宋" w:hAnsi="仿宋" w:eastAsia="仿宋" w:cs="仿宋"/>
          <w:color w:val="auto"/>
          <w:sz w:val="36"/>
          <w:szCs w:val="36"/>
          <w:highlight w:val="none"/>
          <w:lang w:val="en-US" w:eastAsia="zh-CN"/>
        </w:rPr>
        <w:t>及</w:t>
      </w:r>
      <w:r>
        <w:rPr>
          <w:rFonts w:hint="eastAsia" w:ascii="仿宋" w:hAnsi="仿宋" w:eastAsia="仿宋" w:cs="仿宋"/>
          <w:color w:val="auto"/>
          <w:sz w:val="36"/>
          <w:szCs w:val="36"/>
          <w:highlight w:val="none"/>
        </w:rPr>
        <w:t>格式</w:t>
      </w:r>
      <w:bookmarkEnd w:id="88"/>
      <w:bookmarkEnd w:id="89"/>
    </w:p>
    <w:p w14:paraId="5C456919">
      <w:pPr>
        <w:jc w:val="center"/>
        <w:rPr>
          <w:rFonts w:hint="eastAsia" w:ascii="仿宋" w:hAnsi="仿宋" w:eastAsia="仿宋" w:cs="仿宋"/>
          <w:sz w:val="28"/>
          <w:szCs w:val="36"/>
          <w:highlight w:val="none"/>
        </w:rPr>
      </w:pPr>
      <w:r>
        <w:rPr>
          <w:rFonts w:hint="eastAsia" w:ascii="仿宋" w:hAnsi="仿宋" w:eastAsia="仿宋" w:cs="仿宋"/>
          <w:sz w:val="28"/>
          <w:szCs w:val="36"/>
          <w:highlight w:val="none"/>
        </w:rPr>
        <w:t>（合同内容仅供参考）</w:t>
      </w:r>
    </w:p>
    <w:p w14:paraId="275DF810">
      <w:pPr>
        <w:keepNext w:val="0"/>
        <w:keepLines w:val="0"/>
        <w:pageBreakBefore w:val="0"/>
        <w:kinsoku/>
        <w:wordWrap/>
        <w:overflowPunct/>
        <w:topLinePunct w:val="0"/>
        <w:bidi w:val="0"/>
        <w:adjustRightInd w:val="0"/>
        <w:snapToGrid w:val="0"/>
        <w:spacing w:before="0" w:line="480" w:lineRule="exact"/>
        <w:ind w:firstLine="480" w:firstLineChars="200"/>
        <w:jc w:val="left"/>
        <w:textAlignment w:val="auto"/>
        <w:rPr>
          <w:rFonts w:hint="eastAsia" w:ascii="仿宋" w:hAnsi="仿宋" w:eastAsia="仿宋" w:cs="仿宋"/>
          <w:color w:val="auto"/>
          <w:sz w:val="24"/>
          <w:szCs w:val="24"/>
          <w:highlight w:val="none"/>
        </w:rPr>
      </w:pPr>
    </w:p>
    <w:p w14:paraId="0F819ECE">
      <w:pPr>
        <w:spacing w:line="336" w:lineRule="auto"/>
        <w:ind w:firstLine="560" w:firstLineChars="200"/>
        <w:rPr>
          <w:rFonts w:hint="eastAsia" w:ascii="宋体" w:hAnsi="宋体" w:eastAsia="宋体" w:cs="宋体"/>
          <w:color w:val="auto"/>
          <w:szCs w:val="21"/>
          <w:highlight w:val="none"/>
        </w:rPr>
      </w:pPr>
      <w:bookmarkStart w:id="90" w:name="_Toc20313"/>
      <w:r>
        <w:rPr>
          <w:rFonts w:hint="eastAsia" w:ascii="仿宋" w:hAnsi="仿宋" w:eastAsia="仿宋" w:cs="仿宋"/>
          <w:b w:val="0"/>
          <w:bCs w:val="0"/>
          <w:color w:val="auto"/>
          <w:sz w:val="28"/>
          <w:szCs w:val="28"/>
          <w:highlight w:val="none"/>
        </w:rPr>
        <w:br w:type="page"/>
      </w:r>
    </w:p>
    <w:p w14:paraId="68814EFB">
      <w:pPr>
        <w:keepNext w:val="0"/>
        <w:keepLines w:val="0"/>
        <w:widowControl/>
        <w:suppressLineNumbers w:val="0"/>
        <w:jc w:val="center"/>
        <w:rPr>
          <w:rFonts w:hint="eastAsia" w:ascii="仿宋" w:hAnsi="仿宋" w:eastAsia="仿宋" w:cs="仿宋"/>
          <w:b/>
          <w:bCs/>
          <w:color w:val="auto"/>
        </w:rPr>
      </w:pPr>
      <w:r>
        <w:rPr>
          <w:rFonts w:hint="eastAsia" w:ascii="仿宋" w:hAnsi="仿宋" w:eastAsia="仿宋" w:cs="仿宋"/>
          <w:b/>
          <w:bCs/>
          <w:color w:val="auto"/>
          <w:kern w:val="0"/>
          <w:sz w:val="72"/>
          <w:szCs w:val="72"/>
          <w:lang w:val="en-US" w:eastAsia="zh-CN" w:bidi="ar"/>
        </w:rPr>
        <w:t>政府采购合同</w:t>
      </w:r>
    </w:p>
    <w:p w14:paraId="3540E0CC">
      <w:pPr>
        <w:spacing w:line="336" w:lineRule="auto"/>
        <w:ind w:firstLine="420" w:firstLineChars="200"/>
        <w:rPr>
          <w:rFonts w:hint="eastAsia" w:ascii="仿宋" w:hAnsi="仿宋" w:eastAsia="仿宋" w:cs="仿宋"/>
          <w:color w:val="auto"/>
          <w:sz w:val="21"/>
          <w:szCs w:val="21"/>
          <w:highlight w:val="none"/>
        </w:rPr>
      </w:pPr>
    </w:p>
    <w:p w14:paraId="43AB928F">
      <w:pPr>
        <w:keepNext w:val="0"/>
        <w:keepLines w:val="0"/>
        <w:widowControl/>
        <w:suppressLineNumbers w:val="0"/>
        <w:jc w:val="center"/>
        <w:rPr>
          <w:rFonts w:hint="eastAsia" w:ascii="仿宋" w:hAnsi="仿宋" w:eastAsia="仿宋" w:cs="仿宋"/>
          <w:color w:val="auto"/>
        </w:rPr>
      </w:pPr>
      <w:r>
        <w:rPr>
          <w:rFonts w:hint="eastAsia" w:ascii="仿宋" w:hAnsi="仿宋" w:eastAsia="仿宋" w:cs="仿宋"/>
          <w:color w:val="auto"/>
          <w:kern w:val="0"/>
          <w:sz w:val="33"/>
          <w:szCs w:val="33"/>
          <w:lang w:val="en-US" w:eastAsia="zh-CN" w:bidi="ar"/>
        </w:rPr>
        <w:t>(电子交易项目适用）</w:t>
      </w:r>
    </w:p>
    <w:p w14:paraId="342468FE">
      <w:pPr>
        <w:pStyle w:val="10"/>
        <w:jc w:val="both"/>
        <w:rPr>
          <w:rFonts w:hint="eastAsia" w:ascii="仿宋" w:hAnsi="仿宋" w:eastAsia="仿宋" w:cs="仿宋"/>
          <w:color w:val="auto"/>
        </w:rPr>
      </w:pPr>
    </w:p>
    <w:p w14:paraId="04D3E025">
      <w:pPr>
        <w:rPr>
          <w:rFonts w:hint="eastAsia" w:ascii="仿宋" w:hAnsi="仿宋" w:eastAsia="仿宋" w:cs="仿宋"/>
          <w:color w:val="auto"/>
        </w:rPr>
      </w:pPr>
    </w:p>
    <w:p w14:paraId="71C6C8F6">
      <w:pPr>
        <w:keepNext w:val="0"/>
        <w:keepLines w:val="0"/>
        <w:widowControl/>
        <w:suppressLineNumbers w:val="0"/>
        <w:jc w:val="left"/>
        <w:rPr>
          <w:rFonts w:hint="eastAsia" w:ascii="仿宋" w:hAnsi="仿宋" w:eastAsia="仿宋" w:cs="仿宋"/>
          <w:color w:val="auto"/>
          <w:kern w:val="0"/>
          <w:sz w:val="37"/>
          <w:szCs w:val="37"/>
          <w:lang w:val="en-US" w:eastAsia="zh-CN" w:bidi="ar"/>
        </w:rPr>
      </w:pPr>
    </w:p>
    <w:p w14:paraId="5927FA33">
      <w:pPr>
        <w:keepNext w:val="0"/>
        <w:keepLines w:val="0"/>
        <w:widowControl/>
        <w:suppressLineNumbers w:val="0"/>
        <w:jc w:val="left"/>
        <w:rPr>
          <w:rFonts w:hint="eastAsia" w:ascii="仿宋" w:hAnsi="仿宋" w:eastAsia="仿宋" w:cs="仿宋"/>
          <w:color w:val="auto"/>
          <w:kern w:val="0"/>
          <w:sz w:val="37"/>
          <w:szCs w:val="37"/>
          <w:lang w:val="en-US" w:eastAsia="zh-CN" w:bidi="ar"/>
        </w:rPr>
      </w:pPr>
    </w:p>
    <w:p w14:paraId="017D42BF">
      <w:pPr>
        <w:keepNext w:val="0"/>
        <w:keepLines w:val="0"/>
        <w:widowControl/>
        <w:suppressLineNumbers w:val="0"/>
        <w:jc w:val="left"/>
        <w:rPr>
          <w:rFonts w:hint="eastAsia" w:ascii="仿宋" w:hAnsi="仿宋" w:eastAsia="仿宋" w:cs="仿宋"/>
          <w:color w:val="auto"/>
          <w:kern w:val="0"/>
          <w:sz w:val="37"/>
          <w:szCs w:val="37"/>
          <w:lang w:val="en-US" w:eastAsia="zh-CN" w:bidi="ar"/>
        </w:rPr>
      </w:pPr>
    </w:p>
    <w:p w14:paraId="0E8C8068">
      <w:pPr>
        <w:keepNext w:val="0"/>
        <w:keepLines w:val="0"/>
        <w:pageBreakBefore w:val="0"/>
        <w:widowControl/>
        <w:suppressLineNumbers w:val="0"/>
        <w:kinsoku/>
        <w:wordWrap/>
        <w:overflowPunct/>
        <w:topLinePunct w:val="0"/>
        <w:autoSpaceDE/>
        <w:autoSpaceDN/>
        <w:bidi w:val="0"/>
        <w:adjustRightInd/>
        <w:snapToGrid/>
        <w:spacing w:line="480" w:lineRule="auto"/>
        <w:ind w:left="2219" w:leftChars="352" w:hanging="1480" w:hangingChars="400"/>
        <w:jc w:val="left"/>
        <w:textAlignment w:val="auto"/>
        <w:rPr>
          <w:rFonts w:hint="default" w:ascii="仿宋" w:hAnsi="仿宋" w:eastAsia="仿宋" w:cs="仿宋"/>
          <w:color w:val="auto"/>
          <w:u w:val="single"/>
          <w:lang w:val="en-US"/>
        </w:rPr>
      </w:pPr>
      <w:r>
        <w:rPr>
          <w:rFonts w:hint="eastAsia" w:ascii="仿宋" w:hAnsi="仿宋" w:eastAsia="仿宋" w:cs="仿宋"/>
          <w:color w:val="auto"/>
          <w:kern w:val="0"/>
          <w:sz w:val="37"/>
          <w:szCs w:val="37"/>
          <w:lang w:val="en-US" w:eastAsia="zh-CN" w:bidi="ar"/>
        </w:rPr>
        <w:t>项 目 名 称：</w:t>
      </w:r>
      <w:r>
        <w:rPr>
          <w:rFonts w:hint="eastAsia" w:ascii="仿宋" w:hAnsi="仿宋" w:eastAsia="仿宋" w:cs="仿宋"/>
          <w:color w:val="auto"/>
          <w:kern w:val="0"/>
          <w:sz w:val="37"/>
          <w:szCs w:val="37"/>
          <w:u w:val="single"/>
          <w:lang w:val="en-US" w:eastAsia="zh-CN" w:bidi="ar"/>
        </w:rPr>
        <w:t>临翔区2024年第二批中央财政森林可持续经营项目第    标段</w:t>
      </w:r>
    </w:p>
    <w:p w14:paraId="195F20AB">
      <w:pPr>
        <w:pStyle w:val="10"/>
        <w:rPr>
          <w:rFonts w:hint="eastAsia" w:ascii="仿宋" w:hAnsi="仿宋" w:eastAsia="仿宋" w:cs="仿宋"/>
          <w:color w:val="auto"/>
        </w:rPr>
      </w:pPr>
    </w:p>
    <w:p w14:paraId="7AE0E8F2">
      <w:pPr>
        <w:rPr>
          <w:rFonts w:hint="eastAsia" w:ascii="仿宋" w:hAnsi="仿宋" w:eastAsia="仿宋" w:cs="仿宋"/>
          <w:color w:val="auto"/>
        </w:rPr>
      </w:pPr>
    </w:p>
    <w:p w14:paraId="72F7AB9C">
      <w:pPr>
        <w:keepNext w:val="0"/>
        <w:keepLines w:val="0"/>
        <w:widowControl/>
        <w:suppressLineNumbers w:val="0"/>
        <w:ind w:firstLine="740" w:firstLineChars="200"/>
        <w:jc w:val="left"/>
        <w:rPr>
          <w:rFonts w:hint="eastAsia" w:ascii="仿宋" w:hAnsi="仿宋" w:eastAsia="仿宋" w:cs="仿宋"/>
          <w:color w:val="auto"/>
        </w:rPr>
      </w:pPr>
      <w:r>
        <w:rPr>
          <w:rFonts w:hint="eastAsia" w:ascii="仿宋" w:hAnsi="仿宋" w:eastAsia="仿宋" w:cs="仿宋"/>
          <w:color w:val="auto"/>
          <w:kern w:val="0"/>
          <w:sz w:val="37"/>
          <w:szCs w:val="37"/>
          <w:lang w:val="en-US" w:eastAsia="zh-CN" w:bidi="ar"/>
        </w:rPr>
        <w:t>合 同 编 号：</w:t>
      </w:r>
      <w:r>
        <w:rPr>
          <w:rFonts w:hint="eastAsia" w:ascii="仿宋" w:hAnsi="仿宋" w:eastAsia="仿宋" w:cs="仿宋"/>
          <w:color w:val="auto"/>
          <w:kern w:val="0"/>
          <w:sz w:val="37"/>
          <w:szCs w:val="37"/>
          <w:u w:val="single"/>
          <w:lang w:val="en-US" w:eastAsia="zh-CN" w:bidi="ar"/>
        </w:rPr>
        <w:t xml:space="preserve">                 </w:t>
      </w:r>
      <w:r>
        <w:rPr>
          <w:rFonts w:hint="eastAsia" w:ascii="仿宋" w:hAnsi="仿宋" w:eastAsia="仿宋" w:cs="仿宋"/>
          <w:color w:val="auto"/>
          <w:kern w:val="0"/>
          <w:sz w:val="37"/>
          <w:szCs w:val="37"/>
          <w:lang w:val="en-US" w:eastAsia="zh-CN" w:bidi="ar"/>
        </w:rPr>
        <w:t>（系统编号）</w:t>
      </w:r>
    </w:p>
    <w:p w14:paraId="2ED25415">
      <w:pPr>
        <w:keepNext w:val="0"/>
        <w:keepLines w:val="0"/>
        <w:widowControl/>
        <w:suppressLineNumbers w:val="0"/>
        <w:jc w:val="center"/>
        <w:rPr>
          <w:rFonts w:hint="eastAsia" w:ascii="仿宋" w:hAnsi="仿宋" w:eastAsia="仿宋" w:cs="仿宋"/>
          <w:color w:val="auto"/>
          <w:kern w:val="0"/>
          <w:sz w:val="36"/>
          <w:szCs w:val="36"/>
          <w:lang w:val="en-US" w:eastAsia="zh-CN" w:bidi="ar"/>
        </w:rPr>
      </w:pPr>
    </w:p>
    <w:p w14:paraId="3CE13A81">
      <w:pPr>
        <w:keepNext w:val="0"/>
        <w:keepLines w:val="0"/>
        <w:widowControl/>
        <w:suppressLineNumbers w:val="0"/>
        <w:jc w:val="center"/>
        <w:rPr>
          <w:rFonts w:hint="eastAsia" w:ascii="仿宋" w:hAnsi="仿宋" w:eastAsia="仿宋" w:cs="仿宋"/>
          <w:color w:val="auto"/>
        </w:rPr>
      </w:pPr>
      <w:r>
        <w:rPr>
          <w:rFonts w:hint="eastAsia" w:ascii="仿宋" w:hAnsi="仿宋" w:eastAsia="仿宋" w:cs="仿宋"/>
          <w:color w:val="auto"/>
          <w:kern w:val="0"/>
          <w:sz w:val="36"/>
          <w:szCs w:val="36"/>
          <w:lang w:val="en-US" w:eastAsia="zh-CN" w:bidi="ar"/>
        </w:rPr>
        <w:t>（自编号，如有）</w:t>
      </w:r>
    </w:p>
    <w:p w14:paraId="1786031E">
      <w:pPr>
        <w:pStyle w:val="10"/>
        <w:rPr>
          <w:rFonts w:hint="eastAsia" w:ascii="仿宋" w:hAnsi="仿宋" w:eastAsia="仿宋" w:cs="仿宋"/>
          <w:color w:val="auto"/>
        </w:rPr>
      </w:pPr>
    </w:p>
    <w:p w14:paraId="6D1A9CA9">
      <w:pPr>
        <w:keepNext w:val="0"/>
        <w:keepLines w:val="0"/>
        <w:widowControl/>
        <w:suppressLineNumbers w:val="0"/>
        <w:ind w:firstLine="740" w:firstLineChars="200"/>
        <w:jc w:val="left"/>
        <w:rPr>
          <w:rFonts w:hint="eastAsia" w:ascii="仿宋" w:hAnsi="仿宋" w:eastAsia="仿宋" w:cs="仿宋"/>
          <w:color w:val="auto"/>
          <w:kern w:val="0"/>
          <w:sz w:val="37"/>
          <w:szCs w:val="37"/>
          <w:lang w:val="en-US" w:eastAsia="zh-CN" w:bidi="ar"/>
        </w:rPr>
      </w:pPr>
    </w:p>
    <w:p w14:paraId="76BB67F3">
      <w:pPr>
        <w:keepNext w:val="0"/>
        <w:keepLines w:val="0"/>
        <w:widowControl/>
        <w:suppressLineNumbers w:val="0"/>
        <w:ind w:firstLine="740" w:firstLineChars="200"/>
        <w:jc w:val="left"/>
        <w:rPr>
          <w:rFonts w:hint="eastAsia" w:ascii="仿宋" w:hAnsi="仿宋" w:eastAsia="仿宋" w:cs="仿宋"/>
          <w:color w:val="auto"/>
          <w:u w:val="single"/>
        </w:rPr>
      </w:pPr>
      <w:r>
        <w:rPr>
          <w:rFonts w:hint="eastAsia" w:ascii="仿宋" w:hAnsi="仿宋" w:eastAsia="仿宋" w:cs="仿宋"/>
          <w:color w:val="auto"/>
          <w:kern w:val="0"/>
          <w:sz w:val="37"/>
          <w:szCs w:val="37"/>
          <w:lang w:val="en-US" w:eastAsia="zh-CN" w:bidi="ar"/>
        </w:rPr>
        <w:t>甲     方：</w:t>
      </w:r>
      <w:r>
        <w:rPr>
          <w:rFonts w:hint="eastAsia" w:ascii="仿宋" w:hAnsi="仿宋" w:eastAsia="仿宋" w:cs="仿宋"/>
          <w:color w:val="auto"/>
          <w:kern w:val="0"/>
          <w:sz w:val="37"/>
          <w:szCs w:val="37"/>
          <w:u w:val="single"/>
          <w:lang w:val="en-US" w:eastAsia="zh-CN" w:bidi="ar"/>
        </w:rPr>
        <w:t xml:space="preserve">临沧市临翔区林业和草原局 </w:t>
      </w:r>
    </w:p>
    <w:p w14:paraId="0A37CA9F">
      <w:pPr>
        <w:keepNext w:val="0"/>
        <w:keepLines w:val="0"/>
        <w:widowControl/>
        <w:suppressLineNumbers w:val="0"/>
        <w:ind w:firstLine="740" w:firstLineChars="200"/>
        <w:jc w:val="left"/>
        <w:rPr>
          <w:rFonts w:hint="eastAsia" w:ascii="仿宋" w:hAnsi="仿宋" w:eastAsia="仿宋" w:cs="仿宋"/>
          <w:color w:val="auto"/>
          <w:kern w:val="0"/>
          <w:sz w:val="37"/>
          <w:szCs w:val="37"/>
          <w:lang w:val="en-US" w:eastAsia="zh-CN" w:bidi="ar"/>
        </w:rPr>
      </w:pPr>
    </w:p>
    <w:p w14:paraId="0919A51A">
      <w:pPr>
        <w:keepNext w:val="0"/>
        <w:keepLines w:val="0"/>
        <w:widowControl/>
        <w:suppressLineNumbers w:val="0"/>
        <w:ind w:firstLine="740" w:firstLineChars="200"/>
        <w:jc w:val="left"/>
        <w:rPr>
          <w:rFonts w:hint="eastAsia" w:ascii="仿宋" w:hAnsi="仿宋" w:eastAsia="仿宋" w:cs="仿宋"/>
          <w:color w:val="auto"/>
          <w:u w:val="single"/>
          <w:lang w:val="en-US"/>
        </w:rPr>
      </w:pPr>
      <w:r>
        <w:rPr>
          <w:rFonts w:hint="eastAsia" w:ascii="仿宋" w:hAnsi="仿宋" w:eastAsia="仿宋" w:cs="仿宋"/>
          <w:color w:val="auto"/>
          <w:kern w:val="0"/>
          <w:sz w:val="37"/>
          <w:szCs w:val="37"/>
          <w:lang w:val="en-US" w:eastAsia="zh-CN" w:bidi="ar"/>
        </w:rPr>
        <w:t>乙     方：</w:t>
      </w:r>
      <w:r>
        <w:rPr>
          <w:rFonts w:hint="eastAsia" w:ascii="仿宋" w:hAnsi="仿宋" w:eastAsia="仿宋" w:cs="仿宋"/>
          <w:color w:val="auto"/>
          <w:kern w:val="0"/>
          <w:sz w:val="37"/>
          <w:szCs w:val="37"/>
          <w:u w:val="single"/>
          <w:lang w:val="en-US" w:eastAsia="zh-CN" w:bidi="ar"/>
        </w:rPr>
        <w:t xml:space="preserve">                     </w:t>
      </w:r>
    </w:p>
    <w:p w14:paraId="74419016">
      <w:pPr>
        <w:keepNext w:val="0"/>
        <w:keepLines w:val="0"/>
        <w:pageBreakBefore w:val="0"/>
        <w:widowControl w:val="0"/>
        <w:tabs>
          <w:tab w:val="left" w:pos="2673"/>
        </w:tabs>
        <w:kinsoku/>
        <w:wordWrap/>
        <w:overflowPunct/>
        <w:topLinePunct w:val="0"/>
        <w:autoSpaceDE/>
        <w:autoSpaceDN/>
        <w:bidi w:val="0"/>
        <w:adjustRightInd/>
        <w:snapToGrid/>
        <w:spacing w:before="0" w:line="700" w:lineRule="exact"/>
        <w:ind w:right="0"/>
        <w:jc w:val="center"/>
        <w:textAlignment w:val="auto"/>
        <w:rPr>
          <w:rFonts w:hint="eastAsia" w:ascii="仿宋" w:hAnsi="仿宋" w:eastAsia="仿宋" w:cs="仿宋"/>
          <w:color w:val="auto"/>
          <w:sz w:val="21"/>
          <w:szCs w:val="21"/>
          <w:highlight w:val="none"/>
        </w:rPr>
      </w:pPr>
    </w:p>
    <w:p w14:paraId="3CB3CA7B">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仿宋" w:hAnsi="仿宋" w:eastAsia="仿宋" w:cs="仿宋"/>
          <w:color w:val="auto"/>
          <w:sz w:val="21"/>
          <w:szCs w:val="21"/>
          <w:highlight w:val="none"/>
        </w:rPr>
      </w:pPr>
    </w:p>
    <w:p w14:paraId="7A27AC87">
      <w:pPr>
        <w:rPr>
          <w:rStyle w:val="38"/>
          <w:rFonts w:hint="eastAsia" w:ascii="仿宋" w:hAnsi="仿宋" w:eastAsia="仿宋" w:cs="仿宋"/>
          <w:b/>
          <w:bCs/>
          <w:i w:val="0"/>
          <w:caps w:val="0"/>
          <w:color w:val="auto"/>
          <w:spacing w:val="0"/>
          <w:w w:val="100"/>
          <w:kern w:val="0"/>
          <w:sz w:val="28"/>
          <w:szCs w:val="28"/>
          <w:lang w:val="en-US" w:eastAsia="zh-CN" w:bidi="ar-SA"/>
        </w:rPr>
      </w:pPr>
      <w:r>
        <w:rPr>
          <w:rStyle w:val="38"/>
          <w:rFonts w:hint="eastAsia" w:ascii="仿宋" w:hAnsi="仿宋" w:eastAsia="仿宋" w:cs="仿宋"/>
          <w:b/>
          <w:bCs/>
          <w:i w:val="0"/>
          <w:caps w:val="0"/>
          <w:color w:val="auto"/>
          <w:spacing w:val="0"/>
          <w:w w:val="100"/>
          <w:kern w:val="0"/>
          <w:sz w:val="28"/>
          <w:szCs w:val="28"/>
          <w:lang w:val="en-US" w:eastAsia="zh-CN" w:bidi="ar-SA"/>
        </w:rPr>
        <w:br w:type="page"/>
      </w:r>
    </w:p>
    <w:p w14:paraId="3E5062D7">
      <w:pPr>
        <w:snapToGrid w:val="0"/>
        <w:spacing w:before="0" w:beforeAutospacing="0" w:after="200" w:afterAutospacing="0" w:line="360" w:lineRule="auto"/>
        <w:jc w:val="center"/>
        <w:textAlignment w:val="baseline"/>
        <w:rPr>
          <w:rStyle w:val="38"/>
          <w:rFonts w:hint="eastAsia" w:ascii="仿宋" w:hAnsi="仿宋" w:eastAsia="仿宋" w:cs="仿宋"/>
          <w:b/>
          <w:bCs/>
          <w:i w:val="0"/>
          <w:caps w:val="0"/>
          <w:color w:val="auto"/>
          <w:spacing w:val="0"/>
          <w:w w:val="100"/>
          <w:kern w:val="0"/>
          <w:sz w:val="28"/>
          <w:szCs w:val="28"/>
          <w:lang w:val="en-US" w:eastAsia="zh-CN" w:bidi="ar-SA"/>
        </w:rPr>
      </w:pPr>
      <w:r>
        <w:rPr>
          <w:rStyle w:val="38"/>
          <w:rFonts w:hint="eastAsia" w:ascii="仿宋" w:hAnsi="仿宋" w:eastAsia="仿宋" w:cs="仿宋"/>
          <w:b/>
          <w:bCs/>
          <w:i w:val="0"/>
          <w:caps w:val="0"/>
          <w:color w:val="auto"/>
          <w:spacing w:val="0"/>
          <w:w w:val="100"/>
          <w:kern w:val="0"/>
          <w:sz w:val="28"/>
          <w:szCs w:val="28"/>
          <w:lang w:val="en-US" w:eastAsia="zh-CN" w:bidi="ar-SA"/>
        </w:rPr>
        <w:t xml:space="preserve"> 合同协议书</w:t>
      </w:r>
    </w:p>
    <w:bookmarkEnd w:id="90"/>
    <w:p w14:paraId="0C7F9BE9">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仿宋"/>
          <w:sz w:val="28"/>
          <w:szCs w:val="28"/>
        </w:rPr>
      </w:pPr>
      <w:bookmarkStart w:id="91" w:name="_Toc7675"/>
      <w:bookmarkStart w:id="92" w:name="_Toc304"/>
      <w:r>
        <w:rPr>
          <w:rFonts w:hint="eastAsia" w:ascii="仿宋" w:hAnsi="仿宋" w:eastAsia="仿宋" w:cs="仿宋"/>
          <w:color w:val="000000"/>
          <w:kern w:val="0"/>
          <w:sz w:val="28"/>
          <w:szCs w:val="28"/>
          <w:lang w:val="en-US" w:eastAsia="zh-CN" w:bidi="ar"/>
        </w:rPr>
        <w:t>根据《中华人民共和国政府采购法》、《中华人民共和国民法典》等法律法规的规定，为保证项目质量，完成各项任务。本项目经公开招标，现经双方协议，订立本施工合同，以明确责任权利，共同遵守。</w:t>
      </w:r>
    </w:p>
    <w:p w14:paraId="54E82C4A">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highlight w:val="green"/>
          <w:lang w:val="en-US" w:eastAsia="zh-CN" w:bidi="ar"/>
        </w:rPr>
      </w:pPr>
      <w:r>
        <w:rPr>
          <w:rFonts w:hint="eastAsia" w:ascii="仿宋" w:hAnsi="仿宋" w:eastAsia="仿宋" w:cs="仿宋"/>
          <w:b/>
          <w:bCs/>
          <w:color w:val="000000"/>
          <w:kern w:val="0"/>
          <w:sz w:val="28"/>
          <w:szCs w:val="28"/>
          <w:lang w:val="en-US" w:eastAsia="zh-CN" w:bidi="ar"/>
        </w:rPr>
        <w:t>第一条</w:t>
      </w:r>
      <w:r>
        <w:rPr>
          <w:rFonts w:hint="eastAsia" w:ascii="仿宋" w:hAnsi="仿宋" w:eastAsia="仿宋" w:cs="仿宋"/>
          <w:b/>
          <w:bCs/>
          <w:color w:val="000000"/>
          <w:kern w:val="0"/>
          <w:sz w:val="28"/>
          <w:szCs w:val="28"/>
          <w:highlight w:val="none"/>
          <w:lang w:val="en-US" w:eastAsia="zh-CN" w:bidi="ar"/>
        </w:rPr>
        <w:t>、</w:t>
      </w:r>
      <w:r>
        <w:rPr>
          <w:rFonts w:hint="eastAsia" w:ascii="仿宋" w:hAnsi="仿宋" w:eastAsia="仿宋" w:cs="仿宋"/>
          <w:b/>
          <w:bCs/>
          <w:color w:val="000000"/>
          <w:kern w:val="0"/>
          <w:sz w:val="28"/>
          <w:szCs w:val="28"/>
          <w:lang w:val="en-US" w:eastAsia="zh-CN" w:bidi="ar"/>
        </w:rPr>
        <w:t>抚育地点和面积</w:t>
      </w:r>
      <w:r>
        <w:rPr>
          <w:rFonts w:hint="eastAsia" w:ascii="仿宋" w:hAnsi="仿宋" w:eastAsia="仿宋" w:cs="仿宋"/>
          <w:b/>
          <w:bCs/>
          <w:color w:val="000000"/>
          <w:kern w:val="0"/>
          <w:sz w:val="28"/>
          <w:szCs w:val="28"/>
          <w:highlight w:val="none"/>
          <w:lang w:val="en-US" w:eastAsia="zh-CN" w:bidi="ar"/>
        </w:rPr>
        <w:t xml:space="preserve"> </w:t>
      </w:r>
    </w:p>
    <w:p w14:paraId="5E0C04C8">
      <w:pPr>
        <w:keepNext w:val="0"/>
        <w:keepLines w:val="0"/>
        <w:widowControl/>
        <w:suppressLineNumbers w:val="0"/>
        <w:ind w:firstLine="280" w:firstLineChars="100"/>
        <w:jc w:val="left"/>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按照《临翔区2024年第二批中央财政森林可持续经营项目作业设计》，建设的地点为：临翔区五老山国有林场小道河片区，建设面积一标段：7081.20亩；二标段：3023.20亩；三标段：4895.60亩。</w:t>
      </w:r>
    </w:p>
    <w:p w14:paraId="31A54D1A">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000000"/>
          <w:kern w:val="0"/>
          <w:sz w:val="28"/>
          <w:szCs w:val="28"/>
          <w:highlight w:val="none"/>
          <w:lang w:val="en-US" w:eastAsia="zh-CN" w:bidi="ar"/>
        </w:rPr>
        <w:t>第二条、项</w:t>
      </w:r>
      <w:r>
        <w:rPr>
          <w:rFonts w:hint="eastAsia" w:ascii="仿宋" w:hAnsi="仿宋" w:eastAsia="仿宋" w:cs="仿宋"/>
          <w:b/>
          <w:bCs/>
          <w:color w:val="auto"/>
          <w:kern w:val="0"/>
          <w:sz w:val="28"/>
          <w:szCs w:val="28"/>
          <w:highlight w:val="none"/>
          <w:lang w:val="en-US" w:eastAsia="zh-CN" w:bidi="ar"/>
        </w:rPr>
        <w:t>目合同履约期限：2025年12月30日前。</w:t>
      </w:r>
    </w:p>
    <w:p w14:paraId="49B8D6E9">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highlight w:val="none"/>
          <w:lang w:val="en-US" w:eastAsia="zh-CN" w:bidi="ar"/>
        </w:rPr>
      </w:pPr>
      <w:r>
        <w:rPr>
          <w:rFonts w:hint="eastAsia" w:ascii="仿宋" w:hAnsi="仿宋" w:eastAsia="仿宋" w:cs="仿宋"/>
          <w:b/>
          <w:bCs/>
          <w:color w:val="000000"/>
          <w:kern w:val="0"/>
          <w:sz w:val="28"/>
          <w:szCs w:val="28"/>
          <w:highlight w:val="none"/>
          <w:lang w:val="en-US" w:eastAsia="zh-CN" w:bidi="ar"/>
        </w:rPr>
        <w:t>第三条、作业内容及技术要求</w:t>
      </w:r>
    </w:p>
    <w:p w14:paraId="11EDA046">
      <w:pPr>
        <w:keepNext w:val="0"/>
        <w:keepLines w:val="0"/>
        <w:widowControl/>
        <w:suppressLineNumbers w:val="0"/>
        <w:ind w:firstLine="280" w:firstLineChars="100"/>
        <w:jc w:val="left"/>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lang w:val="en-US" w:eastAsia="zh-CN"/>
        </w:rPr>
        <w:t>临翔区2024年第二批中央财政森林可持续经营项目计划任务15000亩，区划作业小班91个，</w:t>
      </w:r>
      <w:r>
        <w:rPr>
          <w:rFonts w:ascii="仿宋" w:hAnsi="仿宋" w:eastAsia="仿宋" w:cs="仿宋"/>
          <w:color w:val="000000"/>
          <w:kern w:val="0"/>
          <w:sz w:val="28"/>
          <w:szCs w:val="28"/>
          <w:lang w:val="en-US" w:eastAsia="zh-CN" w:bidi="ar"/>
        </w:rPr>
        <w:t>均位于临翔区五老山国有林场小道河片区</w:t>
      </w:r>
      <w:r>
        <w:rPr>
          <w:rFonts w:hint="eastAsia" w:ascii="仿宋" w:hAnsi="仿宋" w:eastAsia="仿宋" w:cs="仿宋"/>
          <w:i w:val="0"/>
          <w:iCs w:val="0"/>
          <w:color w:val="auto"/>
          <w:sz w:val="28"/>
          <w:szCs w:val="28"/>
          <w:highlight w:val="none"/>
          <w:lang w:val="en-US" w:eastAsia="zh-CN"/>
        </w:rPr>
        <w:t>。</w:t>
      </w:r>
    </w:p>
    <w:p w14:paraId="27D6A4B2">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000000"/>
          <w:kern w:val="0"/>
          <w:sz w:val="28"/>
          <w:szCs w:val="28"/>
          <w:highlight w:val="green"/>
          <w:lang w:val="en-US" w:eastAsia="zh-CN" w:bidi="ar"/>
        </w:rPr>
      </w:pPr>
      <w:r>
        <w:rPr>
          <w:rFonts w:hint="eastAsia" w:ascii="仿宋" w:hAnsi="仿宋" w:eastAsia="仿宋" w:cs="仿宋"/>
          <w:i w:val="0"/>
          <w:iCs w:val="0"/>
          <w:color w:val="auto"/>
          <w:sz w:val="28"/>
          <w:szCs w:val="28"/>
          <w:highlight w:val="none"/>
          <w:lang w:val="en-US" w:eastAsia="zh-CN"/>
        </w:rPr>
        <w:t>选择的抚育对象林种有用材林（商品林）和防护林、特种用途林（公益林），起源为人工、天然，龄组为中龄林、近熟林，优势树种为华山松、云南松、栎类、桤木，伴生树种为栎类、桤木、其他阔叶；林分郁闭度在0.70至0.90之间；林下局部分布有栎类幼树，灌木主要有杨梅、杜鹃、厚皮香、雀李子、野山茶等，高度0.8m～2.8m，盖度10%至25%之间；草本主要有野坝蒿、悬钩子、蕨类、紫茎泽兰等，盖度10%至55%之间，林分密度大，竞争激烈，分化明显，林木自然整枝不良，林木胸径连年生长量显著下降，枯死木、濒死木数量增多，已影响到目的树种的生长，根据现地情况及多种要素综合考虑，对于公益林（防护林、特种用途林）采取疏伐的抚育方式，对于商品林（用材林）采取生长伐的抚育方式</w:t>
      </w:r>
      <w:r>
        <w:rPr>
          <w:rFonts w:hint="eastAsia" w:ascii="仿宋" w:hAnsi="仿宋" w:eastAsia="仿宋" w:cs="仿宋"/>
          <w:b w:val="0"/>
          <w:bCs w:val="0"/>
          <w:color w:val="000000"/>
          <w:kern w:val="0"/>
          <w:sz w:val="28"/>
          <w:szCs w:val="28"/>
          <w:highlight w:val="none"/>
          <w:lang w:val="en-US" w:eastAsia="zh-CN" w:bidi="ar"/>
        </w:rPr>
        <w:t>。</w:t>
      </w:r>
    </w:p>
    <w:p w14:paraId="70D54272">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纳入本次抚育地块林种有用材林（商品林）和防护林（公益林），起源为人工、天然，龄组为中龄林、近熟林，优势树种为华山松、云南松、栎类、桤木；林分郁闭度在0.70至0.90之间；灌木主要有杨梅、杜鹃、厚皮香、雀李子、野山茶等，高度0.8m～2.8m，盖度10%至25%之间；草本主要有野坝蒿、悬钩子、蕨类、紫茎泽兰等，盖度10%至55%之间，林分密度大，竞争激烈，分化明显，林木自然整枝不良，林木胸径连年生长量显著下降，枯死木、濒死木数量增多，已影响到目的树种的生长，根据现地情况及多种要素综合考虑，对于防护林（公益林）采取疏伐的抚育方式，对于用材林（商品林）采取生长伐的抚育方式进行抚育。</w:t>
      </w:r>
    </w:p>
    <w:p w14:paraId="4DD272CD">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通过本次森林抚育实施后，项目区每亩株数在40株~82株之间，符合《云南省天保工程森林抚育作业设计操作细则》中相关规定。</w:t>
      </w:r>
    </w:p>
    <w:p w14:paraId="03FF2418">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第四条、签约合同价、付款方式 </w:t>
      </w:r>
    </w:p>
    <w:p w14:paraId="69821B9B">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1.签约合同价为</w:t>
      </w:r>
      <w:r>
        <w:rPr>
          <w:rFonts w:hint="eastAsia" w:ascii="仿宋" w:hAnsi="仿宋" w:eastAsia="仿宋" w:cs="仿宋"/>
          <w:color w:val="000000"/>
          <w:kern w:val="0"/>
          <w:sz w:val="28"/>
          <w:szCs w:val="28"/>
          <w:lang w:val="en-US" w:eastAsia="zh-CN" w:bidi="ar"/>
        </w:rPr>
        <w:t>：</w:t>
      </w:r>
    </w:p>
    <w:p w14:paraId="489B403C">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人民币（大写）</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 xml:space="preserve">  (¥ </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 xml:space="preserve">元)； </w:t>
      </w:r>
    </w:p>
    <w:p w14:paraId="7B26CFA1">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highlight w:val="none"/>
        </w:rPr>
      </w:pPr>
      <w:r>
        <w:rPr>
          <w:rFonts w:hint="eastAsia" w:ascii="仿宋" w:hAnsi="仿宋" w:eastAsia="仿宋" w:cs="仿宋"/>
          <w:b/>
          <w:bCs/>
          <w:color w:val="000000"/>
          <w:kern w:val="0"/>
          <w:sz w:val="28"/>
          <w:szCs w:val="28"/>
          <w:highlight w:val="none"/>
          <w:lang w:val="en-US" w:eastAsia="zh-CN" w:bidi="ar"/>
        </w:rPr>
        <w:t xml:space="preserve">2.付款方式: </w:t>
      </w:r>
    </w:p>
    <w:p w14:paraId="17F40090">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auto"/>
          <w:kern w:val="0"/>
          <w:sz w:val="28"/>
          <w:szCs w:val="28"/>
          <w:highlight w:val="none"/>
          <w:lang w:val="en-US" w:eastAsia="zh-CN" w:bidi="ar"/>
        </w:rPr>
      </w:pPr>
      <w:r>
        <w:rPr>
          <w:rFonts w:hint="eastAsia" w:ascii="仿宋" w:hAnsi="仿宋" w:eastAsia="仿宋" w:cs="仿宋"/>
          <w:b w:val="0"/>
          <w:bCs w:val="0"/>
          <w:color w:val="auto"/>
          <w:kern w:val="0"/>
          <w:sz w:val="28"/>
          <w:szCs w:val="28"/>
          <w:highlight w:val="none"/>
          <w:lang w:val="en-US" w:eastAsia="zh-CN" w:bidi="ar"/>
        </w:rPr>
        <w:t>项目验收合格后，根据资金单位情况支付。</w:t>
      </w:r>
    </w:p>
    <w:p w14:paraId="753F893A">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第五条、签订地点 </w:t>
      </w:r>
    </w:p>
    <w:p w14:paraId="05B6FF06">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本合同在</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签订。</w:t>
      </w:r>
    </w:p>
    <w:p w14:paraId="303A0237">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第六条、补充内容</w:t>
      </w:r>
    </w:p>
    <w:p w14:paraId="0D3725C3">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项目名称：临翔区2024年第二批中央财政森林可持续经营项目（第    标段）</w:t>
      </w:r>
    </w:p>
    <w:p w14:paraId="6292E349">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合同未尽事宜，合同当事人另行签订补充协议，补充协议是合同的组成部分。</w:t>
      </w:r>
    </w:p>
    <w:p w14:paraId="01A12EA6">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第七条、合同生效 </w:t>
      </w:r>
    </w:p>
    <w:p w14:paraId="288C7AEE">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本合同自双方签字盖章之日起生效，如有变更情况，经双方另行协议，给予补充。</w:t>
      </w:r>
    </w:p>
    <w:p w14:paraId="680DA3E9">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第八条、合同份数</w:t>
      </w:r>
    </w:p>
    <w:p w14:paraId="71DEED27">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本合同一式</w:t>
      </w:r>
      <w:r>
        <w:rPr>
          <w:rFonts w:hint="eastAsia" w:ascii="仿宋" w:hAnsi="仿宋" w:eastAsia="仿宋" w:cs="仿宋"/>
          <w:color w:val="000000"/>
          <w:kern w:val="0"/>
          <w:sz w:val="28"/>
          <w:szCs w:val="28"/>
          <w:u w:val="single"/>
          <w:lang w:val="en-US" w:eastAsia="zh-CN" w:bidi="ar"/>
        </w:rPr>
        <w:t xml:space="preserve"> 陆 </w:t>
      </w:r>
      <w:r>
        <w:rPr>
          <w:rFonts w:hint="eastAsia" w:ascii="仿宋" w:hAnsi="仿宋" w:eastAsia="仿宋" w:cs="仿宋"/>
          <w:color w:val="000000"/>
          <w:kern w:val="0"/>
          <w:sz w:val="28"/>
          <w:szCs w:val="28"/>
          <w:lang w:val="en-US" w:eastAsia="zh-CN" w:bidi="ar"/>
        </w:rPr>
        <w:t>份，均具有同等法律效力，甲方执</w:t>
      </w:r>
      <w:r>
        <w:rPr>
          <w:rFonts w:hint="eastAsia" w:ascii="仿宋" w:hAnsi="仿宋" w:eastAsia="仿宋" w:cs="仿宋"/>
          <w:color w:val="000000"/>
          <w:kern w:val="0"/>
          <w:sz w:val="28"/>
          <w:szCs w:val="28"/>
          <w:u w:val="single"/>
          <w:lang w:val="en-US" w:eastAsia="zh-CN" w:bidi="ar"/>
        </w:rPr>
        <w:t xml:space="preserve"> 贰 </w:t>
      </w:r>
      <w:r>
        <w:rPr>
          <w:rFonts w:hint="eastAsia" w:ascii="仿宋" w:hAnsi="仿宋" w:eastAsia="仿宋" w:cs="仿宋"/>
          <w:color w:val="000000"/>
          <w:kern w:val="0"/>
          <w:sz w:val="28"/>
          <w:szCs w:val="28"/>
          <w:lang w:val="en-US" w:eastAsia="zh-CN" w:bidi="ar"/>
        </w:rPr>
        <w:t>份，乙方执</w:t>
      </w:r>
      <w:r>
        <w:rPr>
          <w:rFonts w:hint="eastAsia" w:ascii="仿宋" w:hAnsi="仿宋" w:eastAsia="仿宋" w:cs="仿宋"/>
          <w:color w:val="000000"/>
          <w:kern w:val="0"/>
          <w:sz w:val="28"/>
          <w:szCs w:val="28"/>
          <w:u w:val="single"/>
          <w:lang w:val="en-US" w:eastAsia="zh-CN" w:bidi="ar"/>
        </w:rPr>
        <w:t xml:space="preserve"> 贰 </w:t>
      </w:r>
      <w:r>
        <w:rPr>
          <w:rFonts w:hint="eastAsia" w:ascii="仿宋" w:hAnsi="仿宋" w:eastAsia="仿宋" w:cs="仿宋"/>
          <w:color w:val="000000"/>
          <w:kern w:val="0"/>
          <w:sz w:val="28"/>
          <w:szCs w:val="28"/>
          <w:lang w:val="en-US" w:eastAsia="zh-CN" w:bidi="ar"/>
        </w:rPr>
        <w:t>份。监督部门</w:t>
      </w:r>
      <w:r>
        <w:rPr>
          <w:rFonts w:hint="eastAsia" w:ascii="仿宋" w:hAnsi="仿宋" w:eastAsia="仿宋" w:cs="仿宋"/>
          <w:color w:val="000000"/>
          <w:kern w:val="0"/>
          <w:sz w:val="28"/>
          <w:szCs w:val="28"/>
          <w:u w:val="single"/>
          <w:lang w:val="en-US" w:eastAsia="zh-CN" w:bidi="ar"/>
        </w:rPr>
        <w:t xml:space="preserve"> 贰 </w:t>
      </w:r>
      <w:r>
        <w:rPr>
          <w:rFonts w:hint="eastAsia" w:ascii="仿宋" w:hAnsi="仿宋" w:eastAsia="仿宋" w:cs="仿宋"/>
          <w:color w:val="000000"/>
          <w:kern w:val="0"/>
          <w:sz w:val="28"/>
          <w:szCs w:val="28"/>
          <w:lang w:val="en-US" w:eastAsia="zh-CN" w:bidi="ar"/>
        </w:rPr>
        <w:t>份。</w:t>
      </w:r>
    </w:p>
    <w:p w14:paraId="1ADBB552">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第九条、甲方权利与义务</w:t>
      </w:r>
    </w:p>
    <w:p w14:paraId="6D73DAF0">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1.甲方有权利按照相关作业设计及技术规范去要求乙方严格执行林木抚育的相关工作。</w:t>
      </w:r>
    </w:p>
    <w:p w14:paraId="136B7B32">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2.甲方有权利在施工过程中对乙方的工作进行督促检查，并提出相关建议和意见。</w:t>
      </w:r>
    </w:p>
    <w:p w14:paraId="11FFC301">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3.甲方有权利按照相关规范要求对乙方的工程实施质量、进度等进行验收检查，检验合格后再行支付项目款，如没有达到相关技术及质量要求，甲方可要求乙方进行整改以后达到相关要求后再支付资金。</w:t>
      </w:r>
    </w:p>
    <w:p w14:paraId="4ECA501C">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4.甲方有义务要求在施工中的工作给予配合，以便能更好的完成抚育任务。</w:t>
      </w:r>
    </w:p>
    <w:p w14:paraId="44BD255F">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5.项目实施完毕后，经乙方提出申请，甲方组织技术人员对乙方抚育的施工面积、抚育质量、抚育的木材及木柴数量进行验收，并出具验收报告。</w:t>
      </w:r>
    </w:p>
    <w:p w14:paraId="042AF54E">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第十条、乙方权利与义务</w:t>
      </w:r>
    </w:p>
    <w:p w14:paraId="590D2430">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必须严格按照《临翔区2024年第二批中央财政森林可持续经营项目作业设计》和技术管理负责人指交的地点及界线范围内组织人员施工作业，不得超界抚育，严禁出现以生产木材和木柴为目的，超株数及超蓄积量强度抚育。</w:t>
      </w:r>
    </w:p>
    <w:p w14:paraId="49DD35BB">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2.施工作业前，乙方施工人员必须经过甲方分片集中培训方能组织施工。施工过程中自觉接受和服从甲方及林业主管部门对森林抚育质量的监督、检查指导工作。</w:t>
      </w:r>
    </w:p>
    <w:p w14:paraId="7C4D1BAC">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3.降低伐根，以达到作业规程要求。</w:t>
      </w:r>
    </w:p>
    <w:p w14:paraId="5ABA23CC">
      <w:pPr>
        <w:pStyle w:val="20"/>
        <w:keepNext w:val="0"/>
        <w:keepLines w:val="0"/>
        <w:pageBreakBefore w:val="0"/>
        <w:tabs>
          <w:tab w:val="right" w:leader="dot" w:pos="9344"/>
        </w:tabs>
        <w:kinsoku/>
        <w:wordWrap/>
        <w:overflowPunct/>
        <w:topLinePunct w:val="0"/>
        <w:autoSpaceDE/>
        <w:autoSpaceDN/>
        <w:bidi w:val="0"/>
        <w:adjustRightInd/>
        <w:snapToGrid/>
        <w:spacing w:line="480" w:lineRule="auto"/>
        <w:ind w:firstLine="280" w:firstLineChars="1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4.严格控制树倒方向，有益造材，避免发生搭挂、砸伤保留木和增加林窗。</w:t>
      </w:r>
    </w:p>
    <w:p w14:paraId="5588FB9F">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5.在实施抚育过程中，乙方应根据施工队的分布情况，抽调人员积极配合工作人员，做好跟踪督促检查指导工作，出现问题要及时与甲方沟通。</w:t>
      </w:r>
    </w:p>
    <w:p w14:paraId="792327CB">
      <w:pPr>
        <w:pStyle w:val="20"/>
        <w:keepNext w:val="0"/>
        <w:keepLines w:val="0"/>
        <w:pageBreakBefore w:val="0"/>
        <w:tabs>
          <w:tab w:val="right" w:leader="dot" w:pos="9344"/>
        </w:tabs>
        <w:kinsoku/>
        <w:wordWrap/>
        <w:overflowPunct/>
        <w:topLinePunct w:val="0"/>
        <w:autoSpaceDE/>
        <w:autoSpaceDN/>
        <w:bidi w:val="0"/>
        <w:adjustRightInd/>
        <w:snapToGrid/>
        <w:spacing w:line="480" w:lineRule="auto"/>
        <w:ind w:firstLine="280" w:firstLineChars="1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6.抚育出材规格，按照先造特殊材，后造一般材；先造长材，后造短材；先造优材，后造劣材的造材原则，根据工作人员总体要求按阶级和规格进行造材（柴）。</w:t>
      </w:r>
    </w:p>
    <w:p w14:paraId="2703B6E0">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7.抚育集材归楞：原则上要求近路集材归楞，林内不允许出现丢弃材。</w:t>
      </w:r>
    </w:p>
    <w:p w14:paraId="27E30B52">
      <w:pPr>
        <w:pStyle w:val="20"/>
        <w:keepNext w:val="0"/>
        <w:keepLines w:val="0"/>
        <w:pageBreakBefore w:val="0"/>
        <w:tabs>
          <w:tab w:val="right" w:leader="dot" w:pos="9344"/>
        </w:tabs>
        <w:kinsoku/>
        <w:wordWrap/>
        <w:overflowPunct/>
        <w:topLinePunct w:val="0"/>
        <w:autoSpaceDE/>
        <w:autoSpaceDN/>
        <w:bidi w:val="0"/>
        <w:adjustRightInd/>
        <w:snapToGrid/>
        <w:spacing w:line="480" w:lineRule="auto"/>
        <w:ind w:firstLine="280" w:firstLineChars="100"/>
        <w:textAlignment w:val="auto"/>
        <w:rPr>
          <w:rFonts w:hint="eastAsia" w:ascii="仿宋" w:hAnsi="仿宋" w:eastAsia="仿宋" w:cs="仿宋"/>
          <w:lang w:val="en-US" w:eastAsia="zh-CN"/>
        </w:rPr>
      </w:pPr>
      <w:r>
        <w:rPr>
          <w:rFonts w:hint="eastAsia" w:ascii="仿宋" w:hAnsi="仿宋" w:eastAsia="仿宋" w:cs="仿宋"/>
          <w:color w:val="000000"/>
          <w:kern w:val="0"/>
          <w:sz w:val="28"/>
          <w:szCs w:val="28"/>
          <w:lang w:val="en-US" w:eastAsia="zh-CN" w:bidi="ar"/>
        </w:rPr>
        <w:t>8.乙方在项目全部结束以后，并以书面方式申请甲方安排时间和人员给予检查验收，乙方有义务配合甲方进行各项检查和验收</w:t>
      </w:r>
    </w:p>
    <w:p w14:paraId="57DC7B5D">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第十一条、安全责任 </w:t>
      </w:r>
    </w:p>
    <w:p w14:paraId="22685D1B">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1.乙方要做到树立“以人为本、安全第一”的观念，不得拖欠工人工资，保证抚育生产施工作业区的平安和谐稳定，避免出现群体性上访、酗酒闹事、森林火灾等事件发生。 </w:t>
      </w:r>
    </w:p>
    <w:p w14:paraId="14BC8B83">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2.严格防范临时生活、吸烟、烧火取暖等用火安全，坚决杜绝人为火灾隐患发生，施工单位应在施工之前签订防火责任书。 </w:t>
      </w:r>
    </w:p>
    <w:p w14:paraId="6111BA8F">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3.乙方应做到安全生产，如发生不安全事故，将由乙方承担全部责任。</w:t>
      </w:r>
    </w:p>
    <w:p w14:paraId="00FB7982">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4.乙方在施工的过程中应尊重当地的民风民俗。</w:t>
      </w:r>
    </w:p>
    <w:p w14:paraId="6F3C5CB2">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bidi="ar"/>
        </w:rPr>
        <w:t xml:space="preserve">第十二条、违约责任 </w:t>
      </w:r>
    </w:p>
    <w:p w14:paraId="50929281">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1.任何一方违约，违约方应当赔偿由此给对方造成的全部损失。 </w:t>
      </w:r>
    </w:p>
    <w:p w14:paraId="596BE641">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2.如果乙方违约，并在甲方指定的期限内未予以改正，甲方有权解除合同；</w:t>
      </w:r>
    </w:p>
    <w:p w14:paraId="5000AB44">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第十三条 、项</w:t>
      </w:r>
      <w:r>
        <w:rPr>
          <w:rFonts w:hint="eastAsia" w:ascii="仿宋" w:hAnsi="仿宋" w:eastAsia="仿宋" w:cs="仿宋"/>
          <w:b/>
          <w:bCs/>
          <w:color w:val="auto"/>
          <w:kern w:val="0"/>
          <w:sz w:val="28"/>
          <w:szCs w:val="28"/>
          <w:lang w:val="en-US" w:eastAsia="zh-CN" w:bidi="ar"/>
        </w:rPr>
        <w:t>目合同履约期限</w:t>
      </w:r>
      <w:r>
        <w:rPr>
          <w:rFonts w:hint="eastAsia" w:ascii="仿宋" w:hAnsi="仿宋" w:eastAsia="仿宋" w:cs="仿宋"/>
          <w:b/>
          <w:bCs/>
          <w:color w:val="000000"/>
          <w:kern w:val="0"/>
          <w:sz w:val="28"/>
          <w:szCs w:val="28"/>
          <w:lang w:val="en-US" w:eastAsia="zh-CN" w:bidi="ar"/>
        </w:rPr>
        <w:t xml:space="preserve">延误  </w:t>
      </w:r>
    </w:p>
    <w:p w14:paraId="073BDC81">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因承包人原因造成项目合同履约期限延误，误期违约金额</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元/天，误期赔偿费限额合同价款的</w:t>
      </w:r>
      <w:r>
        <w:rPr>
          <w:rFonts w:hint="eastAsia" w:ascii="仿宋" w:hAnsi="仿宋" w:eastAsia="仿宋" w:cs="仿宋"/>
          <w:color w:val="000000"/>
          <w:kern w:val="0"/>
          <w:sz w:val="28"/>
          <w:szCs w:val="28"/>
          <w:u w:val="single"/>
          <w:lang w:val="en-US" w:eastAsia="zh-CN" w:bidi="ar"/>
        </w:rPr>
        <w:t xml:space="preserve">    </w:t>
      </w:r>
      <w:r>
        <w:rPr>
          <w:rFonts w:hint="eastAsia" w:ascii="仿宋" w:hAnsi="仿宋" w:eastAsia="仿宋" w:cs="仿宋"/>
          <w:color w:val="000000"/>
          <w:kern w:val="0"/>
          <w:sz w:val="28"/>
          <w:szCs w:val="28"/>
          <w:lang w:val="en-US" w:eastAsia="zh-CN" w:bidi="ar"/>
        </w:rPr>
        <w:t>％</w:t>
      </w:r>
    </w:p>
    <w:p w14:paraId="5277198E">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第十四条、争议</w:t>
      </w:r>
    </w:p>
    <w:p w14:paraId="51A3DF32">
      <w:pPr>
        <w:keepNext w:val="0"/>
        <w:keepLines w:val="0"/>
        <w:pageBreakBefore w:val="0"/>
        <w:widowControl w:val="0"/>
        <w:kinsoku/>
        <w:wordWrap/>
        <w:overflowPunct/>
        <w:topLinePunct w:val="0"/>
        <w:autoSpaceDE/>
        <w:autoSpaceDN/>
        <w:bidi w:val="0"/>
        <w:adjustRightInd/>
        <w:snapToGrid/>
        <w:ind w:firstLine="560" w:firstLineChars="200"/>
        <w:textAlignment w:val="auto"/>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双方约定，在履行合同过程中产生争议时：</w:t>
      </w:r>
    </w:p>
    <w:p w14:paraId="1A4AB808">
      <w:pPr>
        <w:keepNext w:val="0"/>
        <w:keepLines w:val="0"/>
        <w:pageBreakBefore w:val="0"/>
        <w:widowControl w:val="0"/>
        <w:kinsoku/>
        <w:wordWrap/>
        <w:overflowPunct/>
        <w:topLinePunct w:val="0"/>
        <w:autoSpaceDE/>
        <w:autoSpaceDN/>
        <w:bidi w:val="0"/>
        <w:adjustRightInd/>
        <w:snapToGrid/>
        <w:ind w:firstLine="560" w:firstLineChars="200"/>
        <w:textAlignment w:val="auto"/>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(1) 请相关主管部门调解；</w:t>
      </w:r>
    </w:p>
    <w:p w14:paraId="733A092F">
      <w:pPr>
        <w:keepNext w:val="0"/>
        <w:keepLines w:val="0"/>
        <w:pageBreakBefore w:val="0"/>
        <w:widowControl w:val="0"/>
        <w:kinsoku/>
        <w:wordWrap/>
        <w:overflowPunct/>
        <w:topLinePunct w:val="0"/>
        <w:autoSpaceDE/>
        <w:autoSpaceDN/>
        <w:bidi w:val="0"/>
        <w:adjustRightInd/>
        <w:snapToGrid/>
        <w:ind w:firstLine="560" w:firstLineChars="200"/>
        <w:textAlignment w:val="auto"/>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(2)采取第</w:t>
      </w:r>
      <w:r>
        <w:rPr>
          <w:rStyle w:val="38"/>
          <w:rFonts w:hint="eastAsia" w:ascii="仿宋" w:hAnsi="仿宋" w:eastAsia="仿宋" w:cs="仿宋"/>
          <w:b w:val="0"/>
          <w:i w:val="0"/>
          <w:caps w:val="0"/>
          <w:color w:val="auto"/>
          <w:spacing w:val="0"/>
          <w:w w:val="100"/>
          <w:kern w:val="2"/>
          <w:sz w:val="28"/>
          <w:szCs w:val="28"/>
          <w:u w:val="single"/>
          <w:lang w:val="en-US" w:eastAsia="zh-CN" w:bidi="ar-SA"/>
        </w:rPr>
        <w:t>(1)</w:t>
      </w:r>
      <w:r>
        <w:rPr>
          <w:rStyle w:val="38"/>
          <w:rFonts w:hint="eastAsia" w:ascii="仿宋" w:hAnsi="仿宋" w:eastAsia="仿宋" w:cs="仿宋"/>
          <w:b w:val="0"/>
          <w:i w:val="0"/>
          <w:caps w:val="0"/>
          <w:color w:val="auto"/>
          <w:spacing w:val="0"/>
          <w:w w:val="100"/>
          <w:kern w:val="2"/>
          <w:sz w:val="28"/>
          <w:szCs w:val="28"/>
          <w:lang w:val="en-US" w:eastAsia="zh-CN" w:bidi="ar-SA"/>
        </w:rPr>
        <w:t>种方式若不能解决，双方约定向</w:t>
      </w:r>
      <w:r>
        <w:rPr>
          <w:rStyle w:val="38"/>
          <w:rFonts w:hint="eastAsia" w:ascii="仿宋" w:hAnsi="仿宋" w:eastAsia="仿宋" w:cs="仿宋"/>
          <w:b w:val="0"/>
          <w:i w:val="0"/>
          <w:caps w:val="0"/>
          <w:color w:val="auto"/>
          <w:spacing w:val="0"/>
          <w:w w:val="100"/>
          <w:kern w:val="2"/>
          <w:sz w:val="28"/>
          <w:szCs w:val="28"/>
          <w:u w:val="single"/>
          <w:lang w:val="en-US" w:eastAsia="zh-CN" w:bidi="ar-SA"/>
        </w:rPr>
        <w:t>项目所在地有管辖权的人民法院提起诉讼</w:t>
      </w:r>
      <w:r>
        <w:rPr>
          <w:rStyle w:val="38"/>
          <w:rFonts w:hint="eastAsia" w:ascii="仿宋" w:hAnsi="仿宋" w:eastAsia="仿宋" w:cs="仿宋"/>
          <w:b w:val="0"/>
          <w:i w:val="0"/>
          <w:caps w:val="0"/>
          <w:color w:val="auto"/>
          <w:spacing w:val="0"/>
          <w:w w:val="100"/>
          <w:kern w:val="2"/>
          <w:sz w:val="28"/>
          <w:szCs w:val="28"/>
          <w:lang w:val="en-US" w:eastAsia="zh-CN" w:bidi="ar-SA"/>
        </w:rPr>
        <w:t>。</w:t>
      </w:r>
    </w:p>
    <w:p w14:paraId="7AF2B997">
      <w:pPr>
        <w:pStyle w:val="64"/>
        <w:snapToGrid w:val="0"/>
        <w:spacing w:before="0" w:beforeAutospacing="0" w:after="0" w:afterAutospacing="0" w:line="240" w:lineRule="auto"/>
        <w:jc w:val="both"/>
        <w:textAlignment w:val="baseline"/>
        <w:rPr>
          <w:rStyle w:val="38"/>
          <w:rFonts w:hint="eastAsia" w:ascii="仿宋" w:hAnsi="仿宋" w:eastAsia="仿宋" w:cs="仿宋"/>
          <w:b w:val="0"/>
          <w:i w:val="0"/>
          <w:caps w:val="0"/>
          <w:color w:val="auto"/>
          <w:spacing w:val="0"/>
          <w:w w:val="100"/>
          <w:kern w:val="2"/>
          <w:sz w:val="21"/>
          <w:szCs w:val="22"/>
          <w:lang w:val="en-US" w:eastAsia="zh-CN" w:bidi="ar-SA"/>
        </w:rPr>
      </w:pPr>
    </w:p>
    <w:tbl>
      <w:tblPr>
        <w:tblStyle w:val="26"/>
        <w:tblW w:w="99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69"/>
        <w:gridCol w:w="2450"/>
        <w:gridCol w:w="2138"/>
        <w:gridCol w:w="3290"/>
      </w:tblGrid>
      <w:tr w14:paraId="642F5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20E203E3">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发包人:</w:t>
            </w:r>
          </w:p>
        </w:tc>
        <w:tc>
          <w:tcPr>
            <w:tcW w:w="2450" w:type="dxa"/>
            <w:vAlign w:val="center"/>
          </w:tcPr>
          <w:p w14:paraId="7085D3D2">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(公章）</w:t>
            </w:r>
          </w:p>
        </w:tc>
        <w:tc>
          <w:tcPr>
            <w:tcW w:w="2138" w:type="dxa"/>
            <w:vAlign w:val="center"/>
          </w:tcPr>
          <w:p w14:paraId="36D46F5E">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承包人：</w:t>
            </w:r>
          </w:p>
        </w:tc>
        <w:tc>
          <w:tcPr>
            <w:tcW w:w="3290" w:type="dxa"/>
            <w:vAlign w:val="center"/>
          </w:tcPr>
          <w:p w14:paraId="765F3B26">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(公章）</w:t>
            </w:r>
          </w:p>
        </w:tc>
      </w:tr>
      <w:tr w14:paraId="5A297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69757CCC">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法定代表人或其委托代理人：</w:t>
            </w:r>
          </w:p>
        </w:tc>
        <w:tc>
          <w:tcPr>
            <w:tcW w:w="2450" w:type="dxa"/>
            <w:vAlign w:val="center"/>
          </w:tcPr>
          <w:p w14:paraId="671D7ECB">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（签字）</w:t>
            </w:r>
          </w:p>
        </w:tc>
        <w:tc>
          <w:tcPr>
            <w:tcW w:w="2138" w:type="dxa"/>
            <w:vAlign w:val="center"/>
          </w:tcPr>
          <w:p w14:paraId="4321591A">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法定代表人或其委托代理人：</w:t>
            </w:r>
          </w:p>
        </w:tc>
        <w:tc>
          <w:tcPr>
            <w:tcW w:w="3290" w:type="dxa"/>
            <w:vAlign w:val="center"/>
          </w:tcPr>
          <w:p w14:paraId="43C007AE">
            <w:pPr>
              <w:snapToGrid w:val="0"/>
              <w:spacing w:before="0" w:beforeAutospacing="0" w:after="0" w:afterAutospacing="0" w:line="460" w:lineRule="exact"/>
              <w:ind w:left="2520" w:leftChars="1000" w:hanging="420"/>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（签字）</w:t>
            </w:r>
          </w:p>
        </w:tc>
      </w:tr>
      <w:tr w14:paraId="3F772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6A65069D">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统一社会信用代码：</w:t>
            </w:r>
          </w:p>
        </w:tc>
        <w:tc>
          <w:tcPr>
            <w:tcW w:w="2450" w:type="dxa"/>
            <w:vAlign w:val="center"/>
          </w:tcPr>
          <w:p w14:paraId="7F4A1A39">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p>
        </w:tc>
        <w:tc>
          <w:tcPr>
            <w:tcW w:w="2138" w:type="dxa"/>
            <w:vAlign w:val="center"/>
          </w:tcPr>
          <w:p w14:paraId="55F9AAB2">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统一社会信用代码：</w:t>
            </w:r>
          </w:p>
        </w:tc>
        <w:tc>
          <w:tcPr>
            <w:tcW w:w="3290" w:type="dxa"/>
            <w:vAlign w:val="center"/>
          </w:tcPr>
          <w:p w14:paraId="322447E6">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p>
        </w:tc>
      </w:tr>
      <w:tr w14:paraId="162EA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5E20EB11">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地    址：</w:t>
            </w:r>
          </w:p>
        </w:tc>
        <w:tc>
          <w:tcPr>
            <w:tcW w:w="2450" w:type="dxa"/>
            <w:vAlign w:val="center"/>
          </w:tcPr>
          <w:p w14:paraId="7142B1C8">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p>
        </w:tc>
        <w:tc>
          <w:tcPr>
            <w:tcW w:w="2138" w:type="dxa"/>
            <w:vAlign w:val="center"/>
          </w:tcPr>
          <w:p w14:paraId="538E1941">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地    址：</w:t>
            </w:r>
          </w:p>
        </w:tc>
        <w:tc>
          <w:tcPr>
            <w:tcW w:w="3290" w:type="dxa"/>
            <w:vAlign w:val="center"/>
          </w:tcPr>
          <w:p w14:paraId="2DAC10C5">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2617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6B8E4A37">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邮政编码：</w:t>
            </w:r>
          </w:p>
        </w:tc>
        <w:tc>
          <w:tcPr>
            <w:tcW w:w="2450" w:type="dxa"/>
            <w:vAlign w:val="center"/>
          </w:tcPr>
          <w:p w14:paraId="1DD2AF61">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p>
        </w:tc>
        <w:tc>
          <w:tcPr>
            <w:tcW w:w="2138" w:type="dxa"/>
            <w:vAlign w:val="center"/>
          </w:tcPr>
          <w:p w14:paraId="41DE2370">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邮政编码：</w:t>
            </w:r>
          </w:p>
        </w:tc>
        <w:tc>
          <w:tcPr>
            <w:tcW w:w="3290" w:type="dxa"/>
            <w:vAlign w:val="center"/>
          </w:tcPr>
          <w:p w14:paraId="45C94A2B">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30E79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71C1211B">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电    话：</w:t>
            </w:r>
          </w:p>
        </w:tc>
        <w:tc>
          <w:tcPr>
            <w:tcW w:w="2450" w:type="dxa"/>
            <w:vAlign w:val="center"/>
          </w:tcPr>
          <w:p w14:paraId="6749FC1A">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p>
        </w:tc>
        <w:tc>
          <w:tcPr>
            <w:tcW w:w="2138" w:type="dxa"/>
            <w:vAlign w:val="center"/>
          </w:tcPr>
          <w:p w14:paraId="426DF364">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电    话：</w:t>
            </w:r>
          </w:p>
        </w:tc>
        <w:tc>
          <w:tcPr>
            <w:tcW w:w="3290" w:type="dxa"/>
            <w:vAlign w:val="center"/>
          </w:tcPr>
          <w:p w14:paraId="4648F4C7">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44A90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2ED9C50A">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传    真：</w:t>
            </w:r>
          </w:p>
        </w:tc>
        <w:tc>
          <w:tcPr>
            <w:tcW w:w="2450" w:type="dxa"/>
            <w:vAlign w:val="center"/>
          </w:tcPr>
          <w:p w14:paraId="1492D627">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c>
          <w:tcPr>
            <w:tcW w:w="2138" w:type="dxa"/>
            <w:vAlign w:val="center"/>
          </w:tcPr>
          <w:p w14:paraId="2161A927">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传    真：</w:t>
            </w:r>
          </w:p>
        </w:tc>
        <w:tc>
          <w:tcPr>
            <w:tcW w:w="3290" w:type="dxa"/>
            <w:vAlign w:val="center"/>
          </w:tcPr>
          <w:p w14:paraId="1AA3AA5E">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7AEE6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31341951">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电子信箱：</w:t>
            </w:r>
          </w:p>
        </w:tc>
        <w:tc>
          <w:tcPr>
            <w:tcW w:w="2450" w:type="dxa"/>
            <w:vAlign w:val="center"/>
          </w:tcPr>
          <w:p w14:paraId="0AA7C47C">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c>
          <w:tcPr>
            <w:tcW w:w="2138" w:type="dxa"/>
            <w:vAlign w:val="center"/>
          </w:tcPr>
          <w:p w14:paraId="5A164845">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电子信箱：</w:t>
            </w:r>
          </w:p>
        </w:tc>
        <w:tc>
          <w:tcPr>
            <w:tcW w:w="3290" w:type="dxa"/>
            <w:vAlign w:val="center"/>
          </w:tcPr>
          <w:p w14:paraId="376A6EC4">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17C1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33CF3F6A">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开户银行：</w:t>
            </w:r>
          </w:p>
        </w:tc>
        <w:tc>
          <w:tcPr>
            <w:tcW w:w="2450" w:type="dxa"/>
            <w:vAlign w:val="center"/>
          </w:tcPr>
          <w:p w14:paraId="5EB05B15">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c>
          <w:tcPr>
            <w:tcW w:w="2138" w:type="dxa"/>
            <w:vAlign w:val="center"/>
          </w:tcPr>
          <w:p w14:paraId="7C0F2EA6">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开户银行：</w:t>
            </w:r>
          </w:p>
        </w:tc>
        <w:tc>
          <w:tcPr>
            <w:tcW w:w="3290" w:type="dxa"/>
            <w:vAlign w:val="center"/>
          </w:tcPr>
          <w:p w14:paraId="73AD0A7C">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r w14:paraId="149E5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4F0D0BA0">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账    号：</w:t>
            </w:r>
          </w:p>
        </w:tc>
        <w:tc>
          <w:tcPr>
            <w:tcW w:w="2450" w:type="dxa"/>
            <w:vAlign w:val="center"/>
          </w:tcPr>
          <w:p w14:paraId="487F57DD">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c>
          <w:tcPr>
            <w:tcW w:w="2138" w:type="dxa"/>
            <w:vAlign w:val="center"/>
          </w:tcPr>
          <w:p w14:paraId="3CFE7DB3">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账    号：</w:t>
            </w:r>
          </w:p>
        </w:tc>
        <w:tc>
          <w:tcPr>
            <w:tcW w:w="3290" w:type="dxa"/>
            <w:vAlign w:val="center"/>
          </w:tcPr>
          <w:p w14:paraId="2FA972A3">
            <w:pPr>
              <w:snapToGrid w:val="0"/>
              <w:spacing w:before="0" w:beforeAutospacing="0" w:after="0" w:afterAutospacing="0" w:line="460" w:lineRule="exact"/>
              <w:jc w:val="both"/>
              <w:textAlignment w:val="baseline"/>
              <w:rPr>
                <w:rStyle w:val="38"/>
                <w:rFonts w:hint="eastAsia" w:ascii="仿宋" w:hAnsi="仿宋" w:eastAsia="仿宋" w:cs="仿宋"/>
                <w:b w:val="0"/>
                <w:i w:val="0"/>
                <w:caps w:val="0"/>
                <w:color w:val="auto"/>
                <w:spacing w:val="0"/>
                <w:w w:val="100"/>
                <w:kern w:val="2"/>
                <w:sz w:val="28"/>
                <w:szCs w:val="28"/>
                <w:lang w:val="en-US" w:eastAsia="zh-CN" w:bidi="ar-SA"/>
              </w:rPr>
            </w:pPr>
            <w:r>
              <w:rPr>
                <w:rStyle w:val="38"/>
                <w:rFonts w:hint="eastAsia" w:ascii="仿宋" w:hAnsi="仿宋" w:eastAsia="仿宋" w:cs="仿宋"/>
                <w:b w:val="0"/>
                <w:i w:val="0"/>
                <w:caps w:val="0"/>
                <w:color w:val="auto"/>
                <w:spacing w:val="0"/>
                <w:w w:val="100"/>
                <w:kern w:val="2"/>
                <w:sz w:val="28"/>
                <w:szCs w:val="28"/>
                <w:lang w:val="en-US" w:eastAsia="zh-CN" w:bidi="ar-SA"/>
              </w:rPr>
              <w:t xml:space="preserve">     </w:t>
            </w:r>
          </w:p>
        </w:tc>
      </w:tr>
    </w:tbl>
    <w:p w14:paraId="2E7B037A">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r>
    </w:p>
    <w:p w14:paraId="50187672">
      <w:pPr>
        <w:pStyle w:val="3"/>
        <w:shd w:val="clear" w:color="auto" w:fill="auto"/>
        <w:tabs>
          <w:tab w:val="left" w:pos="360"/>
        </w:tabs>
        <w:jc w:val="center"/>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第</w:t>
      </w:r>
      <w:r>
        <w:rPr>
          <w:rFonts w:hint="eastAsia" w:ascii="仿宋" w:hAnsi="仿宋" w:eastAsia="仿宋" w:cs="仿宋"/>
          <w:color w:val="auto"/>
          <w:sz w:val="40"/>
          <w:szCs w:val="40"/>
          <w:highlight w:val="none"/>
          <w:lang w:val="en-US" w:eastAsia="zh-CN"/>
        </w:rPr>
        <w:t>五</w:t>
      </w:r>
      <w:r>
        <w:rPr>
          <w:rFonts w:hint="eastAsia" w:ascii="仿宋" w:hAnsi="仿宋" w:eastAsia="仿宋" w:cs="仿宋"/>
          <w:color w:val="auto"/>
          <w:sz w:val="40"/>
          <w:szCs w:val="40"/>
          <w:highlight w:val="none"/>
        </w:rPr>
        <w:t>章 投标文件格式</w:t>
      </w:r>
      <w:bookmarkEnd w:id="91"/>
      <w:bookmarkEnd w:id="92"/>
    </w:p>
    <w:p w14:paraId="314FBFA6">
      <w:pPr>
        <w:pStyle w:val="13"/>
        <w:shd w:val="clear" w:color="auto" w:fill="auto"/>
        <w:spacing w:line="500" w:lineRule="exact"/>
        <w:ind w:firstLine="1564" w:firstLineChars="745"/>
        <w:rPr>
          <w:rFonts w:hint="eastAsia" w:ascii="仿宋" w:hAnsi="仿宋" w:eastAsia="仿宋" w:cs="仿宋"/>
          <w:color w:val="auto"/>
          <w:highlight w:val="none"/>
        </w:rPr>
      </w:pPr>
    </w:p>
    <w:p w14:paraId="3C66C73A">
      <w:pPr>
        <w:jc w:val="center"/>
        <w:rPr>
          <w:rFonts w:hint="eastAsia" w:ascii="仿宋" w:hAnsi="仿宋" w:eastAsia="仿宋" w:cs="仿宋"/>
          <w:b/>
          <w:bCs/>
          <w:color w:val="auto"/>
          <w:spacing w:val="10"/>
          <w:sz w:val="44"/>
          <w:szCs w:val="44"/>
          <w:u w:val="none"/>
          <w:lang w:val="en-US" w:eastAsia="zh-CN"/>
        </w:rPr>
      </w:pPr>
      <w:r>
        <w:rPr>
          <w:rFonts w:hint="eastAsia" w:ascii="仿宋" w:hAnsi="仿宋" w:eastAsia="仿宋" w:cs="仿宋"/>
          <w:b/>
          <w:bCs/>
          <w:color w:val="auto"/>
          <w:spacing w:val="10"/>
          <w:sz w:val="48"/>
          <w:szCs w:val="44"/>
          <w:lang w:eastAsia="zh-CN"/>
        </w:rPr>
        <w:t>临翔区2024年第二批中央财政森林可持续经营项目</w:t>
      </w:r>
      <w:r>
        <w:rPr>
          <w:rFonts w:hint="eastAsia" w:ascii="仿宋" w:hAnsi="仿宋" w:eastAsia="仿宋" w:cs="仿宋"/>
          <w:b/>
          <w:bCs/>
          <w:color w:val="auto"/>
          <w:spacing w:val="10"/>
          <w:sz w:val="48"/>
          <w:szCs w:val="44"/>
          <w:lang w:val="en-US" w:eastAsia="zh-CN"/>
        </w:rPr>
        <w:t>第</w:t>
      </w:r>
      <w:r>
        <w:rPr>
          <w:rFonts w:hint="eastAsia" w:ascii="仿宋" w:hAnsi="仿宋" w:eastAsia="仿宋" w:cs="仿宋"/>
          <w:b/>
          <w:bCs/>
          <w:color w:val="auto"/>
          <w:spacing w:val="10"/>
          <w:sz w:val="48"/>
          <w:szCs w:val="44"/>
          <w:u w:val="single"/>
          <w:lang w:val="en-US" w:eastAsia="zh-CN"/>
        </w:rPr>
        <w:t xml:space="preserve">    </w:t>
      </w:r>
      <w:r>
        <w:rPr>
          <w:rFonts w:hint="eastAsia" w:ascii="仿宋" w:hAnsi="仿宋" w:eastAsia="仿宋" w:cs="仿宋"/>
          <w:b/>
          <w:bCs/>
          <w:color w:val="auto"/>
          <w:spacing w:val="10"/>
          <w:sz w:val="48"/>
          <w:szCs w:val="44"/>
          <w:u w:val="none"/>
          <w:lang w:val="en-US" w:eastAsia="zh-CN"/>
        </w:rPr>
        <w:t>标段</w:t>
      </w:r>
    </w:p>
    <w:p w14:paraId="3EACAAE8">
      <w:pPr>
        <w:jc w:val="left"/>
        <w:rPr>
          <w:rFonts w:hint="eastAsia" w:ascii="仿宋" w:hAnsi="仿宋" w:eastAsia="仿宋" w:cs="仿宋"/>
          <w:b/>
          <w:bCs/>
          <w:color w:val="auto"/>
          <w:spacing w:val="10"/>
          <w:sz w:val="48"/>
          <w:szCs w:val="44"/>
          <w:lang w:eastAsia="zh-CN"/>
        </w:rPr>
      </w:pPr>
    </w:p>
    <w:p w14:paraId="51FE4217">
      <w:pPr>
        <w:spacing w:before="120" w:after="120" w:line="400" w:lineRule="atLeast"/>
        <w:jc w:val="left"/>
        <w:rPr>
          <w:rFonts w:hint="eastAsia" w:ascii="仿宋" w:hAnsi="仿宋" w:eastAsia="仿宋" w:cs="仿宋"/>
          <w:color w:val="auto"/>
          <w:sz w:val="24"/>
        </w:rPr>
      </w:pPr>
    </w:p>
    <w:p w14:paraId="7F93A1F3">
      <w:pPr>
        <w:spacing w:before="120" w:after="120" w:line="400" w:lineRule="atLeast"/>
        <w:jc w:val="left"/>
        <w:rPr>
          <w:rFonts w:hint="eastAsia" w:ascii="仿宋" w:hAnsi="仿宋" w:eastAsia="仿宋" w:cs="仿宋"/>
          <w:color w:val="auto"/>
          <w:sz w:val="24"/>
        </w:rPr>
      </w:pPr>
    </w:p>
    <w:p w14:paraId="2A22606A">
      <w:pPr>
        <w:spacing w:before="120" w:after="120" w:line="400" w:lineRule="atLeast"/>
        <w:jc w:val="left"/>
        <w:rPr>
          <w:rFonts w:hint="eastAsia" w:ascii="仿宋" w:hAnsi="仿宋" w:eastAsia="仿宋" w:cs="仿宋"/>
          <w:color w:val="auto"/>
          <w:sz w:val="24"/>
        </w:rPr>
      </w:pPr>
    </w:p>
    <w:p w14:paraId="78030FA1">
      <w:pPr>
        <w:spacing w:before="120" w:after="120" w:line="400" w:lineRule="atLeast"/>
        <w:jc w:val="center"/>
        <w:rPr>
          <w:rFonts w:hint="eastAsia" w:ascii="仿宋" w:hAnsi="仿宋" w:eastAsia="仿宋" w:cs="仿宋"/>
          <w:b/>
          <w:color w:val="auto"/>
          <w:sz w:val="84"/>
          <w:szCs w:val="102"/>
        </w:rPr>
      </w:pPr>
      <w:r>
        <w:rPr>
          <w:rFonts w:hint="eastAsia" w:ascii="仿宋" w:hAnsi="仿宋" w:eastAsia="仿宋" w:cs="仿宋"/>
          <w:b/>
          <w:color w:val="auto"/>
          <w:sz w:val="84"/>
          <w:szCs w:val="102"/>
        </w:rPr>
        <w:t>投 标 文 件</w:t>
      </w:r>
    </w:p>
    <w:p w14:paraId="37611F78">
      <w:pPr>
        <w:pStyle w:val="13"/>
        <w:spacing w:line="360" w:lineRule="auto"/>
        <w:ind w:firstLine="3058" w:firstLineChars="1088"/>
        <w:rPr>
          <w:rFonts w:hint="eastAsia" w:ascii="仿宋" w:hAnsi="仿宋" w:eastAsia="仿宋" w:cs="仿宋"/>
          <w:b/>
          <w:bCs/>
          <w:color w:val="auto"/>
          <w:sz w:val="28"/>
          <w:highlight w:val="none"/>
        </w:rPr>
      </w:pPr>
      <w:r>
        <w:rPr>
          <w:rFonts w:hint="eastAsia" w:ascii="仿宋" w:hAnsi="仿宋" w:eastAsia="仿宋" w:cs="仿宋"/>
          <w:b/>
          <w:bCs/>
          <w:color w:val="auto"/>
          <w:sz w:val="28"/>
        </w:rPr>
        <w:t>（</w:t>
      </w:r>
      <w:r>
        <w:rPr>
          <w:rFonts w:hint="eastAsia" w:ascii="仿宋" w:hAnsi="仿宋" w:eastAsia="仿宋" w:cs="仿宋"/>
          <w:b/>
          <w:color w:val="auto"/>
          <w:sz w:val="28"/>
          <w:szCs w:val="28"/>
          <w:highlight w:val="none"/>
        </w:rPr>
        <w:t>项目编号：</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bCs/>
          <w:color w:val="auto"/>
          <w:sz w:val="28"/>
          <w:highlight w:val="none"/>
        </w:rPr>
        <w:t>）</w:t>
      </w:r>
    </w:p>
    <w:p w14:paraId="15862920">
      <w:pPr>
        <w:spacing w:before="120" w:after="120" w:line="400" w:lineRule="atLeast"/>
        <w:jc w:val="left"/>
        <w:rPr>
          <w:rFonts w:hint="eastAsia" w:ascii="仿宋" w:hAnsi="仿宋" w:eastAsia="仿宋" w:cs="仿宋"/>
          <w:b/>
          <w:color w:val="auto"/>
          <w:highlight w:val="none"/>
        </w:rPr>
      </w:pPr>
    </w:p>
    <w:p w14:paraId="29381259">
      <w:pPr>
        <w:pStyle w:val="64"/>
        <w:rPr>
          <w:rFonts w:hint="eastAsia" w:ascii="仿宋" w:hAnsi="仿宋" w:eastAsia="仿宋" w:cs="仿宋"/>
          <w:b/>
          <w:color w:val="auto"/>
          <w:highlight w:val="none"/>
        </w:rPr>
      </w:pPr>
    </w:p>
    <w:p w14:paraId="45D72267">
      <w:pPr>
        <w:pStyle w:val="64"/>
        <w:rPr>
          <w:rFonts w:hint="eastAsia" w:ascii="仿宋" w:hAnsi="仿宋" w:eastAsia="仿宋" w:cs="仿宋"/>
          <w:b/>
          <w:color w:val="auto"/>
          <w:highlight w:val="none"/>
        </w:rPr>
      </w:pPr>
    </w:p>
    <w:p w14:paraId="31A56446">
      <w:pPr>
        <w:pStyle w:val="64"/>
        <w:rPr>
          <w:rFonts w:hint="eastAsia" w:ascii="仿宋" w:hAnsi="仿宋" w:eastAsia="仿宋" w:cs="仿宋"/>
          <w:b/>
          <w:color w:val="auto"/>
          <w:highlight w:val="none"/>
        </w:rPr>
      </w:pPr>
    </w:p>
    <w:p w14:paraId="25D1E360">
      <w:pPr>
        <w:pStyle w:val="64"/>
        <w:rPr>
          <w:rFonts w:hint="eastAsia" w:ascii="仿宋" w:hAnsi="仿宋" w:eastAsia="仿宋" w:cs="仿宋"/>
          <w:b/>
          <w:color w:val="auto"/>
          <w:highlight w:val="none"/>
        </w:rPr>
      </w:pPr>
    </w:p>
    <w:p w14:paraId="5C71B7FC">
      <w:pPr>
        <w:pStyle w:val="64"/>
        <w:rPr>
          <w:rFonts w:hint="eastAsia" w:ascii="仿宋" w:hAnsi="仿宋" w:eastAsia="仿宋" w:cs="仿宋"/>
          <w:b/>
          <w:color w:val="auto"/>
          <w:highlight w:val="none"/>
        </w:rPr>
      </w:pPr>
    </w:p>
    <w:p w14:paraId="3342A6D0">
      <w:pPr>
        <w:spacing w:before="120" w:after="120" w:line="400" w:lineRule="atLeast"/>
        <w:jc w:val="left"/>
        <w:rPr>
          <w:rFonts w:hint="eastAsia" w:ascii="仿宋" w:hAnsi="仿宋" w:eastAsia="仿宋" w:cs="仿宋"/>
          <w:b/>
          <w:color w:val="auto"/>
          <w:highlight w:val="none"/>
        </w:rPr>
      </w:pPr>
    </w:p>
    <w:p w14:paraId="0CB8C483">
      <w:pPr>
        <w:spacing w:before="120" w:after="120" w:line="400" w:lineRule="atLeast"/>
        <w:jc w:val="left"/>
        <w:rPr>
          <w:rFonts w:hint="eastAsia" w:ascii="仿宋" w:hAnsi="仿宋" w:eastAsia="仿宋" w:cs="仿宋"/>
          <w:b/>
          <w:color w:val="auto"/>
          <w:highlight w:val="none"/>
        </w:rPr>
      </w:pPr>
    </w:p>
    <w:p w14:paraId="6E888389">
      <w:pPr>
        <w:keepNext w:val="0"/>
        <w:keepLines w:val="0"/>
        <w:pageBreakBefore w:val="0"/>
        <w:widowControl w:val="0"/>
        <w:kinsoku/>
        <w:wordWrap/>
        <w:overflowPunct/>
        <w:topLinePunct w:val="0"/>
        <w:autoSpaceDE/>
        <w:autoSpaceDN/>
        <w:bidi w:val="0"/>
        <w:adjustRightInd/>
        <w:snapToGrid/>
        <w:spacing w:before="120" w:after="120" w:line="440" w:lineRule="atLeast"/>
        <w:jc w:val="left"/>
        <w:textAlignment w:val="auto"/>
        <w:rPr>
          <w:rFonts w:hint="eastAsia" w:ascii="仿宋" w:hAnsi="仿宋" w:eastAsia="仿宋" w:cs="仿宋"/>
          <w:b/>
          <w:color w:val="auto"/>
          <w:highlight w:val="none"/>
        </w:rPr>
      </w:pPr>
    </w:p>
    <w:p w14:paraId="3CC88FBB">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仿宋" w:hAnsi="仿宋" w:eastAsia="仿宋" w:cs="仿宋"/>
          <w:color w:val="auto"/>
          <w:sz w:val="28"/>
          <w:szCs w:val="28"/>
          <w:highlight w:val="none"/>
        </w:rPr>
      </w:pPr>
      <w:bookmarkStart w:id="93" w:name="_Toc397355563"/>
      <w:bookmarkStart w:id="94" w:name="_Toc361664603"/>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74DCD539">
      <w:pPr>
        <w:pStyle w:val="13"/>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法定代表人或其委托代理人</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eastAsia="zh-CN"/>
        </w:rPr>
        <w:t>（电子签名或签章）</w:t>
      </w:r>
    </w:p>
    <w:p w14:paraId="2758FE4D">
      <w:pPr>
        <w:pStyle w:val="13"/>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75AE42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A6DD37D">
      <w:pPr>
        <w:rPr>
          <w:rFonts w:hint="eastAsia" w:ascii="仿宋" w:hAnsi="仿宋" w:eastAsia="仿宋" w:cs="仿宋"/>
          <w:color w:val="auto"/>
          <w:highlight w:val="none"/>
        </w:rPr>
      </w:pPr>
    </w:p>
    <w:p w14:paraId="5B9D6FE4">
      <w:pPr>
        <w:jc w:val="center"/>
        <w:rPr>
          <w:rFonts w:hint="eastAsia" w:ascii="仿宋" w:hAnsi="仿宋" w:eastAsia="仿宋" w:cs="仿宋"/>
          <w:b/>
          <w:color w:val="auto"/>
          <w:kern w:val="2"/>
          <w:sz w:val="32"/>
          <w:szCs w:val="32"/>
          <w:highlight w:val="none"/>
          <w:lang w:val="en-US" w:eastAsia="zh-CN" w:bidi="ar-SA"/>
        </w:rPr>
      </w:pPr>
      <w:r>
        <w:rPr>
          <w:rFonts w:hint="eastAsia" w:ascii="仿宋" w:hAnsi="仿宋" w:eastAsia="仿宋" w:cs="仿宋"/>
          <w:b/>
          <w:color w:val="auto"/>
          <w:kern w:val="2"/>
          <w:sz w:val="32"/>
          <w:szCs w:val="32"/>
          <w:highlight w:val="none"/>
          <w:lang w:val="en-US" w:eastAsia="zh-CN" w:bidi="ar-SA"/>
        </w:rPr>
        <w:t>第一部分  资格部分</w:t>
      </w:r>
    </w:p>
    <w:p w14:paraId="6435A3FF">
      <w:pPr>
        <w:numPr>
          <w:ilvl w:val="0"/>
          <w:numId w:val="0"/>
        </w:numPr>
        <w:shd w:val="clear" w:color="auto" w:fill="auto"/>
        <w:spacing w:line="480" w:lineRule="exact"/>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kern w:val="2"/>
          <w:sz w:val="32"/>
          <w:szCs w:val="32"/>
          <w:highlight w:val="none"/>
          <w:lang w:val="en-US" w:eastAsia="zh-CN" w:bidi="ar-SA"/>
        </w:rPr>
        <w:t>一、</w:t>
      </w:r>
      <w:r>
        <w:rPr>
          <w:rFonts w:hint="eastAsia" w:ascii="仿宋" w:hAnsi="仿宋" w:eastAsia="仿宋" w:cs="仿宋"/>
          <w:b/>
          <w:color w:val="auto"/>
          <w:sz w:val="32"/>
          <w:szCs w:val="32"/>
          <w:highlight w:val="none"/>
          <w:lang w:val="en-US" w:eastAsia="zh-CN"/>
        </w:rPr>
        <w:t>基本资质证明文件</w:t>
      </w:r>
    </w:p>
    <w:p w14:paraId="72540B4C">
      <w:pPr>
        <w:numPr>
          <w:ilvl w:val="0"/>
          <w:numId w:val="0"/>
        </w:numPr>
        <w:shd w:val="clear" w:color="auto" w:fill="auto"/>
        <w:jc w:val="center"/>
        <w:outlineLvl w:val="1"/>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kern w:val="2"/>
          <w:sz w:val="28"/>
          <w:szCs w:val="28"/>
          <w:highlight w:val="none"/>
          <w:lang w:val="en-US" w:eastAsia="zh-CN" w:bidi="ar-SA"/>
        </w:rPr>
        <w:t>（一）</w:t>
      </w:r>
      <w:r>
        <w:rPr>
          <w:rFonts w:hint="eastAsia" w:ascii="仿宋" w:hAnsi="仿宋" w:eastAsia="仿宋" w:cs="仿宋"/>
          <w:b w:val="0"/>
          <w:bCs/>
          <w:color w:val="auto"/>
          <w:sz w:val="28"/>
          <w:szCs w:val="28"/>
          <w:highlight w:val="none"/>
          <w:lang w:val="en-US" w:eastAsia="zh-CN"/>
        </w:rPr>
        <w:t>供应商基本情况表</w:t>
      </w:r>
    </w:p>
    <w:tbl>
      <w:tblPr>
        <w:tblStyle w:val="26"/>
        <w:tblW w:w="9259"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2200"/>
        <w:gridCol w:w="1145"/>
        <w:gridCol w:w="1285"/>
        <w:gridCol w:w="1196"/>
        <w:gridCol w:w="293"/>
        <w:gridCol w:w="853"/>
        <w:gridCol w:w="72"/>
        <w:gridCol w:w="1170"/>
        <w:gridCol w:w="1045"/>
      </w:tblGrid>
      <w:tr w14:paraId="2B7E81C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39"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22B07F45">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供应商名称</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17E09BC3">
            <w:pPr>
              <w:snapToGrid w:val="0"/>
              <w:spacing w:before="0" w:beforeAutospacing="0" w:after="0" w:afterAutospacing="0" w:line="4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59FFFB1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02"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00780D58">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注册地址</w:t>
            </w:r>
          </w:p>
        </w:tc>
        <w:tc>
          <w:tcPr>
            <w:tcW w:w="3626" w:type="dxa"/>
            <w:gridSpan w:val="3"/>
            <w:tcBorders>
              <w:top w:val="single" w:color="000000" w:sz="4" w:space="0"/>
              <w:left w:val="single" w:color="000000" w:sz="4" w:space="0"/>
              <w:bottom w:val="single" w:color="000000" w:sz="4" w:space="0"/>
              <w:right w:val="single" w:color="000000" w:sz="4" w:space="0"/>
            </w:tcBorders>
            <w:vAlign w:val="center"/>
          </w:tcPr>
          <w:p w14:paraId="45F7F0D5">
            <w:pPr>
              <w:snapToGrid w:val="0"/>
              <w:spacing w:before="0" w:beforeAutospacing="0" w:after="0" w:afterAutospacing="0" w:line="4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218" w:type="dxa"/>
            <w:gridSpan w:val="3"/>
            <w:tcBorders>
              <w:top w:val="single" w:color="000000" w:sz="4" w:space="0"/>
              <w:left w:val="single" w:color="000000" w:sz="4" w:space="0"/>
              <w:bottom w:val="single" w:color="000000" w:sz="4" w:space="0"/>
              <w:right w:val="single" w:color="000000" w:sz="4" w:space="0"/>
            </w:tcBorders>
            <w:vAlign w:val="center"/>
          </w:tcPr>
          <w:p w14:paraId="5B080B23">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邮政编码</w:t>
            </w:r>
          </w:p>
        </w:tc>
        <w:tc>
          <w:tcPr>
            <w:tcW w:w="2215" w:type="dxa"/>
            <w:gridSpan w:val="2"/>
            <w:tcBorders>
              <w:top w:val="single" w:color="000000" w:sz="4" w:space="0"/>
              <w:left w:val="single" w:color="000000" w:sz="4" w:space="0"/>
              <w:bottom w:val="single" w:color="000000" w:sz="4" w:space="0"/>
              <w:right w:val="single" w:color="000000" w:sz="4" w:space="0"/>
            </w:tcBorders>
            <w:vAlign w:val="center"/>
          </w:tcPr>
          <w:p w14:paraId="62EFB6AC">
            <w:pPr>
              <w:snapToGrid w:val="0"/>
              <w:spacing w:before="0" w:beforeAutospacing="0" w:after="0" w:afterAutospacing="0" w:line="4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0E87E51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794" w:hRule="atLeast"/>
          <w:jc w:val="center"/>
        </w:trPr>
        <w:tc>
          <w:tcPr>
            <w:tcW w:w="2200" w:type="dxa"/>
            <w:vMerge w:val="restart"/>
            <w:tcBorders>
              <w:top w:val="single" w:color="000000" w:sz="4" w:space="0"/>
              <w:left w:val="single" w:color="000000" w:sz="4" w:space="0"/>
              <w:bottom w:val="single" w:color="000000" w:sz="4" w:space="0"/>
              <w:right w:val="single" w:color="000000" w:sz="4" w:space="0"/>
            </w:tcBorders>
            <w:vAlign w:val="center"/>
          </w:tcPr>
          <w:p w14:paraId="378A6C50">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联系方式</w:t>
            </w:r>
          </w:p>
        </w:tc>
        <w:tc>
          <w:tcPr>
            <w:tcW w:w="1145" w:type="dxa"/>
            <w:tcBorders>
              <w:top w:val="single" w:color="000000" w:sz="4" w:space="0"/>
              <w:left w:val="single" w:color="000000" w:sz="4" w:space="0"/>
              <w:bottom w:val="single" w:color="000000" w:sz="4" w:space="0"/>
              <w:right w:val="single" w:color="000000" w:sz="4" w:space="0"/>
            </w:tcBorders>
            <w:vAlign w:val="center"/>
          </w:tcPr>
          <w:p w14:paraId="4F23C4B0">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联系人</w:t>
            </w:r>
          </w:p>
        </w:tc>
        <w:tc>
          <w:tcPr>
            <w:tcW w:w="2481" w:type="dxa"/>
            <w:gridSpan w:val="2"/>
            <w:tcBorders>
              <w:top w:val="single" w:color="000000" w:sz="4" w:space="0"/>
              <w:left w:val="single" w:color="000000" w:sz="4" w:space="0"/>
              <w:bottom w:val="single" w:color="000000" w:sz="4" w:space="0"/>
              <w:right w:val="single" w:color="000000" w:sz="4" w:space="0"/>
            </w:tcBorders>
            <w:vAlign w:val="center"/>
          </w:tcPr>
          <w:p w14:paraId="0A15044A">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218" w:type="dxa"/>
            <w:gridSpan w:val="3"/>
            <w:tcBorders>
              <w:top w:val="single" w:color="000000" w:sz="4" w:space="0"/>
              <w:left w:val="single" w:color="000000" w:sz="4" w:space="0"/>
              <w:bottom w:val="single" w:color="000000" w:sz="4" w:space="0"/>
              <w:right w:val="single" w:color="000000" w:sz="4" w:space="0"/>
            </w:tcBorders>
            <w:vAlign w:val="center"/>
          </w:tcPr>
          <w:p w14:paraId="793267B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电 话</w:t>
            </w:r>
          </w:p>
        </w:tc>
        <w:tc>
          <w:tcPr>
            <w:tcW w:w="2215" w:type="dxa"/>
            <w:gridSpan w:val="2"/>
            <w:tcBorders>
              <w:top w:val="single" w:color="000000" w:sz="4" w:space="0"/>
              <w:left w:val="single" w:color="000000" w:sz="4" w:space="0"/>
              <w:bottom w:val="single" w:color="000000" w:sz="4" w:space="0"/>
              <w:right w:val="single" w:color="000000" w:sz="4" w:space="0"/>
            </w:tcBorders>
            <w:vAlign w:val="center"/>
          </w:tcPr>
          <w:p w14:paraId="709948B1">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1F914E9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804" w:hRule="atLeast"/>
          <w:jc w:val="center"/>
        </w:trPr>
        <w:tc>
          <w:tcPr>
            <w:tcW w:w="2200" w:type="dxa"/>
            <w:vMerge w:val="continue"/>
            <w:tcBorders>
              <w:top w:val="single" w:color="000000" w:sz="4" w:space="0"/>
              <w:left w:val="single" w:color="000000" w:sz="4" w:space="0"/>
              <w:bottom w:val="single" w:color="000000" w:sz="4" w:space="0"/>
              <w:right w:val="single" w:color="000000" w:sz="4" w:space="0"/>
            </w:tcBorders>
            <w:vAlign w:val="center"/>
          </w:tcPr>
          <w:p w14:paraId="7DD62F30">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145" w:type="dxa"/>
            <w:tcBorders>
              <w:top w:val="single" w:color="000000" w:sz="4" w:space="0"/>
              <w:left w:val="single" w:color="000000" w:sz="4" w:space="0"/>
              <w:bottom w:val="single" w:color="000000" w:sz="4" w:space="0"/>
              <w:right w:val="single" w:color="000000" w:sz="4" w:space="0"/>
            </w:tcBorders>
            <w:vAlign w:val="center"/>
          </w:tcPr>
          <w:p w14:paraId="7623D6FD">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传  真</w:t>
            </w:r>
          </w:p>
        </w:tc>
        <w:tc>
          <w:tcPr>
            <w:tcW w:w="2481" w:type="dxa"/>
            <w:gridSpan w:val="2"/>
            <w:tcBorders>
              <w:top w:val="single" w:color="000000" w:sz="4" w:space="0"/>
              <w:left w:val="single" w:color="000000" w:sz="4" w:space="0"/>
              <w:bottom w:val="single" w:color="000000" w:sz="4" w:space="0"/>
              <w:right w:val="single" w:color="000000" w:sz="4" w:space="0"/>
            </w:tcBorders>
            <w:vAlign w:val="center"/>
          </w:tcPr>
          <w:p w14:paraId="20C5F7B7">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218" w:type="dxa"/>
            <w:gridSpan w:val="3"/>
            <w:tcBorders>
              <w:top w:val="single" w:color="000000" w:sz="4" w:space="0"/>
              <w:left w:val="single" w:color="000000" w:sz="4" w:space="0"/>
              <w:bottom w:val="single" w:color="000000" w:sz="4" w:space="0"/>
              <w:right w:val="single" w:color="000000" w:sz="4" w:space="0"/>
            </w:tcBorders>
            <w:vAlign w:val="center"/>
          </w:tcPr>
          <w:p w14:paraId="4E4B4BF3">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网 址</w:t>
            </w:r>
          </w:p>
        </w:tc>
        <w:tc>
          <w:tcPr>
            <w:tcW w:w="2215" w:type="dxa"/>
            <w:gridSpan w:val="2"/>
            <w:tcBorders>
              <w:top w:val="single" w:color="000000" w:sz="4" w:space="0"/>
              <w:left w:val="single" w:color="000000" w:sz="4" w:space="0"/>
              <w:bottom w:val="single" w:color="000000" w:sz="4" w:space="0"/>
              <w:right w:val="single" w:color="000000" w:sz="4" w:space="0"/>
            </w:tcBorders>
            <w:vAlign w:val="center"/>
          </w:tcPr>
          <w:p w14:paraId="1CCA52BA">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11F2A8F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05"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02F6DAA5">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组织结构</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46A17AD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22F127C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97"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3A0F6D9B">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法定代表人</w:t>
            </w:r>
          </w:p>
        </w:tc>
        <w:tc>
          <w:tcPr>
            <w:tcW w:w="1145" w:type="dxa"/>
            <w:tcBorders>
              <w:top w:val="single" w:color="000000" w:sz="4" w:space="0"/>
              <w:left w:val="single" w:color="000000" w:sz="4" w:space="0"/>
              <w:bottom w:val="single" w:color="000000" w:sz="4" w:space="0"/>
              <w:right w:val="single" w:color="000000" w:sz="4" w:space="0"/>
            </w:tcBorders>
            <w:vAlign w:val="center"/>
          </w:tcPr>
          <w:p w14:paraId="763AA4A1">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姓名</w:t>
            </w:r>
          </w:p>
        </w:tc>
        <w:tc>
          <w:tcPr>
            <w:tcW w:w="1285" w:type="dxa"/>
            <w:tcBorders>
              <w:top w:val="single" w:color="000000" w:sz="4" w:space="0"/>
              <w:left w:val="single" w:color="000000" w:sz="4" w:space="0"/>
              <w:bottom w:val="single" w:color="000000" w:sz="4" w:space="0"/>
              <w:right w:val="single" w:color="000000" w:sz="4" w:space="0"/>
            </w:tcBorders>
            <w:vAlign w:val="center"/>
          </w:tcPr>
          <w:p w14:paraId="7C424AAF">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489" w:type="dxa"/>
            <w:gridSpan w:val="2"/>
            <w:tcBorders>
              <w:top w:val="single" w:color="000000" w:sz="4" w:space="0"/>
              <w:left w:val="single" w:color="000000" w:sz="4" w:space="0"/>
              <w:bottom w:val="single" w:color="000000" w:sz="4" w:space="0"/>
              <w:right w:val="single" w:color="000000" w:sz="4" w:space="0"/>
            </w:tcBorders>
            <w:vAlign w:val="center"/>
          </w:tcPr>
          <w:p w14:paraId="3D9F40E1">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技术职称</w:t>
            </w:r>
          </w:p>
        </w:tc>
        <w:tc>
          <w:tcPr>
            <w:tcW w:w="853" w:type="dxa"/>
            <w:tcBorders>
              <w:top w:val="single" w:color="000000" w:sz="4" w:space="0"/>
              <w:left w:val="single" w:color="000000" w:sz="4" w:space="0"/>
              <w:bottom w:val="single" w:color="000000" w:sz="4" w:space="0"/>
              <w:right w:val="single" w:color="000000" w:sz="4" w:space="0"/>
            </w:tcBorders>
            <w:vAlign w:val="center"/>
          </w:tcPr>
          <w:p w14:paraId="0D3AF234">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14:paraId="467F261B">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电话</w:t>
            </w:r>
          </w:p>
        </w:tc>
        <w:tc>
          <w:tcPr>
            <w:tcW w:w="1045" w:type="dxa"/>
            <w:tcBorders>
              <w:top w:val="single" w:color="000000" w:sz="4" w:space="0"/>
              <w:left w:val="single" w:color="000000" w:sz="4" w:space="0"/>
              <w:bottom w:val="single" w:color="000000" w:sz="4" w:space="0"/>
              <w:right w:val="single" w:color="000000" w:sz="4" w:space="0"/>
            </w:tcBorders>
            <w:vAlign w:val="center"/>
          </w:tcPr>
          <w:p w14:paraId="24963CC6">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74885F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6DE649B4">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技术负责人</w:t>
            </w:r>
          </w:p>
        </w:tc>
        <w:tc>
          <w:tcPr>
            <w:tcW w:w="1145" w:type="dxa"/>
            <w:tcBorders>
              <w:top w:val="single" w:color="000000" w:sz="4" w:space="0"/>
              <w:left w:val="single" w:color="000000" w:sz="4" w:space="0"/>
              <w:bottom w:val="single" w:color="000000" w:sz="4" w:space="0"/>
              <w:right w:val="single" w:color="000000" w:sz="4" w:space="0"/>
            </w:tcBorders>
            <w:vAlign w:val="center"/>
          </w:tcPr>
          <w:p w14:paraId="3DADB06C">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姓名</w:t>
            </w:r>
          </w:p>
        </w:tc>
        <w:tc>
          <w:tcPr>
            <w:tcW w:w="1285" w:type="dxa"/>
            <w:tcBorders>
              <w:top w:val="single" w:color="000000" w:sz="4" w:space="0"/>
              <w:left w:val="single" w:color="000000" w:sz="4" w:space="0"/>
              <w:bottom w:val="single" w:color="000000" w:sz="4" w:space="0"/>
              <w:right w:val="single" w:color="000000" w:sz="4" w:space="0"/>
            </w:tcBorders>
            <w:vAlign w:val="center"/>
          </w:tcPr>
          <w:p w14:paraId="73FE7D3C">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489" w:type="dxa"/>
            <w:gridSpan w:val="2"/>
            <w:tcBorders>
              <w:top w:val="single" w:color="000000" w:sz="4" w:space="0"/>
              <w:left w:val="single" w:color="000000" w:sz="4" w:space="0"/>
              <w:bottom w:val="single" w:color="000000" w:sz="4" w:space="0"/>
              <w:right w:val="single" w:color="000000" w:sz="4" w:space="0"/>
            </w:tcBorders>
            <w:vAlign w:val="center"/>
          </w:tcPr>
          <w:p w14:paraId="0D00034D">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技术职称</w:t>
            </w:r>
          </w:p>
        </w:tc>
        <w:tc>
          <w:tcPr>
            <w:tcW w:w="853" w:type="dxa"/>
            <w:tcBorders>
              <w:top w:val="single" w:color="000000" w:sz="4" w:space="0"/>
              <w:left w:val="single" w:color="000000" w:sz="4" w:space="0"/>
              <w:bottom w:val="single" w:color="000000" w:sz="4" w:space="0"/>
              <w:right w:val="single" w:color="000000" w:sz="4" w:space="0"/>
            </w:tcBorders>
            <w:vAlign w:val="center"/>
          </w:tcPr>
          <w:p w14:paraId="194444D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14:paraId="377AD5FD">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电话</w:t>
            </w:r>
          </w:p>
        </w:tc>
        <w:tc>
          <w:tcPr>
            <w:tcW w:w="1045" w:type="dxa"/>
            <w:tcBorders>
              <w:top w:val="single" w:color="000000" w:sz="4" w:space="0"/>
              <w:left w:val="single" w:color="000000" w:sz="4" w:space="0"/>
              <w:bottom w:val="single" w:color="000000" w:sz="4" w:space="0"/>
              <w:right w:val="single" w:color="000000" w:sz="4" w:space="0"/>
            </w:tcBorders>
            <w:vAlign w:val="center"/>
          </w:tcPr>
          <w:p w14:paraId="5EF8F078">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2718E1C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17"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411E7C4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成立时间</w:t>
            </w:r>
          </w:p>
        </w:tc>
        <w:tc>
          <w:tcPr>
            <w:tcW w:w="2430" w:type="dxa"/>
            <w:gridSpan w:val="2"/>
            <w:tcBorders>
              <w:top w:val="single" w:color="000000" w:sz="4" w:space="0"/>
              <w:left w:val="single" w:color="000000" w:sz="4" w:space="0"/>
              <w:bottom w:val="single" w:color="000000" w:sz="4" w:space="0"/>
              <w:right w:val="single" w:color="000000" w:sz="4" w:space="0"/>
            </w:tcBorders>
            <w:vAlign w:val="center"/>
          </w:tcPr>
          <w:p w14:paraId="5F807C9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c>
          <w:tcPr>
            <w:tcW w:w="4629" w:type="dxa"/>
            <w:gridSpan w:val="6"/>
            <w:tcBorders>
              <w:top w:val="single" w:color="000000" w:sz="4" w:space="0"/>
              <w:left w:val="single" w:color="000000" w:sz="4" w:space="0"/>
              <w:bottom w:val="single" w:color="000000" w:sz="4" w:space="0"/>
              <w:right w:val="single" w:color="000000" w:sz="4" w:space="0"/>
            </w:tcBorders>
            <w:vAlign w:val="center"/>
          </w:tcPr>
          <w:p w14:paraId="4FEBC7E1">
            <w:pPr>
              <w:snapToGrid w:val="0"/>
              <w:spacing w:before="0" w:beforeAutospacing="0" w:after="0" w:afterAutospacing="0" w:line="400" w:lineRule="exact"/>
              <w:jc w:val="left"/>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员工总人数：</w:t>
            </w:r>
          </w:p>
        </w:tc>
      </w:tr>
      <w:tr w14:paraId="3D3A7D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799"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75B0A5E7">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营业执照号</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645CB76D">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578A5D9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791"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460C44BE">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注册资金</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0EE222EB">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6DC061F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819"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74467AF2">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开户银行</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642C9291">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1BCA9D2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795"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39633C7A">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账号</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15A8CD0F">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r w14:paraId="4EA5CD7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505" w:hRule="atLeast"/>
          <w:jc w:val="center"/>
        </w:trPr>
        <w:tc>
          <w:tcPr>
            <w:tcW w:w="2200" w:type="dxa"/>
            <w:tcBorders>
              <w:top w:val="single" w:color="000000" w:sz="4" w:space="0"/>
              <w:left w:val="single" w:color="000000" w:sz="4" w:space="0"/>
              <w:bottom w:val="single" w:color="000000" w:sz="4" w:space="0"/>
              <w:right w:val="single" w:color="000000" w:sz="4" w:space="0"/>
            </w:tcBorders>
            <w:vAlign w:val="center"/>
          </w:tcPr>
          <w:p w14:paraId="43F122D0">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经营范围</w:t>
            </w:r>
          </w:p>
        </w:tc>
        <w:tc>
          <w:tcPr>
            <w:tcW w:w="7059" w:type="dxa"/>
            <w:gridSpan w:val="8"/>
            <w:tcBorders>
              <w:top w:val="single" w:color="000000" w:sz="4" w:space="0"/>
              <w:left w:val="single" w:color="000000" w:sz="4" w:space="0"/>
              <w:bottom w:val="single" w:color="000000" w:sz="4" w:space="0"/>
              <w:right w:val="single" w:color="000000" w:sz="4" w:space="0"/>
            </w:tcBorders>
            <w:vAlign w:val="center"/>
          </w:tcPr>
          <w:p w14:paraId="56BED20F">
            <w:pPr>
              <w:snapToGrid w:val="0"/>
              <w:spacing w:before="0" w:beforeAutospacing="0" w:after="0" w:afterAutospacing="0" w:line="400" w:lineRule="exact"/>
              <w:jc w:val="center"/>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tc>
      </w:tr>
    </w:tbl>
    <w:p w14:paraId="79A8AFDE">
      <w:pPr>
        <w:rPr>
          <w:rFonts w:hint="eastAsia" w:ascii="仿宋" w:hAnsi="仿宋" w:eastAsia="仿宋" w:cs="仿宋"/>
          <w:color w:val="auto"/>
          <w:sz w:val="32"/>
          <w:szCs w:val="18"/>
          <w:highlight w:val="none"/>
        </w:rPr>
      </w:pPr>
      <w:r>
        <w:rPr>
          <w:rFonts w:hint="eastAsia" w:ascii="仿宋" w:hAnsi="仿宋" w:eastAsia="仿宋" w:cs="仿宋"/>
          <w:color w:val="auto"/>
          <w:sz w:val="32"/>
          <w:szCs w:val="18"/>
          <w:highlight w:val="none"/>
        </w:rPr>
        <w:br w:type="page"/>
      </w:r>
    </w:p>
    <w:p w14:paraId="42B7A01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（二）供应商须为在中华人民共和国注册且具有独立承担民事责任能力的法人或其他组织，持有有效的法人或者其他组织的营业执照等证明文件。</w:t>
      </w:r>
    </w:p>
    <w:p w14:paraId="47777C9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供应商须具有良好的商业信誉和健全的财务会计制度，提供2023、2024年度任意一年度财务报表（资产负债表、现金流量表、利润表并加盖公章）（2025年以后新成立的公司则提供银行出具的资信证明或验资报告等）。</w:t>
      </w:r>
    </w:p>
    <w:p w14:paraId="7D6C3BD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（四）供应商须具有履行合同所必需的设备和专业技术能力（投标文件中提供承诺书或证明材料）。</w:t>
      </w:r>
    </w:p>
    <w:p w14:paraId="1B699A8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应商须具有依法缴纳税收和社保资金的良好记录，提供税务局税收通用缴款书或银行电子缴税（费）凭证或税务局出具纳税情况的相关证明（新成立的供应商，提供情况说明或未拖欠税收、社保资金承诺或证明材料）；依法免税或无需缴纳社会保障资金的供应商，应具有相应证明文件。</w:t>
      </w:r>
    </w:p>
    <w:p w14:paraId="27043B7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（六）供应商参加政府采购活动前三年内，在经营活动中没有重大违法记录（投标文件中提供承诺书或证明材料）。</w:t>
      </w:r>
    </w:p>
    <w:p w14:paraId="3A69BCF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注：重大违法记录是指因违法经营受到刑事处罚或者被责令停产停业、被吊销许可证或者执照、被处以较大数额罚款等行政处罚，因违法经营被禁止参加政府采购活动的期限未满情形。</w:t>
      </w:r>
    </w:p>
    <w:p w14:paraId="39B4932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信誉要求：供应商未被列入“信用中国”网站“失信被执行人”、“重大税收违法案件当事人名单”、“政府采购严重违法失信行为记录名单”及中国政府采购网“政府采购严重违法失信行为信息记录”（被禁止在一定期限内参加政府采购活动但期限届满的除外，由采购人或采购代理机构在项目评审前统一查询）。</w:t>
      </w:r>
    </w:p>
    <w:p w14:paraId="6A4F38F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八）根据《中华人民共和国政府采购法实施条例》第十八条规定，单位负责人为同一人或者存在直接控股、管理关系的不同供应商，不得参加同一合同项下的政府采购活动（投标文件中提供承诺书或证明材料）。</w:t>
      </w:r>
    </w:p>
    <w:p w14:paraId="5528AE9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（九）其它资料（招标文件要求及供应商认为有必要提供的其它资格证明材料）。</w:t>
      </w:r>
    </w:p>
    <w:p w14:paraId="270F876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green"/>
        </w:rPr>
      </w:pPr>
      <w:r>
        <w:rPr>
          <w:rFonts w:hint="eastAsia" w:ascii="仿宋" w:hAnsi="仿宋" w:eastAsia="仿宋" w:cs="仿宋"/>
          <w:color w:val="auto"/>
          <w:sz w:val="28"/>
          <w:szCs w:val="28"/>
          <w:highlight w:val="green"/>
        </w:rPr>
        <w:br w:type="page"/>
      </w:r>
    </w:p>
    <w:p w14:paraId="72A1AB9A">
      <w:pPr>
        <w:widowControl/>
        <w:jc w:val="center"/>
        <w:rPr>
          <w:rFonts w:hint="eastAsia" w:ascii="仿宋" w:hAnsi="仿宋" w:eastAsia="仿宋" w:cs="仿宋"/>
          <w:b/>
          <w:bCs/>
          <w:color w:val="auto"/>
          <w:sz w:val="32"/>
          <w:szCs w:val="18"/>
          <w:highlight w:val="none"/>
        </w:rPr>
      </w:pPr>
      <w:r>
        <w:rPr>
          <w:rFonts w:hint="eastAsia" w:ascii="仿宋" w:hAnsi="仿宋" w:eastAsia="仿宋" w:cs="仿宋"/>
          <w:b/>
          <w:bCs/>
          <w:color w:val="auto"/>
          <w:sz w:val="32"/>
          <w:szCs w:val="18"/>
          <w:highlight w:val="none"/>
        </w:rPr>
        <w:t>第二部分  商务报价部分</w:t>
      </w:r>
    </w:p>
    <w:p w14:paraId="429C6071">
      <w:pPr>
        <w:widowControl/>
        <w:jc w:val="center"/>
        <w:rPr>
          <w:rFonts w:hint="eastAsia" w:ascii="仿宋" w:hAnsi="仿宋" w:eastAsia="仿宋" w:cs="仿宋"/>
          <w:b/>
          <w:bCs/>
          <w:color w:val="auto"/>
          <w:sz w:val="32"/>
          <w:szCs w:val="18"/>
          <w:highlight w:val="none"/>
        </w:rPr>
      </w:pPr>
      <w:r>
        <w:rPr>
          <w:rFonts w:hint="eastAsia" w:ascii="仿宋" w:hAnsi="仿宋" w:eastAsia="仿宋" w:cs="仿宋"/>
          <w:b/>
          <w:bCs/>
          <w:color w:val="auto"/>
          <w:sz w:val="32"/>
          <w:szCs w:val="18"/>
          <w:highlight w:val="none"/>
        </w:rPr>
        <w:t>一、</w:t>
      </w:r>
      <w:r>
        <w:rPr>
          <w:rFonts w:hint="eastAsia" w:ascii="仿宋" w:hAnsi="仿宋" w:eastAsia="仿宋" w:cs="仿宋"/>
          <w:b/>
          <w:bCs/>
          <w:color w:val="auto"/>
          <w:sz w:val="32"/>
          <w:szCs w:val="18"/>
          <w:highlight w:val="none"/>
          <w:lang w:val="en-US" w:eastAsia="zh-CN"/>
        </w:rPr>
        <w:t>报价</w:t>
      </w:r>
      <w:r>
        <w:rPr>
          <w:rFonts w:hint="eastAsia" w:ascii="仿宋" w:hAnsi="仿宋" w:eastAsia="仿宋" w:cs="仿宋"/>
          <w:b/>
          <w:bCs/>
          <w:color w:val="auto"/>
          <w:sz w:val="32"/>
          <w:szCs w:val="18"/>
          <w:highlight w:val="none"/>
        </w:rPr>
        <w:t>一览表</w:t>
      </w:r>
      <w:bookmarkEnd w:id="93"/>
      <w:bookmarkEnd w:id="94"/>
    </w:p>
    <w:p w14:paraId="49441617">
      <w:pPr>
        <w:pStyle w:val="65"/>
        <w:rPr>
          <w:rFonts w:hint="eastAsia" w:ascii="仿宋" w:hAnsi="仿宋" w:eastAsia="仿宋" w:cs="仿宋"/>
          <w:b/>
          <w:color w:val="auto"/>
          <w:kern w:val="2"/>
          <w:highlight w:val="none"/>
          <w:lang w:val="en-US"/>
        </w:rPr>
      </w:pPr>
    </w:p>
    <w:p w14:paraId="0B242DC4">
      <w:pPr>
        <w:pStyle w:val="65"/>
        <w:rPr>
          <w:rFonts w:hint="eastAsia" w:ascii="仿宋" w:hAnsi="仿宋" w:eastAsia="仿宋" w:cs="仿宋"/>
          <w:b/>
          <w:color w:val="auto"/>
          <w:kern w:val="2"/>
          <w:sz w:val="24"/>
          <w:szCs w:val="32"/>
          <w:highlight w:val="none"/>
          <w:u w:val="single"/>
          <w:lang w:val="en-US"/>
        </w:rPr>
      </w:pPr>
      <w:r>
        <w:rPr>
          <w:rFonts w:hint="eastAsia" w:ascii="仿宋" w:hAnsi="仿宋" w:eastAsia="仿宋" w:cs="仿宋"/>
          <w:b/>
          <w:color w:val="auto"/>
          <w:kern w:val="2"/>
          <w:sz w:val="24"/>
          <w:szCs w:val="32"/>
          <w:highlight w:val="none"/>
          <w:lang w:val="en-US"/>
        </w:rPr>
        <w:t>项目名称：</w:t>
      </w:r>
      <w:r>
        <w:rPr>
          <w:rFonts w:hint="eastAsia" w:ascii="仿宋" w:hAnsi="仿宋" w:eastAsia="仿宋" w:cs="仿宋"/>
          <w:b/>
          <w:color w:val="auto"/>
          <w:kern w:val="2"/>
          <w:sz w:val="24"/>
          <w:szCs w:val="32"/>
          <w:highlight w:val="none"/>
          <w:u w:val="single"/>
          <w:lang w:val="en-US" w:eastAsia="zh-CN"/>
        </w:rPr>
        <w:t>临翔区2024年第二批中央财政森林可持续经营项目</w:t>
      </w:r>
      <w:r>
        <w:rPr>
          <w:rFonts w:hint="eastAsia" w:ascii="仿宋" w:hAnsi="仿宋" w:eastAsia="仿宋" w:cs="仿宋"/>
          <w:b/>
          <w:color w:val="auto"/>
          <w:kern w:val="2"/>
          <w:sz w:val="24"/>
          <w:szCs w:val="32"/>
          <w:highlight w:val="none"/>
          <w:u w:val="single"/>
          <w:lang w:val="en-US"/>
        </w:rPr>
        <w:t>第   标段</w:t>
      </w:r>
    </w:p>
    <w:p w14:paraId="2C6EDA0F">
      <w:pPr>
        <w:pStyle w:val="65"/>
        <w:rPr>
          <w:rFonts w:hint="eastAsia" w:ascii="仿宋" w:hAnsi="仿宋" w:eastAsia="仿宋" w:cs="仿宋"/>
          <w:b/>
          <w:color w:val="auto"/>
          <w:highlight w:val="none"/>
          <w:vertAlign w:val="baseline"/>
          <w:lang w:eastAsia="zh-CN"/>
        </w:rPr>
      </w:pPr>
      <w:r>
        <w:rPr>
          <w:rFonts w:hint="eastAsia" w:ascii="仿宋" w:hAnsi="仿宋" w:eastAsia="仿宋" w:cs="仿宋"/>
          <w:b/>
          <w:color w:val="auto"/>
          <w:kern w:val="2"/>
          <w:sz w:val="24"/>
          <w:szCs w:val="32"/>
          <w:highlight w:val="none"/>
          <w:lang w:val="en-US" w:eastAsia="zh-CN"/>
        </w:rPr>
        <w:t>项目编号：</w:t>
      </w:r>
      <w:r>
        <w:rPr>
          <w:rFonts w:hint="eastAsia" w:ascii="仿宋" w:hAnsi="仿宋" w:eastAsia="仿宋" w:cs="仿宋"/>
          <w:b/>
          <w:color w:val="auto"/>
          <w:kern w:val="2"/>
          <w:sz w:val="24"/>
          <w:szCs w:val="32"/>
          <w:highlight w:val="none"/>
          <w:u w:val="single"/>
          <w:lang w:val="en-US" w:eastAsia="zh-CN"/>
        </w:rPr>
        <w:t xml:space="preserve">                         </w:t>
      </w:r>
      <w:r>
        <w:rPr>
          <w:rFonts w:hint="eastAsia" w:ascii="仿宋" w:hAnsi="仿宋" w:eastAsia="仿宋" w:cs="仿宋"/>
          <w:color w:val="auto"/>
          <w:highlight w:val="none"/>
          <w:lang w:val="en-US" w:eastAsia="zh-CN"/>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0"/>
        <w:gridCol w:w="3040"/>
        <w:gridCol w:w="3040"/>
      </w:tblGrid>
      <w:tr w14:paraId="704E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3040" w:type="dxa"/>
            <w:vAlign w:val="center"/>
          </w:tcPr>
          <w:p w14:paraId="5FD37393">
            <w:pPr>
              <w:pStyle w:val="65"/>
              <w:jc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color w:val="auto"/>
                <w:sz w:val="24"/>
                <w:szCs w:val="24"/>
                <w:highlight w:val="none"/>
                <w:vertAlign w:val="baseline"/>
                <w:lang w:val="en-US" w:eastAsia="zh-CN"/>
              </w:rPr>
              <w:t>内容</w:t>
            </w:r>
          </w:p>
        </w:tc>
        <w:tc>
          <w:tcPr>
            <w:tcW w:w="3040" w:type="dxa"/>
            <w:vAlign w:val="center"/>
          </w:tcPr>
          <w:p w14:paraId="4470FC59">
            <w:pPr>
              <w:pStyle w:val="65"/>
              <w:jc w:val="center"/>
              <w:rPr>
                <w:rFonts w:hint="eastAsia" w:ascii="仿宋" w:hAnsi="仿宋" w:eastAsia="仿宋" w:cs="仿宋"/>
                <w:b/>
                <w:color w:val="auto"/>
                <w:sz w:val="24"/>
                <w:szCs w:val="24"/>
                <w:highlight w:val="none"/>
                <w:vertAlign w:val="baseline"/>
                <w:lang w:eastAsia="zh-CN"/>
              </w:rPr>
            </w:pPr>
            <w:r>
              <w:rPr>
                <w:rFonts w:hint="eastAsia" w:ascii="仿宋" w:hAnsi="仿宋" w:eastAsia="仿宋" w:cs="仿宋"/>
                <w:b/>
                <w:color w:val="auto"/>
                <w:sz w:val="24"/>
                <w:szCs w:val="24"/>
                <w:highlight w:val="none"/>
                <w:vertAlign w:val="baseline"/>
                <w:lang w:eastAsia="zh-CN"/>
              </w:rPr>
              <w:t>承诺</w:t>
            </w:r>
          </w:p>
        </w:tc>
        <w:tc>
          <w:tcPr>
            <w:tcW w:w="3040" w:type="dxa"/>
            <w:vAlign w:val="center"/>
          </w:tcPr>
          <w:p w14:paraId="06F084B9">
            <w:pPr>
              <w:pStyle w:val="65"/>
              <w:jc w:val="center"/>
              <w:rPr>
                <w:rFonts w:hint="eastAsia" w:ascii="仿宋" w:hAnsi="仿宋" w:eastAsia="仿宋" w:cs="仿宋"/>
                <w:b/>
                <w:color w:val="auto"/>
                <w:sz w:val="24"/>
                <w:szCs w:val="24"/>
                <w:highlight w:val="none"/>
                <w:vertAlign w:val="baseline"/>
                <w:lang w:eastAsia="zh-CN"/>
              </w:rPr>
            </w:pPr>
            <w:r>
              <w:rPr>
                <w:rFonts w:hint="eastAsia" w:ascii="仿宋" w:hAnsi="仿宋" w:eastAsia="仿宋" w:cs="仿宋"/>
                <w:b/>
                <w:color w:val="auto"/>
                <w:sz w:val="24"/>
                <w:szCs w:val="24"/>
                <w:highlight w:val="none"/>
                <w:vertAlign w:val="baseline"/>
                <w:lang w:eastAsia="zh-CN"/>
              </w:rPr>
              <w:t>备注</w:t>
            </w:r>
          </w:p>
        </w:tc>
      </w:tr>
      <w:tr w14:paraId="5199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3040" w:type="dxa"/>
            <w:vAlign w:val="center"/>
          </w:tcPr>
          <w:p w14:paraId="515EFE68">
            <w:pPr>
              <w:pStyle w:val="58"/>
              <w:widowControl/>
              <w:snapToGrid w:val="0"/>
              <w:spacing w:before="0" w:beforeAutospacing="0" w:after="0" w:afterAutospacing="0" w:line="240" w:lineRule="auto"/>
              <w:jc w:val="center"/>
              <w:textAlignment w:val="baseline"/>
              <w:rPr>
                <w:rFonts w:hint="eastAsia" w:ascii="仿宋" w:hAnsi="仿宋" w:eastAsia="仿宋" w:cs="仿宋"/>
                <w:b/>
                <w:color w:val="auto"/>
                <w:sz w:val="24"/>
                <w:szCs w:val="24"/>
                <w:highlight w:val="none"/>
                <w:vertAlign w:val="baseline"/>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总报价</w:t>
            </w:r>
            <w:r>
              <w:rPr>
                <w:rStyle w:val="38"/>
                <w:rFonts w:hint="eastAsia" w:ascii="仿宋" w:hAnsi="仿宋" w:eastAsia="仿宋" w:cs="仿宋"/>
                <w:b w:val="0"/>
                <w:i w:val="0"/>
                <w:caps w:val="0"/>
                <w:color w:val="auto"/>
                <w:spacing w:val="-20"/>
                <w:w w:val="100"/>
                <w:kern w:val="2"/>
                <w:sz w:val="24"/>
                <w:szCs w:val="24"/>
                <w:highlight w:val="none"/>
                <w:lang w:val="en-US" w:eastAsia="zh-CN" w:bidi="ar-SA"/>
              </w:rPr>
              <w:t>（元）</w:t>
            </w:r>
          </w:p>
        </w:tc>
        <w:tc>
          <w:tcPr>
            <w:tcW w:w="3040" w:type="dxa"/>
            <w:vAlign w:val="center"/>
          </w:tcPr>
          <w:p w14:paraId="3DFD6CBA">
            <w:pPr>
              <w:pStyle w:val="58"/>
              <w:widowControl/>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小写：</w:t>
            </w:r>
          </w:p>
          <w:p w14:paraId="7D647898">
            <w:pPr>
              <w:pStyle w:val="58"/>
              <w:widowControl/>
              <w:snapToGrid w:val="0"/>
              <w:spacing w:before="0" w:beforeAutospacing="0" w:after="0" w:afterAutospacing="0" w:line="360" w:lineRule="auto"/>
              <w:jc w:val="both"/>
              <w:textAlignment w:val="baseline"/>
              <w:rPr>
                <w:rFonts w:hint="eastAsia" w:ascii="仿宋" w:hAnsi="仿宋" w:eastAsia="仿宋" w:cs="仿宋"/>
                <w:b/>
                <w:color w:val="auto"/>
                <w:sz w:val="24"/>
                <w:szCs w:val="24"/>
                <w:highlight w:val="none"/>
                <w:vertAlign w:val="baseline"/>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大写：</w:t>
            </w:r>
          </w:p>
        </w:tc>
        <w:tc>
          <w:tcPr>
            <w:tcW w:w="3040" w:type="dxa"/>
            <w:vAlign w:val="center"/>
          </w:tcPr>
          <w:p w14:paraId="5D0B780D">
            <w:pPr>
              <w:pStyle w:val="58"/>
              <w:widowControl/>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751B47A0">
            <w:pPr>
              <w:pStyle w:val="58"/>
              <w:widowControl/>
              <w:snapToGrid w:val="0"/>
              <w:spacing w:before="0" w:beforeAutospacing="0" w:after="0" w:afterAutospacing="0" w:line="360" w:lineRule="auto"/>
              <w:jc w:val="center"/>
              <w:textAlignment w:val="baseline"/>
              <w:rPr>
                <w:rFonts w:hint="eastAsia" w:ascii="仿宋" w:hAnsi="仿宋" w:eastAsia="仿宋" w:cs="仿宋"/>
                <w:b/>
                <w:color w:val="auto"/>
                <w:sz w:val="24"/>
                <w:szCs w:val="24"/>
                <w:highlight w:val="none"/>
                <w:vertAlign w:val="baseline"/>
              </w:rPr>
            </w:pPr>
          </w:p>
        </w:tc>
      </w:tr>
      <w:tr w14:paraId="7862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3040" w:type="dxa"/>
            <w:vAlign w:val="center"/>
          </w:tcPr>
          <w:p w14:paraId="1FF236F6">
            <w:pPr>
              <w:pStyle w:val="58"/>
              <w:widowControl/>
              <w:snapToGrid w:val="0"/>
              <w:spacing w:before="0" w:beforeAutospacing="0" w:after="0" w:afterAutospacing="0" w:line="240" w:lineRule="auto"/>
              <w:jc w:val="center"/>
              <w:textAlignment w:val="baseline"/>
              <w:rPr>
                <w:rFonts w:hint="eastAsia" w:ascii="仿宋" w:hAnsi="仿宋" w:eastAsia="仿宋" w:cs="仿宋"/>
                <w:b/>
                <w:color w:val="auto"/>
                <w:sz w:val="24"/>
                <w:szCs w:val="24"/>
                <w:highlight w:val="none"/>
                <w:vertAlign w:val="baseline"/>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建设地点</w:t>
            </w:r>
          </w:p>
        </w:tc>
        <w:tc>
          <w:tcPr>
            <w:tcW w:w="3040" w:type="dxa"/>
            <w:vAlign w:val="center"/>
          </w:tcPr>
          <w:p w14:paraId="758E8B5C">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c>
          <w:tcPr>
            <w:tcW w:w="3040" w:type="dxa"/>
            <w:vAlign w:val="center"/>
          </w:tcPr>
          <w:p w14:paraId="01F26874">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r>
      <w:tr w14:paraId="44F2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3040" w:type="dxa"/>
            <w:vAlign w:val="center"/>
          </w:tcPr>
          <w:p w14:paraId="361EE801">
            <w:pPr>
              <w:pStyle w:val="58"/>
              <w:widowControl/>
              <w:snapToGrid w:val="0"/>
              <w:spacing w:before="0" w:beforeAutospacing="0" w:after="0" w:afterAutospacing="0" w:line="240" w:lineRule="auto"/>
              <w:jc w:val="center"/>
              <w:textAlignment w:val="baseline"/>
              <w:rPr>
                <w:rFonts w:hint="eastAsia" w:ascii="仿宋" w:hAnsi="仿宋" w:eastAsia="仿宋" w:cs="仿宋"/>
                <w:b/>
                <w:color w:val="auto"/>
                <w:sz w:val="24"/>
                <w:szCs w:val="24"/>
                <w:highlight w:val="none"/>
                <w:vertAlign w:val="baseline"/>
              </w:rPr>
            </w:pPr>
            <w:r>
              <w:rPr>
                <w:rFonts w:hint="eastAsia" w:ascii="仿宋" w:hAnsi="仿宋" w:eastAsia="仿宋" w:cs="仿宋"/>
                <w:color w:val="auto"/>
                <w:sz w:val="24"/>
                <w:szCs w:val="24"/>
                <w:lang w:val="en-US" w:eastAsia="zh-CN"/>
              </w:rPr>
              <w:t>合同履约期限</w:t>
            </w:r>
          </w:p>
        </w:tc>
        <w:tc>
          <w:tcPr>
            <w:tcW w:w="3040" w:type="dxa"/>
            <w:vAlign w:val="center"/>
          </w:tcPr>
          <w:p w14:paraId="2DAD9B72">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c>
          <w:tcPr>
            <w:tcW w:w="3040" w:type="dxa"/>
            <w:vAlign w:val="center"/>
          </w:tcPr>
          <w:p w14:paraId="5CA421A5">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r>
      <w:tr w14:paraId="7AE0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3040" w:type="dxa"/>
            <w:vAlign w:val="center"/>
          </w:tcPr>
          <w:p w14:paraId="117FF549">
            <w:pPr>
              <w:pStyle w:val="58"/>
              <w:widowControl/>
              <w:snapToGrid w:val="0"/>
              <w:spacing w:before="0" w:beforeAutospacing="0" w:after="0" w:afterAutospacing="0" w:line="240" w:lineRule="auto"/>
              <w:jc w:val="center"/>
              <w:textAlignment w:val="baseline"/>
              <w:rPr>
                <w:rFonts w:hint="eastAsia"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质量要求</w:t>
            </w:r>
          </w:p>
        </w:tc>
        <w:tc>
          <w:tcPr>
            <w:tcW w:w="3040" w:type="dxa"/>
            <w:vAlign w:val="center"/>
          </w:tcPr>
          <w:p w14:paraId="0685FDBD">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c>
          <w:tcPr>
            <w:tcW w:w="3040" w:type="dxa"/>
            <w:vAlign w:val="center"/>
          </w:tcPr>
          <w:p w14:paraId="0A065C6F">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r>
              <w:rPr>
                <w:rFonts w:hint="eastAsia" w:ascii="仿宋" w:hAnsi="仿宋" w:eastAsia="仿宋" w:cs="仿宋"/>
                <w:b w:val="0"/>
                <w:bCs/>
                <w:color w:val="auto"/>
                <w:sz w:val="24"/>
                <w:szCs w:val="24"/>
                <w:highlight w:val="none"/>
                <w:vertAlign w:val="baseline"/>
              </w:rPr>
              <w:t>如质量不能达到甲方要求，我方愿承担合同总价款</w:t>
            </w:r>
            <w:r>
              <w:rPr>
                <w:rFonts w:hint="eastAsia" w:ascii="仿宋" w:hAnsi="仿宋" w:eastAsia="仿宋" w:cs="仿宋"/>
                <w:b w:val="0"/>
                <w:bCs/>
                <w:color w:val="auto"/>
                <w:sz w:val="24"/>
                <w:szCs w:val="24"/>
                <w:highlight w:val="none"/>
                <w:u w:val="single"/>
                <w:vertAlign w:val="baseline"/>
              </w:rPr>
              <w:t xml:space="preserve">   </w:t>
            </w:r>
            <w:r>
              <w:rPr>
                <w:rFonts w:hint="eastAsia" w:ascii="仿宋" w:hAnsi="仿宋" w:eastAsia="仿宋" w:cs="仿宋"/>
                <w:b w:val="0"/>
                <w:bCs/>
                <w:color w:val="auto"/>
                <w:sz w:val="24"/>
                <w:szCs w:val="24"/>
                <w:highlight w:val="none"/>
                <w:vertAlign w:val="baseline"/>
              </w:rPr>
              <w:t>%的罚款并承担相应法律责任。</w:t>
            </w:r>
          </w:p>
        </w:tc>
      </w:tr>
      <w:tr w14:paraId="7793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3040" w:type="dxa"/>
            <w:vAlign w:val="center"/>
          </w:tcPr>
          <w:p w14:paraId="33CC2638">
            <w:pPr>
              <w:pStyle w:val="58"/>
              <w:widowControl/>
              <w:snapToGrid w:val="0"/>
              <w:spacing w:before="0" w:beforeAutospacing="0" w:after="0" w:afterAutospacing="0" w:line="240" w:lineRule="auto"/>
              <w:jc w:val="center"/>
              <w:textAlignment w:val="baseline"/>
              <w:rPr>
                <w:rFonts w:hint="default" w:ascii="仿宋" w:hAnsi="仿宋" w:eastAsia="仿宋" w:cs="仿宋"/>
                <w:b w:val="0"/>
                <w:bCs/>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投标保证金</w:t>
            </w:r>
          </w:p>
        </w:tc>
        <w:tc>
          <w:tcPr>
            <w:tcW w:w="3040" w:type="dxa"/>
            <w:vAlign w:val="center"/>
          </w:tcPr>
          <w:p w14:paraId="72317FAF">
            <w:pPr>
              <w:pStyle w:val="58"/>
              <w:widowControl/>
              <w:snapToGrid w:val="0"/>
              <w:spacing w:before="0" w:beforeAutospacing="0" w:after="0" w:afterAutospacing="0" w:line="240" w:lineRule="auto"/>
              <w:jc w:val="both"/>
              <w:textAlignment w:val="baseline"/>
              <w:rPr>
                <w:rFonts w:hint="eastAsia" w:ascii="仿宋" w:hAnsi="仿宋" w:eastAsia="仿宋" w:cs="仿宋"/>
                <w:b/>
                <w:color w:val="auto"/>
                <w:sz w:val="24"/>
                <w:szCs w:val="24"/>
                <w:highlight w:val="none"/>
                <w:vertAlign w:val="baseline"/>
              </w:rPr>
            </w:pPr>
          </w:p>
        </w:tc>
        <w:tc>
          <w:tcPr>
            <w:tcW w:w="3040" w:type="dxa"/>
            <w:vAlign w:val="center"/>
          </w:tcPr>
          <w:p w14:paraId="4915CF0F">
            <w:pPr>
              <w:pStyle w:val="58"/>
              <w:widowControl/>
              <w:snapToGrid w:val="0"/>
              <w:spacing w:before="0" w:beforeAutospacing="0" w:after="0" w:afterAutospacing="0" w:line="240" w:lineRule="auto"/>
              <w:jc w:val="both"/>
              <w:textAlignment w:val="baseline"/>
              <w:rPr>
                <w:rFonts w:hint="eastAsia" w:ascii="仿宋" w:hAnsi="仿宋" w:eastAsia="仿宋" w:cs="仿宋"/>
                <w:b w:val="0"/>
                <w:bCs/>
                <w:color w:val="auto"/>
                <w:sz w:val="24"/>
                <w:szCs w:val="24"/>
                <w:highlight w:val="none"/>
                <w:vertAlign w:val="baseline"/>
              </w:rPr>
            </w:pPr>
          </w:p>
        </w:tc>
      </w:tr>
    </w:tbl>
    <w:p w14:paraId="2454BCC8">
      <w:pPr>
        <w:pStyle w:val="65"/>
        <w:rPr>
          <w:rFonts w:hint="eastAsia" w:ascii="仿宋" w:hAnsi="仿宋" w:eastAsia="仿宋" w:cs="仿宋"/>
          <w:b/>
          <w:color w:val="auto"/>
          <w:highlight w:val="none"/>
        </w:rPr>
      </w:pPr>
    </w:p>
    <w:p w14:paraId="19ED6CBF">
      <w:pPr>
        <w:rPr>
          <w:rFonts w:hint="eastAsia" w:ascii="仿宋" w:hAnsi="仿宋" w:eastAsia="仿宋" w:cs="仿宋"/>
          <w:color w:val="auto"/>
          <w:highlight w:val="none"/>
          <w:u w:val="single"/>
        </w:rPr>
      </w:pPr>
    </w:p>
    <w:p w14:paraId="52EA2A8F">
      <w:pPr>
        <w:tabs>
          <w:tab w:val="left" w:pos="0"/>
        </w:tabs>
        <w:snapToGrid w:val="0"/>
        <w:spacing w:before="0" w:beforeAutospacing="0" w:after="0" w:afterAutospacing="0" w:line="560" w:lineRule="exact"/>
        <w:ind w:right="-21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供应商：</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（电子签章）</w:t>
      </w:r>
    </w:p>
    <w:p w14:paraId="5C8C3C29">
      <w:pPr>
        <w:tabs>
          <w:tab w:val="left" w:pos="0"/>
        </w:tabs>
        <w:snapToGrid w:val="0"/>
        <w:spacing w:before="0" w:beforeAutospacing="0" w:after="0" w:afterAutospacing="0" w:line="560" w:lineRule="exact"/>
        <w:ind w:right="-210"/>
        <w:jc w:val="both"/>
        <w:textAlignment w:val="baseline"/>
        <w:rPr>
          <w:rStyle w:val="38"/>
          <w:rFonts w:hint="eastAsia" w:ascii="仿宋" w:hAnsi="仿宋" w:eastAsia="仿宋" w:cs="仿宋"/>
          <w:b w:val="0"/>
          <w:i w:val="0"/>
          <w:caps w:val="0"/>
          <w:color w:val="auto"/>
          <w:spacing w:val="0"/>
          <w:w w:val="100"/>
          <w:kern w:val="2"/>
          <w:sz w:val="24"/>
          <w:szCs w:val="24"/>
          <w:highlight w:val="none"/>
          <w:u w:val="singl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 xml:space="preserve">法定代表人或委托代理人： </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（电子签名或签章）</w:t>
      </w:r>
    </w:p>
    <w:p w14:paraId="1508AD9D">
      <w:pPr>
        <w:tabs>
          <w:tab w:val="left" w:pos="0"/>
        </w:tabs>
        <w:snapToGrid w:val="0"/>
        <w:spacing w:before="0" w:beforeAutospacing="0" w:after="0" w:afterAutospacing="0" w:line="560" w:lineRule="exact"/>
        <w:ind w:right="-21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日期：</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年</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月</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日</w:t>
      </w:r>
    </w:p>
    <w:p w14:paraId="3553C36F">
      <w:pPr>
        <w:pStyle w:val="66"/>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95" w:name="_Toc397355564"/>
    </w:p>
    <w:p w14:paraId="5D1D956E">
      <w:pPr>
        <w:pStyle w:val="10"/>
        <w:spacing w:line="360" w:lineRule="auto"/>
        <w:jc w:val="center"/>
        <w:rPr>
          <w:rFonts w:hint="eastAsia" w:ascii="仿宋" w:hAnsi="仿宋" w:eastAsia="仿宋" w:cs="仿宋"/>
          <w:b/>
          <w:bCs/>
          <w:color w:val="auto"/>
          <w:kern w:val="2"/>
          <w:sz w:val="32"/>
          <w:szCs w:val="18"/>
          <w:highlight w:val="none"/>
          <w:lang w:val="en-US" w:eastAsia="zh-CN" w:bidi="ar-SA"/>
        </w:rPr>
      </w:pPr>
      <w:r>
        <w:rPr>
          <w:rFonts w:hint="eastAsia" w:ascii="仿宋" w:hAnsi="仿宋" w:eastAsia="仿宋" w:cs="仿宋"/>
          <w:b/>
          <w:bCs/>
          <w:color w:val="auto"/>
          <w:kern w:val="2"/>
          <w:sz w:val="32"/>
          <w:szCs w:val="18"/>
          <w:highlight w:val="none"/>
          <w:lang w:val="en-US" w:eastAsia="zh-CN" w:bidi="ar-SA"/>
        </w:rPr>
        <w:t>二、报价明细表</w:t>
      </w:r>
    </w:p>
    <w:p w14:paraId="2777B09C">
      <w:pPr>
        <w:pStyle w:val="65"/>
        <w:ind w:firstLine="482" w:firstLineChars="200"/>
        <w:rPr>
          <w:rFonts w:hint="eastAsia" w:ascii="仿宋" w:hAnsi="仿宋" w:eastAsia="仿宋" w:cs="仿宋"/>
          <w:b/>
          <w:color w:val="auto"/>
          <w:kern w:val="2"/>
          <w:sz w:val="24"/>
          <w:szCs w:val="32"/>
          <w:highlight w:val="none"/>
          <w:u w:val="single"/>
          <w:lang w:val="en-US"/>
        </w:rPr>
      </w:pPr>
      <w:r>
        <w:rPr>
          <w:rFonts w:hint="eastAsia" w:ascii="仿宋" w:hAnsi="仿宋" w:eastAsia="仿宋" w:cs="仿宋"/>
          <w:b/>
          <w:color w:val="auto"/>
          <w:kern w:val="2"/>
          <w:sz w:val="24"/>
          <w:szCs w:val="32"/>
          <w:highlight w:val="none"/>
          <w:lang w:val="en-US"/>
        </w:rPr>
        <w:t>项目名称：</w:t>
      </w:r>
      <w:r>
        <w:rPr>
          <w:rFonts w:hint="eastAsia" w:ascii="仿宋" w:hAnsi="仿宋" w:eastAsia="仿宋" w:cs="仿宋"/>
          <w:b/>
          <w:color w:val="auto"/>
          <w:kern w:val="2"/>
          <w:sz w:val="24"/>
          <w:szCs w:val="32"/>
          <w:highlight w:val="none"/>
          <w:u w:val="single"/>
          <w:lang w:val="en-US" w:eastAsia="zh-CN"/>
        </w:rPr>
        <w:t>临翔区2024年第二批中央财政森林可持续经营项目</w:t>
      </w:r>
      <w:r>
        <w:rPr>
          <w:rFonts w:hint="eastAsia" w:ascii="仿宋" w:hAnsi="仿宋" w:eastAsia="仿宋" w:cs="仿宋"/>
          <w:b/>
          <w:color w:val="auto"/>
          <w:kern w:val="2"/>
          <w:sz w:val="24"/>
          <w:szCs w:val="32"/>
          <w:highlight w:val="none"/>
          <w:u w:val="single"/>
          <w:lang w:val="en-US"/>
        </w:rPr>
        <w:t>第   标段</w:t>
      </w:r>
    </w:p>
    <w:p w14:paraId="30844F76">
      <w:pPr>
        <w:pStyle w:val="65"/>
        <w:ind w:firstLine="482" w:firstLineChars="200"/>
        <w:rPr>
          <w:rFonts w:hint="eastAsia" w:ascii="仿宋" w:hAnsi="仿宋" w:eastAsia="仿宋" w:cs="仿宋"/>
          <w:b/>
          <w:color w:val="auto"/>
          <w:highlight w:val="none"/>
          <w:vertAlign w:val="baseline"/>
          <w:lang w:eastAsia="zh-CN"/>
        </w:rPr>
      </w:pPr>
      <w:r>
        <w:rPr>
          <w:rFonts w:hint="eastAsia" w:ascii="仿宋" w:hAnsi="仿宋" w:eastAsia="仿宋" w:cs="仿宋"/>
          <w:b/>
          <w:color w:val="auto"/>
          <w:kern w:val="2"/>
          <w:sz w:val="24"/>
          <w:szCs w:val="32"/>
          <w:highlight w:val="none"/>
          <w:lang w:val="en-US" w:eastAsia="zh-CN"/>
        </w:rPr>
        <w:t>项目编号：</w:t>
      </w:r>
      <w:r>
        <w:rPr>
          <w:rFonts w:hint="eastAsia" w:ascii="仿宋" w:hAnsi="仿宋" w:eastAsia="仿宋" w:cs="仿宋"/>
          <w:b/>
          <w:color w:val="auto"/>
          <w:kern w:val="2"/>
          <w:sz w:val="24"/>
          <w:szCs w:val="32"/>
          <w:highlight w:val="none"/>
          <w:u w:val="single"/>
          <w:lang w:val="en-US" w:eastAsia="zh-CN"/>
        </w:rPr>
        <w:t xml:space="preserve">                         </w:t>
      </w:r>
      <w:r>
        <w:rPr>
          <w:rFonts w:hint="eastAsia" w:ascii="仿宋" w:hAnsi="仿宋" w:eastAsia="仿宋" w:cs="仿宋"/>
          <w:color w:val="auto"/>
          <w:highlight w:val="none"/>
          <w:lang w:val="en-US" w:eastAsia="zh-CN"/>
        </w:rPr>
        <w:t xml:space="preserve"> </w:t>
      </w:r>
    </w:p>
    <w:tbl>
      <w:tblPr>
        <w:tblStyle w:val="26"/>
        <w:tblW w:w="10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2342"/>
        <w:gridCol w:w="1467"/>
        <w:gridCol w:w="1306"/>
        <w:gridCol w:w="1230"/>
        <w:gridCol w:w="1843"/>
        <w:gridCol w:w="1843"/>
      </w:tblGrid>
      <w:tr w14:paraId="53F1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jc w:val="center"/>
        </w:trPr>
        <w:tc>
          <w:tcPr>
            <w:tcW w:w="967" w:type="dxa"/>
            <w:tcBorders>
              <w:top w:val="single" w:color="auto" w:sz="4" w:space="0"/>
              <w:left w:val="single" w:color="auto" w:sz="4" w:space="0"/>
              <w:bottom w:val="single" w:color="auto" w:sz="4" w:space="0"/>
              <w:right w:val="single" w:color="auto" w:sz="4" w:space="0"/>
            </w:tcBorders>
            <w:noWrap w:val="0"/>
            <w:vAlign w:val="center"/>
          </w:tcPr>
          <w:p w14:paraId="5624EEA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382ECC22">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采购内容</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4375A163">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数量</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6478FE58">
            <w:pPr>
              <w:widowControl/>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计量单位</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8ED2FE5">
            <w:pPr>
              <w:pStyle w:val="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p w14:paraId="21288BF8">
            <w:pPr>
              <w:pStyle w:val="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B5F249E">
            <w:pPr>
              <w:pStyle w:val="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w:t>
            </w:r>
          </w:p>
          <w:p w14:paraId="403FBDB9">
            <w:pPr>
              <w:pStyle w:val="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（元）</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60ACB81">
            <w:pPr>
              <w:pStyle w:val="1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项目实施地点</w:t>
            </w:r>
          </w:p>
        </w:tc>
      </w:tr>
      <w:tr w14:paraId="57D7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967" w:type="dxa"/>
            <w:tcBorders>
              <w:top w:val="single" w:color="auto" w:sz="4" w:space="0"/>
              <w:left w:val="single" w:color="auto" w:sz="4" w:space="0"/>
              <w:bottom w:val="single" w:color="auto" w:sz="4" w:space="0"/>
              <w:right w:val="single" w:color="auto" w:sz="4" w:space="0"/>
            </w:tcBorders>
            <w:noWrap w:val="0"/>
            <w:vAlign w:val="center"/>
          </w:tcPr>
          <w:p w14:paraId="5F6287E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76F24BA8">
            <w:pPr>
              <w:spacing w:line="440" w:lineRule="exact"/>
              <w:ind w:firstLine="820" w:firstLineChars="342"/>
              <w:jc w:val="center"/>
              <w:rPr>
                <w:rFonts w:hint="eastAsia" w:ascii="仿宋" w:hAnsi="仿宋" w:eastAsia="仿宋" w:cs="仿宋"/>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021C727A">
            <w:pPr>
              <w:spacing w:line="440" w:lineRule="exact"/>
              <w:ind w:firstLine="820" w:firstLineChars="342"/>
              <w:rPr>
                <w:rFonts w:hint="eastAsia" w:ascii="仿宋" w:hAnsi="仿宋" w:eastAsia="仿宋" w:cs="仿宋"/>
                <w:color w:val="auto"/>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2DB15DC">
            <w:pPr>
              <w:spacing w:line="440" w:lineRule="exact"/>
              <w:ind w:firstLine="820" w:firstLineChars="342"/>
              <w:rPr>
                <w:rFonts w:hint="eastAsia" w:ascii="仿宋" w:hAnsi="仿宋" w:eastAsia="仿宋" w:cs="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45BD2445">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E689A2A">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E02134C">
            <w:pPr>
              <w:spacing w:line="440" w:lineRule="exact"/>
              <w:ind w:firstLine="820" w:firstLineChars="342"/>
              <w:rPr>
                <w:rFonts w:hint="eastAsia" w:ascii="仿宋" w:hAnsi="仿宋" w:eastAsia="仿宋" w:cs="仿宋"/>
                <w:color w:val="auto"/>
                <w:sz w:val="24"/>
                <w:szCs w:val="24"/>
                <w:highlight w:val="none"/>
              </w:rPr>
            </w:pPr>
          </w:p>
        </w:tc>
      </w:tr>
      <w:tr w14:paraId="4730F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967" w:type="dxa"/>
            <w:tcBorders>
              <w:top w:val="single" w:color="auto" w:sz="4" w:space="0"/>
              <w:left w:val="single" w:color="auto" w:sz="4" w:space="0"/>
              <w:bottom w:val="single" w:color="auto" w:sz="4" w:space="0"/>
              <w:right w:val="single" w:color="auto" w:sz="4" w:space="0"/>
            </w:tcBorders>
            <w:noWrap w:val="0"/>
            <w:vAlign w:val="center"/>
          </w:tcPr>
          <w:p w14:paraId="5088CC1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0C4A6349">
            <w:pPr>
              <w:spacing w:line="440" w:lineRule="exact"/>
              <w:ind w:firstLine="820" w:firstLineChars="342"/>
              <w:rPr>
                <w:rFonts w:hint="eastAsia" w:ascii="仿宋" w:hAnsi="仿宋" w:eastAsia="仿宋" w:cs="仿宋"/>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4E51B145">
            <w:pPr>
              <w:spacing w:line="440" w:lineRule="exact"/>
              <w:ind w:firstLine="820" w:firstLineChars="342"/>
              <w:rPr>
                <w:rFonts w:hint="eastAsia" w:ascii="仿宋" w:hAnsi="仿宋" w:eastAsia="仿宋" w:cs="仿宋"/>
                <w:color w:val="auto"/>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7F4D5A96">
            <w:pPr>
              <w:spacing w:line="440" w:lineRule="exact"/>
              <w:ind w:firstLine="820" w:firstLineChars="342"/>
              <w:rPr>
                <w:rFonts w:hint="eastAsia" w:ascii="仿宋" w:hAnsi="仿宋" w:eastAsia="仿宋" w:cs="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0470BB2">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57B50FD">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520C4A0">
            <w:pPr>
              <w:spacing w:line="440" w:lineRule="exact"/>
              <w:ind w:firstLine="820" w:firstLineChars="342"/>
              <w:rPr>
                <w:rFonts w:hint="eastAsia" w:ascii="仿宋" w:hAnsi="仿宋" w:eastAsia="仿宋" w:cs="仿宋"/>
                <w:color w:val="auto"/>
                <w:sz w:val="24"/>
                <w:szCs w:val="24"/>
                <w:highlight w:val="none"/>
              </w:rPr>
            </w:pPr>
          </w:p>
        </w:tc>
      </w:tr>
      <w:tr w14:paraId="27BF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967" w:type="dxa"/>
            <w:tcBorders>
              <w:top w:val="single" w:color="auto" w:sz="4" w:space="0"/>
              <w:left w:val="single" w:color="auto" w:sz="4" w:space="0"/>
              <w:bottom w:val="single" w:color="auto" w:sz="4" w:space="0"/>
              <w:right w:val="single" w:color="auto" w:sz="4" w:space="0"/>
            </w:tcBorders>
            <w:noWrap w:val="0"/>
            <w:vAlign w:val="center"/>
          </w:tcPr>
          <w:p w14:paraId="3CE8960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7FDBFE59">
            <w:pPr>
              <w:spacing w:line="440" w:lineRule="exact"/>
              <w:ind w:firstLine="820" w:firstLineChars="342"/>
              <w:rPr>
                <w:rFonts w:hint="eastAsia" w:ascii="仿宋" w:hAnsi="仿宋" w:eastAsia="仿宋" w:cs="仿宋"/>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noWrap w:val="0"/>
            <w:vAlign w:val="center"/>
          </w:tcPr>
          <w:p w14:paraId="6C309010">
            <w:pPr>
              <w:spacing w:line="440" w:lineRule="exact"/>
              <w:ind w:firstLine="820" w:firstLineChars="342"/>
              <w:rPr>
                <w:rFonts w:hint="eastAsia" w:ascii="仿宋" w:hAnsi="仿宋" w:eastAsia="仿宋" w:cs="仿宋"/>
                <w:color w:val="auto"/>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7497943F">
            <w:pPr>
              <w:spacing w:line="440" w:lineRule="exact"/>
              <w:ind w:firstLine="820" w:firstLineChars="342"/>
              <w:rPr>
                <w:rFonts w:hint="eastAsia" w:ascii="仿宋" w:hAnsi="仿宋" w:eastAsia="仿宋" w:cs="仿宋"/>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6197A01B">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FE0C957">
            <w:pPr>
              <w:spacing w:line="440" w:lineRule="exact"/>
              <w:ind w:firstLine="820" w:firstLineChars="342"/>
              <w:rPr>
                <w:rFonts w:hint="eastAsia" w:ascii="仿宋" w:hAnsi="仿宋" w:eastAsia="仿宋" w:cs="仿宋"/>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7E5375">
            <w:pPr>
              <w:spacing w:line="440" w:lineRule="exact"/>
              <w:ind w:firstLine="820" w:firstLineChars="342"/>
              <w:rPr>
                <w:rFonts w:hint="eastAsia" w:ascii="仿宋" w:hAnsi="仿宋" w:eastAsia="仿宋" w:cs="仿宋"/>
                <w:color w:val="auto"/>
                <w:sz w:val="24"/>
                <w:szCs w:val="24"/>
                <w:highlight w:val="none"/>
              </w:rPr>
            </w:pPr>
          </w:p>
        </w:tc>
      </w:tr>
      <w:tr w14:paraId="39AE7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0998" w:type="dxa"/>
            <w:gridSpan w:val="7"/>
            <w:tcBorders>
              <w:top w:val="single" w:color="auto" w:sz="4" w:space="0"/>
              <w:left w:val="single" w:color="auto" w:sz="4" w:space="0"/>
              <w:bottom w:val="single" w:color="auto" w:sz="4" w:space="0"/>
              <w:right w:val="single" w:color="auto" w:sz="4" w:space="0"/>
            </w:tcBorders>
            <w:noWrap w:val="0"/>
            <w:vAlign w:val="center"/>
          </w:tcPr>
          <w:p w14:paraId="1FFB4AB5">
            <w:pPr>
              <w:spacing w:line="440" w:lineRule="exact"/>
              <w:ind w:firstLine="820" w:firstLineChars="3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   计：人民币（大写）：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tc>
      </w:tr>
    </w:tbl>
    <w:p w14:paraId="38CFB273">
      <w:pPr>
        <w:spacing w:line="440" w:lineRule="exact"/>
        <w:jc w:val="lef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r>
        <w:rPr>
          <w:rFonts w:hint="eastAsia" w:ascii="仿宋" w:hAnsi="仿宋" w:eastAsia="仿宋" w:cs="仿宋"/>
          <w:b/>
          <w:color w:val="auto"/>
          <w:sz w:val="21"/>
          <w:szCs w:val="21"/>
          <w:highlight w:val="none"/>
          <w:lang w:val="en-US" w:eastAsia="zh-CN"/>
        </w:rPr>
        <w:t>报价须包含完成项目所必须的全部费用，包含人工费、材料费、机械费、运输费（含二次运输）、企业管理费、利润、税费等招标文件明示或暗示的所有费用</w:t>
      </w:r>
      <w:r>
        <w:rPr>
          <w:rFonts w:hint="eastAsia" w:ascii="仿宋" w:hAnsi="仿宋" w:eastAsia="仿宋" w:cs="仿宋"/>
          <w:b/>
          <w:color w:val="auto"/>
          <w:sz w:val="21"/>
          <w:szCs w:val="21"/>
          <w:highlight w:val="none"/>
        </w:rPr>
        <w:t>。</w:t>
      </w:r>
    </w:p>
    <w:p w14:paraId="125221FA">
      <w:pPr>
        <w:spacing w:line="440" w:lineRule="exact"/>
        <w:rPr>
          <w:rFonts w:hint="eastAsia" w:ascii="仿宋" w:hAnsi="仿宋" w:eastAsia="仿宋" w:cs="仿宋"/>
          <w:b/>
          <w:color w:val="auto"/>
          <w:sz w:val="21"/>
          <w:szCs w:val="21"/>
          <w:highlight w:val="none"/>
          <w:lang w:val="en-US" w:eastAsia="zh-CN"/>
        </w:rPr>
      </w:pPr>
    </w:p>
    <w:p w14:paraId="031AF5E1">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A0C0A81">
      <w:pPr>
        <w:pStyle w:val="2"/>
        <w:jc w:val="center"/>
        <w:rPr>
          <w:rFonts w:hint="eastAsia" w:ascii="仿宋" w:hAnsi="仿宋" w:eastAsia="仿宋" w:cs="仿宋"/>
          <w:color w:val="auto"/>
          <w:sz w:val="36"/>
          <w:highlight w:val="none"/>
        </w:rPr>
      </w:pPr>
      <w:r>
        <w:rPr>
          <w:rFonts w:hint="eastAsia" w:ascii="仿宋" w:hAnsi="仿宋" w:eastAsia="仿宋" w:cs="仿宋"/>
          <w:color w:val="auto"/>
          <w:sz w:val="32"/>
          <w:szCs w:val="18"/>
          <w:highlight w:val="none"/>
          <w:lang w:val="en-US" w:eastAsia="zh-CN"/>
        </w:rPr>
        <w:t>三</w:t>
      </w:r>
      <w:r>
        <w:rPr>
          <w:rFonts w:hint="eastAsia" w:ascii="仿宋" w:hAnsi="仿宋" w:eastAsia="仿宋" w:cs="仿宋"/>
          <w:color w:val="auto"/>
          <w:sz w:val="32"/>
          <w:szCs w:val="18"/>
          <w:highlight w:val="none"/>
        </w:rPr>
        <w:t>、</w:t>
      </w:r>
      <w:bookmarkEnd w:id="95"/>
      <w:r>
        <w:rPr>
          <w:rFonts w:hint="eastAsia" w:ascii="仿宋" w:hAnsi="仿宋" w:eastAsia="仿宋" w:cs="仿宋"/>
          <w:color w:val="auto"/>
          <w:sz w:val="32"/>
          <w:szCs w:val="18"/>
          <w:highlight w:val="none"/>
        </w:rPr>
        <w:t>投 标 函</w:t>
      </w:r>
    </w:p>
    <w:p w14:paraId="43FB1CDB">
      <w:pPr>
        <w:spacing w:after="120" w:line="50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致：</w:t>
      </w:r>
      <w:r>
        <w:rPr>
          <w:rFonts w:hint="eastAsia" w:ascii="仿宋" w:hAnsi="仿宋" w:eastAsia="仿宋" w:cs="仿宋"/>
          <w:b/>
          <w:color w:val="auto"/>
          <w:sz w:val="24"/>
          <w:highlight w:val="none"/>
          <w:lang w:eastAsia="zh-CN"/>
        </w:rPr>
        <w:t>临沧市临翔区林业和草原局</w:t>
      </w:r>
    </w:p>
    <w:p w14:paraId="501BC6E5">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w:t>
      </w:r>
      <w:r>
        <w:rPr>
          <w:rFonts w:hint="eastAsia" w:ascii="仿宋" w:hAnsi="仿宋" w:eastAsia="仿宋" w:cs="仿宋"/>
          <w:color w:val="auto"/>
          <w:sz w:val="24"/>
          <w:szCs w:val="24"/>
          <w:highlight w:val="none"/>
          <w:lang w:val="en-US" w:eastAsia="zh-CN"/>
        </w:rPr>
        <w:t>贵方</w:t>
      </w:r>
      <w:r>
        <w:rPr>
          <w:rFonts w:hint="eastAsia" w:ascii="仿宋" w:hAnsi="仿宋" w:eastAsia="仿宋" w:cs="仿宋"/>
          <w:color w:val="auto"/>
          <w:sz w:val="24"/>
          <w:szCs w:val="24"/>
          <w:highlight w:val="none"/>
        </w:rPr>
        <w:t>招标项目编号为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{项目编号}的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{招标项目名称}招标文件，遵照《中华人民共和国政府采购法》等有关规定，经自行踏勘项目现场和研究上述招标文件的投标须知、合同条款、评估标准及其他有关文件资料后，我方愿以“投标总报价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（大写），人民币(￥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)”中的报价，并按招标文件的规定、合同条款的要求和我方投标文件的承诺履行合同责任和义务，保证按合同约定完成本项目工作。</w:t>
      </w:r>
    </w:p>
    <w:p w14:paraId="5444B7BC">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2、我方承诺我们的投标报价不低于我们自身的成本。</w:t>
      </w:r>
    </w:p>
    <w:p w14:paraId="2B734072">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3、我方已详细审核全部招标文件，包括修改文件（如有时）及有关附件。</w:t>
      </w:r>
    </w:p>
    <w:p w14:paraId="6AF3B26C">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4、一旦我方中标，我方保证按合同条款规定的时间开始实施本项目，并保证按合同条款的规定完成项目的完整移交。</w:t>
      </w:r>
    </w:p>
    <w:p w14:paraId="64A6D512">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5、一旦我方中标，我方保证：</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001BC61E">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6、我方同意本投标文件自投标截止之日起有效期为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日历天。</w:t>
      </w:r>
    </w:p>
    <w:p w14:paraId="162E6625">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7、我方的金额为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万元人民币的投标保证金已递交。</w:t>
      </w:r>
    </w:p>
    <w:p w14:paraId="618D3FC7">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8、我方完全理解并接受贵方不一定接受最低价的投标或收到的所有投标。</w:t>
      </w:r>
    </w:p>
    <w:p w14:paraId="34765D00">
      <w:pPr>
        <w:adjustRightInd w:val="0"/>
        <w:snapToGri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在签署协议书之前，你方的中标通知书连同本投标函，包括投标函附录，对双方具有约束力。</w:t>
      </w:r>
    </w:p>
    <w:p w14:paraId="2345CA58">
      <w:pPr>
        <w:pStyle w:val="64"/>
        <w:rPr>
          <w:rFonts w:hint="eastAsia" w:ascii="仿宋" w:hAnsi="仿宋" w:eastAsia="仿宋" w:cs="仿宋"/>
          <w:color w:val="auto"/>
          <w:sz w:val="24"/>
          <w:szCs w:val="24"/>
          <w:highlight w:val="none"/>
        </w:rPr>
      </w:pPr>
    </w:p>
    <w:p w14:paraId="73DEDDD9">
      <w:pPr>
        <w:pStyle w:val="64"/>
        <w:rPr>
          <w:rFonts w:hint="eastAsia" w:ascii="仿宋" w:hAnsi="仿宋" w:eastAsia="仿宋" w:cs="仿宋"/>
          <w:color w:val="auto"/>
          <w:sz w:val="24"/>
          <w:szCs w:val="24"/>
          <w:highlight w:val="none"/>
        </w:rPr>
      </w:pPr>
    </w:p>
    <w:p w14:paraId="39DDB173">
      <w:pPr>
        <w:adjustRightInd w:val="0"/>
        <w:snapToGrid w:val="0"/>
        <w:spacing w:line="48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（电子签章）</w:t>
      </w:r>
    </w:p>
    <w:p w14:paraId="4C3CC4F7">
      <w:pPr>
        <w:adjustRightInd w:val="0"/>
        <w:snapToGrid w:val="0"/>
        <w:spacing w:line="480" w:lineRule="auto"/>
        <w:ind w:firstLine="240" w:firstLineChars="1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w:t>
      </w:r>
      <w:r>
        <w:rPr>
          <w:rFonts w:hint="eastAsia" w:ascii="仿宋" w:hAnsi="仿宋" w:eastAsia="仿宋" w:cs="仿宋"/>
          <w:caps/>
          <w:color w:val="auto"/>
          <w:sz w:val="24"/>
          <w:szCs w:val="24"/>
          <w:highlight w:val="none"/>
        </w:rPr>
        <w:t>（</w:t>
      </w:r>
      <w:r>
        <w:rPr>
          <w:rFonts w:hint="eastAsia" w:ascii="仿宋" w:hAnsi="仿宋" w:eastAsia="仿宋" w:cs="仿宋"/>
          <w:caps/>
          <w:color w:val="auto"/>
          <w:sz w:val="24"/>
          <w:szCs w:val="24"/>
          <w:highlight w:val="none"/>
          <w:lang w:eastAsia="zh-CN"/>
        </w:rPr>
        <w:t>签字或盖章</w:t>
      </w:r>
      <w:r>
        <w:rPr>
          <w:rFonts w:hint="eastAsia" w:ascii="仿宋" w:hAnsi="仿宋" w:eastAsia="仿宋" w:cs="仿宋"/>
          <w:caps/>
          <w:color w:val="auto"/>
          <w:sz w:val="24"/>
          <w:szCs w:val="24"/>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（电子签名或签章）</w:t>
      </w:r>
    </w:p>
    <w:p w14:paraId="057736B8">
      <w:pPr>
        <w:adjustRightInd w:val="0"/>
        <w:snapToGrid w:val="0"/>
        <w:spacing w:line="48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__</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__</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70993FFE">
      <w:pPr>
        <w:pStyle w:val="2"/>
        <w:jc w:val="center"/>
        <w:rPr>
          <w:rFonts w:hint="eastAsia" w:ascii="仿宋" w:hAnsi="仿宋" w:eastAsia="仿宋" w:cs="仿宋"/>
          <w:color w:val="auto"/>
          <w:sz w:val="36"/>
          <w:highlight w:val="none"/>
        </w:rPr>
      </w:pPr>
      <w:r>
        <w:rPr>
          <w:rFonts w:hint="eastAsia" w:ascii="仿宋" w:hAnsi="仿宋" w:eastAsia="仿宋" w:cs="仿宋"/>
          <w:color w:val="auto"/>
          <w:highlight w:val="none"/>
        </w:rPr>
        <w:br w:type="page"/>
      </w:r>
      <w:bookmarkStart w:id="96" w:name="_Toc397355566"/>
      <w:bookmarkStart w:id="97" w:name="_Toc238045016"/>
      <w:bookmarkStart w:id="98" w:name="_Toc119943035"/>
      <w:bookmarkStart w:id="99" w:name="_Toc38173200"/>
      <w:bookmarkStart w:id="100" w:name="_Toc110911883"/>
      <w:bookmarkStart w:id="101" w:name="_Toc78603137"/>
      <w:r>
        <w:rPr>
          <w:rFonts w:hint="eastAsia" w:ascii="仿宋" w:hAnsi="仿宋" w:eastAsia="仿宋" w:cs="仿宋"/>
          <w:color w:val="auto"/>
          <w:sz w:val="28"/>
          <w:szCs w:val="16"/>
          <w:highlight w:val="none"/>
          <w:lang w:val="en-US" w:eastAsia="zh-CN"/>
        </w:rPr>
        <w:t>四</w:t>
      </w:r>
      <w:r>
        <w:rPr>
          <w:rFonts w:hint="eastAsia" w:ascii="仿宋" w:hAnsi="仿宋" w:eastAsia="仿宋" w:cs="仿宋"/>
          <w:color w:val="auto"/>
          <w:sz w:val="28"/>
          <w:szCs w:val="16"/>
          <w:highlight w:val="none"/>
        </w:rPr>
        <w:t>、法定代表人身份证明书</w:t>
      </w:r>
    </w:p>
    <w:p w14:paraId="5F9F0977">
      <w:pPr>
        <w:spacing w:line="360" w:lineRule="auto"/>
        <w:ind w:firstLine="612"/>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A5679E9">
      <w:pPr>
        <w:spacing w:line="360" w:lineRule="auto"/>
        <w:ind w:firstLine="612"/>
        <w:rPr>
          <w:rFonts w:hint="eastAsia" w:ascii="仿宋" w:hAnsi="仿宋" w:eastAsia="仿宋" w:cs="仿宋"/>
          <w:color w:val="auto"/>
          <w:sz w:val="24"/>
          <w:highlight w:val="none"/>
        </w:rPr>
      </w:pPr>
    </w:p>
    <w:p w14:paraId="59CFAD9E">
      <w:pPr>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61EB99E">
      <w:pPr>
        <w:spacing w:line="360" w:lineRule="auto"/>
        <w:ind w:firstLine="610"/>
        <w:rPr>
          <w:rFonts w:hint="eastAsia" w:ascii="仿宋" w:hAnsi="仿宋" w:eastAsia="仿宋" w:cs="仿宋"/>
          <w:color w:val="auto"/>
          <w:sz w:val="24"/>
          <w:highlight w:val="none"/>
        </w:rPr>
      </w:pPr>
    </w:p>
    <w:p w14:paraId="4D3CB1E5">
      <w:pPr>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59139C0B">
      <w:pPr>
        <w:spacing w:line="360" w:lineRule="auto"/>
        <w:ind w:firstLine="610"/>
        <w:rPr>
          <w:rFonts w:hint="eastAsia" w:ascii="仿宋" w:hAnsi="仿宋" w:eastAsia="仿宋" w:cs="仿宋"/>
          <w:color w:val="auto"/>
          <w:sz w:val="24"/>
          <w:highlight w:val="none"/>
        </w:rPr>
      </w:pPr>
    </w:p>
    <w:p w14:paraId="307833F7">
      <w:pPr>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79FCBE">
      <w:pPr>
        <w:spacing w:line="360" w:lineRule="auto"/>
        <w:ind w:firstLine="610"/>
        <w:rPr>
          <w:rFonts w:hint="eastAsia" w:ascii="仿宋" w:hAnsi="仿宋" w:eastAsia="仿宋" w:cs="仿宋"/>
          <w:color w:val="auto"/>
          <w:sz w:val="24"/>
          <w:highlight w:val="none"/>
        </w:rPr>
      </w:pPr>
    </w:p>
    <w:p w14:paraId="2AA6BA07">
      <w:pPr>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p>
    <w:p w14:paraId="71EDFB1B">
      <w:pPr>
        <w:spacing w:line="360" w:lineRule="auto"/>
        <w:ind w:firstLine="610"/>
        <w:rPr>
          <w:rFonts w:hint="eastAsia" w:ascii="仿宋" w:hAnsi="仿宋" w:eastAsia="仿宋" w:cs="仿宋"/>
          <w:color w:val="auto"/>
          <w:sz w:val="24"/>
          <w:highlight w:val="none"/>
        </w:rPr>
      </w:pPr>
    </w:p>
    <w:p w14:paraId="027E01F4">
      <w:pPr>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5750826">
      <w:pPr>
        <w:spacing w:line="360" w:lineRule="auto"/>
        <w:ind w:firstLine="610"/>
        <w:rPr>
          <w:rFonts w:hint="eastAsia" w:ascii="仿宋" w:hAnsi="仿宋" w:eastAsia="仿宋" w:cs="仿宋"/>
          <w:color w:val="auto"/>
          <w:sz w:val="24"/>
          <w:highlight w:val="none"/>
        </w:rPr>
      </w:pPr>
    </w:p>
    <w:p w14:paraId="7F7EECE2">
      <w:pPr>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（供应商单位名称）    </w:t>
      </w:r>
      <w:r>
        <w:rPr>
          <w:rFonts w:hint="eastAsia" w:ascii="仿宋" w:hAnsi="仿宋" w:eastAsia="仿宋" w:cs="仿宋"/>
          <w:color w:val="auto"/>
          <w:sz w:val="24"/>
          <w:highlight w:val="none"/>
        </w:rPr>
        <w:t>的法定代表人。</w:t>
      </w:r>
    </w:p>
    <w:p w14:paraId="70A9EDFE">
      <w:pPr>
        <w:spacing w:line="360" w:lineRule="auto"/>
        <w:ind w:firstLine="610"/>
        <w:rPr>
          <w:rFonts w:hint="eastAsia" w:ascii="仿宋" w:hAnsi="仿宋" w:eastAsia="仿宋" w:cs="仿宋"/>
          <w:color w:val="auto"/>
          <w:sz w:val="24"/>
          <w:highlight w:val="none"/>
        </w:rPr>
      </w:pPr>
    </w:p>
    <w:p w14:paraId="0FF1DC87">
      <w:pPr>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018572B8">
      <w:pPr>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附：法定代表人身份证复印件</w:t>
      </w:r>
    </w:p>
    <w:p w14:paraId="058B8AA6">
      <w:pPr>
        <w:spacing w:line="360" w:lineRule="auto"/>
        <w:ind w:firstLine="610"/>
        <w:rPr>
          <w:rFonts w:hint="eastAsia" w:ascii="仿宋" w:hAnsi="仿宋" w:eastAsia="仿宋" w:cs="仿宋"/>
          <w:color w:val="auto"/>
          <w:sz w:val="24"/>
          <w:highlight w:val="none"/>
        </w:rPr>
      </w:pPr>
    </w:p>
    <w:tbl>
      <w:tblPr>
        <w:tblStyle w:val="2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2"/>
        <w:gridCol w:w="3992"/>
      </w:tblGrid>
      <w:tr w14:paraId="589F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4" w:hRule="atLeast"/>
          <w:jc w:val="center"/>
        </w:trPr>
        <w:tc>
          <w:tcPr>
            <w:tcW w:w="3992" w:type="dxa"/>
            <w:vAlign w:val="center"/>
          </w:tcPr>
          <w:p w14:paraId="21B2E6F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正面</w:t>
            </w:r>
          </w:p>
        </w:tc>
        <w:tc>
          <w:tcPr>
            <w:tcW w:w="3992" w:type="dxa"/>
            <w:vAlign w:val="center"/>
          </w:tcPr>
          <w:p w14:paraId="10D49F2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背面</w:t>
            </w:r>
          </w:p>
        </w:tc>
      </w:tr>
    </w:tbl>
    <w:p w14:paraId="0828972B">
      <w:pPr>
        <w:keepNext w:val="0"/>
        <w:keepLines w:val="0"/>
        <w:pageBreakBefore w:val="0"/>
        <w:widowControl w:val="0"/>
        <w:tabs>
          <w:tab w:val="left" w:pos="720"/>
          <w:tab w:val="left" w:pos="900"/>
        </w:tabs>
        <w:kinsoku/>
        <w:wordWrap/>
        <w:overflowPunct/>
        <w:topLinePunct w:val="0"/>
        <w:autoSpaceDE/>
        <w:autoSpaceDN/>
        <w:bidi w:val="0"/>
        <w:adjustRightInd/>
        <w:snapToGrid/>
        <w:spacing w:line="480" w:lineRule="auto"/>
        <w:ind w:firstLine="4819" w:firstLineChars="2008"/>
        <w:textAlignment w:val="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（电子签章）</w:t>
      </w:r>
    </w:p>
    <w:p w14:paraId="300B8ED6">
      <w:pPr>
        <w:keepNext w:val="0"/>
        <w:keepLines w:val="0"/>
        <w:pageBreakBefore w:val="0"/>
        <w:widowControl w:val="0"/>
        <w:tabs>
          <w:tab w:val="left" w:pos="720"/>
          <w:tab w:val="left" w:pos="900"/>
        </w:tabs>
        <w:kinsoku/>
        <w:wordWrap/>
        <w:overflowPunct/>
        <w:topLinePunct w:val="0"/>
        <w:autoSpaceDE/>
        <w:autoSpaceDN/>
        <w:bidi w:val="0"/>
        <w:adjustRightInd/>
        <w:snapToGrid/>
        <w:spacing w:line="480" w:lineRule="auto"/>
        <w:ind w:firstLine="4819" w:firstLineChars="2008"/>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D05FE01">
      <w:pPr>
        <w:spacing w:before="60" w:after="60" w:line="500" w:lineRule="exact"/>
        <w:ind w:firstLine="510"/>
        <w:jc w:val="center"/>
        <w:rPr>
          <w:rFonts w:hint="eastAsia" w:ascii="仿宋" w:hAnsi="仿宋" w:eastAsia="仿宋" w:cs="仿宋"/>
          <w:color w:val="auto"/>
          <w:sz w:val="36"/>
          <w:highlight w:val="none"/>
        </w:rPr>
      </w:pPr>
      <w:r>
        <w:rPr>
          <w:rFonts w:hint="eastAsia" w:ascii="仿宋" w:hAnsi="仿宋" w:eastAsia="仿宋" w:cs="仿宋"/>
          <w:color w:val="auto"/>
          <w:sz w:val="24"/>
          <w:highlight w:val="none"/>
        </w:rPr>
        <w:br w:type="page"/>
      </w:r>
      <w:r>
        <w:rPr>
          <w:rFonts w:hint="eastAsia" w:ascii="仿宋" w:hAnsi="仿宋" w:eastAsia="仿宋" w:cs="仿宋"/>
          <w:b/>
          <w:bCs/>
          <w:color w:val="auto"/>
          <w:sz w:val="32"/>
          <w:szCs w:val="18"/>
          <w:highlight w:val="none"/>
          <w:lang w:val="en-US" w:eastAsia="zh-CN"/>
        </w:rPr>
        <w:t>五</w:t>
      </w:r>
      <w:r>
        <w:rPr>
          <w:rFonts w:hint="eastAsia" w:ascii="仿宋" w:hAnsi="仿宋" w:eastAsia="仿宋" w:cs="仿宋"/>
          <w:b/>
          <w:bCs/>
          <w:color w:val="auto"/>
          <w:sz w:val="32"/>
          <w:szCs w:val="18"/>
          <w:highlight w:val="none"/>
        </w:rPr>
        <w:t>、法定代表人授权委托书</w:t>
      </w:r>
    </w:p>
    <w:p w14:paraId="03FF49DE">
      <w:pPr>
        <w:spacing w:line="500" w:lineRule="exact"/>
        <w:rPr>
          <w:rFonts w:hint="eastAsia" w:ascii="仿宋" w:hAnsi="仿宋" w:eastAsia="仿宋" w:cs="仿宋"/>
          <w:color w:val="auto"/>
          <w:sz w:val="24"/>
          <w:highlight w:val="none"/>
        </w:rPr>
      </w:pPr>
    </w:p>
    <w:p w14:paraId="1E52FA8C">
      <w:pPr>
        <w:spacing w:line="500" w:lineRule="exact"/>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(供应商名称)的法定代表人，现授权委托我单位的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(姓名)为我公司代理人，以公司名义参加</w:t>
      </w:r>
      <w:r>
        <w:rPr>
          <w:rFonts w:hint="eastAsia" w:ascii="仿宋" w:hAnsi="仿宋" w:eastAsia="仿宋" w:cs="仿宋"/>
          <w:b/>
          <w:bCs/>
          <w:color w:val="auto"/>
          <w:sz w:val="24"/>
          <w:highlight w:val="none"/>
          <w:u w:val="single"/>
          <w:lang w:eastAsia="zh-CN"/>
        </w:rPr>
        <w:t>临翔区2024年第二批中央财政森林可持续经营项目</w:t>
      </w:r>
      <w:r>
        <w:rPr>
          <w:rFonts w:hint="eastAsia" w:ascii="仿宋" w:hAnsi="仿宋" w:eastAsia="仿宋" w:cs="仿宋"/>
          <w:b/>
          <w:color w:val="auto"/>
          <w:kern w:val="2"/>
          <w:sz w:val="24"/>
          <w:szCs w:val="32"/>
          <w:highlight w:val="none"/>
          <w:u w:val="single"/>
          <w:lang w:val="en-US"/>
        </w:rPr>
        <w:t>第   标段</w:t>
      </w:r>
      <w:r>
        <w:rPr>
          <w:rFonts w:hint="eastAsia" w:ascii="仿宋" w:hAnsi="仿宋" w:eastAsia="仿宋" w:cs="仿宋"/>
          <w:b/>
          <w:bCs/>
          <w:color w:val="auto"/>
          <w:sz w:val="24"/>
          <w:highlight w:val="none"/>
          <w:u w:val="single"/>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）的投标活动。代理人在开标、评标、合同投标过程中所签署的一切文件和处理与之有关的一切事务，我均予以承认。</w:t>
      </w:r>
    </w:p>
    <w:p w14:paraId="355DBF3B">
      <w:pPr>
        <w:spacing w:line="500" w:lineRule="exact"/>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委托期限：</w:t>
      </w:r>
      <w:r>
        <w:rPr>
          <w:rFonts w:hint="eastAsia" w:ascii="仿宋" w:hAnsi="仿宋" w:eastAsia="仿宋" w:cs="仿宋"/>
          <w:color w:val="auto"/>
          <w:sz w:val="24"/>
          <w:highlight w:val="none"/>
          <w:u w:val="single"/>
        </w:rPr>
        <w:t xml:space="preserve">          </w:t>
      </w:r>
    </w:p>
    <w:p w14:paraId="2F0B2CDF">
      <w:pPr>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附：委托人身份证复印件</w:t>
      </w:r>
    </w:p>
    <w:tbl>
      <w:tblPr>
        <w:tblStyle w:val="26"/>
        <w:tblW w:w="7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5"/>
        <w:gridCol w:w="3975"/>
      </w:tblGrid>
      <w:tr w14:paraId="569B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1" w:hRule="atLeast"/>
          <w:jc w:val="center"/>
        </w:trPr>
        <w:tc>
          <w:tcPr>
            <w:tcW w:w="3975" w:type="dxa"/>
            <w:vAlign w:val="center"/>
          </w:tcPr>
          <w:p w14:paraId="65D8F7F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正</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面</w:t>
            </w:r>
          </w:p>
        </w:tc>
        <w:tc>
          <w:tcPr>
            <w:tcW w:w="3975" w:type="dxa"/>
            <w:vAlign w:val="center"/>
          </w:tcPr>
          <w:p w14:paraId="479058D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背</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面</w:t>
            </w:r>
          </w:p>
        </w:tc>
      </w:tr>
    </w:tbl>
    <w:p w14:paraId="72324AEB">
      <w:pPr>
        <w:spacing w:line="500" w:lineRule="exact"/>
        <w:rPr>
          <w:rFonts w:hint="eastAsia" w:ascii="仿宋" w:hAnsi="仿宋" w:eastAsia="仿宋" w:cs="仿宋"/>
          <w:color w:val="auto"/>
          <w:sz w:val="24"/>
          <w:highlight w:val="none"/>
        </w:rPr>
      </w:pPr>
    </w:p>
    <w:p w14:paraId="6860E0C9">
      <w:pPr>
        <w:spacing w:beforeLines="50" w:line="500" w:lineRule="exac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（签字）</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年龄：</w:t>
      </w:r>
      <w:r>
        <w:rPr>
          <w:rFonts w:hint="eastAsia" w:ascii="仿宋" w:hAnsi="仿宋" w:eastAsia="仿宋" w:cs="仿宋"/>
          <w:color w:val="auto"/>
          <w:sz w:val="24"/>
          <w:highlight w:val="none"/>
          <w:u w:val="single"/>
          <w:lang w:val="en-US" w:eastAsia="zh-CN"/>
        </w:rPr>
        <w:t xml:space="preserve">       </w:t>
      </w:r>
    </w:p>
    <w:p w14:paraId="3CC874D2">
      <w:pPr>
        <w:spacing w:beforeLines="50" w:line="500" w:lineRule="exac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部    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lang w:val="en-US" w:eastAsia="zh-CN"/>
        </w:rPr>
        <w:t xml:space="preserve">                </w:t>
      </w:r>
    </w:p>
    <w:p w14:paraId="4A913ECC">
      <w:pPr>
        <w:spacing w:beforeLines="50"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代理人无转委权。特此委托。</w:t>
      </w:r>
    </w:p>
    <w:p w14:paraId="6D7EE9C0">
      <w:pPr>
        <w:spacing w:beforeLines="50"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（电子签章）</w:t>
      </w:r>
    </w:p>
    <w:p w14:paraId="2AD8F914">
      <w:pPr>
        <w:spacing w:beforeLines="50"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（电子签章或签字）</w:t>
      </w:r>
    </w:p>
    <w:p w14:paraId="3DA7AC7F">
      <w:pPr>
        <w:spacing w:beforeLines="50"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1E354BE">
      <w:pPr>
        <w:spacing w:line="360" w:lineRule="auto"/>
        <w:jc w:val="cente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r>
    </w:p>
    <w:p w14:paraId="54A149AE">
      <w:pPr>
        <w:pStyle w:val="2"/>
        <w:keepNext w:val="0"/>
        <w:keepLines w:val="0"/>
        <w:numPr>
          <w:ilvl w:val="0"/>
          <w:numId w:val="0"/>
        </w:numPr>
        <w:jc w:val="center"/>
        <w:rPr>
          <w:rFonts w:hint="eastAsia" w:ascii="仿宋" w:hAnsi="仿宋" w:eastAsia="仿宋" w:cs="仿宋"/>
          <w:b/>
          <w:color w:val="auto"/>
          <w:kern w:val="0"/>
          <w:sz w:val="32"/>
          <w:szCs w:val="18"/>
          <w:highlight w:val="none"/>
        </w:rPr>
      </w:pPr>
      <w:r>
        <w:rPr>
          <w:rFonts w:hint="eastAsia" w:ascii="仿宋" w:hAnsi="仿宋" w:eastAsia="仿宋" w:cs="仿宋"/>
          <w:b/>
          <w:color w:val="auto"/>
          <w:kern w:val="0"/>
          <w:sz w:val="32"/>
          <w:szCs w:val="18"/>
          <w:highlight w:val="none"/>
          <w:lang w:val="en-US" w:eastAsia="zh-CN"/>
        </w:rPr>
        <w:t>六、</w:t>
      </w:r>
      <w:r>
        <w:rPr>
          <w:rFonts w:hint="eastAsia" w:ascii="仿宋" w:hAnsi="仿宋" w:eastAsia="仿宋" w:cs="仿宋"/>
          <w:b/>
          <w:color w:val="auto"/>
          <w:kern w:val="0"/>
          <w:sz w:val="32"/>
          <w:szCs w:val="18"/>
          <w:highlight w:val="none"/>
        </w:rPr>
        <w:t>商务差异表</w:t>
      </w:r>
    </w:p>
    <w:p w14:paraId="2DC50F33">
      <w:pPr>
        <w:numPr>
          <w:ilvl w:val="0"/>
          <w:numId w:val="0"/>
        </w:numPr>
        <w:rPr>
          <w:rFonts w:hint="eastAsia" w:ascii="仿宋" w:hAnsi="仿宋" w:eastAsia="仿宋" w:cs="仿宋"/>
          <w:color w:val="auto"/>
          <w:highlight w:val="none"/>
        </w:rPr>
      </w:pPr>
    </w:p>
    <w:p w14:paraId="46164D5B">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pacing w:val="-14"/>
          <w:sz w:val="24"/>
          <w:szCs w:val="24"/>
          <w:highlight w:val="none"/>
        </w:rPr>
        <w:t>项目名称</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u w:val="single"/>
          <w:lang w:eastAsia="zh-CN"/>
        </w:rPr>
        <w:t>临翔区2024年第二批中央财政森林可持续经营项目</w:t>
      </w:r>
      <w:r>
        <w:rPr>
          <w:rFonts w:hint="eastAsia" w:ascii="仿宋" w:hAnsi="仿宋" w:eastAsia="仿宋" w:cs="仿宋"/>
          <w:b/>
          <w:color w:val="auto"/>
          <w:kern w:val="2"/>
          <w:sz w:val="24"/>
          <w:szCs w:val="32"/>
          <w:highlight w:val="none"/>
          <w:u w:val="single"/>
          <w:lang w:val="en-US"/>
        </w:rPr>
        <w:t xml:space="preserve">第  </w:t>
      </w:r>
      <w:r>
        <w:rPr>
          <w:rFonts w:hint="eastAsia" w:ascii="仿宋" w:hAnsi="仿宋" w:eastAsia="仿宋" w:cs="仿宋"/>
          <w:b/>
          <w:color w:val="auto"/>
          <w:kern w:val="2"/>
          <w:sz w:val="24"/>
          <w:szCs w:val="32"/>
          <w:highlight w:val="none"/>
          <w:u w:val="single"/>
          <w:lang w:val="en-US" w:eastAsia="zh-CN"/>
        </w:rPr>
        <w:t xml:space="preserve"> </w:t>
      </w:r>
      <w:r>
        <w:rPr>
          <w:rFonts w:hint="eastAsia" w:ascii="仿宋" w:hAnsi="仿宋" w:eastAsia="仿宋" w:cs="仿宋"/>
          <w:b/>
          <w:color w:val="auto"/>
          <w:kern w:val="2"/>
          <w:sz w:val="24"/>
          <w:szCs w:val="32"/>
          <w:highlight w:val="none"/>
          <w:u w:val="single"/>
          <w:lang w:val="en-US"/>
        </w:rPr>
        <w:t xml:space="preserve"> 标段</w:t>
      </w:r>
    </w:p>
    <w:p w14:paraId="32A85A63">
      <w:pPr>
        <w:pStyle w:val="67"/>
        <w:spacing w:line="360" w:lineRule="auto"/>
        <w:ind w:left="757" w:hanging="699" w:hangingChars="290"/>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eastAsia="zh-CN"/>
        </w:rPr>
        <w:t>项目编号：</w:t>
      </w:r>
      <w:r>
        <w:rPr>
          <w:rFonts w:hint="eastAsia" w:ascii="仿宋" w:hAnsi="仿宋" w:eastAsia="仿宋" w:cs="仿宋"/>
          <w:b/>
          <w:color w:val="auto"/>
          <w:kern w:val="2"/>
          <w:sz w:val="24"/>
          <w:szCs w:val="32"/>
          <w:highlight w:val="none"/>
          <w:u w:val="single"/>
          <w:lang w:val="en-US" w:eastAsia="zh-CN"/>
        </w:rPr>
        <w:t xml:space="preserve">                         </w:t>
      </w:r>
      <w:r>
        <w:rPr>
          <w:rFonts w:hint="eastAsia" w:ascii="仿宋" w:hAnsi="仿宋" w:eastAsia="仿宋" w:cs="仿宋"/>
          <w:color w:val="auto"/>
          <w:highlight w:val="none"/>
          <w:lang w:val="en-US" w:eastAsia="zh-CN"/>
        </w:rPr>
        <w:t xml:space="preserve"> </w:t>
      </w:r>
    </w:p>
    <w:tbl>
      <w:tblPr>
        <w:tblStyle w:val="26"/>
        <w:tblW w:w="8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2225"/>
        <w:gridCol w:w="2169"/>
        <w:gridCol w:w="1071"/>
        <w:gridCol w:w="998"/>
        <w:gridCol w:w="1634"/>
      </w:tblGrid>
      <w:tr w14:paraId="7962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87" w:type="dxa"/>
            <w:vAlign w:val="center"/>
          </w:tcPr>
          <w:p w14:paraId="29BC419D">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225" w:type="dxa"/>
            <w:vAlign w:val="center"/>
          </w:tcPr>
          <w:p w14:paraId="7C39F54D">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招标</w:t>
            </w:r>
            <w:r>
              <w:rPr>
                <w:rFonts w:hint="eastAsia" w:ascii="仿宋" w:hAnsi="仿宋" w:eastAsia="仿宋" w:cs="仿宋"/>
                <w:b/>
                <w:bCs/>
                <w:color w:val="auto"/>
                <w:sz w:val="24"/>
                <w:szCs w:val="24"/>
                <w:highlight w:val="none"/>
              </w:rPr>
              <w:t>文件商务条款</w:t>
            </w:r>
          </w:p>
        </w:tc>
        <w:tc>
          <w:tcPr>
            <w:tcW w:w="2169" w:type="dxa"/>
            <w:vAlign w:val="center"/>
          </w:tcPr>
          <w:p w14:paraId="14AA072B">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投标文件商务条款</w:t>
            </w:r>
          </w:p>
        </w:tc>
        <w:tc>
          <w:tcPr>
            <w:tcW w:w="1071" w:type="dxa"/>
            <w:vAlign w:val="center"/>
          </w:tcPr>
          <w:p w14:paraId="0EF66F8E">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响应</w:t>
            </w:r>
          </w:p>
          <w:p w14:paraId="00BC2577">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情况</w:t>
            </w:r>
          </w:p>
        </w:tc>
        <w:tc>
          <w:tcPr>
            <w:tcW w:w="998" w:type="dxa"/>
            <w:vAlign w:val="center"/>
          </w:tcPr>
          <w:p w14:paraId="5140B2FA">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情况</w:t>
            </w:r>
          </w:p>
        </w:tc>
        <w:tc>
          <w:tcPr>
            <w:tcW w:w="1634" w:type="dxa"/>
            <w:vAlign w:val="center"/>
          </w:tcPr>
          <w:p w14:paraId="67DA78A2">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2F27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87" w:type="dxa"/>
            <w:vAlign w:val="center"/>
          </w:tcPr>
          <w:p w14:paraId="132011DA">
            <w:pPr>
              <w:spacing w:line="360" w:lineRule="auto"/>
              <w:jc w:val="center"/>
              <w:rPr>
                <w:rFonts w:hint="eastAsia" w:ascii="仿宋" w:hAnsi="仿宋" w:eastAsia="仿宋" w:cs="仿宋"/>
                <w:color w:val="auto"/>
                <w:sz w:val="22"/>
                <w:szCs w:val="22"/>
                <w:highlight w:val="none"/>
              </w:rPr>
            </w:pPr>
          </w:p>
        </w:tc>
        <w:tc>
          <w:tcPr>
            <w:tcW w:w="2225" w:type="dxa"/>
            <w:vAlign w:val="center"/>
          </w:tcPr>
          <w:p w14:paraId="50752B9A">
            <w:pPr>
              <w:spacing w:line="360" w:lineRule="auto"/>
              <w:rPr>
                <w:rFonts w:hint="eastAsia" w:ascii="仿宋" w:hAnsi="仿宋" w:eastAsia="仿宋" w:cs="仿宋"/>
                <w:color w:val="auto"/>
                <w:sz w:val="22"/>
                <w:szCs w:val="22"/>
                <w:highlight w:val="none"/>
              </w:rPr>
            </w:pPr>
          </w:p>
        </w:tc>
        <w:tc>
          <w:tcPr>
            <w:tcW w:w="2169" w:type="dxa"/>
          </w:tcPr>
          <w:p w14:paraId="71EE86CD">
            <w:pPr>
              <w:pStyle w:val="17"/>
              <w:tabs>
                <w:tab w:val="right" w:leader="dot" w:pos="9344"/>
                <w:tab w:val="clear" w:pos="9628"/>
              </w:tabs>
              <w:spacing w:line="360" w:lineRule="auto"/>
              <w:rPr>
                <w:rFonts w:hint="eastAsia" w:ascii="仿宋" w:hAnsi="仿宋" w:eastAsia="仿宋" w:cs="仿宋"/>
                <w:color w:val="auto"/>
                <w:highlight w:val="none"/>
              </w:rPr>
            </w:pPr>
          </w:p>
        </w:tc>
        <w:tc>
          <w:tcPr>
            <w:tcW w:w="1071" w:type="dxa"/>
          </w:tcPr>
          <w:p w14:paraId="60B9420E">
            <w:pPr>
              <w:spacing w:line="360" w:lineRule="auto"/>
              <w:rPr>
                <w:rFonts w:hint="eastAsia" w:ascii="仿宋" w:hAnsi="仿宋" w:eastAsia="仿宋" w:cs="仿宋"/>
                <w:color w:val="auto"/>
                <w:sz w:val="22"/>
                <w:szCs w:val="22"/>
                <w:highlight w:val="none"/>
              </w:rPr>
            </w:pPr>
          </w:p>
        </w:tc>
        <w:tc>
          <w:tcPr>
            <w:tcW w:w="998" w:type="dxa"/>
          </w:tcPr>
          <w:p w14:paraId="3348F0D0">
            <w:pPr>
              <w:spacing w:line="360" w:lineRule="auto"/>
              <w:rPr>
                <w:rFonts w:hint="eastAsia" w:ascii="仿宋" w:hAnsi="仿宋" w:eastAsia="仿宋" w:cs="仿宋"/>
                <w:color w:val="auto"/>
                <w:sz w:val="22"/>
                <w:szCs w:val="22"/>
                <w:highlight w:val="none"/>
              </w:rPr>
            </w:pPr>
          </w:p>
        </w:tc>
        <w:tc>
          <w:tcPr>
            <w:tcW w:w="1634" w:type="dxa"/>
          </w:tcPr>
          <w:p w14:paraId="46894EED">
            <w:pPr>
              <w:spacing w:line="360" w:lineRule="auto"/>
              <w:rPr>
                <w:rFonts w:hint="eastAsia" w:ascii="仿宋" w:hAnsi="仿宋" w:eastAsia="仿宋" w:cs="仿宋"/>
                <w:color w:val="auto"/>
                <w:sz w:val="22"/>
                <w:szCs w:val="22"/>
                <w:highlight w:val="none"/>
              </w:rPr>
            </w:pPr>
          </w:p>
        </w:tc>
      </w:tr>
      <w:tr w14:paraId="109E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87" w:type="dxa"/>
            <w:vAlign w:val="center"/>
          </w:tcPr>
          <w:p w14:paraId="76E09D91">
            <w:pPr>
              <w:spacing w:line="360" w:lineRule="auto"/>
              <w:jc w:val="center"/>
              <w:rPr>
                <w:rFonts w:hint="eastAsia" w:ascii="仿宋" w:hAnsi="仿宋" w:eastAsia="仿宋" w:cs="仿宋"/>
                <w:color w:val="auto"/>
                <w:sz w:val="22"/>
                <w:szCs w:val="22"/>
                <w:highlight w:val="none"/>
              </w:rPr>
            </w:pPr>
          </w:p>
        </w:tc>
        <w:tc>
          <w:tcPr>
            <w:tcW w:w="2225" w:type="dxa"/>
            <w:vAlign w:val="center"/>
          </w:tcPr>
          <w:p w14:paraId="5083F795">
            <w:pPr>
              <w:spacing w:line="360" w:lineRule="auto"/>
              <w:rPr>
                <w:rFonts w:hint="eastAsia" w:ascii="仿宋" w:hAnsi="仿宋" w:eastAsia="仿宋" w:cs="仿宋"/>
                <w:color w:val="auto"/>
                <w:sz w:val="22"/>
                <w:szCs w:val="22"/>
                <w:highlight w:val="none"/>
              </w:rPr>
            </w:pPr>
          </w:p>
        </w:tc>
        <w:tc>
          <w:tcPr>
            <w:tcW w:w="2169" w:type="dxa"/>
          </w:tcPr>
          <w:p w14:paraId="14EC3D80">
            <w:pPr>
              <w:spacing w:line="360" w:lineRule="auto"/>
              <w:rPr>
                <w:rFonts w:hint="eastAsia" w:ascii="仿宋" w:hAnsi="仿宋" w:eastAsia="仿宋" w:cs="仿宋"/>
                <w:color w:val="auto"/>
                <w:sz w:val="22"/>
                <w:szCs w:val="22"/>
                <w:highlight w:val="none"/>
              </w:rPr>
            </w:pPr>
          </w:p>
        </w:tc>
        <w:tc>
          <w:tcPr>
            <w:tcW w:w="1071" w:type="dxa"/>
          </w:tcPr>
          <w:p w14:paraId="0359E767">
            <w:pPr>
              <w:spacing w:line="360" w:lineRule="auto"/>
              <w:rPr>
                <w:rFonts w:hint="eastAsia" w:ascii="仿宋" w:hAnsi="仿宋" w:eastAsia="仿宋" w:cs="仿宋"/>
                <w:color w:val="auto"/>
                <w:sz w:val="22"/>
                <w:szCs w:val="22"/>
                <w:highlight w:val="none"/>
              </w:rPr>
            </w:pPr>
          </w:p>
        </w:tc>
        <w:tc>
          <w:tcPr>
            <w:tcW w:w="998" w:type="dxa"/>
          </w:tcPr>
          <w:p w14:paraId="778C866A">
            <w:pPr>
              <w:spacing w:line="360" w:lineRule="auto"/>
              <w:rPr>
                <w:rFonts w:hint="eastAsia" w:ascii="仿宋" w:hAnsi="仿宋" w:eastAsia="仿宋" w:cs="仿宋"/>
                <w:color w:val="auto"/>
                <w:sz w:val="22"/>
                <w:szCs w:val="22"/>
                <w:highlight w:val="none"/>
              </w:rPr>
            </w:pPr>
          </w:p>
        </w:tc>
        <w:tc>
          <w:tcPr>
            <w:tcW w:w="1634" w:type="dxa"/>
          </w:tcPr>
          <w:p w14:paraId="5E09E455">
            <w:pPr>
              <w:spacing w:line="360" w:lineRule="auto"/>
              <w:rPr>
                <w:rFonts w:hint="eastAsia" w:ascii="仿宋" w:hAnsi="仿宋" w:eastAsia="仿宋" w:cs="仿宋"/>
                <w:color w:val="auto"/>
                <w:sz w:val="22"/>
                <w:szCs w:val="22"/>
                <w:highlight w:val="none"/>
              </w:rPr>
            </w:pPr>
          </w:p>
        </w:tc>
      </w:tr>
      <w:tr w14:paraId="1B52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87" w:type="dxa"/>
            <w:vAlign w:val="center"/>
          </w:tcPr>
          <w:p w14:paraId="06360E62">
            <w:pPr>
              <w:spacing w:line="360" w:lineRule="auto"/>
              <w:jc w:val="center"/>
              <w:rPr>
                <w:rFonts w:hint="eastAsia" w:ascii="仿宋" w:hAnsi="仿宋" w:eastAsia="仿宋" w:cs="仿宋"/>
                <w:color w:val="auto"/>
                <w:sz w:val="22"/>
                <w:szCs w:val="22"/>
                <w:highlight w:val="none"/>
              </w:rPr>
            </w:pPr>
          </w:p>
        </w:tc>
        <w:tc>
          <w:tcPr>
            <w:tcW w:w="2225" w:type="dxa"/>
            <w:vAlign w:val="center"/>
          </w:tcPr>
          <w:p w14:paraId="0A9ADCBC">
            <w:pPr>
              <w:spacing w:line="360" w:lineRule="auto"/>
              <w:rPr>
                <w:rFonts w:hint="eastAsia" w:ascii="仿宋" w:hAnsi="仿宋" w:eastAsia="仿宋" w:cs="仿宋"/>
                <w:color w:val="auto"/>
                <w:sz w:val="22"/>
                <w:szCs w:val="22"/>
                <w:highlight w:val="none"/>
              </w:rPr>
            </w:pPr>
          </w:p>
        </w:tc>
        <w:tc>
          <w:tcPr>
            <w:tcW w:w="2169" w:type="dxa"/>
          </w:tcPr>
          <w:p w14:paraId="34999BED">
            <w:pPr>
              <w:spacing w:line="360" w:lineRule="auto"/>
              <w:rPr>
                <w:rFonts w:hint="eastAsia" w:ascii="仿宋" w:hAnsi="仿宋" w:eastAsia="仿宋" w:cs="仿宋"/>
                <w:color w:val="auto"/>
                <w:sz w:val="22"/>
                <w:szCs w:val="22"/>
                <w:highlight w:val="none"/>
              </w:rPr>
            </w:pPr>
          </w:p>
        </w:tc>
        <w:tc>
          <w:tcPr>
            <w:tcW w:w="1071" w:type="dxa"/>
          </w:tcPr>
          <w:p w14:paraId="4669DDDC">
            <w:pPr>
              <w:spacing w:line="360" w:lineRule="auto"/>
              <w:rPr>
                <w:rFonts w:hint="eastAsia" w:ascii="仿宋" w:hAnsi="仿宋" w:eastAsia="仿宋" w:cs="仿宋"/>
                <w:color w:val="auto"/>
                <w:sz w:val="22"/>
                <w:szCs w:val="22"/>
                <w:highlight w:val="none"/>
              </w:rPr>
            </w:pPr>
          </w:p>
        </w:tc>
        <w:tc>
          <w:tcPr>
            <w:tcW w:w="998" w:type="dxa"/>
          </w:tcPr>
          <w:p w14:paraId="5E83EB2B">
            <w:pPr>
              <w:spacing w:line="360" w:lineRule="auto"/>
              <w:rPr>
                <w:rFonts w:hint="eastAsia" w:ascii="仿宋" w:hAnsi="仿宋" w:eastAsia="仿宋" w:cs="仿宋"/>
                <w:color w:val="auto"/>
                <w:sz w:val="22"/>
                <w:szCs w:val="22"/>
                <w:highlight w:val="none"/>
              </w:rPr>
            </w:pPr>
          </w:p>
        </w:tc>
        <w:tc>
          <w:tcPr>
            <w:tcW w:w="1634" w:type="dxa"/>
          </w:tcPr>
          <w:p w14:paraId="6A02A2D3">
            <w:pPr>
              <w:spacing w:line="360" w:lineRule="auto"/>
              <w:rPr>
                <w:rFonts w:hint="eastAsia" w:ascii="仿宋" w:hAnsi="仿宋" w:eastAsia="仿宋" w:cs="仿宋"/>
                <w:color w:val="auto"/>
                <w:sz w:val="22"/>
                <w:szCs w:val="22"/>
                <w:highlight w:val="none"/>
              </w:rPr>
            </w:pPr>
          </w:p>
        </w:tc>
      </w:tr>
      <w:tr w14:paraId="3C4E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87" w:type="dxa"/>
            <w:vAlign w:val="center"/>
          </w:tcPr>
          <w:p w14:paraId="5FE47A74">
            <w:pPr>
              <w:spacing w:line="360" w:lineRule="auto"/>
              <w:jc w:val="center"/>
              <w:rPr>
                <w:rFonts w:hint="eastAsia" w:ascii="仿宋" w:hAnsi="仿宋" w:eastAsia="仿宋" w:cs="仿宋"/>
                <w:color w:val="auto"/>
                <w:sz w:val="22"/>
                <w:szCs w:val="22"/>
                <w:highlight w:val="none"/>
              </w:rPr>
            </w:pPr>
          </w:p>
        </w:tc>
        <w:tc>
          <w:tcPr>
            <w:tcW w:w="2225" w:type="dxa"/>
            <w:vAlign w:val="center"/>
          </w:tcPr>
          <w:p w14:paraId="74562368">
            <w:pPr>
              <w:spacing w:line="360" w:lineRule="auto"/>
              <w:rPr>
                <w:rFonts w:hint="eastAsia" w:ascii="仿宋" w:hAnsi="仿宋" w:eastAsia="仿宋" w:cs="仿宋"/>
                <w:color w:val="auto"/>
                <w:sz w:val="22"/>
                <w:szCs w:val="22"/>
                <w:highlight w:val="none"/>
              </w:rPr>
            </w:pPr>
          </w:p>
        </w:tc>
        <w:tc>
          <w:tcPr>
            <w:tcW w:w="2169" w:type="dxa"/>
          </w:tcPr>
          <w:p w14:paraId="1BF5FB78">
            <w:pPr>
              <w:spacing w:line="360" w:lineRule="auto"/>
              <w:rPr>
                <w:rFonts w:hint="eastAsia" w:ascii="仿宋" w:hAnsi="仿宋" w:eastAsia="仿宋" w:cs="仿宋"/>
                <w:color w:val="auto"/>
                <w:sz w:val="22"/>
                <w:szCs w:val="22"/>
                <w:highlight w:val="none"/>
              </w:rPr>
            </w:pPr>
          </w:p>
        </w:tc>
        <w:tc>
          <w:tcPr>
            <w:tcW w:w="1071" w:type="dxa"/>
          </w:tcPr>
          <w:p w14:paraId="0B5DDC98">
            <w:pPr>
              <w:spacing w:line="360" w:lineRule="auto"/>
              <w:rPr>
                <w:rFonts w:hint="eastAsia" w:ascii="仿宋" w:hAnsi="仿宋" w:eastAsia="仿宋" w:cs="仿宋"/>
                <w:color w:val="auto"/>
                <w:sz w:val="22"/>
                <w:szCs w:val="22"/>
                <w:highlight w:val="none"/>
              </w:rPr>
            </w:pPr>
          </w:p>
        </w:tc>
        <w:tc>
          <w:tcPr>
            <w:tcW w:w="998" w:type="dxa"/>
          </w:tcPr>
          <w:p w14:paraId="1AA2F3E5">
            <w:pPr>
              <w:spacing w:line="360" w:lineRule="auto"/>
              <w:rPr>
                <w:rFonts w:hint="eastAsia" w:ascii="仿宋" w:hAnsi="仿宋" w:eastAsia="仿宋" w:cs="仿宋"/>
                <w:color w:val="auto"/>
                <w:sz w:val="22"/>
                <w:szCs w:val="22"/>
                <w:highlight w:val="none"/>
              </w:rPr>
            </w:pPr>
          </w:p>
        </w:tc>
        <w:tc>
          <w:tcPr>
            <w:tcW w:w="1634" w:type="dxa"/>
          </w:tcPr>
          <w:p w14:paraId="692BF839">
            <w:pPr>
              <w:spacing w:line="360" w:lineRule="auto"/>
              <w:rPr>
                <w:rFonts w:hint="eastAsia" w:ascii="仿宋" w:hAnsi="仿宋" w:eastAsia="仿宋" w:cs="仿宋"/>
                <w:color w:val="auto"/>
                <w:sz w:val="22"/>
                <w:szCs w:val="22"/>
                <w:highlight w:val="none"/>
              </w:rPr>
            </w:pPr>
          </w:p>
        </w:tc>
      </w:tr>
      <w:tr w14:paraId="6685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887" w:type="dxa"/>
            <w:vAlign w:val="center"/>
          </w:tcPr>
          <w:p w14:paraId="69A60E14">
            <w:pPr>
              <w:spacing w:line="360" w:lineRule="auto"/>
              <w:jc w:val="center"/>
              <w:rPr>
                <w:rFonts w:hint="eastAsia" w:ascii="仿宋" w:hAnsi="仿宋" w:eastAsia="仿宋" w:cs="仿宋"/>
                <w:color w:val="auto"/>
                <w:sz w:val="22"/>
                <w:szCs w:val="22"/>
                <w:highlight w:val="none"/>
              </w:rPr>
            </w:pPr>
          </w:p>
        </w:tc>
        <w:tc>
          <w:tcPr>
            <w:tcW w:w="2225" w:type="dxa"/>
            <w:vAlign w:val="center"/>
          </w:tcPr>
          <w:p w14:paraId="799BED08">
            <w:pPr>
              <w:spacing w:line="360" w:lineRule="auto"/>
              <w:rPr>
                <w:rFonts w:hint="eastAsia" w:ascii="仿宋" w:hAnsi="仿宋" w:eastAsia="仿宋" w:cs="仿宋"/>
                <w:color w:val="auto"/>
                <w:sz w:val="22"/>
                <w:szCs w:val="22"/>
                <w:highlight w:val="none"/>
              </w:rPr>
            </w:pPr>
          </w:p>
        </w:tc>
        <w:tc>
          <w:tcPr>
            <w:tcW w:w="2169" w:type="dxa"/>
          </w:tcPr>
          <w:p w14:paraId="31C37C53">
            <w:pPr>
              <w:spacing w:line="360" w:lineRule="auto"/>
              <w:rPr>
                <w:rFonts w:hint="eastAsia" w:ascii="仿宋" w:hAnsi="仿宋" w:eastAsia="仿宋" w:cs="仿宋"/>
                <w:color w:val="auto"/>
                <w:sz w:val="22"/>
                <w:szCs w:val="22"/>
                <w:highlight w:val="none"/>
              </w:rPr>
            </w:pPr>
          </w:p>
        </w:tc>
        <w:tc>
          <w:tcPr>
            <w:tcW w:w="1071" w:type="dxa"/>
          </w:tcPr>
          <w:p w14:paraId="57AD2B35">
            <w:pPr>
              <w:spacing w:line="360" w:lineRule="auto"/>
              <w:rPr>
                <w:rFonts w:hint="eastAsia" w:ascii="仿宋" w:hAnsi="仿宋" w:eastAsia="仿宋" w:cs="仿宋"/>
                <w:color w:val="auto"/>
                <w:sz w:val="22"/>
                <w:szCs w:val="22"/>
                <w:highlight w:val="none"/>
              </w:rPr>
            </w:pPr>
          </w:p>
        </w:tc>
        <w:tc>
          <w:tcPr>
            <w:tcW w:w="998" w:type="dxa"/>
          </w:tcPr>
          <w:p w14:paraId="0CE7CE6E">
            <w:pPr>
              <w:spacing w:line="360" w:lineRule="auto"/>
              <w:rPr>
                <w:rFonts w:hint="eastAsia" w:ascii="仿宋" w:hAnsi="仿宋" w:eastAsia="仿宋" w:cs="仿宋"/>
                <w:color w:val="auto"/>
                <w:sz w:val="22"/>
                <w:szCs w:val="22"/>
                <w:highlight w:val="none"/>
              </w:rPr>
            </w:pPr>
          </w:p>
        </w:tc>
        <w:tc>
          <w:tcPr>
            <w:tcW w:w="1634" w:type="dxa"/>
          </w:tcPr>
          <w:p w14:paraId="122284BC">
            <w:pPr>
              <w:spacing w:line="360" w:lineRule="auto"/>
              <w:rPr>
                <w:rFonts w:hint="eastAsia" w:ascii="仿宋" w:hAnsi="仿宋" w:eastAsia="仿宋" w:cs="仿宋"/>
                <w:color w:val="auto"/>
                <w:sz w:val="22"/>
                <w:szCs w:val="22"/>
                <w:highlight w:val="none"/>
              </w:rPr>
            </w:pPr>
          </w:p>
        </w:tc>
      </w:tr>
      <w:tr w14:paraId="3A44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87" w:type="dxa"/>
            <w:vAlign w:val="center"/>
          </w:tcPr>
          <w:p w14:paraId="20EC6BDD">
            <w:pPr>
              <w:spacing w:line="360" w:lineRule="auto"/>
              <w:jc w:val="center"/>
              <w:rPr>
                <w:rFonts w:hint="eastAsia" w:ascii="仿宋" w:hAnsi="仿宋" w:eastAsia="仿宋" w:cs="仿宋"/>
                <w:color w:val="auto"/>
                <w:sz w:val="22"/>
                <w:szCs w:val="22"/>
                <w:highlight w:val="none"/>
              </w:rPr>
            </w:pPr>
          </w:p>
        </w:tc>
        <w:tc>
          <w:tcPr>
            <w:tcW w:w="2225" w:type="dxa"/>
          </w:tcPr>
          <w:p w14:paraId="7C63ACAF">
            <w:pPr>
              <w:spacing w:line="360" w:lineRule="auto"/>
              <w:rPr>
                <w:rFonts w:hint="eastAsia" w:ascii="仿宋" w:hAnsi="仿宋" w:eastAsia="仿宋" w:cs="仿宋"/>
                <w:color w:val="auto"/>
                <w:sz w:val="22"/>
                <w:szCs w:val="22"/>
                <w:highlight w:val="none"/>
              </w:rPr>
            </w:pPr>
          </w:p>
        </w:tc>
        <w:tc>
          <w:tcPr>
            <w:tcW w:w="2169" w:type="dxa"/>
          </w:tcPr>
          <w:p w14:paraId="26865494">
            <w:pPr>
              <w:spacing w:line="360" w:lineRule="auto"/>
              <w:rPr>
                <w:rFonts w:hint="eastAsia" w:ascii="仿宋" w:hAnsi="仿宋" w:eastAsia="仿宋" w:cs="仿宋"/>
                <w:color w:val="auto"/>
                <w:sz w:val="22"/>
                <w:szCs w:val="22"/>
                <w:highlight w:val="none"/>
              </w:rPr>
            </w:pPr>
          </w:p>
        </w:tc>
        <w:tc>
          <w:tcPr>
            <w:tcW w:w="1071" w:type="dxa"/>
          </w:tcPr>
          <w:p w14:paraId="14613D02">
            <w:pPr>
              <w:spacing w:line="360" w:lineRule="auto"/>
              <w:rPr>
                <w:rFonts w:hint="eastAsia" w:ascii="仿宋" w:hAnsi="仿宋" w:eastAsia="仿宋" w:cs="仿宋"/>
                <w:color w:val="auto"/>
                <w:sz w:val="22"/>
                <w:szCs w:val="22"/>
                <w:highlight w:val="none"/>
              </w:rPr>
            </w:pPr>
          </w:p>
        </w:tc>
        <w:tc>
          <w:tcPr>
            <w:tcW w:w="998" w:type="dxa"/>
          </w:tcPr>
          <w:p w14:paraId="59FE96E0">
            <w:pPr>
              <w:spacing w:line="360" w:lineRule="auto"/>
              <w:rPr>
                <w:rFonts w:hint="eastAsia" w:ascii="仿宋" w:hAnsi="仿宋" w:eastAsia="仿宋" w:cs="仿宋"/>
                <w:color w:val="auto"/>
                <w:sz w:val="22"/>
                <w:szCs w:val="22"/>
                <w:highlight w:val="none"/>
              </w:rPr>
            </w:pPr>
          </w:p>
        </w:tc>
        <w:tc>
          <w:tcPr>
            <w:tcW w:w="1634" w:type="dxa"/>
          </w:tcPr>
          <w:p w14:paraId="494F70C1">
            <w:pPr>
              <w:spacing w:line="360" w:lineRule="auto"/>
              <w:rPr>
                <w:rFonts w:hint="eastAsia" w:ascii="仿宋" w:hAnsi="仿宋" w:eastAsia="仿宋" w:cs="仿宋"/>
                <w:color w:val="auto"/>
                <w:sz w:val="22"/>
                <w:szCs w:val="22"/>
                <w:highlight w:val="none"/>
              </w:rPr>
            </w:pPr>
          </w:p>
        </w:tc>
      </w:tr>
    </w:tbl>
    <w:p w14:paraId="5F12BC5D">
      <w:pPr>
        <w:pStyle w:val="10"/>
        <w:spacing w:line="360" w:lineRule="auto"/>
        <w:ind w:left="2" w:firstLine="2"/>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注：1、偏离情况项填写“正”、“负”或“无”，说明项中填写原因。</w:t>
      </w:r>
    </w:p>
    <w:p w14:paraId="7069F659">
      <w:pPr>
        <w:pStyle w:val="10"/>
        <w:spacing w:line="360" w:lineRule="auto"/>
        <w:ind w:left="2" w:leftChars="1" w:firstLine="440" w:firstLineChars="2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2、商务条款内容包括但不限于合格供应商条件、</w:t>
      </w:r>
      <w:r>
        <w:rPr>
          <w:rFonts w:hint="eastAsia" w:ascii="仿宋" w:hAnsi="仿宋" w:eastAsia="仿宋" w:cs="仿宋"/>
          <w:color w:val="auto"/>
          <w:sz w:val="24"/>
          <w:szCs w:val="24"/>
          <w:lang w:val="en-US" w:eastAsia="zh-CN"/>
        </w:rPr>
        <w:t>合同履约期限</w:t>
      </w:r>
      <w:r>
        <w:rPr>
          <w:rFonts w:hint="eastAsia" w:ascii="仿宋" w:hAnsi="仿宋" w:eastAsia="仿宋" w:cs="仿宋"/>
          <w:color w:val="auto"/>
          <w:sz w:val="22"/>
          <w:szCs w:val="22"/>
          <w:highlight w:val="none"/>
        </w:rPr>
        <w:t>、付款方式、投标有效期、投标报价、合同条款内容等要求。</w:t>
      </w:r>
    </w:p>
    <w:p w14:paraId="377C4790">
      <w:pPr>
        <w:spacing w:line="360" w:lineRule="auto"/>
        <w:ind w:firstLine="1560" w:firstLineChars="650"/>
        <w:rPr>
          <w:rFonts w:hint="eastAsia" w:ascii="仿宋" w:hAnsi="仿宋" w:eastAsia="仿宋" w:cs="仿宋"/>
          <w:color w:val="auto"/>
          <w:sz w:val="24"/>
          <w:highlight w:val="none"/>
        </w:rPr>
      </w:pPr>
    </w:p>
    <w:p w14:paraId="7513C92F">
      <w:pPr>
        <w:spacing w:line="360" w:lineRule="auto"/>
        <w:rPr>
          <w:rFonts w:hint="eastAsia" w:ascii="仿宋" w:hAnsi="仿宋" w:eastAsia="仿宋" w:cs="仿宋"/>
          <w:color w:val="auto"/>
          <w:sz w:val="28"/>
          <w:szCs w:val="28"/>
          <w:highlight w:val="none"/>
        </w:rPr>
      </w:pPr>
    </w:p>
    <w:p w14:paraId="0AD7FB96">
      <w:pPr>
        <w:spacing w:line="360" w:lineRule="auto"/>
        <w:rPr>
          <w:rFonts w:hint="eastAsia" w:ascii="仿宋" w:hAnsi="仿宋" w:eastAsia="仿宋" w:cs="仿宋"/>
          <w:color w:val="auto"/>
          <w:sz w:val="28"/>
          <w:szCs w:val="28"/>
          <w:highlight w:val="none"/>
        </w:rPr>
      </w:pPr>
    </w:p>
    <w:p w14:paraId="1ABA2F78">
      <w:pPr>
        <w:spacing w:before="60" w:after="60" w:line="500" w:lineRule="exact"/>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（电子签章）</w:t>
      </w:r>
    </w:p>
    <w:p w14:paraId="7C06D9F2">
      <w:pPr>
        <w:spacing w:before="60" w:after="60" w:line="500" w:lineRule="exact"/>
        <w:ind w:firstLine="510"/>
        <w:rPr>
          <w:rFonts w:hint="eastAsia" w:ascii="仿宋" w:hAnsi="仿宋" w:eastAsia="仿宋" w:cs="仿宋"/>
          <w:color w:val="auto"/>
          <w:sz w:val="24"/>
          <w:highlight w:val="none"/>
          <w:u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（电子签章或签字）</w:t>
      </w:r>
    </w:p>
    <w:p w14:paraId="67F9FC19">
      <w:pPr>
        <w:spacing w:before="60" w:after="60" w:line="500" w:lineRule="exact"/>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B3E0CAF">
      <w:pPr>
        <w:pStyle w:val="2"/>
        <w:numPr>
          <w:ilvl w:val="0"/>
          <w:numId w:val="0"/>
        </w:numPr>
        <w:spacing w:line="360" w:lineRule="auto"/>
        <w:jc w:val="center"/>
        <w:outlineLvl w:val="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24"/>
          <w:highlight w:val="none"/>
        </w:rPr>
        <w:br w:type="page"/>
      </w:r>
      <w:r>
        <w:rPr>
          <w:rFonts w:hint="eastAsia" w:ascii="仿宋" w:hAnsi="仿宋" w:eastAsia="仿宋" w:cs="仿宋"/>
          <w:color w:val="auto"/>
          <w:sz w:val="32"/>
          <w:szCs w:val="32"/>
          <w:highlight w:val="none"/>
          <w:lang w:val="en-US" w:eastAsia="zh-CN"/>
        </w:rPr>
        <w:t>七、投标保证金</w:t>
      </w:r>
    </w:p>
    <w:p w14:paraId="127A9A4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000000"/>
          <w:spacing w:val="1"/>
          <w:kern w:val="2"/>
          <w:sz w:val="28"/>
          <w:szCs w:val="22"/>
          <w:highlight w:val="none"/>
          <w:lang w:val="en-US" w:eastAsia="zh-CN" w:bidi="ar-SA"/>
        </w:rPr>
      </w:pPr>
      <w:r>
        <w:rPr>
          <w:rFonts w:hint="eastAsia" w:ascii="仿宋" w:hAnsi="仿宋" w:eastAsia="仿宋" w:cs="仿宋"/>
          <w:b w:val="0"/>
          <w:bCs w:val="0"/>
          <w:color w:val="000000"/>
          <w:spacing w:val="1"/>
          <w:kern w:val="2"/>
          <w:sz w:val="28"/>
          <w:szCs w:val="22"/>
          <w:highlight w:val="none"/>
          <w:lang w:val="en-US" w:eastAsia="zh-CN" w:bidi="ar-SA"/>
        </w:rPr>
        <w:t>投标保证金交纳凭证须附：</w:t>
      </w:r>
    </w:p>
    <w:p w14:paraId="2C6E58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4" w:firstLineChars="200"/>
        <w:textAlignment w:val="auto"/>
        <w:rPr>
          <w:rFonts w:hint="eastAsia" w:ascii="仿宋" w:hAnsi="仿宋" w:eastAsia="仿宋" w:cs="仿宋"/>
          <w:b w:val="0"/>
          <w:bCs w:val="0"/>
          <w:color w:val="000000"/>
          <w:spacing w:val="1"/>
          <w:kern w:val="2"/>
          <w:sz w:val="28"/>
          <w:szCs w:val="22"/>
          <w:highlight w:val="none"/>
          <w:lang w:val="en-US" w:eastAsia="zh-CN" w:bidi="ar-SA"/>
        </w:rPr>
      </w:pPr>
      <w:r>
        <w:rPr>
          <w:rFonts w:hint="eastAsia" w:ascii="仿宋" w:hAnsi="仿宋" w:eastAsia="仿宋" w:cs="仿宋"/>
          <w:b w:val="0"/>
          <w:bCs w:val="0"/>
          <w:color w:val="000000"/>
          <w:spacing w:val="1"/>
          <w:kern w:val="2"/>
          <w:sz w:val="28"/>
          <w:szCs w:val="22"/>
          <w:lang w:val="en-US" w:eastAsia="zh-CN" w:bidi="ar-SA"/>
        </w:rPr>
        <w:t>（1）</w:t>
      </w:r>
      <w:r>
        <w:rPr>
          <w:rFonts w:hint="eastAsia" w:ascii="仿宋" w:hAnsi="仿宋" w:eastAsia="仿宋" w:cs="仿宋"/>
          <w:b w:val="0"/>
          <w:bCs w:val="0"/>
          <w:color w:val="000000"/>
          <w:spacing w:val="1"/>
          <w:kern w:val="2"/>
          <w:sz w:val="28"/>
          <w:szCs w:val="22"/>
          <w:highlight w:val="none"/>
          <w:lang w:val="en-US" w:eastAsia="zh-CN" w:bidi="ar-SA"/>
        </w:rPr>
        <w:t>投标保证金有效凭证单据复印件或扫描件；</w:t>
      </w:r>
    </w:p>
    <w:p w14:paraId="77AEF5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4" w:firstLineChars="200"/>
        <w:textAlignment w:val="auto"/>
        <w:rPr>
          <w:rFonts w:hint="eastAsia" w:ascii="仿宋" w:hAnsi="仿宋" w:eastAsia="仿宋" w:cs="仿宋"/>
          <w:b w:val="0"/>
          <w:bCs w:val="0"/>
          <w:color w:val="000000"/>
          <w:spacing w:val="1"/>
          <w:kern w:val="2"/>
          <w:sz w:val="28"/>
          <w:szCs w:val="22"/>
          <w:highlight w:val="none"/>
          <w:lang w:val="en-US" w:eastAsia="zh-CN" w:bidi="ar-SA"/>
        </w:rPr>
      </w:pPr>
      <w:r>
        <w:rPr>
          <w:rFonts w:hint="eastAsia" w:ascii="仿宋" w:hAnsi="仿宋" w:eastAsia="仿宋" w:cs="仿宋"/>
          <w:b w:val="0"/>
          <w:bCs w:val="0"/>
          <w:color w:val="000000"/>
          <w:spacing w:val="1"/>
          <w:kern w:val="2"/>
          <w:sz w:val="28"/>
          <w:szCs w:val="22"/>
          <w:highlight w:val="none"/>
          <w:lang w:val="en-US" w:eastAsia="zh-CN" w:bidi="ar-SA"/>
        </w:rPr>
        <w:t>（2）开户许可证或基本存款账户信息扫描件；</w:t>
      </w:r>
    </w:p>
    <w:p w14:paraId="6A4CFD93">
      <w:pPr>
        <w:rPr>
          <w:rFonts w:hint="eastAsia" w:ascii="仿宋" w:hAnsi="仿宋" w:eastAsia="仿宋" w:cs="仿宋"/>
          <w:b/>
          <w:color w:val="auto"/>
          <w:kern w:val="0"/>
          <w:sz w:val="32"/>
          <w:szCs w:val="32"/>
          <w:highlight w:val="none"/>
          <w:lang w:eastAsia="zh-CN"/>
        </w:rPr>
      </w:pPr>
      <w:r>
        <w:rPr>
          <w:rFonts w:hint="eastAsia" w:ascii="仿宋" w:hAnsi="仿宋" w:eastAsia="仿宋" w:cs="仿宋"/>
          <w:b/>
          <w:color w:val="auto"/>
          <w:kern w:val="0"/>
          <w:sz w:val="32"/>
          <w:szCs w:val="32"/>
          <w:highlight w:val="none"/>
          <w:lang w:eastAsia="zh-CN"/>
        </w:rPr>
        <w:br w:type="page"/>
      </w:r>
    </w:p>
    <w:p w14:paraId="59F35A2C">
      <w:pPr>
        <w:snapToGrid w:val="0"/>
        <w:spacing w:before="312" w:beforeAutospacing="0" w:after="312" w:afterAutospacing="0" w:line="480" w:lineRule="exact"/>
        <w:jc w:val="center"/>
        <w:textAlignment w:val="baseline"/>
        <w:rPr>
          <w:rStyle w:val="38"/>
          <w:rFonts w:hint="eastAsia" w:ascii="仿宋" w:hAnsi="仿宋" w:eastAsia="仿宋" w:cs="仿宋"/>
          <w:b/>
          <w:i w:val="0"/>
          <w:caps w:val="0"/>
          <w:color w:val="auto"/>
          <w:spacing w:val="0"/>
          <w:w w:val="100"/>
          <w:kern w:val="2"/>
          <w:sz w:val="32"/>
          <w:szCs w:val="32"/>
          <w:highlight w:val="none"/>
          <w:lang w:val="en-US" w:eastAsia="zh-CN" w:bidi="ar-SA"/>
        </w:rPr>
      </w:pPr>
      <w:r>
        <w:rPr>
          <w:rStyle w:val="38"/>
          <w:rFonts w:hint="eastAsia" w:ascii="仿宋" w:hAnsi="仿宋" w:eastAsia="仿宋" w:cs="仿宋"/>
          <w:b/>
          <w:i w:val="0"/>
          <w:caps w:val="0"/>
          <w:color w:val="auto"/>
          <w:spacing w:val="0"/>
          <w:w w:val="100"/>
          <w:kern w:val="2"/>
          <w:sz w:val="32"/>
          <w:szCs w:val="32"/>
          <w:highlight w:val="none"/>
          <w:lang w:val="en-US" w:eastAsia="zh-CN" w:bidi="ar-SA"/>
        </w:rPr>
        <w:t>八、中小企业声明函</w:t>
      </w:r>
    </w:p>
    <w:p w14:paraId="7BF53E50">
      <w:pPr>
        <w:keepNext w:val="0"/>
        <w:keepLines w:val="0"/>
        <w:widowControl/>
        <w:suppressLineNumbers w:val="0"/>
        <w:shd w:val="clear" w:fill="FFFFFF"/>
        <w:spacing w:before="0" w:beforeAutospacing="1" w:after="0" w:afterAutospacing="1" w:line="435" w:lineRule="atLeast"/>
        <w:ind w:left="0" w:right="0" w:firstLine="480"/>
        <w:jc w:val="lef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kern w:val="0"/>
          <w:sz w:val="24"/>
          <w:szCs w:val="24"/>
          <w:shd w:val="clear" w:fill="FFFFFF"/>
          <w:lang w:val="en-US" w:eastAsia="zh-CN" w:bidi="ar"/>
        </w:rPr>
        <w:t>本公司（联合体）郑重声明，根据《政府采购促进中小企业发展管理办法》（财库﹝2020﹞46号）的规定，本公司（联合体）参加</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（单位名称）</w:t>
      </w:r>
      <w:r>
        <w:rPr>
          <w:rFonts w:hint="eastAsia" w:ascii="仿宋" w:hAnsi="仿宋" w:eastAsia="仿宋" w:cs="仿宋"/>
          <w:i w:val="0"/>
          <w:iCs w:val="0"/>
          <w:caps w:val="0"/>
          <w:color w:val="333333"/>
          <w:spacing w:val="0"/>
          <w:kern w:val="0"/>
          <w:sz w:val="24"/>
          <w:szCs w:val="24"/>
          <w:shd w:val="clear" w:fill="FFFFFF"/>
          <w:lang w:val="en-US" w:eastAsia="zh-CN" w:bidi="ar"/>
        </w:rPr>
        <w:t>的</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（项目名称）采购活动，服务全部由符合政策要求的中小企业承接。相关企业（含联合体中的中小企业、签订分包意向协议的中小企业）的具体情况如下：</w:t>
      </w:r>
    </w:p>
    <w:p w14:paraId="1779089A">
      <w:pPr>
        <w:keepNext w:val="0"/>
        <w:keepLines w:val="0"/>
        <w:widowControl/>
        <w:numPr>
          <w:ilvl w:val="0"/>
          <w:numId w:val="2"/>
        </w:numPr>
        <w:suppressLineNumbers w:val="0"/>
        <w:shd w:val="clear" w:fill="FFFFFF"/>
        <w:spacing w:before="0" w:beforeAutospacing="1" w:after="0" w:afterAutospacing="1" w:line="435" w:lineRule="atLeast"/>
        <w:ind w:left="0" w:right="0" w:firstLine="480"/>
        <w:jc w:val="lef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（标的名称）</w:t>
      </w:r>
      <w:r>
        <w:rPr>
          <w:rFonts w:hint="eastAsia" w:ascii="仿宋" w:hAnsi="仿宋" w:eastAsia="仿宋" w:cs="仿宋"/>
          <w:i w:val="0"/>
          <w:iCs w:val="0"/>
          <w:caps w:val="0"/>
          <w:color w:val="333333"/>
          <w:spacing w:val="0"/>
          <w:kern w:val="0"/>
          <w:sz w:val="24"/>
          <w:szCs w:val="24"/>
          <w:shd w:val="clear" w:fill="FFFFFF"/>
          <w:lang w:val="en-US" w:eastAsia="zh-CN" w:bidi="ar"/>
        </w:rPr>
        <w:t>，属于</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（采购文件中明确的所属行业）</w:t>
      </w:r>
      <w:r>
        <w:rPr>
          <w:rFonts w:hint="eastAsia" w:ascii="仿宋" w:hAnsi="仿宋" w:eastAsia="仿宋" w:cs="仿宋"/>
          <w:i w:val="0"/>
          <w:iCs w:val="0"/>
          <w:caps w:val="0"/>
          <w:color w:val="333333"/>
          <w:spacing w:val="0"/>
          <w:kern w:val="0"/>
          <w:sz w:val="24"/>
          <w:szCs w:val="24"/>
          <w:shd w:val="clear" w:fill="FFFFFF"/>
          <w:lang w:val="en-US" w:eastAsia="zh-CN" w:bidi="ar"/>
        </w:rPr>
        <w:t>；承建（承接）企业为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（企业名称）</w:t>
      </w:r>
      <w:r>
        <w:rPr>
          <w:rFonts w:hint="eastAsia" w:ascii="仿宋" w:hAnsi="仿宋" w:eastAsia="仿宋" w:cs="仿宋"/>
          <w:i w:val="0"/>
          <w:iCs w:val="0"/>
          <w:caps w:val="0"/>
          <w:color w:val="333333"/>
          <w:spacing w:val="0"/>
          <w:kern w:val="0"/>
          <w:sz w:val="24"/>
          <w:szCs w:val="24"/>
          <w:shd w:val="clear" w:fill="FFFFFF"/>
          <w:lang w:val="en-US" w:eastAsia="zh-CN" w:bidi="ar"/>
        </w:rPr>
        <w:t>，从业人员</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人，营业收入为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万元，资产总额为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万元，属于</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（中型企业、小型企业、微型企业）</w:t>
      </w:r>
      <w:r>
        <w:rPr>
          <w:rFonts w:hint="eastAsia" w:ascii="仿宋" w:hAnsi="仿宋" w:eastAsia="仿宋" w:cs="仿宋"/>
          <w:i w:val="0"/>
          <w:iCs w:val="0"/>
          <w:caps w:val="0"/>
          <w:color w:val="333333"/>
          <w:spacing w:val="0"/>
          <w:kern w:val="0"/>
          <w:sz w:val="24"/>
          <w:szCs w:val="24"/>
          <w:shd w:val="clear" w:fill="FFFFFF"/>
          <w:lang w:val="en-US" w:eastAsia="zh-CN" w:bidi="ar"/>
        </w:rPr>
        <w:t>；</w:t>
      </w:r>
    </w:p>
    <w:p w14:paraId="23DACA7C">
      <w:pPr>
        <w:keepNext w:val="0"/>
        <w:keepLines w:val="0"/>
        <w:widowControl/>
        <w:numPr>
          <w:ilvl w:val="0"/>
          <w:numId w:val="2"/>
        </w:numPr>
        <w:suppressLineNumbers w:val="0"/>
        <w:shd w:val="clear" w:fill="FFFFFF"/>
        <w:spacing w:before="0" w:beforeAutospacing="1" w:after="0" w:afterAutospacing="1" w:line="435" w:lineRule="atLeast"/>
        <w:ind w:left="0" w:leftChars="0" w:right="0" w:firstLine="480" w:firstLineChars="0"/>
        <w:jc w:val="lef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（标的名称）</w:t>
      </w:r>
      <w:r>
        <w:rPr>
          <w:rFonts w:hint="eastAsia" w:ascii="仿宋" w:hAnsi="仿宋" w:eastAsia="仿宋" w:cs="仿宋"/>
          <w:i w:val="0"/>
          <w:iCs w:val="0"/>
          <w:caps w:val="0"/>
          <w:color w:val="333333"/>
          <w:spacing w:val="0"/>
          <w:kern w:val="0"/>
          <w:sz w:val="24"/>
          <w:szCs w:val="24"/>
          <w:shd w:val="clear" w:fill="FFFFFF"/>
          <w:lang w:val="en-US" w:eastAsia="zh-CN" w:bidi="ar"/>
        </w:rPr>
        <w:t>，属于</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（采购文件中明确的所属行业）</w:t>
      </w:r>
      <w:r>
        <w:rPr>
          <w:rFonts w:hint="eastAsia" w:ascii="仿宋" w:hAnsi="仿宋" w:eastAsia="仿宋" w:cs="仿宋"/>
          <w:i w:val="0"/>
          <w:iCs w:val="0"/>
          <w:caps w:val="0"/>
          <w:color w:val="333333"/>
          <w:spacing w:val="0"/>
          <w:kern w:val="0"/>
          <w:sz w:val="24"/>
          <w:szCs w:val="24"/>
          <w:shd w:val="clear" w:fill="FFFFFF"/>
          <w:lang w:val="en-US" w:eastAsia="zh-CN" w:bidi="ar"/>
        </w:rPr>
        <w:t>行业；制造商为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（企业名称）</w:t>
      </w:r>
      <w:r>
        <w:rPr>
          <w:rFonts w:hint="eastAsia" w:ascii="仿宋" w:hAnsi="仿宋" w:eastAsia="仿宋" w:cs="仿宋"/>
          <w:i w:val="0"/>
          <w:iCs w:val="0"/>
          <w:caps w:val="0"/>
          <w:color w:val="333333"/>
          <w:spacing w:val="0"/>
          <w:kern w:val="0"/>
          <w:sz w:val="24"/>
          <w:szCs w:val="24"/>
          <w:shd w:val="clear" w:fill="FFFFFF"/>
          <w:lang w:val="en-US" w:eastAsia="zh-CN" w:bidi="ar"/>
        </w:rPr>
        <w:t>，从业人员</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人，营业收入为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万元，资产总额为</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w:t>
      </w:r>
      <w:r>
        <w:rPr>
          <w:rFonts w:hint="eastAsia" w:ascii="仿宋" w:hAnsi="仿宋" w:eastAsia="仿宋" w:cs="仿宋"/>
          <w:i w:val="0"/>
          <w:iCs w:val="0"/>
          <w:caps w:val="0"/>
          <w:color w:val="333333"/>
          <w:spacing w:val="0"/>
          <w:kern w:val="0"/>
          <w:sz w:val="24"/>
          <w:szCs w:val="24"/>
          <w:shd w:val="clear" w:fill="FFFFFF"/>
          <w:lang w:val="en-US" w:eastAsia="zh-CN" w:bidi="ar"/>
        </w:rPr>
        <w:t>万元，属于</w:t>
      </w:r>
      <w:r>
        <w:rPr>
          <w:rFonts w:hint="eastAsia" w:ascii="仿宋" w:hAnsi="仿宋" w:eastAsia="仿宋" w:cs="仿宋"/>
          <w:i w:val="0"/>
          <w:iCs w:val="0"/>
          <w:caps w:val="0"/>
          <w:color w:val="333333"/>
          <w:spacing w:val="0"/>
          <w:kern w:val="0"/>
          <w:sz w:val="24"/>
          <w:szCs w:val="24"/>
          <w:u w:val="single"/>
          <w:shd w:val="clear" w:fill="FFFFFF"/>
          <w:lang w:val="en-US" w:eastAsia="zh-CN" w:bidi="ar"/>
        </w:rPr>
        <w:t xml:space="preserve">     （中型企业、小型企业、微型企业）</w:t>
      </w:r>
      <w:r>
        <w:rPr>
          <w:rFonts w:hint="eastAsia" w:ascii="仿宋" w:hAnsi="仿宋" w:eastAsia="仿宋" w:cs="仿宋"/>
          <w:i w:val="0"/>
          <w:iCs w:val="0"/>
          <w:caps w:val="0"/>
          <w:color w:val="333333"/>
          <w:spacing w:val="0"/>
          <w:kern w:val="0"/>
          <w:sz w:val="24"/>
          <w:szCs w:val="24"/>
          <w:shd w:val="clear" w:fill="FFFFFF"/>
          <w:lang w:val="en-US" w:eastAsia="zh-CN" w:bidi="ar"/>
        </w:rPr>
        <w:t>；</w:t>
      </w:r>
    </w:p>
    <w:p w14:paraId="2E45B547">
      <w:pPr>
        <w:keepNext w:val="0"/>
        <w:keepLines w:val="0"/>
        <w:widowControl/>
        <w:suppressLineNumbers w:val="0"/>
        <w:shd w:val="clear" w:fill="FFFFFF"/>
        <w:spacing w:before="0" w:beforeAutospacing="1" w:after="0" w:afterAutospacing="1" w:line="435" w:lineRule="atLeast"/>
        <w:ind w:left="0" w:right="0" w:firstLine="480"/>
        <w:jc w:val="left"/>
        <w:rPr>
          <w:rFonts w:hint="eastAsia" w:ascii="仿宋" w:hAnsi="仿宋" w:eastAsia="仿宋" w:cs="仿宋"/>
          <w:i w:val="0"/>
          <w:iCs w:val="0"/>
          <w:caps w:val="0"/>
          <w:color w:val="333333"/>
          <w:spacing w:val="0"/>
          <w:kern w:val="0"/>
          <w:sz w:val="24"/>
          <w:szCs w:val="24"/>
          <w:shd w:val="clear" w:fill="FFFFFF"/>
          <w:lang w:val="en-US" w:eastAsia="zh-CN" w:bidi="ar"/>
        </w:rPr>
      </w:pPr>
    </w:p>
    <w:p w14:paraId="4CC16879">
      <w:pPr>
        <w:keepNext w:val="0"/>
        <w:keepLines w:val="0"/>
        <w:widowControl/>
        <w:suppressLineNumbers w:val="0"/>
        <w:shd w:val="clear" w:fill="FFFFFF"/>
        <w:spacing w:before="0" w:beforeAutospacing="1" w:after="0" w:afterAutospacing="1" w:line="435" w:lineRule="atLeast"/>
        <w:ind w:left="0" w:right="0" w:firstLine="480"/>
        <w:jc w:val="lef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02DE5721">
      <w:pPr>
        <w:keepNext w:val="0"/>
        <w:keepLines w:val="0"/>
        <w:widowControl/>
        <w:suppressLineNumbers w:val="0"/>
        <w:shd w:val="clear" w:fill="FFFFFF"/>
        <w:spacing w:before="0" w:beforeAutospacing="1" w:after="0" w:afterAutospacing="1" w:line="435" w:lineRule="atLeast"/>
        <w:ind w:left="0" w:right="0" w:firstLine="480"/>
        <w:jc w:val="left"/>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kern w:val="0"/>
          <w:sz w:val="24"/>
          <w:szCs w:val="24"/>
          <w:shd w:val="clear" w:fill="FFFFFF"/>
          <w:lang w:val="en-US" w:eastAsia="zh-CN" w:bidi="ar"/>
        </w:rPr>
        <w:t>本企业对上述声明内容的真实性负责。如有虚假，将依法承担相应责任。</w:t>
      </w:r>
    </w:p>
    <w:p w14:paraId="01B155FD">
      <w:pPr>
        <w:widowControl/>
        <w:snapToGrid w:val="0"/>
        <w:spacing w:before="0" w:beforeAutospacing="0" w:after="0" w:afterAutospacing="0" w:line="360" w:lineRule="auto"/>
        <w:ind w:firstLine="480" w:firstLineChars="200"/>
        <w:jc w:val="left"/>
        <w:textAlignment w:val="baseline"/>
        <w:rPr>
          <w:rStyle w:val="38"/>
          <w:rFonts w:hint="eastAsia" w:ascii="仿宋" w:hAnsi="仿宋" w:eastAsia="仿宋" w:cs="仿宋"/>
          <w:b w:val="0"/>
          <w:i w:val="0"/>
          <w:iCs w:val="0"/>
          <w:caps w:val="0"/>
          <w:color w:val="auto"/>
          <w:spacing w:val="0"/>
          <w:w w:val="100"/>
          <w:kern w:val="0"/>
          <w:sz w:val="24"/>
          <w:szCs w:val="24"/>
          <w:highlight w:val="none"/>
          <w:lang w:val="en-US" w:eastAsia="zh-CN"/>
        </w:rPr>
      </w:pPr>
    </w:p>
    <w:p w14:paraId="43636575">
      <w:pPr>
        <w:widowControl/>
        <w:snapToGrid w:val="0"/>
        <w:spacing w:before="0" w:beforeAutospacing="0" w:after="0" w:afterAutospacing="0" w:line="360" w:lineRule="auto"/>
        <w:ind w:firstLine="480" w:firstLineChars="200"/>
        <w:jc w:val="left"/>
        <w:textAlignment w:val="baseline"/>
        <w:rPr>
          <w:rStyle w:val="38"/>
          <w:rFonts w:hint="eastAsia" w:ascii="仿宋" w:hAnsi="仿宋" w:eastAsia="仿宋" w:cs="仿宋"/>
          <w:b w:val="0"/>
          <w:i w:val="0"/>
          <w:iCs w:val="0"/>
          <w:caps w:val="0"/>
          <w:color w:val="auto"/>
          <w:spacing w:val="0"/>
          <w:w w:val="100"/>
          <w:kern w:val="0"/>
          <w:sz w:val="24"/>
          <w:szCs w:val="24"/>
          <w:highlight w:val="none"/>
          <w:lang w:val="en-US" w:eastAsia="zh-CN"/>
        </w:rPr>
      </w:pPr>
    </w:p>
    <w:p w14:paraId="64666D84">
      <w:pPr>
        <w:widowControl/>
        <w:snapToGrid w:val="0"/>
        <w:spacing w:before="0" w:beforeAutospacing="0" w:after="0" w:afterAutospacing="0" w:line="360" w:lineRule="auto"/>
        <w:ind w:firstLine="480" w:firstLineChars="200"/>
        <w:jc w:val="left"/>
        <w:textAlignment w:val="baseline"/>
        <w:rPr>
          <w:rStyle w:val="38"/>
          <w:rFonts w:hint="eastAsia" w:ascii="仿宋" w:hAnsi="仿宋" w:eastAsia="仿宋" w:cs="仿宋"/>
          <w:b w:val="0"/>
          <w:i w:val="0"/>
          <w:iCs w:val="0"/>
          <w:caps w:val="0"/>
          <w:color w:val="auto"/>
          <w:spacing w:val="0"/>
          <w:w w:val="100"/>
          <w:kern w:val="0"/>
          <w:sz w:val="24"/>
          <w:szCs w:val="24"/>
          <w:highlight w:val="none"/>
          <w:u w:val="none" w:color="auto"/>
          <w:lang w:val="en-US" w:eastAsia="zh-CN"/>
        </w:rPr>
      </w:pPr>
      <w:r>
        <w:rPr>
          <w:rStyle w:val="38"/>
          <w:rFonts w:hint="eastAsia" w:ascii="仿宋" w:hAnsi="仿宋" w:eastAsia="仿宋" w:cs="仿宋"/>
          <w:b w:val="0"/>
          <w:i w:val="0"/>
          <w:iCs w:val="0"/>
          <w:caps w:val="0"/>
          <w:color w:val="auto"/>
          <w:spacing w:val="0"/>
          <w:w w:val="100"/>
          <w:kern w:val="0"/>
          <w:sz w:val="24"/>
          <w:szCs w:val="24"/>
          <w:highlight w:val="none"/>
          <w:lang w:val="en-US" w:eastAsia="zh-CN"/>
        </w:rPr>
        <w:t>供应商：</w:t>
      </w:r>
      <w:r>
        <w:rPr>
          <w:rStyle w:val="38"/>
          <w:rFonts w:hint="eastAsia" w:ascii="仿宋" w:hAnsi="仿宋" w:eastAsia="仿宋" w:cs="仿宋"/>
          <w:b w:val="0"/>
          <w:i w:val="0"/>
          <w:iCs w:val="0"/>
          <w:caps w:val="0"/>
          <w:color w:val="auto"/>
          <w:spacing w:val="0"/>
          <w:w w:val="100"/>
          <w:kern w:val="0"/>
          <w:sz w:val="24"/>
          <w:szCs w:val="24"/>
          <w:highlight w:val="none"/>
          <w:u w:val="single" w:color="000000"/>
          <w:lang w:val="en-US" w:eastAsia="zh-CN"/>
        </w:rPr>
        <w:t xml:space="preserve">                  </w:t>
      </w:r>
      <w:r>
        <w:rPr>
          <w:rStyle w:val="38"/>
          <w:rFonts w:hint="eastAsia" w:ascii="仿宋" w:hAnsi="仿宋" w:eastAsia="仿宋" w:cs="仿宋"/>
          <w:b w:val="0"/>
          <w:i w:val="0"/>
          <w:iCs w:val="0"/>
          <w:caps w:val="0"/>
          <w:color w:val="auto"/>
          <w:spacing w:val="0"/>
          <w:w w:val="100"/>
          <w:kern w:val="0"/>
          <w:sz w:val="24"/>
          <w:szCs w:val="24"/>
          <w:highlight w:val="none"/>
          <w:u w:val="none" w:color="auto"/>
          <w:lang w:val="en-US" w:eastAsia="zh-CN"/>
        </w:rPr>
        <w:t>（电子签章）</w:t>
      </w:r>
    </w:p>
    <w:p w14:paraId="48EED39B">
      <w:pPr>
        <w:snapToGrid w:val="0"/>
        <w:spacing w:before="0" w:beforeAutospacing="0" w:after="0" w:afterAutospacing="0" w:line="560" w:lineRule="exact"/>
        <w:ind w:left="479" w:leftChars="228" w:right="2120" w:firstLine="0" w:firstLineChars="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0"/>
          <w:sz w:val="24"/>
          <w:szCs w:val="24"/>
          <w:highlight w:val="none"/>
          <w:lang w:val="en-US" w:eastAsia="zh-CN"/>
        </w:rPr>
        <w:t>法定代表人或其委托代理人：</w:t>
      </w:r>
      <w:r>
        <w:rPr>
          <w:rStyle w:val="38"/>
          <w:rFonts w:hint="eastAsia" w:ascii="仿宋" w:hAnsi="仿宋" w:eastAsia="仿宋" w:cs="仿宋"/>
          <w:b w:val="0"/>
          <w:i w:val="0"/>
          <w:caps w:val="0"/>
          <w:color w:val="auto"/>
          <w:spacing w:val="0"/>
          <w:w w:val="100"/>
          <w:kern w:val="0"/>
          <w:sz w:val="24"/>
          <w:szCs w:val="24"/>
          <w:highlight w:val="none"/>
          <w:u w:val="single"/>
          <w:lang w:val="en-US" w:eastAsia="zh-CN"/>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（电子签章或签字）</w:t>
      </w:r>
      <w:r>
        <w:rPr>
          <w:rStyle w:val="38"/>
          <w:rFonts w:hint="eastAsia" w:ascii="仿宋" w:hAnsi="仿宋" w:eastAsia="仿宋" w:cs="仿宋"/>
          <w:b w:val="0"/>
          <w:i w:val="0"/>
          <w:caps w:val="0"/>
          <w:color w:val="auto"/>
          <w:spacing w:val="0"/>
          <w:w w:val="100"/>
          <w:kern w:val="0"/>
          <w:sz w:val="24"/>
          <w:szCs w:val="24"/>
          <w:highlight w:val="none"/>
          <w:lang w:val="en-US" w:eastAsia="zh-CN"/>
        </w:rPr>
        <w:t>日 期：</w:t>
      </w:r>
      <w:r>
        <w:rPr>
          <w:rStyle w:val="38"/>
          <w:rFonts w:hint="eastAsia" w:ascii="仿宋" w:hAnsi="仿宋" w:eastAsia="仿宋" w:cs="仿宋"/>
          <w:b w:val="0"/>
          <w:i w:val="0"/>
          <w:caps w:val="0"/>
          <w:color w:val="auto"/>
          <w:spacing w:val="0"/>
          <w:w w:val="100"/>
          <w:kern w:val="0"/>
          <w:sz w:val="24"/>
          <w:szCs w:val="24"/>
          <w:highlight w:val="none"/>
          <w:u w:val="single" w:color="000000"/>
          <w:lang w:val="en-US" w:eastAsia="zh-CN"/>
        </w:rPr>
        <w:t xml:space="preserve">      </w:t>
      </w:r>
      <w:r>
        <w:rPr>
          <w:rStyle w:val="38"/>
          <w:rFonts w:hint="eastAsia" w:ascii="仿宋" w:hAnsi="仿宋" w:eastAsia="仿宋" w:cs="仿宋"/>
          <w:b w:val="0"/>
          <w:i w:val="0"/>
          <w:caps w:val="0"/>
          <w:color w:val="auto"/>
          <w:spacing w:val="0"/>
          <w:w w:val="100"/>
          <w:kern w:val="0"/>
          <w:sz w:val="24"/>
          <w:szCs w:val="24"/>
          <w:highlight w:val="none"/>
          <w:lang w:val="en-US" w:eastAsia="zh-CN"/>
        </w:rPr>
        <w:t>年</w:t>
      </w:r>
      <w:r>
        <w:rPr>
          <w:rStyle w:val="38"/>
          <w:rFonts w:hint="eastAsia" w:ascii="仿宋" w:hAnsi="仿宋" w:eastAsia="仿宋" w:cs="仿宋"/>
          <w:b w:val="0"/>
          <w:i w:val="0"/>
          <w:caps w:val="0"/>
          <w:color w:val="auto"/>
          <w:spacing w:val="0"/>
          <w:w w:val="100"/>
          <w:kern w:val="0"/>
          <w:sz w:val="24"/>
          <w:szCs w:val="24"/>
          <w:highlight w:val="none"/>
          <w:u w:val="single" w:color="000000"/>
          <w:lang w:val="en-US" w:eastAsia="zh-CN"/>
        </w:rPr>
        <w:t xml:space="preserve">   </w:t>
      </w:r>
      <w:r>
        <w:rPr>
          <w:rStyle w:val="38"/>
          <w:rFonts w:hint="eastAsia" w:ascii="仿宋" w:hAnsi="仿宋" w:eastAsia="仿宋" w:cs="仿宋"/>
          <w:b w:val="0"/>
          <w:i w:val="0"/>
          <w:caps w:val="0"/>
          <w:color w:val="auto"/>
          <w:spacing w:val="0"/>
          <w:w w:val="100"/>
          <w:kern w:val="0"/>
          <w:sz w:val="24"/>
          <w:szCs w:val="24"/>
          <w:highlight w:val="none"/>
          <w:lang w:val="en-US" w:eastAsia="zh-CN"/>
        </w:rPr>
        <w:t>月</w:t>
      </w:r>
      <w:r>
        <w:rPr>
          <w:rStyle w:val="38"/>
          <w:rFonts w:hint="eastAsia" w:ascii="仿宋" w:hAnsi="仿宋" w:eastAsia="仿宋" w:cs="仿宋"/>
          <w:b w:val="0"/>
          <w:i w:val="0"/>
          <w:caps w:val="0"/>
          <w:color w:val="auto"/>
          <w:spacing w:val="0"/>
          <w:w w:val="100"/>
          <w:kern w:val="0"/>
          <w:sz w:val="24"/>
          <w:szCs w:val="24"/>
          <w:highlight w:val="none"/>
          <w:u w:val="single" w:color="000000"/>
          <w:lang w:val="en-US" w:eastAsia="zh-CN"/>
        </w:rPr>
        <w:t xml:space="preserve">   </w:t>
      </w:r>
      <w:r>
        <w:rPr>
          <w:rStyle w:val="38"/>
          <w:rFonts w:hint="eastAsia" w:ascii="仿宋" w:hAnsi="仿宋" w:eastAsia="仿宋" w:cs="仿宋"/>
          <w:b w:val="0"/>
          <w:i w:val="0"/>
          <w:caps w:val="0"/>
          <w:color w:val="auto"/>
          <w:spacing w:val="0"/>
          <w:w w:val="100"/>
          <w:kern w:val="0"/>
          <w:sz w:val="24"/>
          <w:szCs w:val="24"/>
          <w:highlight w:val="none"/>
          <w:lang w:val="en-US" w:eastAsia="zh-CN"/>
        </w:rPr>
        <w:t>日</w:t>
      </w:r>
    </w:p>
    <w:p w14:paraId="499B061C">
      <w:pPr>
        <w:snapToGrid w:val="0"/>
        <w:spacing w:before="0" w:beforeAutospacing="0" w:after="0" w:afterAutospacing="0" w:line="560" w:lineRule="exact"/>
        <w:ind w:left="198"/>
        <w:jc w:val="both"/>
        <w:textAlignment w:val="baseline"/>
        <w:rPr>
          <w:rStyle w:val="38"/>
          <w:rFonts w:hint="eastAsia" w:ascii="仿宋" w:hAnsi="仿宋" w:eastAsia="仿宋" w:cs="仿宋"/>
          <w:b/>
          <w:i w:val="0"/>
          <w:caps w:val="0"/>
          <w:color w:val="auto"/>
          <w:spacing w:val="0"/>
          <w:w w:val="100"/>
          <w:kern w:val="2"/>
          <w:sz w:val="24"/>
          <w:szCs w:val="24"/>
          <w:highlight w:val="none"/>
          <w:lang w:val="en-US" w:eastAsia="zh-CN" w:bidi="ar-SA"/>
        </w:rPr>
      </w:pPr>
      <w:r>
        <w:rPr>
          <w:rStyle w:val="38"/>
          <w:rFonts w:hint="eastAsia" w:ascii="仿宋" w:hAnsi="仿宋" w:eastAsia="仿宋" w:cs="仿宋"/>
          <w:b/>
          <w:i w:val="0"/>
          <w:caps w:val="0"/>
          <w:color w:val="auto"/>
          <w:spacing w:val="0"/>
          <w:w w:val="100"/>
          <w:kern w:val="2"/>
          <w:sz w:val="24"/>
          <w:szCs w:val="24"/>
          <w:highlight w:val="none"/>
          <w:lang w:val="en-US" w:eastAsia="zh-CN" w:bidi="ar-SA"/>
        </w:rPr>
        <w:t>说明：1.从业人员、营业收入、资产总额填报上一年度数据，无上一年度数据的新成立企业可不填报。</w:t>
      </w:r>
    </w:p>
    <w:p w14:paraId="67780181">
      <w:pPr>
        <w:snapToGrid w:val="0"/>
        <w:spacing w:before="0" w:beforeAutospacing="0" w:after="0" w:afterAutospacing="0" w:line="560" w:lineRule="exact"/>
        <w:ind w:left="0" w:leftChars="0" w:firstLine="482" w:firstLineChars="200"/>
        <w:jc w:val="both"/>
        <w:textAlignment w:val="baseline"/>
        <w:rPr>
          <w:rStyle w:val="38"/>
          <w:rFonts w:hint="eastAsia" w:ascii="仿宋" w:hAnsi="仿宋" w:eastAsia="仿宋" w:cs="仿宋"/>
          <w:b/>
          <w:i w:val="0"/>
          <w:caps w:val="0"/>
          <w:color w:val="auto"/>
          <w:spacing w:val="0"/>
          <w:w w:val="100"/>
          <w:kern w:val="2"/>
          <w:sz w:val="24"/>
          <w:szCs w:val="24"/>
          <w:highlight w:val="none"/>
          <w:lang w:val="en-US" w:eastAsia="zh-CN" w:bidi="ar-SA"/>
        </w:rPr>
      </w:pPr>
      <w:r>
        <w:rPr>
          <w:rStyle w:val="38"/>
          <w:rFonts w:hint="eastAsia" w:ascii="仿宋" w:hAnsi="仿宋" w:eastAsia="仿宋" w:cs="仿宋"/>
          <w:b/>
          <w:i w:val="0"/>
          <w:caps w:val="0"/>
          <w:color w:val="auto"/>
          <w:spacing w:val="0"/>
          <w:w w:val="100"/>
          <w:kern w:val="2"/>
          <w:sz w:val="24"/>
          <w:szCs w:val="24"/>
          <w:highlight w:val="none"/>
          <w:lang w:val="en-US" w:eastAsia="zh-CN" w:bidi="ar-SA"/>
        </w:rPr>
        <w:t>2.本项目对应的中小企业划分标准所属行业为其他未列明行业。</w:t>
      </w:r>
    </w:p>
    <w:p w14:paraId="2B0111F3">
      <w:pPr>
        <w:rPr>
          <w:rStyle w:val="38"/>
          <w:rFonts w:hint="eastAsia" w:ascii="仿宋" w:hAnsi="仿宋" w:eastAsia="仿宋" w:cs="仿宋"/>
          <w:b w:val="0"/>
          <w:i w:val="0"/>
          <w:iCs w:val="0"/>
          <w:caps w:val="0"/>
          <w:color w:val="auto"/>
          <w:spacing w:val="0"/>
          <w:w w:val="100"/>
          <w:kern w:val="0"/>
          <w:sz w:val="24"/>
          <w:szCs w:val="24"/>
          <w:highlight w:val="green"/>
          <w:lang w:val="en-US" w:eastAsia="zh-CN"/>
        </w:rPr>
      </w:pPr>
      <w:r>
        <w:rPr>
          <w:rStyle w:val="38"/>
          <w:rFonts w:hint="eastAsia" w:ascii="仿宋" w:hAnsi="仿宋" w:eastAsia="仿宋" w:cs="仿宋"/>
          <w:b w:val="0"/>
          <w:i w:val="0"/>
          <w:iCs w:val="0"/>
          <w:caps w:val="0"/>
          <w:color w:val="auto"/>
          <w:spacing w:val="0"/>
          <w:w w:val="100"/>
          <w:kern w:val="0"/>
          <w:sz w:val="24"/>
          <w:szCs w:val="24"/>
          <w:highlight w:val="green"/>
          <w:lang w:val="en-US" w:eastAsia="zh-CN"/>
        </w:rPr>
        <w:br w:type="page"/>
      </w:r>
    </w:p>
    <w:p w14:paraId="1F2A437E">
      <w:pPr>
        <w:pStyle w:val="2"/>
        <w:jc w:val="center"/>
        <w:rPr>
          <w:rStyle w:val="38"/>
          <w:rFonts w:hint="eastAsia" w:ascii="仿宋" w:hAnsi="仿宋" w:eastAsia="仿宋" w:cs="仿宋"/>
          <w:b/>
          <w:i w:val="0"/>
          <w:caps w:val="0"/>
          <w:color w:val="auto"/>
          <w:spacing w:val="0"/>
          <w:w w:val="100"/>
          <w:kern w:val="2"/>
          <w:sz w:val="32"/>
          <w:szCs w:val="32"/>
          <w:highlight w:val="none"/>
          <w:lang w:val="en-US" w:eastAsia="zh-CN" w:bidi="ar-SA"/>
        </w:rPr>
      </w:pPr>
      <w:r>
        <w:rPr>
          <w:rStyle w:val="38"/>
          <w:rFonts w:hint="eastAsia" w:ascii="仿宋" w:hAnsi="仿宋" w:eastAsia="仿宋" w:cs="仿宋"/>
          <w:b/>
          <w:i w:val="0"/>
          <w:caps w:val="0"/>
          <w:color w:val="auto"/>
          <w:spacing w:val="0"/>
          <w:w w:val="100"/>
          <w:kern w:val="2"/>
          <w:sz w:val="32"/>
          <w:szCs w:val="32"/>
          <w:highlight w:val="none"/>
          <w:lang w:val="en-US" w:eastAsia="zh-CN" w:bidi="ar-SA"/>
        </w:rPr>
        <w:t>九、残疾人福利性单位声明函</w:t>
      </w:r>
    </w:p>
    <w:p w14:paraId="41F28FC5">
      <w:pPr>
        <w:snapToGrid w:val="0"/>
        <w:spacing w:before="0" w:beforeAutospacing="0" w:after="0" w:afterAutospacing="0" w:line="360" w:lineRule="auto"/>
        <w:ind w:firstLine="480" w:firstLineChars="20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本单位郑重声明，根据《财政部 民政部 中国残疾人联合会关于促进残疾人就业政府采购政策的通知》（财库〔2017〕141 号）的规定，本单位为符合条件的残疾人福利性单位，且本单位参加</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ab/>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单位的</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ab/>
      </w:r>
      <w:r>
        <w:rPr>
          <w:rStyle w:val="38"/>
          <w:rFonts w:hint="eastAsia" w:ascii="仿宋" w:hAnsi="仿宋" w:eastAsia="仿宋" w:cs="仿宋"/>
          <w:b w:val="0"/>
          <w:i w:val="0"/>
          <w:caps w:val="0"/>
          <w:color w:val="auto"/>
          <w:spacing w:val="0"/>
          <w:w w:val="100"/>
          <w:kern w:val="2"/>
          <w:sz w:val="24"/>
          <w:szCs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3B84FA90">
      <w:pPr>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2966948B">
      <w:pPr>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2922CA16">
      <w:pPr>
        <w:snapToGrid w:val="0"/>
        <w:spacing w:before="0" w:beforeAutospacing="0" w:after="0" w:afterAutospacing="0" w:line="360" w:lineRule="auto"/>
        <w:ind w:left="42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本单位对上述声明的真实性负责。如有虚假，将依法承担相应责任。</w:t>
      </w:r>
    </w:p>
    <w:p w14:paraId="261EA3BC">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05A23956">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725D413D">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1ABF534C">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6068A2F6">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251B8D7F">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28CD5B1A">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01B9E826">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51F1D24D">
      <w:pPr>
        <w:snapToGrid w:val="0"/>
        <w:spacing w:before="0" w:beforeAutospacing="0" w:after="0" w:afterAutospacing="0" w:line="201"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0AF1116B">
      <w:pPr>
        <w:tabs>
          <w:tab w:val="left" w:pos="0"/>
        </w:tabs>
        <w:snapToGrid w:val="0"/>
        <w:spacing w:before="0" w:beforeAutospacing="0" w:after="0" w:afterAutospacing="0" w:line="480" w:lineRule="auto"/>
        <w:ind w:right="-212"/>
        <w:jc w:val="both"/>
        <w:textAlignment w:val="baseline"/>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供应商：</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w:t>
      </w:r>
    </w:p>
    <w:p w14:paraId="5C265BF4">
      <w:pPr>
        <w:tabs>
          <w:tab w:val="left" w:pos="0"/>
        </w:tabs>
        <w:snapToGrid w:val="0"/>
        <w:spacing w:before="0" w:beforeAutospacing="0" w:after="0" w:afterAutospacing="0" w:line="480" w:lineRule="auto"/>
        <w:ind w:right="-212"/>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 xml:space="preserve">法定代表人或其委托代理人： </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（电子签章或签字）</w:t>
      </w:r>
    </w:p>
    <w:p w14:paraId="2F4C0E0F">
      <w:pPr>
        <w:tabs>
          <w:tab w:val="left" w:pos="6480"/>
        </w:tabs>
        <w:snapToGrid w:val="0"/>
        <w:spacing w:before="0" w:beforeAutospacing="0" w:after="0" w:afterAutospacing="0" w:line="48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日期：</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年</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月</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日</w:t>
      </w:r>
    </w:p>
    <w:p w14:paraId="148EBFAF">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p>
    <w:p w14:paraId="0CD9401A">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p>
    <w:p w14:paraId="26114248">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p>
    <w:p w14:paraId="5536CF40">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p>
    <w:p w14:paraId="3C204C8C">
      <w:pPr>
        <w:snapToGrid w:val="0"/>
        <w:spacing w:before="0" w:beforeAutospacing="0" w:after="0" w:afterAutospacing="0" w:line="322"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p>
    <w:p w14:paraId="426E1541">
      <w:pPr>
        <w:snapToGrid w:val="0"/>
        <w:spacing w:before="0" w:beforeAutospacing="0" w:after="0" w:afterAutospacing="0" w:line="48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注：1、供应商如为残疾人福利性单位并提供本《残疾人福利性单位声明函》的，必须对声明的真实性负责。</w:t>
      </w:r>
    </w:p>
    <w:p w14:paraId="20C499BD">
      <w:pPr>
        <w:numPr>
          <w:ilvl w:val="0"/>
          <w:numId w:val="3"/>
        </w:numPr>
        <w:snapToGrid w:val="0"/>
        <w:spacing w:before="0" w:beforeAutospacing="0" w:after="0" w:afterAutospacing="0" w:line="48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如供应商未按要求提供相关证明材料，将不视同为残疾人福利性单位。</w:t>
      </w:r>
    </w:p>
    <w:p w14:paraId="2FF04F24">
      <w:pPr>
        <w:snapToGrid w:val="0"/>
        <w:spacing w:before="0" w:beforeAutospacing="0" w:after="0" w:afterAutospacing="0" w:line="240" w:lineRule="atLeast"/>
        <w:jc w:val="center"/>
        <w:textAlignment w:val="baseline"/>
        <w:rPr>
          <w:rStyle w:val="38"/>
          <w:rFonts w:hint="eastAsia" w:ascii="仿宋" w:hAnsi="仿宋" w:eastAsia="仿宋" w:cs="仿宋"/>
          <w:b/>
          <w:i w:val="0"/>
          <w:caps w:val="0"/>
          <w:color w:val="auto"/>
          <w:spacing w:val="0"/>
          <w:w w:val="100"/>
          <w:kern w:val="2"/>
          <w:sz w:val="21"/>
          <w:szCs w:val="21"/>
          <w:highlight w:val="none"/>
          <w:lang w:val="en-US" w:eastAsia="zh-CN" w:bidi="ar-SA"/>
        </w:rPr>
      </w:pPr>
    </w:p>
    <w:p w14:paraId="33806E1A">
      <w:pPr>
        <w:snapToGrid w:val="0"/>
        <w:spacing w:before="0" w:beforeAutospacing="0" w:after="0" w:afterAutospacing="0" w:line="240" w:lineRule="atLeast"/>
        <w:jc w:val="center"/>
        <w:textAlignment w:val="baseline"/>
        <w:rPr>
          <w:rStyle w:val="38"/>
          <w:rFonts w:hint="eastAsia" w:ascii="仿宋" w:hAnsi="仿宋" w:eastAsia="仿宋" w:cs="仿宋"/>
          <w:b/>
          <w:i w:val="0"/>
          <w:caps w:val="0"/>
          <w:color w:val="auto"/>
          <w:spacing w:val="0"/>
          <w:w w:val="100"/>
          <w:kern w:val="2"/>
          <w:sz w:val="21"/>
          <w:szCs w:val="21"/>
          <w:highlight w:val="none"/>
          <w:lang w:val="en-US" w:eastAsia="zh-CN" w:bidi="ar-SA"/>
        </w:rPr>
      </w:pPr>
    </w:p>
    <w:p w14:paraId="50B5BEE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DD82A90">
      <w:pPr>
        <w:snapToGrid w:val="0"/>
        <w:spacing w:before="0" w:beforeAutospacing="0" w:after="0" w:afterAutospacing="0" w:line="240" w:lineRule="atLeast"/>
        <w:jc w:val="center"/>
        <w:textAlignment w:val="baseline"/>
        <w:rPr>
          <w:rStyle w:val="38"/>
          <w:rFonts w:hint="eastAsia" w:ascii="仿宋" w:hAnsi="仿宋" w:eastAsia="仿宋" w:cs="仿宋"/>
          <w:b/>
          <w:i w:val="0"/>
          <w:caps w:val="0"/>
          <w:color w:val="auto"/>
          <w:spacing w:val="0"/>
          <w:w w:val="100"/>
          <w:kern w:val="2"/>
          <w:sz w:val="32"/>
          <w:szCs w:val="32"/>
          <w:highlight w:val="none"/>
          <w:lang w:val="en-US" w:eastAsia="zh-CN" w:bidi="ar-SA"/>
        </w:rPr>
      </w:pPr>
      <w:bookmarkStart w:id="102" w:name="_Toc397355568"/>
      <w:r>
        <w:rPr>
          <w:rStyle w:val="38"/>
          <w:rFonts w:hint="eastAsia" w:ascii="仿宋" w:hAnsi="仿宋" w:eastAsia="仿宋" w:cs="仿宋"/>
          <w:b/>
          <w:i w:val="0"/>
          <w:caps w:val="0"/>
          <w:color w:val="auto"/>
          <w:spacing w:val="0"/>
          <w:w w:val="100"/>
          <w:kern w:val="2"/>
          <w:sz w:val="32"/>
          <w:szCs w:val="32"/>
          <w:highlight w:val="none"/>
          <w:lang w:val="en-US" w:eastAsia="zh-CN" w:bidi="ar-SA"/>
        </w:rPr>
        <w:t>十、监狱企业声明函</w:t>
      </w:r>
    </w:p>
    <w:p w14:paraId="4E458274">
      <w:pPr>
        <w:snapToGrid w:val="0"/>
        <w:spacing w:before="0" w:beforeAutospacing="0" w:after="0" w:afterAutospacing="0" w:line="240" w:lineRule="atLeast"/>
        <w:jc w:val="both"/>
        <w:textAlignment w:val="baseline"/>
        <w:rPr>
          <w:rStyle w:val="38"/>
          <w:rFonts w:hint="eastAsia" w:ascii="仿宋" w:hAnsi="仿宋" w:eastAsia="仿宋" w:cs="仿宋"/>
          <w:b/>
          <w:i w:val="0"/>
          <w:caps w:val="0"/>
          <w:color w:val="auto"/>
          <w:spacing w:val="0"/>
          <w:w w:val="100"/>
          <w:kern w:val="2"/>
          <w:sz w:val="21"/>
          <w:szCs w:val="21"/>
          <w:highlight w:val="none"/>
          <w:lang w:val="en-US" w:eastAsia="zh-CN" w:bidi="ar-SA"/>
        </w:rPr>
      </w:pPr>
    </w:p>
    <w:p w14:paraId="075097CD">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401EB74E">
      <w:pPr>
        <w:snapToGrid w:val="0"/>
        <w:spacing w:before="0" w:beforeAutospacing="0" w:after="0" w:afterAutospacing="0" w:line="360" w:lineRule="auto"/>
        <w:ind w:firstLine="480" w:firstLineChars="20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本单位郑重声明，根据《关于政府采购支持监狱企业发展有关问题的通知》(财库[2014]68 号)的规定，本单位为符合条件的监狱企业，且本单位参加</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ab/>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单位的</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项目采购活动提供本单位制造的货物（由本单位承担工程/提供服务），或者提供其他监狱企业制造的货物（不包括使用非监狱企业注册商标的货物）。</w:t>
      </w:r>
      <w:r>
        <w:rPr>
          <w:rStyle w:val="38"/>
          <w:rFonts w:hint="eastAsia" w:ascii="仿宋" w:hAnsi="仿宋" w:eastAsia="仿宋" w:cs="仿宋"/>
          <w:b w:val="0"/>
          <w:i w:val="0"/>
          <w:caps w:val="0"/>
          <w:color w:val="auto"/>
          <w:spacing w:val="0"/>
          <w:w w:val="100"/>
          <w:kern w:val="2"/>
          <w:sz w:val="24"/>
          <w:szCs w:val="24"/>
          <w:highlight w:val="none"/>
          <w:lang w:val="en-US" w:eastAsia="zh-CN" w:bidi="ar-SA"/>
        </w:rPr>
        <w:tab/>
      </w:r>
    </w:p>
    <w:p w14:paraId="338909F3">
      <w:pPr>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230113C8">
      <w:pPr>
        <w:snapToGrid w:val="0"/>
        <w:spacing w:before="0" w:beforeAutospacing="0" w:after="0" w:afterAutospacing="0" w:line="36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194C45CE">
      <w:pPr>
        <w:snapToGrid w:val="0"/>
        <w:spacing w:before="0" w:beforeAutospacing="0" w:after="0" w:afterAutospacing="0" w:line="360" w:lineRule="auto"/>
        <w:ind w:left="420"/>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本单位对上述声明的真实性负责。如有虚假，将依法承担相应责任。</w:t>
      </w:r>
    </w:p>
    <w:p w14:paraId="48A294EE">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66FC54BB">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3C9682D5">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6D684E3C">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737EF13F">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603211B7">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403164D3">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7E0FD2B1">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42523A72">
      <w:pPr>
        <w:snapToGrid w:val="0"/>
        <w:spacing w:before="0" w:beforeAutospacing="0" w:after="0" w:afterAutospacing="0" w:line="201"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4068861A">
      <w:pPr>
        <w:tabs>
          <w:tab w:val="left" w:pos="0"/>
        </w:tabs>
        <w:snapToGrid w:val="0"/>
        <w:spacing w:before="0" w:beforeAutospacing="0" w:after="0" w:afterAutospacing="0" w:line="480" w:lineRule="auto"/>
        <w:ind w:right="-212"/>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供应商：</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w:t>
      </w:r>
    </w:p>
    <w:p w14:paraId="17F69B22">
      <w:pPr>
        <w:tabs>
          <w:tab w:val="left" w:pos="0"/>
        </w:tabs>
        <w:snapToGrid w:val="0"/>
        <w:spacing w:before="0" w:beforeAutospacing="0" w:after="0" w:afterAutospacing="0" w:line="480" w:lineRule="auto"/>
        <w:ind w:right="-212"/>
        <w:jc w:val="both"/>
        <w:textAlignment w:val="baseline"/>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 xml:space="preserve">法定代表人或其委托代理人： </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（电子签章或签字）</w:t>
      </w:r>
    </w:p>
    <w:p w14:paraId="3D28F63E">
      <w:pPr>
        <w:tabs>
          <w:tab w:val="left" w:pos="6480"/>
        </w:tabs>
        <w:snapToGrid w:val="0"/>
        <w:spacing w:before="0" w:beforeAutospacing="0" w:after="0" w:afterAutospacing="0" w:line="480" w:lineRule="auto"/>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日期：</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年</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月</w:t>
      </w:r>
      <w:r>
        <w:rPr>
          <w:rStyle w:val="38"/>
          <w:rFonts w:hint="eastAsia" w:ascii="仿宋" w:hAnsi="仿宋" w:eastAsia="仿宋" w:cs="仿宋"/>
          <w:b w:val="0"/>
          <w:i w:val="0"/>
          <w:caps w:val="0"/>
          <w:color w:val="auto"/>
          <w:spacing w:val="0"/>
          <w:w w:val="100"/>
          <w:kern w:val="2"/>
          <w:sz w:val="24"/>
          <w:szCs w:val="24"/>
          <w:highlight w:val="none"/>
          <w:u w:val="single" w:color="000000"/>
          <w:lang w:val="en-US" w:eastAsia="zh-CN" w:bidi="ar-SA"/>
        </w:rPr>
        <w:t xml:space="preserve">     </w:t>
      </w:r>
      <w:r>
        <w:rPr>
          <w:rStyle w:val="38"/>
          <w:rFonts w:hint="eastAsia" w:ascii="仿宋" w:hAnsi="仿宋" w:eastAsia="仿宋" w:cs="仿宋"/>
          <w:b w:val="0"/>
          <w:i w:val="0"/>
          <w:caps w:val="0"/>
          <w:color w:val="auto"/>
          <w:spacing w:val="0"/>
          <w:w w:val="100"/>
          <w:kern w:val="2"/>
          <w:sz w:val="24"/>
          <w:szCs w:val="24"/>
          <w:highlight w:val="none"/>
          <w:lang w:val="en-US" w:eastAsia="zh-CN" w:bidi="ar-SA"/>
        </w:rPr>
        <w:t>日</w:t>
      </w:r>
    </w:p>
    <w:p w14:paraId="7DC7CE49">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0CC51F39">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6ECD55B5">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461638A2">
      <w:pPr>
        <w:snapToGrid w:val="0"/>
        <w:spacing w:before="0" w:beforeAutospacing="0" w:after="0" w:afterAutospacing="0" w:line="200"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0C2A24A3">
      <w:pPr>
        <w:snapToGrid w:val="0"/>
        <w:spacing w:before="0" w:beforeAutospacing="0" w:after="0" w:afterAutospacing="0" w:line="322" w:lineRule="exact"/>
        <w:jc w:val="both"/>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p>
    <w:p w14:paraId="554A012C">
      <w:pPr>
        <w:snapToGrid w:val="0"/>
        <w:spacing w:before="0" w:beforeAutospacing="0" w:after="0" w:afterAutospacing="0" w:line="360" w:lineRule="auto"/>
        <w:jc w:val="left"/>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注：1、供应商如为监狱企业并提供本《监狱企业声明函》的，必须对声明的真实性负责。</w:t>
      </w:r>
    </w:p>
    <w:p w14:paraId="29801255">
      <w:pPr>
        <w:numPr>
          <w:ilvl w:val="0"/>
          <w:numId w:val="4"/>
        </w:numPr>
        <w:snapToGrid w:val="0"/>
        <w:spacing w:before="0" w:beforeAutospacing="0" w:after="0" w:afterAutospacing="0" w:line="400" w:lineRule="exact"/>
        <w:jc w:val="left"/>
        <w:textAlignment w:val="baseline"/>
        <w:rPr>
          <w:rStyle w:val="38"/>
          <w:rFonts w:hint="eastAsia" w:ascii="仿宋" w:hAnsi="仿宋" w:eastAsia="仿宋" w:cs="仿宋"/>
          <w:b w:val="0"/>
          <w:i w:val="0"/>
          <w:caps w:val="0"/>
          <w:color w:val="auto"/>
          <w:spacing w:val="0"/>
          <w:w w:val="100"/>
          <w:kern w:val="2"/>
          <w:sz w:val="24"/>
          <w:szCs w:val="24"/>
          <w:highlight w:val="none"/>
          <w:lang w:val="en-US" w:eastAsia="zh-CN" w:bidi="ar-SA"/>
        </w:rPr>
      </w:pPr>
      <w:r>
        <w:rPr>
          <w:rStyle w:val="38"/>
          <w:rFonts w:hint="eastAsia" w:ascii="仿宋" w:hAnsi="仿宋" w:eastAsia="仿宋" w:cs="仿宋"/>
          <w:b w:val="0"/>
          <w:i w:val="0"/>
          <w:caps w:val="0"/>
          <w:color w:val="auto"/>
          <w:spacing w:val="0"/>
          <w:w w:val="100"/>
          <w:kern w:val="2"/>
          <w:sz w:val="24"/>
          <w:szCs w:val="24"/>
          <w:highlight w:val="none"/>
          <w:lang w:val="en-US" w:eastAsia="zh-CN" w:bidi="ar-SA"/>
        </w:rPr>
        <w:t>监狱企业以省级以上监狱管理局、戒毒管理局(含新疆生产建设兵团)出具的属于监狱企业的证明文件为准。</w:t>
      </w:r>
    </w:p>
    <w:p w14:paraId="2DDC7617">
      <w:pPr>
        <w:pStyle w:val="60"/>
        <w:widowControl/>
        <w:snapToGrid w:val="0"/>
        <w:spacing w:before="0" w:beforeAutospacing="0" w:after="120" w:afterAutospacing="0" w:line="240" w:lineRule="auto"/>
        <w:jc w:val="both"/>
        <w:textAlignment w:val="baseline"/>
        <w:rPr>
          <w:rStyle w:val="38"/>
          <w:rFonts w:hint="eastAsia" w:ascii="仿宋" w:hAnsi="仿宋" w:eastAsia="仿宋" w:cs="仿宋"/>
          <w:b w:val="0"/>
          <w:i w:val="0"/>
          <w:caps w:val="0"/>
          <w:color w:val="auto"/>
          <w:spacing w:val="0"/>
          <w:w w:val="100"/>
          <w:kern w:val="0"/>
          <w:sz w:val="21"/>
          <w:szCs w:val="21"/>
          <w:highlight w:val="none"/>
        </w:rPr>
      </w:pPr>
      <w:r>
        <w:rPr>
          <w:rStyle w:val="38"/>
          <w:rFonts w:hint="eastAsia" w:ascii="仿宋" w:hAnsi="仿宋" w:eastAsia="仿宋" w:cs="仿宋"/>
          <w:b w:val="0"/>
          <w:i w:val="0"/>
          <w:caps w:val="0"/>
          <w:color w:val="auto"/>
          <w:spacing w:val="0"/>
          <w:w w:val="100"/>
          <w:sz w:val="24"/>
          <w:szCs w:val="24"/>
          <w:highlight w:val="none"/>
        </w:rPr>
        <w:t>如供应商未按要求提供相关证明材料，将不视同为监狱企业。</w:t>
      </w:r>
    </w:p>
    <w:p w14:paraId="52F66346">
      <w:pPr>
        <w:pStyle w:val="60"/>
        <w:widowControl/>
        <w:snapToGrid w:val="0"/>
        <w:spacing w:before="0" w:beforeAutospacing="0" w:after="120" w:afterAutospacing="0" w:line="240" w:lineRule="auto"/>
        <w:jc w:val="both"/>
        <w:textAlignment w:val="baseline"/>
        <w:rPr>
          <w:rStyle w:val="38"/>
          <w:rFonts w:hint="eastAsia" w:ascii="仿宋" w:hAnsi="仿宋" w:eastAsia="仿宋" w:cs="仿宋"/>
          <w:b w:val="0"/>
          <w:i w:val="0"/>
          <w:caps w:val="0"/>
          <w:color w:val="auto"/>
          <w:spacing w:val="0"/>
          <w:w w:val="100"/>
          <w:kern w:val="0"/>
          <w:sz w:val="21"/>
          <w:szCs w:val="21"/>
          <w:highlight w:val="none"/>
        </w:rPr>
      </w:pPr>
    </w:p>
    <w:p w14:paraId="5AE8B2BE">
      <w:pPr>
        <w:pStyle w:val="58"/>
        <w:widowControl/>
        <w:snapToGrid w:val="0"/>
        <w:spacing w:before="0" w:beforeAutospacing="0" w:after="0" w:afterAutospacing="0" w:line="480" w:lineRule="auto"/>
        <w:jc w:val="left"/>
        <w:textAlignment w:val="baseline"/>
        <w:rPr>
          <w:rFonts w:hint="eastAsia" w:ascii="仿宋" w:hAnsi="仿宋" w:eastAsia="仿宋" w:cs="仿宋"/>
          <w:b/>
          <w:color w:val="auto"/>
          <w:sz w:val="28"/>
          <w:szCs w:val="28"/>
          <w:highlight w:val="green"/>
          <w:lang w:val="en-US" w:eastAsia="zh-CN"/>
        </w:rPr>
      </w:pPr>
      <w:r>
        <w:rPr>
          <w:rFonts w:hint="eastAsia" w:ascii="仿宋" w:hAnsi="仿宋" w:eastAsia="仿宋" w:cs="仿宋"/>
          <w:color w:val="auto"/>
          <w:sz w:val="36"/>
          <w:highlight w:val="none"/>
          <w:lang w:val="en-US" w:eastAsia="zh-CN"/>
        </w:rPr>
        <w:br w:type="page"/>
      </w:r>
      <w:bookmarkEnd w:id="102"/>
    </w:p>
    <w:p w14:paraId="457A4C9B">
      <w:pPr>
        <w:pStyle w:val="59"/>
        <w:keepNext w:val="0"/>
        <w:keepLines w:val="0"/>
        <w:pageBreakBefore w:val="0"/>
        <w:widowControl/>
        <w:kinsoku/>
        <w:wordWrap/>
        <w:overflowPunct/>
        <w:topLinePunct w:val="0"/>
        <w:autoSpaceDE/>
        <w:autoSpaceDN/>
        <w:bidi w:val="0"/>
        <w:adjustRightInd/>
        <w:snapToGrid w:val="0"/>
        <w:spacing w:before="0" w:beforeAutospacing="0" w:after="120" w:afterAutospacing="0" w:line="480" w:lineRule="auto"/>
        <w:ind w:left="0" w:leftChars="0" w:firstLine="0" w:firstLineChars="0"/>
        <w:jc w:val="center"/>
        <w:textAlignment w:val="baseline"/>
        <w:rPr>
          <w:rStyle w:val="38"/>
          <w:rFonts w:hint="eastAsia" w:ascii="仿宋" w:hAnsi="仿宋" w:eastAsia="仿宋" w:cs="仿宋"/>
          <w:b/>
          <w:bCs/>
          <w:i w:val="0"/>
          <w:caps w:val="0"/>
          <w:color w:val="auto"/>
          <w:spacing w:val="0"/>
          <w:w w:val="100"/>
          <w:sz w:val="28"/>
          <w:szCs w:val="28"/>
          <w:highlight w:val="none"/>
        </w:rPr>
      </w:pPr>
    </w:p>
    <w:p w14:paraId="4A3A4947">
      <w:pPr>
        <w:pStyle w:val="59"/>
        <w:keepNext w:val="0"/>
        <w:keepLines w:val="0"/>
        <w:pageBreakBefore w:val="0"/>
        <w:widowControl/>
        <w:kinsoku/>
        <w:wordWrap/>
        <w:overflowPunct/>
        <w:topLinePunct w:val="0"/>
        <w:autoSpaceDE/>
        <w:autoSpaceDN/>
        <w:bidi w:val="0"/>
        <w:adjustRightInd/>
        <w:snapToGrid w:val="0"/>
        <w:spacing w:before="0" w:beforeAutospacing="0" w:after="120" w:afterAutospacing="0" w:line="480" w:lineRule="auto"/>
        <w:ind w:left="0" w:leftChars="0" w:firstLine="0" w:firstLineChars="0"/>
        <w:jc w:val="center"/>
        <w:textAlignment w:val="baseline"/>
        <w:rPr>
          <w:rStyle w:val="38"/>
          <w:rFonts w:hint="eastAsia" w:ascii="仿宋" w:hAnsi="仿宋" w:eastAsia="仿宋" w:cs="仿宋"/>
          <w:b/>
          <w:bCs/>
          <w:i w:val="0"/>
          <w:caps w:val="0"/>
          <w:color w:val="auto"/>
          <w:spacing w:val="0"/>
          <w:w w:val="100"/>
          <w:sz w:val="28"/>
          <w:szCs w:val="28"/>
          <w:highlight w:val="none"/>
        </w:rPr>
      </w:pPr>
      <w:r>
        <w:rPr>
          <w:rStyle w:val="38"/>
          <w:rFonts w:hint="eastAsia" w:ascii="仿宋" w:hAnsi="仿宋" w:eastAsia="仿宋" w:cs="仿宋"/>
          <w:b/>
          <w:bCs/>
          <w:i w:val="0"/>
          <w:caps w:val="0"/>
          <w:color w:val="auto"/>
          <w:spacing w:val="0"/>
          <w:w w:val="100"/>
          <w:sz w:val="28"/>
          <w:szCs w:val="28"/>
          <w:highlight w:val="none"/>
        </w:rPr>
        <w:t>十</w:t>
      </w:r>
      <w:r>
        <w:rPr>
          <w:rStyle w:val="38"/>
          <w:rFonts w:hint="eastAsia" w:ascii="仿宋" w:hAnsi="仿宋" w:eastAsia="仿宋" w:cs="仿宋"/>
          <w:b/>
          <w:bCs/>
          <w:i w:val="0"/>
          <w:caps w:val="0"/>
          <w:color w:val="auto"/>
          <w:spacing w:val="0"/>
          <w:w w:val="100"/>
          <w:sz w:val="28"/>
          <w:szCs w:val="28"/>
          <w:highlight w:val="none"/>
          <w:lang w:val="en-US"/>
        </w:rPr>
        <w:t>一</w:t>
      </w:r>
      <w:r>
        <w:rPr>
          <w:rStyle w:val="38"/>
          <w:rFonts w:hint="eastAsia" w:ascii="仿宋" w:hAnsi="仿宋" w:eastAsia="仿宋" w:cs="仿宋"/>
          <w:b/>
          <w:bCs/>
          <w:i w:val="0"/>
          <w:caps w:val="0"/>
          <w:color w:val="auto"/>
          <w:spacing w:val="0"/>
          <w:w w:val="100"/>
          <w:sz w:val="28"/>
          <w:szCs w:val="28"/>
          <w:highlight w:val="none"/>
        </w:rPr>
        <w:t>、</w:t>
      </w:r>
      <w:r>
        <w:rPr>
          <w:rStyle w:val="38"/>
          <w:rFonts w:hint="eastAsia" w:ascii="仿宋" w:hAnsi="仿宋" w:eastAsia="仿宋" w:cs="仿宋"/>
          <w:b/>
          <w:bCs/>
          <w:i w:val="0"/>
          <w:caps w:val="0"/>
          <w:color w:val="auto"/>
          <w:spacing w:val="0"/>
          <w:w w:val="100"/>
          <w:sz w:val="28"/>
          <w:szCs w:val="28"/>
          <w:highlight w:val="none"/>
          <w:lang w:val="en-US"/>
        </w:rPr>
        <w:t>招标</w:t>
      </w:r>
      <w:r>
        <w:rPr>
          <w:rStyle w:val="38"/>
          <w:rFonts w:hint="eastAsia" w:ascii="仿宋" w:hAnsi="仿宋" w:eastAsia="仿宋" w:cs="仿宋"/>
          <w:b/>
          <w:bCs/>
          <w:i w:val="0"/>
          <w:caps w:val="0"/>
          <w:color w:val="auto"/>
          <w:spacing w:val="0"/>
          <w:w w:val="100"/>
          <w:sz w:val="28"/>
          <w:szCs w:val="28"/>
          <w:highlight w:val="none"/>
        </w:rPr>
        <w:t>文件要求或供应商认为应提交的其他资料</w:t>
      </w:r>
    </w:p>
    <w:p w14:paraId="3B907413">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如有）</w:t>
      </w:r>
    </w:p>
    <w:p w14:paraId="1F44124F">
      <w:pPr>
        <w:jc w:val="center"/>
        <w:rPr>
          <w:rFonts w:hint="eastAsia" w:ascii="仿宋" w:hAnsi="仿宋" w:eastAsia="仿宋" w:cs="仿宋"/>
          <w:b/>
          <w:color w:val="auto"/>
          <w:kern w:val="0"/>
          <w:sz w:val="32"/>
          <w:szCs w:val="32"/>
          <w:highlight w:val="none"/>
          <w:lang w:eastAsia="zh-CN"/>
        </w:rPr>
      </w:pPr>
      <w:r>
        <w:rPr>
          <w:rFonts w:hint="eastAsia" w:ascii="仿宋" w:hAnsi="仿宋" w:eastAsia="仿宋" w:cs="仿宋"/>
          <w:b/>
          <w:color w:val="auto"/>
          <w:kern w:val="0"/>
          <w:sz w:val="32"/>
          <w:szCs w:val="32"/>
          <w:highlight w:val="none"/>
          <w:lang w:eastAsia="zh-CN"/>
        </w:rPr>
        <w:br w:type="page"/>
      </w:r>
    </w:p>
    <w:p w14:paraId="162A636C">
      <w:pPr>
        <w:spacing w:line="360" w:lineRule="auto"/>
        <w:jc w:val="center"/>
        <w:rPr>
          <w:rFonts w:hint="eastAsia" w:ascii="仿宋" w:hAnsi="仿宋" w:eastAsia="仿宋" w:cs="仿宋"/>
          <w:b/>
          <w:color w:val="auto"/>
          <w:kern w:val="0"/>
          <w:sz w:val="32"/>
          <w:szCs w:val="32"/>
          <w:highlight w:val="none"/>
          <w:lang w:eastAsia="zh-CN"/>
        </w:rPr>
      </w:pPr>
      <w:r>
        <w:rPr>
          <w:rFonts w:hint="eastAsia" w:ascii="仿宋" w:hAnsi="仿宋" w:eastAsia="仿宋" w:cs="仿宋"/>
          <w:b/>
          <w:color w:val="auto"/>
          <w:kern w:val="0"/>
          <w:sz w:val="32"/>
          <w:szCs w:val="32"/>
          <w:highlight w:val="none"/>
          <w:lang w:eastAsia="zh-CN"/>
        </w:rPr>
        <w:t>第三部分  技术部分</w:t>
      </w:r>
    </w:p>
    <w:p w14:paraId="4219D9D4">
      <w:pPr>
        <w:spacing w:line="360" w:lineRule="auto"/>
        <w:jc w:val="center"/>
        <w:rPr>
          <w:rFonts w:hint="eastAsia" w:ascii="仿宋" w:hAnsi="仿宋" w:eastAsia="仿宋" w:cs="仿宋"/>
          <w:b/>
          <w:color w:val="auto"/>
          <w:spacing w:val="-6"/>
          <w:position w:val="-1"/>
          <w:sz w:val="32"/>
          <w:szCs w:val="32"/>
          <w:highlight w:val="none"/>
        </w:rPr>
      </w:pPr>
      <w:r>
        <w:rPr>
          <w:rFonts w:hint="eastAsia" w:ascii="仿宋" w:hAnsi="仿宋" w:eastAsia="仿宋" w:cs="仿宋"/>
          <w:b/>
          <w:color w:val="auto"/>
          <w:kern w:val="0"/>
          <w:sz w:val="32"/>
          <w:szCs w:val="32"/>
          <w:highlight w:val="none"/>
          <w:lang w:val="en-US" w:eastAsia="zh-CN"/>
        </w:rPr>
        <w:t>一</w:t>
      </w:r>
      <w:r>
        <w:rPr>
          <w:rFonts w:hint="eastAsia" w:ascii="仿宋" w:hAnsi="仿宋" w:eastAsia="仿宋" w:cs="仿宋"/>
          <w:b/>
          <w:color w:val="auto"/>
          <w:kern w:val="0"/>
          <w:sz w:val="32"/>
          <w:szCs w:val="32"/>
          <w:highlight w:val="none"/>
        </w:rPr>
        <w:t>、技术参数偏离表</w:t>
      </w:r>
    </w:p>
    <w:p w14:paraId="616434B2">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pacing w:val="-14"/>
          <w:sz w:val="24"/>
          <w:szCs w:val="24"/>
          <w:highlight w:val="none"/>
        </w:rPr>
        <w:t>项目名称</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u w:val="single"/>
          <w:lang w:eastAsia="zh-CN"/>
        </w:rPr>
        <w:t>临翔区2024年第二批中央财政森林可持续经营项目</w:t>
      </w:r>
      <w:r>
        <w:rPr>
          <w:rFonts w:hint="eastAsia" w:ascii="仿宋" w:hAnsi="仿宋" w:eastAsia="仿宋" w:cs="仿宋"/>
          <w:b/>
          <w:color w:val="auto"/>
          <w:kern w:val="2"/>
          <w:sz w:val="24"/>
          <w:szCs w:val="32"/>
          <w:highlight w:val="none"/>
          <w:u w:val="single"/>
          <w:lang w:val="en-US"/>
        </w:rPr>
        <w:t>第   标段</w:t>
      </w:r>
    </w:p>
    <w:p w14:paraId="4AF9648E">
      <w:pPr>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lang w:eastAsia="zh-CN"/>
        </w:rPr>
        <w:t>项目编号：</w:t>
      </w:r>
      <w:r>
        <w:rPr>
          <w:rFonts w:hint="eastAsia" w:ascii="仿宋" w:hAnsi="仿宋" w:eastAsia="仿宋" w:cs="仿宋"/>
          <w:b/>
          <w:color w:val="auto"/>
          <w:sz w:val="24"/>
          <w:szCs w:val="24"/>
          <w:highlight w:val="none"/>
          <w:u w:val="single"/>
          <w:lang w:val="en-US" w:eastAsia="zh-CN"/>
        </w:rPr>
        <w:t xml:space="preserve">                                   </w:t>
      </w:r>
    </w:p>
    <w:tbl>
      <w:tblPr>
        <w:tblStyle w:val="2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3132"/>
        <w:gridCol w:w="1368"/>
      </w:tblGrid>
      <w:tr w14:paraId="2E4C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7A5EB72A">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pacing w:val="-14"/>
                <w:sz w:val="24"/>
                <w:szCs w:val="24"/>
                <w:highlight w:val="none"/>
              </w:rPr>
              <w:t>名称</w:t>
            </w:r>
          </w:p>
        </w:tc>
        <w:tc>
          <w:tcPr>
            <w:tcW w:w="3220" w:type="dxa"/>
            <w:vAlign w:val="center"/>
          </w:tcPr>
          <w:p w14:paraId="3B94E11A">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招标文件要求规格、技术参数、性能要求</w:t>
            </w:r>
          </w:p>
        </w:tc>
        <w:tc>
          <w:tcPr>
            <w:tcW w:w="3132" w:type="dxa"/>
            <w:vAlign w:val="center"/>
          </w:tcPr>
          <w:p w14:paraId="3E30401E">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供应商实际</w:t>
            </w:r>
          </w:p>
          <w:p w14:paraId="40B027DE">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响应参数</w:t>
            </w:r>
          </w:p>
        </w:tc>
        <w:tc>
          <w:tcPr>
            <w:tcW w:w="1368" w:type="dxa"/>
            <w:vAlign w:val="center"/>
          </w:tcPr>
          <w:p w14:paraId="53F0285E">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是否偏离</w:t>
            </w:r>
          </w:p>
        </w:tc>
      </w:tr>
      <w:tr w14:paraId="53EA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5A9C1BF1">
            <w:pPr>
              <w:spacing w:line="360" w:lineRule="auto"/>
              <w:jc w:val="center"/>
              <w:rPr>
                <w:rFonts w:hint="eastAsia" w:ascii="仿宋" w:hAnsi="仿宋" w:eastAsia="仿宋" w:cs="仿宋"/>
                <w:color w:val="auto"/>
                <w:sz w:val="28"/>
                <w:szCs w:val="28"/>
                <w:highlight w:val="none"/>
              </w:rPr>
            </w:pPr>
          </w:p>
        </w:tc>
        <w:tc>
          <w:tcPr>
            <w:tcW w:w="3220" w:type="dxa"/>
            <w:vAlign w:val="center"/>
          </w:tcPr>
          <w:p w14:paraId="314BB2EE">
            <w:pPr>
              <w:spacing w:line="360" w:lineRule="auto"/>
              <w:jc w:val="center"/>
              <w:rPr>
                <w:rFonts w:hint="eastAsia" w:ascii="仿宋" w:hAnsi="仿宋" w:eastAsia="仿宋" w:cs="仿宋"/>
                <w:color w:val="auto"/>
                <w:sz w:val="28"/>
                <w:szCs w:val="28"/>
                <w:highlight w:val="none"/>
              </w:rPr>
            </w:pPr>
          </w:p>
        </w:tc>
        <w:tc>
          <w:tcPr>
            <w:tcW w:w="3132" w:type="dxa"/>
            <w:vAlign w:val="center"/>
          </w:tcPr>
          <w:p w14:paraId="2DE3604F">
            <w:pPr>
              <w:spacing w:line="360" w:lineRule="auto"/>
              <w:jc w:val="center"/>
              <w:rPr>
                <w:rFonts w:hint="eastAsia" w:ascii="仿宋" w:hAnsi="仿宋" w:eastAsia="仿宋" w:cs="仿宋"/>
                <w:color w:val="auto"/>
                <w:sz w:val="28"/>
                <w:szCs w:val="28"/>
                <w:highlight w:val="none"/>
              </w:rPr>
            </w:pPr>
          </w:p>
        </w:tc>
        <w:tc>
          <w:tcPr>
            <w:tcW w:w="1368" w:type="dxa"/>
            <w:vAlign w:val="center"/>
          </w:tcPr>
          <w:p w14:paraId="4A10CF3D">
            <w:pPr>
              <w:spacing w:line="360" w:lineRule="auto"/>
              <w:jc w:val="center"/>
              <w:rPr>
                <w:rFonts w:hint="eastAsia" w:ascii="仿宋" w:hAnsi="仿宋" w:eastAsia="仿宋" w:cs="仿宋"/>
                <w:color w:val="auto"/>
                <w:sz w:val="28"/>
                <w:szCs w:val="28"/>
                <w:highlight w:val="none"/>
              </w:rPr>
            </w:pPr>
          </w:p>
        </w:tc>
      </w:tr>
      <w:tr w14:paraId="4ADF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9302094">
            <w:pPr>
              <w:spacing w:line="360" w:lineRule="auto"/>
              <w:jc w:val="center"/>
              <w:rPr>
                <w:rFonts w:hint="eastAsia" w:ascii="仿宋" w:hAnsi="仿宋" w:eastAsia="仿宋" w:cs="仿宋"/>
                <w:color w:val="auto"/>
                <w:sz w:val="28"/>
                <w:szCs w:val="28"/>
                <w:highlight w:val="none"/>
              </w:rPr>
            </w:pPr>
          </w:p>
        </w:tc>
        <w:tc>
          <w:tcPr>
            <w:tcW w:w="3220" w:type="dxa"/>
            <w:vAlign w:val="center"/>
          </w:tcPr>
          <w:p w14:paraId="71EA6B7E">
            <w:pPr>
              <w:spacing w:line="360" w:lineRule="auto"/>
              <w:jc w:val="center"/>
              <w:rPr>
                <w:rFonts w:hint="eastAsia" w:ascii="仿宋" w:hAnsi="仿宋" w:eastAsia="仿宋" w:cs="仿宋"/>
                <w:color w:val="auto"/>
                <w:sz w:val="28"/>
                <w:szCs w:val="28"/>
                <w:highlight w:val="none"/>
              </w:rPr>
            </w:pPr>
          </w:p>
        </w:tc>
        <w:tc>
          <w:tcPr>
            <w:tcW w:w="3132" w:type="dxa"/>
            <w:vAlign w:val="center"/>
          </w:tcPr>
          <w:p w14:paraId="77809FBA">
            <w:pPr>
              <w:spacing w:line="360" w:lineRule="auto"/>
              <w:jc w:val="center"/>
              <w:rPr>
                <w:rFonts w:hint="eastAsia" w:ascii="仿宋" w:hAnsi="仿宋" w:eastAsia="仿宋" w:cs="仿宋"/>
                <w:color w:val="auto"/>
                <w:sz w:val="28"/>
                <w:szCs w:val="28"/>
                <w:highlight w:val="none"/>
              </w:rPr>
            </w:pPr>
          </w:p>
        </w:tc>
        <w:tc>
          <w:tcPr>
            <w:tcW w:w="1368" w:type="dxa"/>
            <w:vAlign w:val="center"/>
          </w:tcPr>
          <w:p w14:paraId="3976D25F">
            <w:pPr>
              <w:spacing w:line="360" w:lineRule="auto"/>
              <w:jc w:val="center"/>
              <w:rPr>
                <w:rFonts w:hint="eastAsia" w:ascii="仿宋" w:hAnsi="仿宋" w:eastAsia="仿宋" w:cs="仿宋"/>
                <w:color w:val="auto"/>
                <w:sz w:val="28"/>
                <w:szCs w:val="28"/>
                <w:highlight w:val="none"/>
              </w:rPr>
            </w:pPr>
          </w:p>
        </w:tc>
      </w:tr>
      <w:tr w14:paraId="6858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0BD193D">
            <w:pPr>
              <w:spacing w:line="360" w:lineRule="auto"/>
              <w:jc w:val="center"/>
              <w:rPr>
                <w:rFonts w:hint="eastAsia" w:ascii="仿宋" w:hAnsi="仿宋" w:eastAsia="仿宋" w:cs="仿宋"/>
                <w:color w:val="auto"/>
                <w:sz w:val="28"/>
                <w:szCs w:val="28"/>
                <w:highlight w:val="none"/>
              </w:rPr>
            </w:pPr>
          </w:p>
        </w:tc>
        <w:tc>
          <w:tcPr>
            <w:tcW w:w="3220" w:type="dxa"/>
            <w:vAlign w:val="center"/>
          </w:tcPr>
          <w:p w14:paraId="48024FCB">
            <w:pPr>
              <w:spacing w:line="360" w:lineRule="auto"/>
              <w:jc w:val="center"/>
              <w:rPr>
                <w:rFonts w:hint="eastAsia" w:ascii="仿宋" w:hAnsi="仿宋" w:eastAsia="仿宋" w:cs="仿宋"/>
                <w:color w:val="auto"/>
                <w:sz w:val="28"/>
                <w:szCs w:val="28"/>
                <w:highlight w:val="none"/>
              </w:rPr>
            </w:pPr>
          </w:p>
        </w:tc>
        <w:tc>
          <w:tcPr>
            <w:tcW w:w="3132" w:type="dxa"/>
            <w:vAlign w:val="center"/>
          </w:tcPr>
          <w:p w14:paraId="58C3F460">
            <w:pPr>
              <w:spacing w:line="360" w:lineRule="auto"/>
              <w:jc w:val="center"/>
              <w:rPr>
                <w:rFonts w:hint="eastAsia" w:ascii="仿宋" w:hAnsi="仿宋" w:eastAsia="仿宋" w:cs="仿宋"/>
                <w:color w:val="auto"/>
                <w:sz w:val="28"/>
                <w:szCs w:val="28"/>
                <w:highlight w:val="none"/>
              </w:rPr>
            </w:pPr>
          </w:p>
        </w:tc>
        <w:tc>
          <w:tcPr>
            <w:tcW w:w="1368" w:type="dxa"/>
            <w:vAlign w:val="center"/>
          </w:tcPr>
          <w:p w14:paraId="0E4CB690">
            <w:pPr>
              <w:spacing w:line="360" w:lineRule="auto"/>
              <w:jc w:val="center"/>
              <w:rPr>
                <w:rFonts w:hint="eastAsia" w:ascii="仿宋" w:hAnsi="仿宋" w:eastAsia="仿宋" w:cs="仿宋"/>
                <w:color w:val="auto"/>
                <w:sz w:val="28"/>
                <w:szCs w:val="28"/>
                <w:highlight w:val="none"/>
              </w:rPr>
            </w:pPr>
          </w:p>
        </w:tc>
      </w:tr>
    </w:tbl>
    <w:p w14:paraId="0CD66DD7">
      <w:pPr>
        <w:snapToGrid w:val="0"/>
        <w:spacing w:before="0" w:beforeAutospacing="0" w:after="0" w:afterAutospacing="0" w:line="56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r>
        <w:rPr>
          <w:rStyle w:val="38"/>
          <w:rFonts w:hint="eastAsia" w:ascii="仿宋" w:hAnsi="仿宋" w:eastAsia="仿宋" w:cs="仿宋"/>
          <w:b w:val="0"/>
          <w:i w:val="0"/>
          <w:caps w:val="0"/>
          <w:color w:val="auto"/>
          <w:spacing w:val="0"/>
          <w:w w:val="100"/>
          <w:kern w:val="2"/>
          <w:sz w:val="21"/>
          <w:szCs w:val="21"/>
          <w:highlight w:val="none"/>
          <w:lang w:val="en-US" w:eastAsia="zh-CN" w:bidi="ar-SA"/>
        </w:rPr>
        <w:t>注：1.“偏离性质”系指“正偏离”、“负偏离”或“无偏离”。</w:t>
      </w:r>
    </w:p>
    <w:p w14:paraId="61C6E096">
      <w:pPr>
        <w:snapToGrid w:val="0"/>
        <w:spacing w:before="0" w:beforeAutospacing="0" w:after="0" w:afterAutospacing="0" w:line="56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r>
        <w:rPr>
          <w:rStyle w:val="38"/>
          <w:rFonts w:hint="eastAsia" w:ascii="仿宋" w:hAnsi="仿宋" w:eastAsia="仿宋" w:cs="仿宋"/>
          <w:b w:val="0"/>
          <w:i w:val="0"/>
          <w:caps w:val="0"/>
          <w:color w:val="auto"/>
          <w:spacing w:val="0"/>
          <w:w w:val="100"/>
          <w:kern w:val="2"/>
          <w:sz w:val="21"/>
          <w:szCs w:val="21"/>
          <w:highlight w:val="none"/>
          <w:lang w:val="en-US" w:eastAsia="zh-CN" w:bidi="ar-SA"/>
        </w:rPr>
        <w:t>2.所报价产品的实际技术参数，如与招标文件的要求有偏离，请认真填写该表。如无偏离，则只注需注明“无偏离”即可，无需另行填表。</w:t>
      </w:r>
    </w:p>
    <w:p w14:paraId="16F69604">
      <w:pPr>
        <w:snapToGrid w:val="0"/>
        <w:spacing w:before="0" w:beforeAutospacing="0" w:after="0" w:afterAutospacing="0" w:line="560" w:lineRule="exact"/>
        <w:jc w:val="both"/>
        <w:textAlignment w:val="baseline"/>
        <w:rPr>
          <w:rStyle w:val="38"/>
          <w:rFonts w:hint="eastAsia" w:ascii="仿宋" w:hAnsi="仿宋" w:eastAsia="仿宋" w:cs="仿宋"/>
          <w:b w:val="0"/>
          <w:i w:val="0"/>
          <w:caps w:val="0"/>
          <w:color w:val="auto"/>
          <w:spacing w:val="0"/>
          <w:w w:val="100"/>
          <w:kern w:val="2"/>
          <w:sz w:val="21"/>
          <w:szCs w:val="21"/>
          <w:highlight w:val="none"/>
          <w:lang w:val="en-US" w:eastAsia="zh-CN" w:bidi="ar-SA"/>
        </w:rPr>
      </w:pPr>
      <w:r>
        <w:rPr>
          <w:rStyle w:val="38"/>
          <w:rFonts w:hint="eastAsia" w:ascii="仿宋" w:hAnsi="仿宋" w:eastAsia="仿宋" w:cs="仿宋"/>
          <w:b w:val="0"/>
          <w:i w:val="0"/>
          <w:caps w:val="0"/>
          <w:color w:val="auto"/>
          <w:spacing w:val="0"/>
          <w:w w:val="100"/>
          <w:kern w:val="2"/>
          <w:sz w:val="21"/>
          <w:szCs w:val="21"/>
          <w:highlight w:val="none"/>
          <w:lang w:val="en-US" w:eastAsia="zh-CN" w:bidi="ar-SA"/>
        </w:rPr>
        <w:t>3.“正偏离”指所投设备的技术参数优于招标文件中要求，“负偏离”指所投设备的技术参数低于招标文件中要求。投标文件中的技术参数、功能或其它内容有 “正偏离”的，供应商须对“正偏离”的情况单独作出说明。并提供相关证明文件。</w:t>
      </w:r>
    </w:p>
    <w:p w14:paraId="24C28082">
      <w:pPr>
        <w:spacing w:line="560" w:lineRule="exact"/>
        <w:rPr>
          <w:rFonts w:hint="eastAsia" w:ascii="仿宋" w:hAnsi="仿宋" w:eastAsia="仿宋" w:cs="仿宋"/>
          <w:color w:val="auto"/>
          <w:sz w:val="28"/>
          <w:szCs w:val="28"/>
          <w:highlight w:val="none"/>
        </w:rPr>
      </w:pPr>
    </w:p>
    <w:p w14:paraId="0480A73A">
      <w:pPr>
        <w:pStyle w:val="42"/>
        <w:rPr>
          <w:rFonts w:hint="eastAsia" w:ascii="仿宋" w:hAnsi="仿宋" w:eastAsia="仿宋" w:cs="仿宋"/>
          <w:highlight w:val="none"/>
          <w:lang w:val="en-US" w:eastAsia="zh-CN"/>
        </w:rPr>
      </w:pPr>
    </w:p>
    <w:p w14:paraId="3DF356D3">
      <w:pPr>
        <w:spacing w:before="60" w:after="60" w:line="500" w:lineRule="exact"/>
        <w:ind w:firstLine="510"/>
        <w:rPr>
          <w:rFonts w:hint="eastAsia" w:ascii="仿宋" w:hAnsi="仿宋" w:eastAsia="仿宋" w:cs="仿宋"/>
          <w:color w:val="auto"/>
          <w:sz w:val="24"/>
          <w:highlight w:val="none"/>
          <w:u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（电子签章）</w:t>
      </w:r>
    </w:p>
    <w:p w14:paraId="257EF694">
      <w:pPr>
        <w:spacing w:before="60" w:after="60" w:line="500" w:lineRule="exact"/>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Style w:val="38"/>
          <w:rFonts w:hint="eastAsia" w:ascii="仿宋" w:hAnsi="仿宋" w:eastAsia="仿宋" w:cs="仿宋"/>
          <w:b w:val="0"/>
          <w:i w:val="0"/>
          <w:caps w:val="0"/>
          <w:color w:val="auto"/>
          <w:spacing w:val="0"/>
          <w:w w:val="100"/>
          <w:kern w:val="2"/>
          <w:sz w:val="24"/>
          <w:szCs w:val="24"/>
          <w:highlight w:val="none"/>
          <w:u w:val="none" w:color="auto"/>
          <w:lang w:val="en-US" w:eastAsia="zh-CN" w:bidi="ar-SA"/>
        </w:rPr>
        <w:t>（电子签章或签字）</w:t>
      </w:r>
    </w:p>
    <w:p w14:paraId="626A1D79">
      <w:pPr>
        <w:spacing w:before="60" w:after="60" w:line="500" w:lineRule="exact"/>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C7731E1">
      <w:pPr>
        <w:spacing w:line="560" w:lineRule="exact"/>
        <w:ind w:firstLine="3360" w:firstLineChars="1200"/>
        <w:rPr>
          <w:rFonts w:hint="eastAsia" w:ascii="仿宋" w:hAnsi="仿宋" w:eastAsia="仿宋" w:cs="仿宋"/>
          <w:color w:val="auto"/>
          <w:sz w:val="28"/>
          <w:szCs w:val="28"/>
          <w:highlight w:val="none"/>
        </w:rPr>
      </w:pPr>
    </w:p>
    <w:p w14:paraId="7E0E93A4">
      <w:pPr>
        <w:rPr>
          <w:rFonts w:hint="eastAsia" w:ascii="仿宋" w:hAnsi="仿宋" w:eastAsia="仿宋" w:cs="仿宋"/>
          <w:b/>
          <w:color w:val="auto"/>
          <w:kern w:val="0"/>
          <w:sz w:val="32"/>
          <w:szCs w:val="18"/>
          <w:highlight w:val="none"/>
          <w:lang w:val="en-US" w:eastAsia="zh-CN"/>
        </w:rPr>
      </w:pPr>
      <w:r>
        <w:rPr>
          <w:rFonts w:hint="eastAsia" w:ascii="仿宋" w:hAnsi="仿宋" w:eastAsia="仿宋" w:cs="仿宋"/>
          <w:b/>
          <w:color w:val="auto"/>
          <w:kern w:val="0"/>
          <w:sz w:val="32"/>
          <w:szCs w:val="18"/>
          <w:highlight w:val="none"/>
          <w:lang w:val="en-US" w:eastAsia="zh-CN"/>
        </w:rPr>
        <w:br w:type="page"/>
      </w:r>
    </w:p>
    <w:bookmarkEnd w:id="96"/>
    <w:bookmarkEnd w:id="97"/>
    <w:bookmarkEnd w:id="98"/>
    <w:bookmarkEnd w:id="99"/>
    <w:bookmarkEnd w:id="100"/>
    <w:bookmarkEnd w:id="101"/>
    <w:p w14:paraId="7FAAC175">
      <w:pPr>
        <w:pStyle w:val="58"/>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480" w:lineRule="auto"/>
        <w:jc w:val="center"/>
        <w:textAlignment w:val="baseline"/>
        <w:rPr>
          <w:rStyle w:val="38"/>
          <w:rFonts w:hint="eastAsia" w:ascii="仿宋" w:hAnsi="仿宋" w:eastAsia="仿宋" w:cs="仿宋"/>
          <w:b/>
          <w:bCs/>
          <w:i w:val="0"/>
          <w:caps w:val="0"/>
          <w:color w:val="auto"/>
          <w:spacing w:val="0"/>
          <w:w w:val="100"/>
          <w:sz w:val="32"/>
          <w:szCs w:val="32"/>
          <w:highlight w:val="none"/>
          <w:lang w:val="en-US" w:eastAsia="zh-CN"/>
        </w:rPr>
      </w:pPr>
      <w:r>
        <w:rPr>
          <w:rFonts w:hint="eastAsia" w:ascii="仿宋" w:hAnsi="仿宋" w:eastAsia="仿宋" w:cs="仿宋"/>
          <w:b/>
          <w:bCs/>
          <w:i w:val="0"/>
          <w:caps w:val="0"/>
          <w:color w:val="auto"/>
          <w:spacing w:val="0"/>
          <w:w w:val="100"/>
          <w:kern w:val="2"/>
          <w:sz w:val="32"/>
          <w:szCs w:val="32"/>
          <w:highlight w:val="none"/>
          <w:lang w:val="en-US" w:eastAsia="zh-CN" w:bidi="ar-SA"/>
        </w:rPr>
        <w:t>二、</w:t>
      </w:r>
      <w:r>
        <w:rPr>
          <w:rStyle w:val="38"/>
          <w:rFonts w:hint="eastAsia" w:ascii="仿宋" w:hAnsi="仿宋" w:eastAsia="仿宋" w:cs="仿宋"/>
          <w:b/>
          <w:bCs/>
          <w:i w:val="0"/>
          <w:caps w:val="0"/>
          <w:color w:val="auto"/>
          <w:spacing w:val="0"/>
          <w:w w:val="100"/>
          <w:sz w:val="32"/>
          <w:szCs w:val="32"/>
          <w:highlight w:val="none"/>
          <w:lang w:val="en-US" w:eastAsia="zh-CN"/>
        </w:rPr>
        <w:t>技术方案</w:t>
      </w:r>
    </w:p>
    <w:p w14:paraId="5F2B93CF">
      <w:pPr>
        <w:pStyle w:val="58"/>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480" w:lineRule="auto"/>
        <w:jc w:val="center"/>
        <w:textAlignment w:val="baseline"/>
        <w:rPr>
          <w:rStyle w:val="38"/>
          <w:rFonts w:hint="eastAsia" w:ascii="仿宋" w:hAnsi="仿宋" w:eastAsia="仿宋" w:cs="仿宋"/>
          <w:b/>
          <w:bCs/>
          <w:i w:val="0"/>
          <w:caps w:val="0"/>
          <w:color w:val="auto"/>
          <w:spacing w:val="0"/>
          <w:w w:val="100"/>
          <w:sz w:val="24"/>
          <w:szCs w:val="24"/>
          <w:highlight w:val="none"/>
          <w:lang w:val="en-US" w:eastAsia="zh-CN"/>
        </w:rPr>
      </w:pPr>
      <w:r>
        <w:rPr>
          <w:rStyle w:val="38"/>
          <w:rFonts w:hint="eastAsia" w:ascii="仿宋" w:hAnsi="仿宋" w:eastAsia="仿宋" w:cs="仿宋"/>
          <w:b/>
          <w:bCs/>
          <w:i w:val="0"/>
          <w:caps w:val="0"/>
          <w:color w:val="auto"/>
          <w:spacing w:val="0"/>
          <w:w w:val="100"/>
          <w:sz w:val="24"/>
          <w:szCs w:val="24"/>
          <w:highlight w:val="none"/>
          <w:lang w:val="en-US" w:eastAsia="zh-CN"/>
        </w:rPr>
        <w:t>（依据评标办法编写技术方案，格式自拟）</w:t>
      </w:r>
    </w:p>
    <w:p w14:paraId="2BB2AA06">
      <w:pPr>
        <w:pStyle w:val="59"/>
        <w:keepNext w:val="0"/>
        <w:keepLines w:val="0"/>
        <w:pageBreakBefore w:val="0"/>
        <w:widowControl/>
        <w:kinsoku/>
        <w:wordWrap/>
        <w:overflowPunct/>
        <w:topLinePunct w:val="0"/>
        <w:autoSpaceDE/>
        <w:autoSpaceDN/>
        <w:bidi w:val="0"/>
        <w:adjustRightInd/>
        <w:snapToGrid w:val="0"/>
        <w:spacing w:before="0" w:beforeAutospacing="0" w:after="120" w:afterAutospacing="0" w:line="480" w:lineRule="auto"/>
        <w:ind w:left="0" w:leftChars="0" w:firstLine="0" w:firstLineChars="0"/>
        <w:jc w:val="center"/>
        <w:textAlignment w:val="baseline"/>
        <w:rPr>
          <w:rStyle w:val="38"/>
          <w:rFonts w:hint="eastAsia" w:ascii="仿宋" w:hAnsi="仿宋" w:eastAsia="仿宋" w:cs="仿宋"/>
          <w:b/>
          <w:bCs/>
          <w:i w:val="0"/>
          <w:caps w:val="0"/>
          <w:color w:val="auto"/>
          <w:spacing w:val="0"/>
          <w:w w:val="100"/>
          <w:sz w:val="28"/>
          <w:szCs w:val="28"/>
          <w:highlight w:val="none"/>
        </w:rPr>
      </w:pPr>
    </w:p>
    <w:p w14:paraId="0AAB52C4">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b w:val="0"/>
          <w:bCs/>
          <w:color w:val="auto"/>
          <w:sz w:val="24"/>
          <w:szCs w:val="24"/>
          <w:highlight w:val="none"/>
          <w:lang w:val="en-US" w:eastAsia="zh-CN"/>
        </w:rPr>
      </w:pPr>
    </w:p>
    <w:p w14:paraId="762676B0">
      <w:pPr>
        <w:keepNext w:val="0"/>
        <w:keepLines w:val="0"/>
        <w:pageBreakBefore w:val="0"/>
        <w:widowControl w:val="0"/>
        <w:shd w:val="clear" w:color="auto" w:fill="auto"/>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color w:val="auto"/>
          <w:sz w:val="24"/>
          <w:szCs w:val="24"/>
          <w:highlight w:val="none"/>
          <w:lang w:val="en-US" w:eastAsia="zh-CN"/>
        </w:rPr>
      </w:pPr>
    </w:p>
    <w:p w14:paraId="53E1A3A6">
      <w:pPr>
        <w:rPr>
          <w:rFonts w:hint="eastAsia" w:ascii="仿宋" w:hAnsi="仿宋" w:eastAsia="仿宋" w:cs="仿宋"/>
          <w:color w:val="auto"/>
          <w:sz w:val="32"/>
          <w:szCs w:val="32"/>
          <w:highlight w:val="none"/>
        </w:rPr>
      </w:pPr>
      <w:bookmarkStart w:id="103" w:name="_Toc20780"/>
      <w:bookmarkStart w:id="104" w:name="_Toc8493"/>
      <w:r>
        <w:rPr>
          <w:rFonts w:hint="eastAsia" w:ascii="仿宋" w:hAnsi="仿宋" w:eastAsia="仿宋" w:cs="仿宋"/>
          <w:color w:val="auto"/>
          <w:sz w:val="32"/>
          <w:szCs w:val="32"/>
          <w:highlight w:val="none"/>
        </w:rPr>
        <w:br w:type="page"/>
      </w:r>
    </w:p>
    <w:bookmarkEnd w:id="103"/>
    <w:bookmarkEnd w:id="104"/>
    <w:p w14:paraId="2C4467CE">
      <w:pPr>
        <w:pStyle w:val="3"/>
        <w:shd w:val="clear" w:color="auto" w:fill="auto"/>
        <w:tabs>
          <w:tab w:val="left" w:pos="360"/>
        </w:tabs>
        <w:jc w:val="center"/>
        <w:rPr>
          <w:rFonts w:hint="eastAsia" w:ascii="仿宋" w:hAnsi="仿宋" w:eastAsia="仿宋" w:cs="仿宋"/>
          <w:color w:val="auto"/>
          <w:sz w:val="36"/>
          <w:szCs w:val="36"/>
          <w:highlight w:val="none"/>
        </w:rPr>
      </w:pPr>
      <w:bookmarkStart w:id="105" w:name="_Toc3512"/>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HYPERLINK \l _Toc26756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第</w:t>
      </w:r>
      <w:r>
        <w:rPr>
          <w:rFonts w:hint="eastAsia" w:ascii="仿宋" w:hAnsi="仿宋" w:eastAsia="仿宋" w:cs="仿宋"/>
          <w:color w:val="auto"/>
          <w:sz w:val="36"/>
          <w:szCs w:val="36"/>
          <w:highlight w:val="none"/>
          <w:lang w:val="en-US" w:eastAsia="zh-CN"/>
        </w:rPr>
        <w:t>六</w:t>
      </w:r>
      <w:r>
        <w:rPr>
          <w:rFonts w:hint="eastAsia" w:ascii="仿宋" w:hAnsi="仿宋" w:eastAsia="仿宋" w:cs="仿宋"/>
          <w:color w:val="auto"/>
          <w:sz w:val="36"/>
          <w:szCs w:val="36"/>
          <w:highlight w:val="none"/>
        </w:rPr>
        <w:t>章 采购需求</w:t>
      </w:r>
      <w:r>
        <w:rPr>
          <w:rFonts w:hint="eastAsia" w:ascii="仿宋" w:hAnsi="仿宋" w:eastAsia="仿宋" w:cs="仿宋"/>
          <w:color w:val="auto"/>
          <w:sz w:val="36"/>
          <w:szCs w:val="36"/>
          <w:highlight w:val="none"/>
        </w:rPr>
        <w:fldChar w:fldCharType="end"/>
      </w:r>
      <w:bookmarkEnd w:id="105"/>
    </w:p>
    <w:p w14:paraId="01924950">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2" w:firstLineChars="20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（一）</w:t>
      </w:r>
      <w:r>
        <w:rPr>
          <w:rFonts w:hint="eastAsia" w:ascii="仿宋" w:hAnsi="仿宋" w:eastAsia="仿宋" w:cs="仿宋"/>
          <w:b/>
          <w:bCs/>
          <w:color w:val="auto"/>
          <w:kern w:val="0"/>
          <w:sz w:val="24"/>
          <w:szCs w:val="24"/>
          <w:highlight w:val="none"/>
        </w:rPr>
        <w:t>采购内容</w:t>
      </w:r>
    </w:p>
    <w:tbl>
      <w:tblPr>
        <w:tblStyle w:val="27"/>
        <w:tblpPr w:leftFromText="180" w:rightFromText="180" w:vertAnchor="text" w:horzAnchor="page" w:tblpX="1446" w:tblpY="401"/>
        <w:tblOverlap w:val="never"/>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241"/>
        <w:gridCol w:w="3065"/>
        <w:gridCol w:w="1176"/>
        <w:gridCol w:w="736"/>
        <w:gridCol w:w="1036"/>
        <w:gridCol w:w="1514"/>
      </w:tblGrid>
      <w:tr w14:paraId="7703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580" w:type="dxa"/>
            <w:noWrap w:val="0"/>
            <w:vAlign w:val="center"/>
          </w:tcPr>
          <w:p w14:paraId="5F281B69">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序号</w:t>
            </w:r>
          </w:p>
        </w:tc>
        <w:tc>
          <w:tcPr>
            <w:tcW w:w="1241" w:type="dxa"/>
            <w:noWrap w:val="0"/>
            <w:vAlign w:val="center"/>
          </w:tcPr>
          <w:p w14:paraId="53187B77">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标段名称</w:t>
            </w:r>
          </w:p>
        </w:tc>
        <w:tc>
          <w:tcPr>
            <w:tcW w:w="3065" w:type="dxa"/>
            <w:noWrap w:val="0"/>
            <w:vAlign w:val="center"/>
          </w:tcPr>
          <w:p w14:paraId="57E3248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采购内容</w:t>
            </w:r>
          </w:p>
        </w:tc>
        <w:tc>
          <w:tcPr>
            <w:tcW w:w="1176" w:type="dxa"/>
            <w:noWrap w:val="0"/>
            <w:vAlign w:val="center"/>
          </w:tcPr>
          <w:p w14:paraId="107E30B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数量</w:t>
            </w:r>
          </w:p>
        </w:tc>
        <w:tc>
          <w:tcPr>
            <w:tcW w:w="736" w:type="dxa"/>
            <w:noWrap w:val="0"/>
            <w:vAlign w:val="center"/>
          </w:tcPr>
          <w:p w14:paraId="5333F46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计量单位</w:t>
            </w:r>
          </w:p>
        </w:tc>
        <w:tc>
          <w:tcPr>
            <w:tcW w:w="1036" w:type="dxa"/>
            <w:noWrap w:val="0"/>
            <w:vAlign w:val="center"/>
          </w:tcPr>
          <w:p w14:paraId="0A1E37D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每亩最高限价</w:t>
            </w:r>
          </w:p>
        </w:tc>
        <w:tc>
          <w:tcPr>
            <w:tcW w:w="1514" w:type="dxa"/>
            <w:noWrap w:val="0"/>
            <w:vAlign w:val="center"/>
          </w:tcPr>
          <w:p w14:paraId="2743E01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项目实施</w:t>
            </w:r>
          </w:p>
          <w:p w14:paraId="3FED617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right="0" w:rightChars="0"/>
              <w:jc w:val="center"/>
              <w:textAlignment w:val="auto"/>
              <w:rPr>
                <w:rFonts w:hint="eastAsia" w:ascii="仿宋" w:hAnsi="仿宋" w:eastAsia="仿宋" w:cs="仿宋"/>
                <w:b/>
                <w:bCs/>
                <w:i w:val="0"/>
                <w:iCs w:val="0"/>
                <w:color w:val="auto"/>
                <w:sz w:val="28"/>
                <w:szCs w:val="28"/>
                <w:highlight w:val="none"/>
                <w:vertAlign w:val="baseline"/>
                <w:lang w:val="en-US" w:eastAsia="zh-CN"/>
              </w:rPr>
            </w:pPr>
            <w:r>
              <w:rPr>
                <w:rFonts w:hint="eastAsia" w:ascii="仿宋" w:hAnsi="仿宋" w:eastAsia="仿宋" w:cs="仿宋"/>
                <w:b/>
                <w:bCs/>
                <w:i w:val="0"/>
                <w:iCs w:val="0"/>
                <w:color w:val="auto"/>
                <w:sz w:val="28"/>
                <w:szCs w:val="28"/>
                <w:highlight w:val="none"/>
                <w:vertAlign w:val="baseline"/>
                <w:lang w:val="en-US" w:eastAsia="zh-CN"/>
              </w:rPr>
              <w:t>地点</w:t>
            </w:r>
          </w:p>
        </w:tc>
      </w:tr>
      <w:tr w14:paraId="663F1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trPr>
        <w:tc>
          <w:tcPr>
            <w:tcW w:w="580" w:type="dxa"/>
            <w:noWrap w:val="0"/>
            <w:vAlign w:val="center"/>
          </w:tcPr>
          <w:p w14:paraId="48DB04F2">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241" w:type="dxa"/>
            <w:noWrap w:val="0"/>
            <w:vAlign w:val="center"/>
          </w:tcPr>
          <w:p w14:paraId="7E0677A2">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第一标段</w:t>
            </w:r>
          </w:p>
        </w:tc>
        <w:tc>
          <w:tcPr>
            <w:tcW w:w="3065" w:type="dxa"/>
            <w:vMerge w:val="restart"/>
            <w:noWrap w:val="0"/>
            <w:vAlign w:val="center"/>
          </w:tcPr>
          <w:p w14:paraId="0D17F6C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left"/>
              <w:textAlignment w:val="auto"/>
              <w:rPr>
                <w:rFonts w:hint="eastAsia" w:ascii="仿宋" w:hAnsi="仿宋" w:eastAsia="仿宋" w:cs="仿宋"/>
                <w:b w:val="0"/>
                <w:bCs w:val="0"/>
                <w:i w:val="0"/>
                <w:iCs w:val="0"/>
                <w:color w:val="auto"/>
                <w:sz w:val="28"/>
                <w:szCs w:val="28"/>
                <w:highlight w:val="none"/>
                <w:vertAlign w:val="baseline"/>
                <w:lang w:eastAsia="zh-CN"/>
              </w:rPr>
            </w:pPr>
            <w:r>
              <w:rPr>
                <w:rFonts w:hint="eastAsia" w:ascii="仿宋" w:hAnsi="仿宋" w:eastAsia="仿宋" w:cs="仿宋"/>
                <w:b w:val="0"/>
                <w:bCs w:val="0"/>
                <w:i w:val="0"/>
                <w:iCs w:val="0"/>
                <w:color w:val="auto"/>
                <w:sz w:val="24"/>
                <w:szCs w:val="24"/>
                <w:highlight w:val="none"/>
                <w:vertAlign w:val="baseline"/>
                <w:lang w:eastAsia="zh-CN"/>
              </w:rPr>
              <w:t>抚育对象林种有用材林（商品林）和防护林、特种用途林（公益林），起源为人工、天然，龄组为中龄林、近熟林，优势树种为华山松、云南松、栎类、桤木，伴生树种为栎类、桤木、其他阔叶；林分郁闭度在0.70 至 0.90 之间；林下局部分布有栎类幼树，灌木主要有杨梅、杜鹃、厚皮香、雀李子、野山茶等，高度0.8m～2.8m，盖度10%至25%之间；草本主要有野坝蒿、悬钩子、蕨类、紫茎泽兰等，盖度10%至55%之间，林分密度大，竞争激烈，分化明显，林木自然整枝不良，林木胸径连年生长量显著下降，枯死木、濒死木数量增多，已影响到目的树种的生长，根据现地情况及多种要素综合考虑，对于公益林（防护林、特种用途林）采取疏伐的抚育方式，对于商品林（用材林）采取生长伐的抚育方式进行抚育。</w:t>
            </w:r>
          </w:p>
        </w:tc>
        <w:tc>
          <w:tcPr>
            <w:tcW w:w="1176" w:type="dxa"/>
            <w:noWrap w:val="0"/>
            <w:vAlign w:val="center"/>
          </w:tcPr>
          <w:p w14:paraId="1D12C09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7081.20</w:t>
            </w:r>
          </w:p>
        </w:tc>
        <w:tc>
          <w:tcPr>
            <w:tcW w:w="736" w:type="dxa"/>
            <w:noWrap w:val="0"/>
            <w:vAlign w:val="center"/>
          </w:tcPr>
          <w:p w14:paraId="120D01A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5DEC6C2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aps w:val="0"/>
                <w:color w:val="auto"/>
                <w:spacing w:val="12"/>
                <w:sz w:val="28"/>
                <w:szCs w:val="28"/>
                <w:highlight w:val="none"/>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6B5092D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4"/>
                <w:szCs w:val="24"/>
                <w:highlight w:val="none"/>
                <w:lang w:val="en-US" w:eastAsia="zh-CN"/>
              </w:rPr>
              <w:t>临翔区五老山国有林场（1-44小班）</w:t>
            </w:r>
          </w:p>
        </w:tc>
      </w:tr>
      <w:tr w14:paraId="57ADF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580" w:type="dxa"/>
            <w:noWrap w:val="0"/>
            <w:vAlign w:val="center"/>
          </w:tcPr>
          <w:p w14:paraId="5326B26B">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8"/>
                <w:szCs w:val="28"/>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1241" w:type="dxa"/>
            <w:noWrap w:val="0"/>
            <w:vAlign w:val="center"/>
          </w:tcPr>
          <w:p w14:paraId="6995D284">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sz w:val="28"/>
                <w:szCs w:val="28"/>
                <w:vertAlign w:val="baseline"/>
                <w:lang w:val="en-US" w:eastAsia="zh-CN"/>
              </w:rPr>
            </w:pPr>
            <w:r>
              <w:rPr>
                <w:rFonts w:hint="eastAsia" w:ascii="仿宋" w:hAnsi="仿宋" w:eastAsia="仿宋" w:cs="仿宋"/>
                <w:i w:val="0"/>
                <w:iCs w:val="0"/>
                <w:color w:val="auto"/>
                <w:kern w:val="0"/>
                <w:sz w:val="24"/>
                <w:szCs w:val="24"/>
                <w:highlight w:val="none"/>
                <w:vertAlign w:val="baseline"/>
                <w:lang w:val="en-US" w:eastAsia="zh-CN" w:bidi="ar"/>
              </w:rPr>
              <w:t>第二标段</w:t>
            </w:r>
          </w:p>
        </w:tc>
        <w:tc>
          <w:tcPr>
            <w:tcW w:w="3065" w:type="dxa"/>
            <w:vMerge w:val="continue"/>
            <w:noWrap w:val="0"/>
            <w:vAlign w:val="center"/>
          </w:tcPr>
          <w:p w14:paraId="7E511FF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left"/>
              <w:textAlignment w:val="auto"/>
              <w:rPr>
                <w:rFonts w:hint="eastAsia" w:ascii="仿宋" w:hAnsi="仿宋" w:eastAsia="仿宋" w:cs="仿宋"/>
                <w:i w:val="0"/>
                <w:iCs w:val="0"/>
                <w:color w:val="auto"/>
                <w:sz w:val="28"/>
                <w:szCs w:val="28"/>
                <w:highlight w:val="none"/>
                <w:vertAlign w:val="baseline"/>
                <w:lang w:val="en-US" w:eastAsia="zh-CN"/>
              </w:rPr>
            </w:pPr>
          </w:p>
        </w:tc>
        <w:tc>
          <w:tcPr>
            <w:tcW w:w="1176" w:type="dxa"/>
            <w:noWrap w:val="0"/>
            <w:vAlign w:val="center"/>
          </w:tcPr>
          <w:p w14:paraId="411DB8B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3023.2</w:t>
            </w:r>
          </w:p>
        </w:tc>
        <w:tc>
          <w:tcPr>
            <w:tcW w:w="736" w:type="dxa"/>
            <w:noWrap w:val="0"/>
            <w:vAlign w:val="center"/>
          </w:tcPr>
          <w:p w14:paraId="729BEF4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5D0E2C3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33989D0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lang w:val="en-US" w:eastAsia="zh-CN"/>
              </w:rPr>
            </w:pPr>
            <w:r>
              <w:rPr>
                <w:rFonts w:hint="eastAsia" w:ascii="仿宋" w:hAnsi="仿宋" w:eastAsia="仿宋" w:cs="仿宋"/>
                <w:i w:val="0"/>
                <w:iCs w:val="0"/>
                <w:color w:val="auto"/>
                <w:sz w:val="24"/>
                <w:szCs w:val="24"/>
                <w:lang w:val="en-US" w:eastAsia="zh-CN"/>
              </w:rPr>
              <w:t>临翔区五老山国有林场（45-64小班）</w:t>
            </w:r>
          </w:p>
        </w:tc>
      </w:tr>
      <w:tr w14:paraId="0D11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580" w:type="dxa"/>
            <w:noWrap w:val="0"/>
            <w:vAlign w:val="center"/>
          </w:tcPr>
          <w:p w14:paraId="7422A43F">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1241" w:type="dxa"/>
            <w:noWrap w:val="0"/>
            <w:vAlign w:val="center"/>
          </w:tcPr>
          <w:p w14:paraId="3B90F687">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仿宋" w:hAnsi="仿宋" w:eastAsia="仿宋" w:cs="仿宋"/>
                <w:i w:val="0"/>
                <w:iCs w:val="0"/>
                <w:color w:val="auto"/>
                <w:kern w:val="0"/>
                <w:sz w:val="28"/>
                <w:szCs w:val="28"/>
                <w:highlight w:val="none"/>
                <w:vertAlign w:val="baseline"/>
                <w:lang w:val="en-US" w:eastAsia="zh-CN" w:bidi="ar"/>
              </w:rPr>
            </w:pPr>
            <w:r>
              <w:rPr>
                <w:rFonts w:hint="eastAsia" w:ascii="仿宋" w:hAnsi="仿宋" w:eastAsia="仿宋" w:cs="仿宋"/>
                <w:i w:val="0"/>
                <w:iCs w:val="0"/>
                <w:color w:val="auto"/>
                <w:kern w:val="0"/>
                <w:sz w:val="24"/>
                <w:szCs w:val="24"/>
                <w:highlight w:val="none"/>
                <w:vertAlign w:val="baseline"/>
                <w:lang w:val="en-US" w:eastAsia="zh-CN" w:bidi="ar"/>
              </w:rPr>
              <w:t>第三标段</w:t>
            </w:r>
          </w:p>
        </w:tc>
        <w:tc>
          <w:tcPr>
            <w:tcW w:w="3065" w:type="dxa"/>
            <w:vMerge w:val="continue"/>
            <w:noWrap w:val="0"/>
            <w:vAlign w:val="center"/>
          </w:tcPr>
          <w:p w14:paraId="3D1DD46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left"/>
              <w:textAlignment w:val="auto"/>
              <w:rPr>
                <w:rFonts w:hint="eastAsia" w:ascii="仿宋" w:hAnsi="仿宋" w:eastAsia="仿宋" w:cs="仿宋"/>
                <w:i w:val="0"/>
                <w:iCs w:val="0"/>
                <w:color w:val="auto"/>
                <w:sz w:val="28"/>
                <w:szCs w:val="28"/>
                <w:highlight w:val="none"/>
                <w:vertAlign w:val="baseline"/>
                <w:lang w:val="en-US" w:eastAsia="zh-CN"/>
              </w:rPr>
            </w:pPr>
          </w:p>
        </w:tc>
        <w:tc>
          <w:tcPr>
            <w:tcW w:w="1176" w:type="dxa"/>
            <w:noWrap w:val="0"/>
            <w:vAlign w:val="center"/>
          </w:tcPr>
          <w:p w14:paraId="25A4EB2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4895.6</w:t>
            </w:r>
          </w:p>
        </w:tc>
        <w:tc>
          <w:tcPr>
            <w:tcW w:w="736" w:type="dxa"/>
            <w:noWrap w:val="0"/>
            <w:vAlign w:val="center"/>
          </w:tcPr>
          <w:p w14:paraId="2724354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rPr>
            </w:pPr>
            <w:r>
              <w:rPr>
                <w:rFonts w:hint="eastAsia" w:ascii="仿宋" w:hAnsi="仿宋" w:eastAsia="仿宋" w:cs="仿宋"/>
                <w:i w:val="0"/>
                <w:iCs w:val="0"/>
                <w:color w:val="auto"/>
                <w:sz w:val="24"/>
                <w:szCs w:val="24"/>
                <w:highlight w:val="none"/>
                <w:vertAlign w:val="baseline"/>
                <w:lang w:val="en-US" w:eastAsia="zh-CN"/>
              </w:rPr>
              <w:t>亩</w:t>
            </w:r>
          </w:p>
        </w:tc>
        <w:tc>
          <w:tcPr>
            <w:tcW w:w="1036" w:type="dxa"/>
            <w:noWrap w:val="0"/>
            <w:vAlign w:val="center"/>
          </w:tcPr>
          <w:p w14:paraId="7F7CE39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aps w:val="0"/>
                <w:color w:val="auto"/>
                <w:spacing w:val="12"/>
                <w:sz w:val="28"/>
                <w:szCs w:val="28"/>
                <w:lang w:val="en-US" w:eastAsia="zh-CN"/>
              </w:rPr>
            </w:pPr>
            <w:r>
              <w:rPr>
                <w:rFonts w:hint="eastAsia" w:ascii="仿宋" w:hAnsi="仿宋" w:eastAsia="仿宋" w:cs="仿宋"/>
                <w:i w:val="0"/>
                <w:iCs w:val="0"/>
                <w:caps w:val="0"/>
                <w:color w:val="auto"/>
                <w:spacing w:val="12"/>
                <w:sz w:val="24"/>
                <w:szCs w:val="24"/>
                <w:highlight w:val="none"/>
                <w:lang w:val="en-US" w:eastAsia="zh-CN"/>
              </w:rPr>
              <w:t>300元</w:t>
            </w:r>
          </w:p>
        </w:tc>
        <w:tc>
          <w:tcPr>
            <w:tcW w:w="1514" w:type="dxa"/>
            <w:noWrap w:val="0"/>
            <w:vAlign w:val="center"/>
          </w:tcPr>
          <w:p w14:paraId="4AB8F99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120" w:lineRule="auto"/>
              <w:ind w:left="0" w:leftChars="0" w:right="0" w:rightChars="0"/>
              <w:jc w:val="center"/>
              <w:textAlignment w:val="auto"/>
              <w:rPr>
                <w:rFonts w:hint="eastAsia" w:ascii="仿宋" w:hAnsi="仿宋" w:eastAsia="仿宋" w:cs="仿宋"/>
                <w:i w:val="0"/>
                <w:iCs w:val="0"/>
                <w:color w:val="auto"/>
                <w:sz w:val="28"/>
                <w:szCs w:val="28"/>
                <w:lang w:val="en-US" w:eastAsia="zh-CN"/>
              </w:rPr>
            </w:pPr>
            <w:r>
              <w:rPr>
                <w:rFonts w:hint="eastAsia" w:ascii="仿宋" w:hAnsi="仿宋" w:eastAsia="仿宋" w:cs="仿宋"/>
                <w:i w:val="0"/>
                <w:iCs w:val="0"/>
                <w:color w:val="auto"/>
                <w:sz w:val="24"/>
                <w:szCs w:val="24"/>
                <w:lang w:val="en-US" w:eastAsia="zh-CN"/>
              </w:rPr>
              <w:t>临翔区五老山国有林场（65-91小班）</w:t>
            </w:r>
          </w:p>
        </w:tc>
      </w:tr>
    </w:tbl>
    <w:p w14:paraId="1444251A">
      <w:pPr>
        <w:keepNext w:val="0"/>
        <w:keepLines w:val="0"/>
        <w:pageBreakBefore w:val="0"/>
        <w:kinsoku/>
        <w:wordWrap/>
        <w:overflowPunct/>
        <w:topLinePunct w:val="0"/>
        <w:autoSpaceDE/>
        <w:autoSpaceDN/>
        <w:bidi w:val="0"/>
        <w:adjustRightInd/>
        <w:snapToGrid/>
        <w:spacing w:beforeAutospacing="0" w:line="480" w:lineRule="auto"/>
        <w:ind w:firstLine="562" w:firstLineChars="200"/>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（三）质量要求：满足《森林抚育规程》和《森林采伐作业规程》等相关要求。</w:t>
      </w:r>
    </w:p>
    <w:p w14:paraId="538115DD">
      <w:pPr>
        <w:keepNext w:val="0"/>
        <w:keepLines w:val="0"/>
        <w:pageBreakBefore w:val="0"/>
        <w:widowControl/>
        <w:suppressLineNumbers w:val="0"/>
        <w:kinsoku/>
        <w:wordWrap/>
        <w:overflowPunct/>
        <w:topLinePunct w:val="0"/>
        <w:autoSpaceDE/>
        <w:autoSpaceDN/>
        <w:bidi w:val="0"/>
        <w:adjustRightInd/>
        <w:snapToGrid/>
        <w:spacing w:line="480" w:lineRule="auto"/>
        <w:ind w:firstLine="562" w:firstLineChars="200"/>
        <w:jc w:val="left"/>
        <w:textAlignment w:val="auto"/>
        <w:rPr>
          <w:rFonts w:hint="eastAsia" w:ascii="仿宋" w:hAnsi="仿宋" w:eastAsia="仿宋" w:cs="仿宋"/>
          <w:b/>
          <w:bCs/>
          <w:color w:val="000000"/>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rPr>
        <w:t>（四）</w:t>
      </w:r>
      <w:r>
        <w:rPr>
          <w:rFonts w:hint="eastAsia" w:ascii="仿宋" w:hAnsi="仿宋" w:eastAsia="仿宋" w:cs="仿宋"/>
          <w:b/>
          <w:bCs/>
          <w:color w:val="000000"/>
          <w:kern w:val="0"/>
          <w:sz w:val="28"/>
          <w:szCs w:val="28"/>
          <w:highlight w:val="none"/>
          <w:lang w:val="en-US" w:eastAsia="zh-CN" w:bidi="ar"/>
        </w:rPr>
        <w:t>作业内容及技术要求</w:t>
      </w:r>
    </w:p>
    <w:p w14:paraId="7E5FC9FE">
      <w:pPr>
        <w:keepNext w:val="0"/>
        <w:keepLines w:val="0"/>
        <w:widowControl/>
        <w:suppressLineNumbers w:val="0"/>
        <w:ind w:firstLine="280" w:firstLineChars="100"/>
        <w:jc w:val="left"/>
        <w:rPr>
          <w:rFonts w:hint="eastAsia" w:ascii="仿宋" w:hAnsi="仿宋" w:eastAsia="仿宋" w:cs="仿宋"/>
          <w:i w:val="0"/>
          <w:iCs w:val="0"/>
          <w:color w:val="auto"/>
          <w:sz w:val="28"/>
          <w:szCs w:val="28"/>
          <w:highlight w:val="none"/>
          <w:lang w:val="en-US" w:eastAsia="zh-CN"/>
        </w:rPr>
      </w:pPr>
      <w:r>
        <w:rPr>
          <w:rFonts w:hint="eastAsia" w:ascii="仿宋" w:hAnsi="仿宋" w:eastAsia="仿宋" w:cs="仿宋"/>
          <w:i w:val="0"/>
          <w:iCs w:val="0"/>
          <w:color w:val="auto"/>
          <w:sz w:val="28"/>
          <w:szCs w:val="28"/>
          <w:highlight w:val="none"/>
          <w:lang w:val="en-US" w:eastAsia="zh-CN"/>
        </w:rPr>
        <w:t>临翔区2024年第二批中央财政森林可持续经营项目计划任务15000亩，区划作业小班91个，</w:t>
      </w:r>
      <w:r>
        <w:rPr>
          <w:rFonts w:ascii="仿宋" w:hAnsi="仿宋" w:eastAsia="仿宋" w:cs="仿宋"/>
          <w:color w:val="000000"/>
          <w:kern w:val="0"/>
          <w:sz w:val="28"/>
          <w:szCs w:val="28"/>
          <w:lang w:val="en-US" w:eastAsia="zh-CN" w:bidi="ar"/>
        </w:rPr>
        <w:t>均位于临翔区五老山国有林场小道河片区</w:t>
      </w:r>
      <w:r>
        <w:rPr>
          <w:rFonts w:hint="eastAsia" w:ascii="仿宋" w:hAnsi="仿宋" w:eastAsia="仿宋" w:cs="仿宋"/>
          <w:i w:val="0"/>
          <w:iCs w:val="0"/>
          <w:color w:val="auto"/>
          <w:sz w:val="28"/>
          <w:szCs w:val="28"/>
          <w:highlight w:val="none"/>
          <w:lang w:val="en-US" w:eastAsia="zh-CN"/>
        </w:rPr>
        <w:t>。</w:t>
      </w:r>
    </w:p>
    <w:p w14:paraId="1A073680">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000000"/>
          <w:kern w:val="0"/>
          <w:sz w:val="28"/>
          <w:szCs w:val="28"/>
          <w:highlight w:val="green"/>
          <w:lang w:val="en-US" w:eastAsia="zh-CN" w:bidi="ar"/>
        </w:rPr>
      </w:pPr>
      <w:r>
        <w:rPr>
          <w:rFonts w:hint="eastAsia" w:ascii="仿宋" w:hAnsi="仿宋" w:eastAsia="仿宋" w:cs="仿宋"/>
          <w:i w:val="0"/>
          <w:iCs w:val="0"/>
          <w:color w:val="auto"/>
          <w:sz w:val="28"/>
          <w:szCs w:val="28"/>
          <w:highlight w:val="none"/>
          <w:lang w:val="en-US" w:eastAsia="zh-CN"/>
        </w:rPr>
        <w:t>选择的抚育对象林种有用材林（商品林）和防护林、特种用途林（公益林），起源为人工、天然，龄组为中龄林、近熟林，优势树种为华山松、云南松、栎类、桤木，伴生树种为栎类、桤木、其他阔叶；林分郁闭度在0.70至0.90之间；林下局部分布有栎类幼树，灌木主要有杨梅、杜鹃、厚皮香、雀李子、野山茶等，高度 0.8m～2.8m，盖度10%至25%之间；草本主要有野坝蒿、悬钩子、蕨类、紫茎泽兰等，盖度10%至55%之间，林分密度大，竞争激烈，分化明显，林木自然整枝不良，林木胸径连年生长量显著下降，枯死木、濒死木数量增多，已影响到目的树种的生长，根据现地情况及多种要素综合考虑，对于公益林（防护林、特种用途林）采取疏伐的抚育方式，对于商品林（用材林）采取生长伐的抚育方式</w:t>
      </w:r>
      <w:r>
        <w:rPr>
          <w:rFonts w:hint="eastAsia" w:ascii="仿宋" w:hAnsi="仿宋" w:eastAsia="仿宋" w:cs="仿宋"/>
          <w:b w:val="0"/>
          <w:bCs w:val="0"/>
          <w:color w:val="000000"/>
          <w:kern w:val="0"/>
          <w:sz w:val="28"/>
          <w:szCs w:val="28"/>
          <w:highlight w:val="none"/>
          <w:lang w:val="en-US" w:eastAsia="zh-CN" w:bidi="ar"/>
        </w:rPr>
        <w:t>。</w:t>
      </w:r>
    </w:p>
    <w:p w14:paraId="4BCCDED7">
      <w:pPr>
        <w:keepNext w:val="0"/>
        <w:keepLines w:val="0"/>
        <w:pageBreakBefore w:val="0"/>
        <w:widowControl/>
        <w:suppressLineNumbers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8"/>
          <w:szCs w:val="28"/>
          <w:lang w:val="en-US" w:eastAsia="zh-CN" w:bidi="ar"/>
        </w:rPr>
        <w:t>纳入本次抚育地块林种有用材林（商品林）和防护林（公益林），起源为人工、天然，龄组为中龄林、近熟林，优势树种为华山松、云南松、栎类、桤木；林分郁闭度在0.70至0.90之间；灌木主要有杨梅、杜鹃、厚皮香、雀李子、野山茶等，高度0.8m～2.8m，盖度10%至25%之间；草本主要有野坝蒿、悬钩子、蕨类、紫茎泽兰等，盖度10%至55%之间，林分密度大，竞争激烈，分化明显，林木自然整枝不良，林木胸径连年生长量显著下降，枯死木、濒死木数量增多，已影响到目的树种的生长，根据现地情况及多种要素综合考虑，对于防护林（公益林）采取疏伐的抚育方式，对于用材林（商品林）采取生长伐的抚育方式进行抚育。</w:t>
      </w:r>
    </w:p>
    <w:p w14:paraId="2B66AA0B">
      <w:pPr>
        <w:keepNext w:val="0"/>
        <w:keepLines w:val="0"/>
        <w:widowControl/>
        <w:suppressLineNumbers w:val="0"/>
        <w:ind w:firstLine="560" w:firstLineChars="200"/>
        <w:jc w:val="left"/>
        <w:rPr>
          <w:rFonts w:hint="eastAsia"/>
          <w:lang w:val="en-US" w:eastAsia="zh-CN"/>
        </w:rPr>
      </w:pPr>
      <w:r>
        <w:rPr>
          <w:rFonts w:hint="eastAsia" w:ascii="仿宋" w:hAnsi="仿宋" w:eastAsia="仿宋" w:cs="仿宋"/>
          <w:b w:val="0"/>
          <w:bCs w:val="0"/>
          <w:color w:val="000000"/>
          <w:kern w:val="0"/>
          <w:sz w:val="28"/>
          <w:szCs w:val="28"/>
          <w:lang w:val="en-US" w:eastAsia="zh-CN" w:bidi="ar"/>
        </w:rPr>
        <w:t>通过本次森林抚育实施后，项目区每亩株数在</w:t>
      </w:r>
      <w:r>
        <w:rPr>
          <w:rFonts w:hint="default" w:ascii="仿宋" w:hAnsi="仿宋" w:eastAsia="仿宋" w:cs="仿宋"/>
          <w:b w:val="0"/>
          <w:bCs w:val="0"/>
          <w:color w:val="000000"/>
          <w:kern w:val="0"/>
          <w:sz w:val="28"/>
          <w:szCs w:val="28"/>
          <w:lang w:val="en-US" w:eastAsia="zh-CN" w:bidi="ar"/>
        </w:rPr>
        <w:t>40</w:t>
      </w:r>
      <w:r>
        <w:rPr>
          <w:rFonts w:hint="eastAsia" w:ascii="仿宋" w:hAnsi="仿宋" w:eastAsia="仿宋" w:cs="仿宋"/>
          <w:b w:val="0"/>
          <w:bCs w:val="0"/>
          <w:color w:val="000000"/>
          <w:kern w:val="0"/>
          <w:sz w:val="28"/>
          <w:szCs w:val="28"/>
          <w:lang w:val="en-US" w:eastAsia="zh-CN" w:bidi="ar"/>
        </w:rPr>
        <w:t>株</w:t>
      </w:r>
      <w:r>
        <w:rPr>
          <w:rFonts w:hint="default" w:ascii="Times New Roman" w:hAnsi="Times New Roman" w:eastAsia="宋体" w:cs="Times New Roman"/>
          <w:color w:val="000000"/>
          <w:kern w:val="0"/>
          <w:sz w:val="28"/>
          <w:szCs w:val="28"/>
          <w:lang w:val="en-US" w:eastAsia="zh-CN" w:bidi="ar"/>
        </w:rPr>
        <w:t>~</w:t>
      </w:r>
      <w:r>
        <w:rPr>
          <w:rFonts w:hint="default" w:ascii="仿宋" w:hAnsi="仿宋" w:eastAsia="仿宋" w:cs="仿宋"/>
          <w:b w:val="0"/>
          <w:bCs w:val="0"/>
          <w:color w:val="000000"/>
          <w:kern w:val="0"/>
          <w:sz w:val="28"/>
          <w:szCs w:val="28"/>
          <w:lang w:val="en-US" w:eastAsia="zh-CN" w:bidi="ar"/>
        </w:rPr>
        <w:t>82</w:t>
      </w:r>
      <w:r>
        <w:rPr>
          <w:rFonts w:hint="eastAsia" w:ascii="仿宋" w:hAnsi="仿宋" w:eastAsia="仿宋" w:cs="仿宋"/>
          <w:b w:val="0"/>
          <w:bCs w:val="0"/>
          <w:color w:val="000000"/>
          <w:kern w:val="0"/>
          <w:sz w:val="28"/>
          <w:szCs w:val="28"/>
          <w:lang w:val="en-US" w:eastAsia="zh-CN" w:bidi="ar"/>
        </w:rPr>
        <w:t>株之间，符合《云南省天保工程森林抚育作业设计操作细则》中相关规定。</w:t>
      </w:r>
    </w:p>
    <w:sectPr>
      <w:headerReference r:id="rId5" w:type="default"/>
      <w:footerReference r:id="rId6" w:type="default"/>
      <w:pgSz w:w="11906" w:h="16838"/>
      <w:pgMar w:top="1440" w:right="1080" w:bottom="1440" w:left="1080" w:header="850" w:footer="992" w:gutter="0"/>
      <w:pgNumType w:fmt="decimal" w:start="1"/>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16" w:usb3="00000000" w:csb0="6006009F" w:csb1="DFD7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Wingdings 2">
    <w:altName w:val="Wingdings"/>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D214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CBE71">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C8CBE71">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89B23">
    <w:pPr>
      <w:pStyle w:val="16"/>
      <w:pBdr>
        <w:bottom w:val="none" w:color="auto" w:sz="0" w:space="0"/>
      </w:pBdr>
      <w:jc w:val="left"/>
      <w:rPr>
        <w:rFonts w:hint="default" w:eastAsia="宋体"/>
        <w:sz w:val="21"/>
        <w:szCs w:val="32"/>
        <w:u w:val="single"/>
        <w:lang w:val="en-US" w:eastAsia="zh-CN"/>
      </w:rPr>
    </w:pPr>
    <w:r>
      <w:rPr>
        <w:rFonts w:hint="eastAsia"/>
        <w:sz w:val="21"/>
        <w:szCs w:val="32"/>
        <w:u w:val="single"/>
        <w:lang w:val="en-US" w:eastAsia="zh-CN"/>
      </w:rPr>
      <w:t xml:space="preserve">临翔区2024年第二批中央财政森林可持续经营项目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68B89">
    <w:pPr>
      <w:pStyle w:val="16"/>
      <w:jc w:val="both"/>
      <w:rPr>
        <w:rFonts w:hint="eastAsia"/>
      </w:rPr>
    </w:pPr>
    <w:r>
      <w:rPr>
        <w:rFonts w:hint="eastAsia" w:ascii="宋体"/>
        <w:lang w:val="en-GB" w:eastAsia="zh-CN"/>
      </w:rPr>
      <w:t>临翔区2024年第二批中央财政森林可持续经营项目</w:t>
    </w:r>
    <w:r>
      <w:rPr>
        <w:rFonts w:hint="eastAsia" w:ascii="宋体"/>
        <w:lang w:val="en-GB"/>
      </w:rPr>
      <w:t xml:space="preserve">                                </w:t>
    </w:r>
    <w:r>
      <w:rPr>
        <w:rFonts w:hint="eastAsia" w:ascii="宋体"/>
      </w:rPr>
      <w:t xml:space="preserve">                                           招标编号：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1DF16">
    <w:pPr>
      <w:pStyle w:val="16"/>
    </w:pPr>
    <w:r>
      <w:rPr>
        <w:rFonts w:hint="eastAsia"/>
        <w:sz w:val="21"/>
        <w:szCs w:val="32"/>
        <w:u w:val="single"/>
        <w:lang w:val="en-US" w:eastAsia="zh-CN"/>
      </w:rPr>
      <w:t>临翔区2024年第二批中央财政森林可持续经营项目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F40A6"/>
    <w:multiLevelType w:val="singleLevel"/>
    <w:tmpl w:val="9C9F40A6"/>
    <w:lvl w:ilvl="0" w:tentative="0">
      <w:start w:val="2"/>
      <w:numFmt w:val="decimal"/>
      <w:suff w:val="nothing"/>
      <w:lvlText w:val="%1、"/>
      <w:lvlJc w:val="left"/>
      <w:pPr>
        <w:widowControl/>
        <w:textAlignment w:val="baseline"/>
      </w:pPr>
      <w:rPr>
        <w:rStyle w:val="38"/>
      </w:rPr>
    </w:lvl>
  </w:abstractNum>
  <w:abstractNum w:abstractNumId="1">
    <w:nsid w:val="B238863A"/>
    <w:multiLevelType w:val="singleLevel"/>
    <w:tmpl w:val="B238863A"/>
    <w:lvl w:ilvl="0" w:tentative="0">
      <w:start w:val="3"/>
      <w:numFmt w:val="decimal"/>
      <w:suff w:val="nothing"/>
      <w:lvlText w:val="（%1）"/>
      <w:lvlJc w:val="left"/>
    </w:lvl>
  </w:abstractNum>
  <w:abstractNum w:abstractNumId="2">
    <w:nsid w:val="FD564078"/>
    <w:multiLevelType w:val="singleLevel"/>
    <w:tmpl w:val="FD564078"/>
    <w:lvl w:ilvl="0" w:tentative="0">
      <w:start w:val="2"/>
      <w:numFmt w:val="decimal"/>
      <w:suff w:val="nothing"/>
      <w:lvlText w:val="%1、"/>
      <w:lvlJc w:val="left"/>
      <w:pPr>
        <w:widowControl/>
        <w:textAlignment w:val="baseline"/>
      </w:pPr>
      <w:rPr>
        <w:rStyle w:val="38"/>
      </w:rPr>
    </w:lvl>
  </w:abstractNum>
  <w:abstractNum w:abstractNumId="3">
    <w:nsid w:val="1E1E2CC0"/>
    <w:multiLevelType w:val="singleLevel"/>
    <w:tmpl w:val="1E1E2CC0"/>
    <w:lvl w:ilvl="0" w:tentative="0">
      <w:start w:val="1"/>
      <w:numFmt w:val="decimal"/>
      <w:suff w:val="space"/>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21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D0518"/>
    <w:rsid w:val="001A64C4"/>
    <w:rsid w:val="001E40CA"/>
    <w:rsid w:val="00207D7F"/>
    <w:rsid w:val="002235CA"/>
    <w:rsid w:val="00247343"/>
    <w:rsid w:val="002B1744"/>
    <w:rsid w:val="00345998"/>
    <w:rsid w:val="00351550"/>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C6C96"/>
    <w:rsid w:val="009444C8"/>
    <w:rsid w:val="009A37BE"/>
    <w:rsid w:val="009B646F"/>
    <w:rsid w:val="009C15CF"/>
    <w:rsid w:val="009D66E9"/>
    <w:rsid w:val="00A53833"/>
    <w:rsid w:val="00A66EA3"/>
    <w:rsid w:val="00A9146D"/>
    <w:rsid w:val="00AD558A"/>
    <w:rsid w:val="00C46C1F"/>
    <w:rsid w:val="00C621A8"/>
    <w:rsid w:val="00D2781B"/>
    <w:rsid w:val="00D97299"/>
    <w:rsid w:val="00E80370"/>
    <w:rsid w:val="00EB1C0E"/>
    <w:rsid w:val="00EB7E60"/>
    <w:rsid w:val="00ED22B8"/>
    <w:rsid w:val="00F46D15"/>
    <w:rsid w:val="00F841D9"/>
    <w:rsid w:val="01001B5E"/>
    <w:rsid w:val="010325AD"/>
    <w:rsid w:val="01070785"/>
    <w:rsid w:val="011B62C9"/>
    <w:rsid w:val="011E5D1D"/>
    <w:rsid w:val="0123417D"/>
    <w:rsid w:val="01242E93"/>
    <w:rsid w:val="012E3662"/>
    <w:rsid w:val="012E506E"/>
    <w:rsid w:val="0132783D"/>
    <w:rsid w:val="013D4B60"/>
    <w:rsid w:val="01415CD2"/>
    <w:rsid w:val="01521C8D"/>
    <w:rsid w:val="015977B8"/>
    <w:rsid w:val="015B4987"/>
    <w:rsid w:val="0160564A"/>
    <w:rsid w:val="01687703"/>
    <w:rsid w:val="016E5167"/>
    <w:rsid w:val="016F0A91"/>
    <w:rsid w:val="016F6AE2"/>
    <w:rsid w:val="01761E20"/>
    <w:rsid w:val="017B2ECF"/>
    <w:rsid w:val="017E2CDF"/>
    <w:rsid w:val="017E6F26"/>
    <w:rsid w:val="017F0574"/>
    <w:rsid w:val="01822579"/>
    <w:rsid w:val="01877B89"/>
    <w:rsid w:val="018A642C"/>
    <w:rsid w:val="018A7679"/>
    <w:rsid w:val="018C6405"/>
    <w:rsid w:val="018E0F64"/>
    <w:rsid w:val="01981D96"/>
    <w:rsid w:val="019B7433"/>
    <w:rsid w:val="019C7431"/>
    <w:rsid w:val="01A06E9D"/>
    <w:rsid w:val="01A7278B"/>
    <w:rsid w:val="01AC75F0"/>
    <w:rsid w:val="01B0383C"/>
    <w:rsid w:val="01B354EA"/>
    <w:rsid w:val="01C41A91"/>
    <w:rsid w:val="01C928D7"/>
    <w:rsid w:val="01CA77E2"/>
    <w:rsid w:val="01CF13BE"/>
    <w:rsid w:val="01D60109"/>
    <w:rsid w:val="01DD59FB"/>
    <w:rsid w:val="01E274B5"/>
    <w:rsid w:val="01E55C7F"/>
    <w:rsid w:val="01FA0599"/>
    <w:rsid w:val="02045F07"/>
    <w:rsid w:val="02054F52"/>
    <w:rsid w:val="020E57A9"/>
    <w:rsid w:val="02225B04"/>
    <w:rsid w:val="02261BE3"/>
    <w:rsid w:val="02345366"/>
    <w:rsid w:val="023B2552"/>
    <w:rsid w:val="02430DFA"/>
    <w:rsid w:val="02493090"/>
    <w:rsid w:val="024E26D4"/>
    <w:rsid w:val="024E4B4B"/>
    <w:rsid w:val="0250441F"/>
    <w:rsid w:val="02587C53"/>
    <w:rsid w:val="025D214D"/>
    <w:rsid w:val="025E1380"/>
    <w:rsid w:val="025F4662"/>
    <w:rsid w:val="02631013"/>
    <w:rsid w:val="026709FD"/>
    <w:rsid w:val="02694D8D"/>
    <w:rsid w:val="026954E1"/>
    <w:rsid w:val="026E18F2"/>
    <w:rsid w:val="0270061D"/>
    <w:rsid w:val="027579AB"/>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75DA"/>
    <w:rsid w:val="02BF15A4"/>
    <w:rsid w:val="02C66262"/>
    <w:rsid w:val="02D405AB"/>
    <w:rsid w:val="02DC2156"/>
    <w:rsid w:val="02E122B3"/>
    <w:rsid w:val="02EB777A"/>
    <w:rsid w:val="02F235B8"/>
    <w:rsid w:val="02F661CE"/>
    <w:rsid w:val="02FB392D"/>
    <w:rsid w:val="030516AD"/>
    <w:rsid w:val="03060C74"/>
    <w:rsid w:val="03084CFA"/>
    <w:rsid w:val="030F35FF"/>
    <w:rsid w:val="03123DCA"/>
    <w:rsid w:val="03127926"/>
    <w:rsid w:val="031439CE"/>
    <w:rsid w:val="031C26D3"/>
    <w:rsid w:val="03250E34"/>
    <w:rsid w:val="032633D2"/>
    <w:rsid w:val="0326672B"/>
    <w:rsid w:val="032D4760"/>
    <w:rsid w:val="03311CD5"/>
    <w:rsid w:val="03345AEF"/>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8344F3"/>
    <w:rsid w:val="038832EC"/>
    <w:rsid w:val="038C58AA"/>
    <w:rsid w:val="03962305"/>
    <w:rsid w:val="03A46726"/>
    <w:rsid w:val="03B10EED"/>
    <w:rsid w:val="03B12C38"/>
    <w:rsid w:val="03BE7AAE"/>
    <w:rsid w:val="03C230FA"/>
    <w:rsid w:val="03C26546"/>
    <w:rsid w:val="03C875B9"/>
    <w:rsid w:val="03D1158F"/>
    <w:rsid w:val="03D24F8B"/>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7091D"/>
    <w:rsid w:val="0438330A"/>
    <w:rsid w:val="043A3225"/>
    <w:rsid w:val="043B546A"/>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0144A"/>
    <w:rsid w:val="04936FD0"/>
    <w:rsid w:val="049E3BEA"/>
    <w:rsid w:val="04A7716F"/>
    <w:rsid w:val="04BA09AD"/>
    <w:rsid w:val="04BB7EC7"/>
    <w:rsid w:val="04BC08B4"/>
    <w:rsid w:val="04C17856"/>
    <w:rsid w:val="04C6507D"/>
    <w:rsid w:val="04D566C2"/>
    <w:rsid w:val="04D76CB9"/>
    <w:rsid w:val="04D90435"/>
    <w:rsid w:val="04DF01B0"/>
    <w:rsid w:val="04E06B6F"/>
    <w:rsid w:val="04E22F90"/>
    <w:rsid w:val="04EB042F"/>
    <w:rsid w:val="04F52115"/>
    <w:rsid w:val="04F74489"/>
    <w:rsid w:val="04FA68C4"/>
    <w:rsid w:val="05012311"/>
    <w:rsid w:val="05094D59"/>
    <w:rsid w:val="050A505C"/>
    <w:rsid w:val="051060E7"/>
    <w:rsid w:val="05297B69"/>
    <w:rsid w:val="053578FC"/>
    <w:rsid w:val="053973EC"/>
    <w:rsid w:val="05400FE8"/>
    <w:rsid w:val="05432019"/>
    <w:rsid w:val="05455862"/>
    <w:rsid w:val="05455DAE"/>
    <w:rsid w:val="05471C86"/>
    <w:rsid w:val="054C45FF"/>
    <w:rsid w:val="05504736"/>
    <w:rsid w:val="055802F1"/>
    <w:rsid w:val="05663F59"/>
    <w:rsid w:val="056E08C6"/>
    <w:rsid w:val="05701DE5"/>
    <w:rsid w:val="057551AC"/>
    <w:rsid w:val="057E7A3A"/>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D1002"/>
    <w:rsid w:val="05D610DF"/>
    <w:rsid w:val="05D67816"/>
    <w:rsid w:val="05D81EC4"/>
    <w:rsid w:val="05D961F6"/>
    <w:rsid w:val="05DB1844"/>
    <w:rsid w:val="05DB66F5"/>
    <w:rsid w:val="05E337FC"/>
    <w:rsid w:val="05E36C9D"/>
    <w:rsid w:val="05E76509"/>
    <w:rsid w:val="05E946BE"/>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E36D3"/>
    <w:rsid w:val="068B011B"/>
    <w:rsid w:val="06927A7D"/>
    <w:rsid w:val="06986941"/>
    <w:rsid w:val="06A425EB"/>
    <w:rsid w:val="06B119B0"/>
    <w:rsid w:val="06B331CE"/>
    <w:rsid w:val="06B807E5"/>
    <w:rsid w:val="06B85547"/>
    <w:rsid w:val="06BF7DC5"/>
    <w:rsid w:val="06C07699"/>
    <w:rsid w:val="06C23C64"/>
    <w:rsid w:val="06C62F02"/>
    <w:rsid w:val="06C71910"/>
    <w:rsid w:val="06CA6D2B"/>
    <w:rsid w:val="06D85CEA"/>
    <w:rsid w:val="06DF3FC3"/>
    <w:rsid w:val="06E31D05"/>
    <w:rsid w:val="06E6549E"/>
    <w:rsid w:val="06F4329F"/>
    <w:rsid w:val="07044E92"/>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B55A3"/>
    <w:rsid w:val="073F2CB4"/>
    <w:rsid w:val="074107DA"/>
    <w:rsid w:val="07487DBA"/>
    <w:rsid w:val="074958E1"/>
    <w:rsid w:val="074F69AE"/>
    <w:rsid w:val="07503F44"/>
    <w:rsid w:val="07562564"/>
    <w:rsid w:val="07591FC8"/>
    <w:rsid w:val="07603356"/>
    <w:rsid w:val="076646E5"/>
    <w:rsid w:val="07783EDF"/>
    <w:rsid w:val="077A3CEC"/>
    <w:rsid w:val="07901266"/>
    <w:rsid w:val="07973FC4"/>
    <w:rsid w:val="0797664C"/>
    <w:rsid w:val="07985882"/>
    <w:rsid w:val="079D1F14"/>
    <w:rsid w:val="07A528A7"/>
    <w:rsid w:val="07A859AB"/>
    <w:rsid w:val="07AA20DF"/>
    <w:rsid w:val="07AB0349"/>
    <w:rsid w:val="07AB18D9"/>
    <w:rsid w:val="07AD6D60"/>
    <w:rsid w:val="07B92A66"/>
    <w:rsid w:val="07BB3768"/>
    <w:rsid w:val="07BD69FF"/>
    <w:rsid w:val="07C11C3C"/>
    <w:rsid w:val="07C531B9"/>
    <w:rsid w:val="07CF534D"/>
    <w:rsid w:val="07D02006"/>
    <w:rsid w:val="07D22F80"/>
    <w:rsid w:val="07EA47F3"/>
    <w:rsid w:val="07ED0962"/>
    <w:rsid w:val="07ED23B2"/>
    <w:rsid w:val="07F47710"/>
    <w:rsid w:val="07F61294"/>
    <w:rsid w:val="07F81AAA"/>
    <w:rsid w:val="08006D71"/>
    <w:rsid w:val="0808579C"/>
    <w:rsid w:val="0808754A"/>
    <w:rsid w:val="080F0D90"/>
    <w:rsid w:val="08147C9D"/>
    <w:rsid w:val="08183E10"/>
    <w:rsid w:val="081C5097"/>
    <w:rsid w:val="08266B3E"/>
    <w:rsid w:val="08297BEC"/>
    <w:rsid w:val="082C148A"/>
    <w:rsid w:val="0842185D"/>
    <w:rsid w:val="084F09BE"/>
    <w:rsid w:val="086200D7"/>
    <w:rsid w:val="08626C5A"/>
    <w:rsid w:val="087072EB"/>
    <w:rsid w:val="088704C3"/>
    <w:rsid w:val="0895702F"/>
    <w:rsid w:val="08A317B5"/>
    <w:rsid w:val="08AF3BBC"/>
    <w:rsid w:val="08B60832"/>
    <w:rsid w:val="08BF358B"/>
    <w:rsid w:val="08D132F7"/>
    <w:rsid w:val="08D56A1B"/>
    <w:rsid w:val="08DC4C5E"/>
    <w:rsid w:val="08E1680C"/>
    <w:rsid w:val="08E7666C"/>
    <w:rsid w:val="08F61060"/>
    <w:rsid w:val="09023F99"/>
    <w:rsid w:val="09074C75"/>
    <w:rsid w:val="09093579"/>
    <w:rsid w:val="09163859"/>
    <w:rsid w:val="091C32AD"/>
    <w:rsid w:val="091F2D9D"/>
    <w:rsid w:val="0925575C"/>
    <w:rsid w:val="09297778"/>
    <w:rsid w:val="092D730D"/>
    <w:rsid w:val="093E3B30"/>
    <w:rsid w:val="0946657C"/>
    <w:rsid w:val="0949375A"/>
    <w:rsid w:val="094D790A"/>
    <w:rsid w:val="09525AF8"/>
    <w:rsid w:val="09526A84"/>
    <w:rsid w:val="096B0217"/>
    <w:rsid w:val="096C4EC0"/>
    <w:rsid w:val="09771CFC"/>
    <w:rsid w:val="097924AD"/>
    <w:rsid w:val="097E749C"/>
    <w:rsid w:val="09812493"/>
    <w:rsid w:val="0987349A"/>
    <w:rsid w:val="098826F0"/>
    <w:rsid w:val="098A13E9"/>
    <w:rsid w:val="098D3783"/>
    <w:rsid w:val="098D7D07"/>
    <w:rsid w:val="098F7AE7"/>
    <w:rsid w:val="099512B1"/>
    <w:rsid w:val="09971131"/>
    <w:rsid w:val="09972BED"/>
    <w:rsid w:val="099E1F14"/>
    <w:rsid w:val="09A62A40"/>
    <w:rsid w:val="09AB2883"/>
    <w:rsid w:val="09AF18CC"/>
    <w:rsid w:val="09BC05EC"/>
    <w:rsid w:val="09BE6112"/>
    <w:rsid w:val="09C6146A"/>
    <w:rsid w:val="09D0027E"/>
    <w:rsid w:val="09D43B87"/>
    <w:rsid w:val="09DC0C8E"/>
    <w:rsid w:val="09DE7F38"/>
    <w:rsid w:val="09E22693"/>
    <w:rsid w:val="09E85885"/>
    <w:rsid w:val="09EA33AB"/>
    <w:rsid w:val="09EA59EB"/>
    <w:rsid w:val="09ED69F7"/>
    <w:rsid w:val="09EF4731"/>
    <w:rsid w:val="09F27FE0"/>
    <w:rsid w:val="09FE29B2"/>
    <w:rsid w:val="09FF78B8"/>
    <w:rsid w:val="0A014251"/>
    <w:rsid w:val="0A0564C8"/>
    <w:rsid w:val="0A104E7E"/>
    <w:rsid w:val="0A153E7D"/>
    <w:rsid w:val="0A217932"/>
    <w:rsid w:val="0A23052D"/>
    <w:rsid w:val="0A24284B"/>
    <w:rsid w:val="0A27015B"/>
    <w:rsid w:val="0A2C755F"/>
    <w:rsid w:val="0A300975"/>
    <w:rsid w:val="0A3D21C6"/>
    <w:rsid w:val="0A3E7253"/>
    <w:rsid w:val="0A415285"/>
    <w:rsid w:val="0A5A3134"/>
    <w:rsid w:val="0A5C7AF9"/>
    <w:rsid w:val="0A617AEE"/>
    <w:rsid w:val="0A6749FB"/>
    <w:rsid w:val="0A6842D0"/>
    <w:rsid w:val="0A71382C"/>
    <w:rsid w:val="0A7333A0"/>
    <w:rsid w:val="0A74450F"/>
    <w:rsid w:val="0A74648F"/>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D3A48"/>
    <w:rsid w:val="0AD674DD"/>
    <w:rsid w:val="0ADF422C"/>
    <w:rsid w:val="0AE55920"/>
    <w:rsid w:val="0AEC4D3F"/>
    <w:rsid w:val="0AEC4F01"/>
    <w:rsid w:val="0AF51214"/>
    <w:rsid w:val="0AFD2C6A"/>
    <w:rsid w:val="0B001553"/>
    <w:rsid w:val="0B0C10FF"/>
    <w:rsid w:val="0B0F145C"/>
    <w:rsid w:val="0B102511"/>
    <w:rsid w:val="0B1256F9"/>
    <w:rsid w:val="0B183F48"/>
    <w:rsid w:val="0B226B74"/>
    <w:rsid w:val="0B25175A"/>
    <w:rsid w:val="0B2529AE"/>
    <w:rsid w:val="0B287211"/>
    <w:rsid w:val="0B2B436C"/>
    <w:rsid w:val="0B3222C4"/>
    <w:rsid w:val="0B3443F6"/>
    <w:rsid w:val="0B424B21"/>
    <w:rsid w:val="0B4A55A2"/>
    <w:rsid w:val="0B4B1C27"/>
    <w:rsid w:val="0B534F80"/>
    <w:rsid w:val="0B561748"/>
    <w:rsid w:val="0B584344"/>
    <w:rsid w:val="0B5A379F"/>
    <w:rsid w:val="0B5B704A"/>
    <w:rsid w:val="0B5C1203"/>
    <w:rsid w:val="0B667B80"/>
    <w:rsid w:val="0B765A72"/>
    <w:rsid w:val="0B771B39"/>
    <w:rsid w:val="0B786794"/>
    <w:rsid w:val="0B787CDA"/>
    <w:rsid w:val="0B7F7B23"/>
    <w:rsid w:val="0B805722"/>
    <w:rsid w:val="0B867103"/>
    <w:rsid w:val="0B884C29"/>
    <w:rsid w:val="0B886B49"/>
    <w:rsid w:val="0B896BF3"/>
    <w:rsid w:val="0B8B471A"/>
    <w:rsid w:val="0B8E420A"/>
    <w:rsid w:val="0B921F8C"/>
    <w:rsid w:val="0B9679B3"/>
    <w:rsid w:val="0B972ACE"/>
    <w:rsid w:val="0B9F01C5"/>
    <w:rsid w:val="0B9F54A0"/>
    <w:rsid w:val="0BA23811"/>
    <w:rsid w:val="0BAB4DBC"/>
    <w:rsid w:val="0BB27EF8"/>
    <w:rsid w:val="0BB61EAD"/>
    <w:rsid w:val="0BBC5C62"/>
    <w:rsid w:val="0BC65752"/>
    <w:rsid w:val="0BD0714E"/>
    <w:rsid w:val="0BE66B6F"/>
    <w:rsid w:val="0BE81B6C"/>
    <w:rsid w:val="0BEF4CA9"/>
    <w:rsid w:val="0BF027CF"/>
    <w:rsid w:val="0BF91ACF"/>
    <w:rsid w:val="0BFD5D61"/>
    <w:rsid w:val="0C0B585A"/>
    <w:rsid w:val="0C1069CD"/>
    <w:rsid w:val="0C110C8D"/>
    <w:rsid w:val="0C140B52"/>
    <w:rsid w:val="0C187159"/>
    <w:rsid w:val="0C197BB6"/>
    <w:rsid w:val="0C1A522D"/>
    <w:rsid w:val="0C1B4F42"/>
    <w:rsid w:val="0C222A29"/>
    <w:rsid w:val="0C245BFC"/>
    <w:rsid w:val="0C347C0D"/>
    <w:rsid w:val="0C387C9E"/>
    <w:rsid w:val="0C4072B2"/>
    <w:rsid w:val="0C48406D"/>
    <w:rsid w:val="0C4E7499"/>
    <w:rsid w:val="0C517711"/>
    <w:rsid w:val="0C541788"/>
    <w:rsid w:val="0C594C5D"/>
    <w:rsid w:val="0C5C1C12"/>
    <w:rsid w:val="0C60667A"/>
    <w:rsid w:val="0C6369FF"/>
    <w:rsid w:val="0C803AD1"/>
    <w:rsid w:val="0C830CA3"/>
    <w:rsid w:val="0C851169"/>
    <w:rsid w:val="0C9007FB"/>
    <w:rsid w:val="0C994C14"/>
    <w:rsid w:val="0CA81BE3"/>
    <w:rsid w:val="0CB17A6B"/>
    <w:rsid w:val="0CBD18CD"/>
    <w:rsid w:val="0CD02D66"/>
    <w:rsid w:val="0CD67C16"/>
    <w:rsid w:val="0CD87887"/>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562CD"/>
    <w:rsid w:val="0D091FF5"/>
    <w:rsid w:val="0D1349C7"/>
    <w:rsid w:val="0D1A3FA7"/>
    <w:rsid w:val="0D1B5561"/>
    <w:rsid w:val="0D1D43CB"/>
    <w:rsid w:val="0D20150E"/>
    <w:rsid w:val="0D293B3A"/>
    <w:rsid w:val="0D2A7E55"/>
    <w:rsid w:val="0D2C3CDA"/>
    <w:rsid w:val="0D38267F"/>
    <w:rsid w:val="0D3A6CDB"/>
    <w:rsid w:val="0D3B4742"/>
    <w:rsid w:val="0D3C2A09"/>
    <w:rsid w:val="0D464F9D"/>
    <w:rsid w:val="0D4970FC"/>
    <w:rsid w:val="0D585B80"/>
    <w:rsid w:val="0D6267B2"/>
    <w:rsid w:val="0D650A0F"/>
    <w:rsid w:val="0D68433B"/>
    <w:rsid w:val="0D8238FA"/>
    <w:rsid w:val="0D887163"/>
    <w:rsid w:val="0D8D15B7"/>
    <w:rsid w:val="0D953C0B"/>
    <w:rsid w:val="0D96694A"/>
    <w:rsid w:val="0DA536DA"/>
    <w:rsid w:val="0DBA174B"/>
    <w:rsid w:val="0DBC5B20"/>
    <w:rsid w:val="0DBE0DD6"/>
    <w:rsid w:val="0DC20725"/>
    <w:rsid w:val="0DC65EDD"/>
    <w:rsid w:val="0DCD668D"/>
    <w:rsid w:val="0DCE6B40"/>
    <w:rsid w:val="0DD56120"/>
    <w:rsid w:val="0DD57ECE"/>
    <w:rsid w:val="0DDB4F21"/>
    <w:rsid w:val="0DDE1BA7"/>
    <w:rsid w:val="0DE011D7"/>
    <w:rsid w:val="0DE369B9"/>
    <w:rsid w:val="0DE46E7A"/>
    <w:rsid w:val="0DE80AB1"/>
    <w:rsid w:val="0DEB033A"/>
    <w:rsid w:val="0DF02F5A"/>
    <w:rsid w:val="0DF21E3B"/>
    <w:rsid w:val="0DF843DB"/>
    <w:rsid w:val="0E0802A4"/>
    <w:rsid w:val="0E15651D"/>
    <w:rsid w:val="0E1924B1"/>
    <w:rsid w:val="0E19425F"/>
    <w:rsid w:val="0E286250"/>
    <w:rsid w:val="0E294B7B"/>
    <w:rsid w:val="0E2E37DD"/>
    <w:rsid w:val="0E321116"/>
    <w:rsid w:val="0E387414"/>
    <w:rsid w:val="0E3B2427"/>
    <w:rsid w:val="0E437229"/>
    <w:rsid w:val="0E4C283F"/>
    <w:rsid w:val="0E50509D"/>
    <w:rsid w:val="0E5C414B"/>
    <w:rsid w:val="0E5D23AC"/>
    <w:rsid w:val="0E602098"/>
    <w:rsid w:val="0E6422B8"/>
    <w:rsid w:val="0E64514C"/>
    <w:rsid w:val="0E666D78"/>
    <w:rsid w:val="0E675A50"/>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C08A7"/>
    <w:rsid w:val="0F5F5CA1"/>
    <w:rsid w:val="0F635443"/>
    <w:rsid w:val="0F643300"/>
    <w:rsid w:val="0F657030"/>
    <w:rsid w:val="0F7021B0"/>
    <w:rsid w:val="0F732EF4"/>
    <w:rsid w:val="0F7E015F"/>
    <w:rsid w:val="0F807D73"/>
    <w:rsid w:val="0F895414"/>
    <w:rsid w:val="0F8B4CE8"/>
    <w:rsid w:val="0F8C1048"/>
    <w:rsid w:val="0F8D22CE"/>
    <w:rsid w:val="0F8E6586"/>
    <w:rsid w:val="0F917E25"/>
    <w:rsid w:val="0F9242C9"/>
    <w:rsid w:val="0F98542E"/>
    <w:rsid w:val="0FA47D57"/>
    <w:rsid w:val="0FA90C2F"/>
    <w:rsid w:val="0FA933C0"/>
    <w:rsid w:val="0FB26719"/>
    <w:rsid w:val="0FB56209"/>
    <w:rsid w:val="0FB85B95"/>
    <w:rsid w:val="0FB87AA7"/>
    <w:rsid w:val="0FBD0627"/>
    <w:rsid w:val="0FBD6E6C"/>
    <w:rsid w:val="0FC14BAE"/>
    <w:rsid w:val="0FCA3CAF"/>
    <w:rsid w:val="0FDD306A"/>
    <w:rsid w:val="0FEF171B"/>
    <w:rsid w:val="0FF52C8D"/>
    <w:rsid w:val="0FF7412C"/>
    <w:rsid w:val="0FFF1232"/>
    <w:rsid w:val="10061C28"/>
    <w:rsid w:val="100D7DF3"/>
    <w:rsid w:val="10100C41"/>
    <w:rsid w:val="10131F62"/>
    <w:rsid w:val="101733B6"/>
    <w:rsid w:val="101E5B5C"/>
    <w:rsid w:val="10305890"/>
    <w:rsid w:val="10321608"/>
    <w:rsid w:val="103A6EA6"/>
    <w:rsid w:val="103C3F59"/>
    <w:rsid w:val="1044448D"/>
    <w:rsid w:val="1049590D"/>
    <w:rsid w:val="104B03D7"/>
    <w:rsid w:val="1057219D"/>
    <w:rsid w:val="1058689E"/>
    <w:rsid w:val="106339EB"/>
    <w:rsid w:val="106D2640"/>
    <w:rsid w:val="10710382"/>
    <w:rsid w:val="10741C20"/>
    <w:rsid w:val="107A1E80"/>
    <w:rsid w:val="10801761"/>
    <w:rsid w:val="10802FF2"/>
    <w:rsid w:val="108A0770"/>
    <w:rsid w:val="10945DC8"/>
    <w:rsid w:val="10A32505"/>
    <w:rsid w:val="10B84EDA"/>
    <w:rsid w:val="10BE2E9B"/>
    <w:rsid w:val="10C86279"/>
    <w:rsid w:val="10CD513B"/>
    <w:rsid w:val="10D03686"/>
    <w:rsid w:val="10D0681E"/>
    <w:rsid w:val="10D91A83"/>
    <w:rsid w:val="10E741A0"/>
    <w:rsid w:val="10F13271"/>
    <w:rsid w:val="10F845FF"/>
    <w:rsid w:val="10FA2FC0"/>
    <w:rsid w:val="11001706"/>
    <w:rsid w:val="11123588"/>
    <w:rsid w:val="11125D8C"/>
    <w:rsid w:val="11147D5E"/>
    <w:rsid w:val="111768B2"/>
    <w:rsid w:val="1118788E"/>
    <w:rsid w:val="111D2270"/>
    <w:rsid w:val="111F3C92"/>
    <w:rsid w:val="112A3006"/>
    <w:rsid w:val="11335637"/>
    <w:rsid w:val="11365128"/>
    <w:rsid w:val="11390774"/>
    <w:rsid w:val="11494E5B"/>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D3E53"/>
    <w:rsid w:val="1197540C"/>
    <w:rsid w:val="11A86494"/>
    <w:rsid w:val="11AC53EA"/>
    <w:rsid w:val="11BD4E2C"/>
    <w:rsid w:val="11BF336F"/>
    <w:rsid w:val="11C24C0D"/>
    <w:rsid w:val="11C42733"/>
    <w:rsid w:val="11CE35B2"/>
    <w:rsid w:val="11D42D5F"/>
    <w:rsid w:val="11D434DF"/>
    <w:rsid w:val="11D61772"/>
    <w:rsid w:val="11DF1879"/>
    <w:rsid w:val="11E22BBA"/>
    <w:rsid w:val="11ED2CA9"/>
    <w:rsid w:val="11EF16CB"/>
    <w:rsid w:val="11F03528"/>
    <w:rsid w:val="11F254F3"/>
    <w:rsid w:val="11F5472A"/>
    <w:rsid w:val="11F70371"/>
    <w:rsid w:val="11F72B09"/>
    <w:rsid w:val="12080872"/>
    <w:rsid w:val="12096398"/>
    <w:rsid w:val="120C1635"/>
    <w:rsid w:val="12173068"/>
    <w:rsid w:val="121C60CC"/>
    <w:rsid w:val="12232B93"/>
    <w:rsid w:val="122370C7"/>
    <w:rsid w:val="122B1980"/>
    <w:rsid w:val="122F22A3"/>
    <w:rsid w:val="1230027E"/>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53A2E"/>
    <w:rsid w:val="127C30F0"/>
    <w:rsid w:val="128633D3"/>
    <w:rsid w:val="12865C3B"/>
    <w:rsid w:val="128A572B"/>
    <w:rsid w:val="128B60CC"/>
    <w:rsid w:val="128C7765"/>
    <w:rsid w:val="12950A7E"/>
    <w:rsid w:val="129A3494"/>
    <w:rsid w:val="129B7938"/>
    <w:rsid w:val="129C00E6"/>
    <w:rsid w:val="129E11D6"/>
    <w:rsid w:val="12A83E03"/>
    <w:rsid w:val="12B26899"/>
    <w:rsid w:val="12B47372"/>
    <w:rsid w:val="12B72298"/>
    <w:rsid w:val="12BE53D5"/>
    <w:rsid w:val="12C43900"/>
    <w:rsid w:val="12C549B5"/>
    <w:rsid w:val="12C72A04"/>
    <w:rsid w:val="12D009A7"/>
    <w:rsid w:val="12E27EED"/>
    <w:rsid w:val="12E400DB"/>
    <w:rsid w:val="12E806A4"/>
    <w:rsid w:val="12E81133"/>
    <w:rsid w:val="12E82452"/>
    <w:rsid w:val="12EA441C"/>
    <w:rsid w:val="12EF7D0F"/>
    <w:rsid w:val="12F17558"/>
    <w:rsid w:val="12F44960"/>
    <w:rsid w:val="12F9273B"/>
    <w:rsid w:val="12F9465F"/>
    <w:rsid w:val="12FA4A1A"/>
    <w:rsid w:val="12FA5784"/>
    <w:rsid w:val="12FF557F"/>
    <w:rsid w:val="13046A01"/>
    <w:rsid w:val="13051255"/>
    <w:rsid w:val="13087DEF"/>
    <w:rsid w:val="13124E77"/>
    <w:rsid w:val="13152ADC"/>
    <w:rsid w:val="13182014"/>
    <w:rsid w:val="132711CC"/>
    <w:rsid w:val="13356BC5"/>
    <w:rsid w:val="13370CE3"/>
    <w:rsid w:val="133B434D"/>
    <w:rsid w:val="13403660"/>
    <w:rsid w:val="134753CA"/>
    <w:rsid w:val="134D6F18"/>
    <w:rsid w:val="134F24D1"/>
    <w:rsid w:val="13531FC1"/>
    <w:rsid w:val="1356385F"/>
    <w:rsid w:val="135F0966"/>
    <w:rsid w:val="13611AA6"/>
    <w:rsid w:val="13682D04"/>
    <w:rsid w:val="136E1102"/>
    <w:rsid w:val="136E24E0"/>
    <w:rsid w:val="13712447"/>
    <w:rsid w:val="13727C87"/>
    <w:rsid w:val="13743CE5"/>
    <w:rsid w:val="137B5074"/>
    <w:rsid w:val="13857CA0"/>
    <w:rsid w:val="138B7DB4"/>
    <w:rsid w:val="13904FC3"/>
    <w:rsid w:val="13A520F1"/>
    <w:rsid w:val="13A8239B"/>
    <w:rsid w:val="13AF2F6F"/>
    <w:rsid w:val="13B02153"/>
    <w:rsid w:val="13B15CBD"/>
    <w:rsid w:val="13B73E39"/>
    <w:rsid w:val="13C832D3"/>
    <w:rsid w:val="13D34EB0"/>
    <w:rsid w:val="13DD6D1E"/>
    <w:rsid w:val="13EB044B"/>
    <w:rsid w:val="13ED16DB"/>
    <w:rsid w:val="13F56BD4"/>
    <w:rsid w:val="13FC61B5"/>
    <w:rsid w:val="140A76A8"/>
    <w:rsid w:val="1415077C"/>
    <w:rsid w:val="141C06B6"/>
    <w:rsid w:val="141F1EA3"/>
    <w:rsid w:val="14202FA1"/>
    <w:rsid w:val="14294AD0"/>
    <w:rsid w:val="142C45C0"/>
    <w:rsid w:val="142E0338"/>
    <w:rsid w:val="143756AB"/>
    <w:rsid w:val="143A6CDD"/>
    <w:rsid w:val="143C0CA7"/>
    <w:rsid w:val="143F0095"/>
    <w:rsid w:val="1444190A"/>
    <w:rsid w:val="144933C4"/>
    <w:rsid w:val="144E6358"/>
    <w:rsid w:val="14525350"/>
    <w:rsid w:val="145478AB"/>
    <w:rsid w:val="14553B17"/>
    <w:rsid w:val="146A0866"/>
    <w:rsid w:val="14750D5A"/>
    <w:rsid w:val="14771CDF"/>
    <w:rsid w:val="1478068F"/>
    <w:rsid w:val="147E1869"/>
    <w:rsid w:val="1481490C"/>
    <w:rsid w:val="148443FC"/>
    <w:rsid w:val="1489218F"/>
    <w:rsid w:val="148F7C8A"/>
    <w:rsid w:val="149731AD"/>
    <w:rsid w:val="14A34882"/>
    <w:rsid w:val="14BC3B96"/>
    <w:rsid w:val="14C430D3"/>
    <w:rsid w:val="14C91E0F"/>
    <w:rsid w:val="14DA401C"/>
    <w:rsid w:val="14DE5E10"/>
    <w:rsid w:val="14EE54EC"/>
    <w:rsid w:val="14F060C1"/>
    <w:rsid w:val="14FC21E4"/>
    <w:rsid w:val="15064D30"/>
    <w:rsid w:val="1511012C"/>
    <w:rsid w:val="15172299"/>
    <w:rsid w:val="1519567E"/>
    <w:rsid w:val="151B71F4"/>
    <w:rsid w:val="151F31F3"/>
    <w:rsid w:val="1528650F"/>
    <w:rsid w:val="152B0338"/>
    <w:rsid w:val="153206E0"/>
    <w:rsid w:val="153B2D0D"/>
    <w:rsid w:val="153B4ABB"/>
    <w:rsid w:val="154020D1"/>
    <w:rsid w:val="154232FD"/>
    <w:rsid w:val="15463159"/>
    <w:rsid w:val="15482C5E"/>
    <w:rsid w:val="154E0EDE"/>
    <w:rsid w:val="15513403"/>
    <w:rsid w:val="155C4C26"/>
    <w:rsid w:val="15645A11"/>
    <w:rsid w:val="15645AE1"/>
    <w:rsid w:val="1565422D"/>
    <w:rsid w:val="15707C0F"/>
    <w:rsid w:val="15741F45"/>
    <w:rsid w:val="15743252"/>
    <w:rsid w:val="15797052"/>
    <w:rsid w:val="15810EA3"/>
    <w:rsid w:val="15826B8D"/>
    <w:rsid w:val="15883A78"/>
    <w:rsid w:val="15A00DC2"/>
    <w:rsid w:val="15A233FE"/>
    <w:rsid w:val="15A563D8"/>
    <w:rsid w:val="15AA062C"/>
    <w:rsid w:val="15AA1C40"/>
    <w:rsid w:val="15B825AF"/>
    <w:rsid w:val="15BE53E8"/>
    <w:rsid w:val="15CE3B81"/>
    <w:rsid w:val="15D15DC8"/>
    <w:rsid w:val="15D46CBD"/>
    <w:rsid w:val="15D773B8"/>
    <w:rsid w:val="15E900DF"/>
    <w:rsid w:val="15EA0595"/>
    <w:rsid w:val="15EC04AB"/>
    <w:rsid w:val="15EE21AD"/>
    <w:rsid w:val="15F7493E"/>
    <w:rsid w:val="15F97149"/>
    <w:rsid w:val="15FA2BC8"/>
    <w:rsid w:val="15FB3CF2"/>
    <w:rsid w:val="15FC63E5"/>
    <w:rsid w:val="16043E5F"/>
    <w:rsid w:val="160A4F1B"/>
    <w:rsid w:val="161E02A6"/>
    <w:rsid w:val="161E639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63CDE"/>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F90D5A"/>
    <w:rsid w:val="17033DF0"/>
    <w:rsid w:val="17073119"/>
    <w:rsid w:val="170D692B"/>
    <w:rsid w:val="17125CEF"/>
    <w:rsid w:val="17195DAB"/>
    <w:rsid w:val="171D7580"/>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B488E"/>
    <w:rsid w:val="175E2CE2"/>
    <w:rsid w:val="176522C3"/>
    <w:rsid w:val="17680005"/>
    <w:rsid w:val="176B20D9"/>
    <w:rsid w:val="176F4EEF"/>
    <w:rsid w:val="177048A0"/>
    <w:rsid w:val="1776002C"/>
    <w:rsid w:val="178A4CCC"/>
    <w:rsid w:val="179761F4"/>
    <w:rsid w:val="17A50911"/>
    <w:rsid w:val="17A82169"/>
    <w:rsid w:val="17AD77C6"/>
    <w:rsid w:val="17B172B6"/>
    <w:rsid w:val="17B9616B"/>
    <w:rsid w:val="17BD20FF"/>
    <w:rsid w:val="17BD3EAD"/>
    <w:rsid w:val="17C101CD"/>
    <w:rsid w:val="17C23271"/>
    <w:rsid w:val="17D26ACD"/>
    <w:rsid w:val="17E256C1"/>
    <w:rsid w:val="17E94CA2"/>
    <w:rsid w:val="17F16160"/>
    <w:rsid w:val="17F66A5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4A33EE"/>
    <w:rsid w:val="185540E5"/>
    <w:rsid w:val="185B674A"/>
    <w:rsid w:val="185F1661"/>
    <w:rsid w:val="186500A0"/>
    <w:rsid w:val="18731E2A"/>
    <w:rsid w:val="188873F9"/>
    <w:rsid w:val="188974FF"/>
    <w:rsid w:val="188C2500"/>
    <w:rsid w:val="1890336F"/>
    <w:rsid w:val="18934C0E"/>
    <w:rsid w:val="189C2603"/>
    <w:rsid w:val="189C3E54"/>
    <w:rsid w:val="189F2A53"/>
    <w:rsid w:val="18AB63FB"/>
    <w:rsid w:val="18B647EB"/>
    <w:rsid w:val="18B76B4E"/>
    <w:rsid w:val="18B87908"/>
    <w:rsid w:val="18C87744"/>
    <w:rsid w:val="18C94AD3"/>
    <w:rsid w:val="18CF42C0"/>
    <w:rsid w:val="18D539DE"/>
    <w:rsid w:val="18DD2922"/>
    <w:rsid w:val="18E13BCB"/>
    <w:rsid w:val="18E5280D"/>
    <w:rsid w:val="18E53A62"/>
    <w:rsid w:val="18E66902"/>
    <w:rsid w:val="18EB32E8"/>
    <w:rsid w:val="18EF453A"/>
    <w:rsid w:val="18F048F8"/>
    <w:rsid w:val="18F733EE"/>
    <w:rsid w:val="18FC77C6"/>
    <w:rsid w:val="18FE2EED"/>
    <w:rsid w:val="18FF4051"/>
    <w:rsid w:val="19037FE5"/>
    <w:rsid w:val="1912647A"/>
    <w:rsid w:val="19163B16"/>
    <w:rsid w:val="191731C4"/>
    <w:rsid w:val="19175B5B"/>
    <w:rsid w:val="19211322"/>
    <w:rsid w:val="19272AC9"/>
    <w:rsid w:val="19282B95"/>
    <w:rsid w:val="192A74E4"/>
    <w:rsid w:val="1939497F"/>
    <w:rsid w:val="193E2B61"/>
    <w:rsid w:val="193F08F1"/>
    <w:rsid w:val="19404D95"/>
    <w:rsid w:val="1940617A"/>
    <w:rsid w:val="19495369"/>
    <w:rsid w:val="194D58C8"/>
    <w:rsid w:val="19555B47"/>
    <w:rsid w:val="196138D0"/>
    <w:rsid w:val="19650358"/>
    <w:rsid w:val="196E32E1"/>
    <w:rsid w:val="196E7FD0"/>
    <w:rsid w:val="19745D87"/>
    <w:rsid w:val="197832BB"/>
    <w:rsid w:val="197A6AB8"/>
    <w:rsid w:val="197B1B58"/>
    <w:rsid w:val="198D017B"/>
    <w:rsid w:val="198F3627"/>
    <w:rsid w:val="19921C44"/>
    <w:rsid w:val="19923117"/>
    <w:rsid w:val="19996254"/>
    <w:rsid w:val="19A3296E"/>
    <w:rsid w:val="19BB08C0"/>
    <w:rsid w:val="19BB266E"/>
    <w:rsid w:val="19BE0EDD"/>
    <w:rsid w:val="19BE34F7"/>
    <w:rsid w:val="19C75DFE"/>
    <w:rsid w:val="19D159ED"/>
    <w:rsid w:val="19D6555A"/>
    <w:rsid w:val="19E03858"/>
    <w:rsid w:val="19E07505"/>
    <w:rsid w:val="19E44366"/>
    <w:rsid w:val="19E87F27"/>
    <w:rsid w:val="19F605BF"/>
    <w:rsid w:val="19FB6838"/>
    <w:rsid w:val="1A187AC0"/>
    <w:rsid w:val="1A1D693D"/>
    <w:rsid w:val="1A246465"/>
    <w:rsid w:val="1A2E1092"/>
    <w:rsid w:val="1A362C80"/>
    <w:rsid w:val="1A4077C6"/>
    <w:rsid w:val="1A444411"/>
    <w:rsid w:val="1A4771FE"/>
    <w:rsid w:val="1A4A3BD0"/>
    <w:rsid w:val="1A4C32C6"/>
    <w:rsid w:val="1A547B77"/>
    <w:rsid w:val="1A57266E"/>
    <w:rsid w:val="1A584361"/>
    <w:rsid w:val="1A6709DF"/>
    <w:rsid w:val="1A6E23B6"/>
    <w:rsid w:val="1A703458"/>
    <w:rsid w:val="1A705206"/>
    <w:rsid w:val="1A7B1A7D"/>
    <w:rsid w:val="1A930EF5"/>
    <w:rsid w:val="1A98686C"/>
    <w:rsid w:val="1A9C4A79"/>
    <w:rsid w:val="1A9F19C8"/>
    <w:rsid w:val="1AA21AC2"/>
    <w:rsid w:val="1AA50C28"/>
    <w:rsid w:val="1AA816CE"/>
    <w:rsid w:val="1AB40989"/>
    <w:rsid w:val="1AB45C98"/>
    <w:rsid w:val="1ABC07FF"/>
    <w:rsid w:val="1AC21DD8"/>
    <w:rsid w:val="1AC67940"/>
    <w:rsid w:val="1AC90DBB"/>
    <w:rsid w:val="1AE45BF4"/>
    <w:rsid w:val="1AF520D1"/>
    <w:rsid w:val="1AF672AD"/>
    <w:rsid w:val="1B0B3181"/>
    <w:rsid w:val="1B0D5496"/>
    <w:rsid w:val="1B0F349B"/>
    <w:rsid w:val="1B111794"/>
    <w:rsid w:val="1B122762"/>
    <w:rsid w:val="1B167D23"/>
    <w:rsid w:val="1B186D78"/>
    <w:rsid w:val="1B1C541C"/>
    <w:rsid w:val="1B1E0F38"/>
    <w:rsid w:val="1B31079C"/>
    <w:rsid w:val="1B487F31"/>
    <w:rsid w:val="1B5E1503"/>
    <w:rsid w:val="1B684130"/>
    <w:rsid w:val="1B711136"/>
    <w:rsid w:val="1B8233E1"/>
    <w:rsid w:val="1B823D27"/>
    <w:rsid w:val="1B862808"/>
    <w:rsid w:val="1B8D3B96"/>
    <w:rsid w:val="1B9237D6"/>
    <w:rsid w:val="1B994819"/>
    <w:rsid w:val="1B9E15EF"/>
    <w:rsid w:val="1B9F1411"/>
    <w:rsid w:val="1B9F7C16"/>
    <w:rsid w:val="1BA710FC"/>
    <w:rsid w:val="1BBB4BA7"/>
    <w:rsid w:val="1BC17CE4"/>
    <w:rsid w:val="1BC81072"/>
    <w:rsid w:val="1BCB41D7"/>
    <w:rsid w:val="1BD01938"/>
    <w:rsid w:val="1BDB6FF7"/>
    <w:rsid w:val="1BEC52B7"/>
    <w:rsid w:val="1BED2111"/>
    <w:rsid w:val="1BEF34FD"/>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5D3DF9"/>
    <w:rsid w:val="1C6173F7"/>
    <w:rsid w:val="1C657E51"/>
    <w:rsid w:val="1C6C22C0"/>
    <w:rsid w:val="1C6D5116"/>
    <w:rsid w:val="1C746976"/>
    <w:rsid w:val="1C7B0DBD"/>
    <w:rsid w:val="1C856F63"/>
    <w:rsid w:val="1C89505A"/>
    <w:rsid w:val="1C940F54"/>
    <w:rsid w:val="1C972642"/>
    <w:rsid w:val="1C9E5823"/>
    <w:rsid w:val="1CA90B4D"/>
    <w:rsid w:val="1CAF1D78"/>
    <w:rsid w:val="1CB03FE0"/>
    <w:rsid w:val="1CB669F1"/>
    <w:rsid w:val="1CBD4603"/>
    <w:rsid w:val="1CC45CDD"/>
    <w:rsid w:val="1CC730D8"/>
    <w:rsid w:val="1CCE14B3"/>
    <w:rsid w:val="1CD22F7D"/>
    <w:rsid w:val="1CDF53F1"/>
    <w:rsid w:val="1CE65C54"/>
    <w:rsid w:val="1CEB5018"/>
    <w:rsid w:val="1CEC5DFD"/>
    <w:rsid w:val="1CED0A04"/>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405B05"/>
    <w:rsid w:val="1D46666D"/>
    <w:rsid w:val="1D4806BC"/>
    <w:rsid w:val="1D483B5E"/>
    <w:rsid w:val="1D484219"/>
    <w:rsid w:val="1D4D4DFF"/>
    <w:rsid w:val="1D594678"/>
    <w:rsid w:val="1D5A03F0"/>
    <w:rsid w:val="1D5A219E"/>
    <w:rsid w:val="1D5C5F16"/>
    <w:rsid w:val="1D5D57EA"/>
    <w:rsid w:val="1D6946C0"/>
    <w:rsid w:val="1D71198C"/>
    <w:rsid w:val="1D726B9D"/>
    <w:rsid w:val="1D743279"/>
    <w:rsid w:val="1D770F9F"/>
    <w:rsid w:val="1D7B733D"/>
    <w:rsid w:val="1D840434"/>
    <w:rsid w:val="1D8B2357"/>
    <w:rsid w:val="1D907783"/>
    <w:rsid w:val="1DA62C80"/>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352C5"/>
    <w:rsid w:val="1E7F0E72"/>
    <w:rsid w:val="1E805C34"/>
    <w:rsid w:val="1E816A2F"/>
    <w:rsid w:val="1E8976CC"/>
    <w:rsid w:val="1E9539DF"/>
    <w:rsid w:val="1EAA11AA"/>
    <w:rsid w:val="1EAC7DF3"/>
    <w:rsid w:val="1EB27A1A"/>
    <w:rsid w:val="1EBF1697"/>
    <w:rsid w:val="1EC51899"/>
    <w:rsid w:val="1EC655A7"/>
    <w:rsid w:val="1ECC0E79"/>
    <w:rsid w:val="1ECE074D"/>
    <w:rsid w:val="1ED0096A"/>
    <w:rsid w:val="1ED1023E"/>
    <w:rsid w:val="1ED65854"/>
    <w:rsid w:val="1EDB74D8"/>
    <w:rsid w:val="1EE07B63"/>
    <w:rsid w:val="1EE11ECD"/>
    <w:rsid w:val="1EE47B84"/>
    <w:rsid w:val="1EEC5078"/>
    <w:rsid w:val="1EFA7794"/>
    <w:rsid w:val="1F0C74C8"/>
    <w:rsid w:val="1F1E704E"/>
    <w:rsid w:val="1F1F369F"/>
    <w:rsid w:val="1F234F3D"/>
    <w:rsid w:val="1F2B2044"/>
    <w:rsid w:val="1F2C4884"/>
    <w:rsid w:val="1F3233D2"/>
    <w:rsid w:val="1F330EF8"/>
    <w:rsid w:val="1F361D86"/>
    <w:rsid w:val="1F3A40D9"/>
    <w:rsid w:val="1F3D6657"/>
    <w:rsid w:val="1F435398"/>
    <w:rsid w:val="1F446843"/>
    <w:rsid w:val="1F446C62"/>
    <w:rsid w:val="1F447277"/>
    <w:rsid w:val="1F4A3D1F"/>
    <w:rsid w:val="1F4A708A"/>
    <w:rsid w:val="1F521969"/>
    <w:rsid w:val="1F545625"/>
    <w:rsid w:val="1F572E39"/>
    <w:rsid w:val="1F63358C"/>
    <w:rsid w:val="1F6D4C9B"/>
    <w:rsid w:val="1F813A12"/>
    <w:rsid w:val="1F851DDD"/>
    <w:rsid w:val="1F8A4FBC"/>
    <w:rsid w:val="1F8D383C"/>
    <w:rsid w:val="1F8E730E"/>
    <w:rsid w:val="1F911FE7"/>
    <w:rsid w:val="1F925C1F"/>
    <w:rsid w:val="1F936766"/>
    <w:rsid w:val="1F953AC5"/>
    <w:rsid w:val="1F9A2D26"/>
    <w:rsid w:val="1FA264A3"/>
    <w:rsid w:val="1FA923BC"/>
    <w:rsid w:val="1FAA1CAD"/>
    <w:rsid w:val="1FB37A64"/>
    <w:rsid w:val="1FB45DF0"/>
    <w:rsid w:val="1FC72E9A"/>
    <w:rsid w:val="1FCF29CF"/>
    <w:rsid w:val="1FD7645F"/>
    <w:rsid w:val="1FDD0B17"/>
    <w:rsid w:val="1FE1598A"/>
    <w:rsid w:val="1FE32951"/>
    <w:rsid w:val="1FEF4E1F"/>
    <w:rsid w:val="1FF24910"/>
    <w:rsid w:val="1FF3380D"/>
    <w:rsid w:val="200007DF"/>
    <w:rsid w:val="20011AFD"/>
    <w:rsid w:val="200239BE"/>
    <w:rsid w:val="2009466C"/>
    <w:rsid w:val="200F101E"/>
    <w:rsid w:val="20154252"/>
    <w:rsid w:val="201B3E66"/>
    <w:rsid w:val="201E5705"/>
    <w:rsid w:val="20334ED2"/>
    <w:rsid w:val="203B62B7"/>
    <w:rsid w:val="203C2CA3"/>
    <w:rsid w:val="2040567B"/>
    <w:rsid w:val="20420E63"/>
    <w:rsid w:val="205254D7"/>
    <w:rsid w:val="20526F67"/>
    <w:rsid w:val="205630F0"/>
    <w:rsid w:val="20582A63"/>
    <w:rsid w:val="20585715"/>
    <w:rsid w:val="20592BE1"/>
    <w:rsid w:val="206F5F60"/>
    <w:rsid w:val="2071222D"/>
    <w:rsid w:val="207329B3"/>
    <w:rsid w:val="20791852"/>
    <w:rsid w:val="208B2A2D"/>
    <w:rsid w:val="208E12B4"/>
    <w:rsid w:val="20924301"/>
    <w:rsid w:val="20947775"/>
    <w:rsid w:val="20972794"/>
    <w:rsid w:val="209E23A2"/>
    <w:rsid w:val="209E6186"/>
    <w:rsid w:val="209F0117"/>
    <w:rsid w:val="209F27F3"/>
    <w:rsid w:val="20A025BE"/>
    <w:rsid w:val="20A51982"/>
    <w:rsid w:val="20AC109E"/>
    <w:rsid w:val="20B10327"/>
    <w:rsid w:val="20B221AC"/>
    <w:rsid w:val="20B931EF"/>
    <w:rsid w:val="20BB1436"/>
    <w:rsid w:val="20BF4D39"/>
    <w:rsid w:val="20D109C9"/>
    <w:rsid w:val="20D32238"/>
    <w:rsid w:val="20D641EF"/>
    <w:rsid w:val="20D85D57"/>
    <w:rsid w:val="20DA32B1"/>
    <w:rsid w:val="20DF0DF0"/>
    <w:rsid w:val="20E23218"/>
    <w:rsid w:val="20E72B5B"/>
    <w:rsid w:val="20E77269"/>
    <w:rsid w:val="20EB01B3"/>
    <w:rsid w:val="20EC7F87"/>
    <w:rsid w:val="20EE03F2"/>
    <w:rsid w:val="20EF28CE"/>
    <w:rsid w:val="20F61EF1"/>
    <w:rsid w:val="20FD17BE"/>
    <w:rsid w:val="211014F1"/>
    <w:rsid w:val="211437CE"/>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E1D16"/>
    <w:rsid w:val="216058A9"/>
    <w:rsid w:val="21654660"/>
    <w:rsid w:val="216B3A9A"/>
    <w:rsid w:val="216B6728"/>
    <w:rsid w:val="216F5573"/>
    <w:rsid w:val="217D0A1F"/>
    <w:rsid w:val="217D1886"/>
    <w:rsid w:val="218216ED"/>
    <w:rsid w:val="21906E45"/>
    <w:rsid w:val="21914F6E"/>
    <w:rsid w:val="21941EA4"/>
    <w:rsid w:val="21A41C3A"/>
    <w:rsid w:val="21A909CB"/>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C0341B"/>
    <w:rsid w:val="22CC769A"/>
    <w:rsid w:val="22CF0F38"/>
    <w:rsid w:val="22D14CB0"/>
    <w:rsid w:val="22D351CD"/>
    <w:rsid w:val="22D95913"/>
    <w:rsid w:val="22DB00E0"/>
    <w:rsid w:val="22DF0D93"/>
    <w:rsid w:val="22E26EBD"/>
    <w:rsid w:val="22E5075C"/>
    <w:rsid w:val="22E85AEC"/>
    <w:rsid w:val="22EE11B0"/>
    <w:rsid w:val="22F377CF"/>
    <w:rsid w:val="22F5344F"/>
    <w:rsid w:val="22F77C76"/>
    <w:rsid w:val="22F90444"/>
    <w:rsid w:val="23007E1A"/>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E3686"/>
    <w:rsid w:val="236E4509"/>
    <w:rsid w:val="23710D16"/>
    <w:rsid w:val="237A4FBB"/>
    <w:rsid w:val="237C4C1C"/>
    <w:rsid w:val="237D3DBF"/>
    <w:rsid w:val="238031A0"/>
    <w:rsid w:val="23831236"/>
    <w:rsid w:val="238E492C"/>
    <w:rsid w:val="23A106E1"/>
    <w:rsid w:val="23A46E10"/>
    <w:rsid w:val="23B3363E"/>
    <w:rsid w:val="23B7025B"/>
    <w:rsid w:val="23B91E96"/>
    <w:rsid w:val="23DA14B2"/>
    <w:rsid w:val="23DC0185"/>
    <w:rsid w:val="23E376B2"/>
    <w:rsid w:val="23F22AA6"/>
    <w:rsid w:val="23F60DC5"/>
    <w:rsid w:val="23F72E72"/>
    <w:rsid w:val="240D651C"/>
    <w:rsid w:val="24107A5A"/>
    <w:rsid w:val="2412732E"/>
    <w:rsid w:val="241C63FF"/>
    <w:rsid w:val="241F0EFF"/>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C6164"/>
    <w:rsid w:val="248D262D"/>
    <w:rsid w:val="248D2E59"/>
    <w:rsid w:val="248D7A6F"/>
    <w:rsid w:val="24912949"/>
    <w:rsid w:val="24A700B1"/>
    <w:rsid w:val="24AD4960"/>
    <w:rsid w:val="24AF3C23"/>
    <w:rsid w:val="24B1038E"/>
    <w:rsid w:val="24B119EF"/>
    <w:rsid w:val="24B71C84"/>
    <w:rsid w:val="24BD6371"/>
    <w:rsid w:val="24BF33A4"/>
    <w:rsid w:val="24BF7404"/>
    <w:rsid w:val="24C543A1"/>
    <w:rsid w:val="24C70119"/>
    <w:rsid w:val="24CF7171"/>
    <w:rsid w:val="24D606C4"/>
    <w:rsid w:val="24DB2630"/>
    <w:rsid w:val="24DD20F9"/>
    <w:rsid w:val="24E707BB"/>
    <w:rsid w:val="24E9041A"/>
    <w:rsid w:val="24F13C4E"/>
    <w:rsid w:val="2500362B"/>
    <w:rsid w:val="25021151"/>
    <w:rsid w:val="250C4542"/>
    <w:rsid w:val="250F386E"/>
    <w:rsid w:val="25155759"/>
    <w:rsid w:val="251610A0"/>
    <w:rsid w:val="25205A7B"/>
    <w:rsid w:val="252A3087"/>
    <w:rsid w:val="252B4B4C"/>
    <w:rsid w:val="252D4FBC"/>
    <w:rsid w:val="2531393D"/>
    <w:rsid w:val="25340B7A"/>
    <w:rsid w:val="253908EB"/>
    <w:rsid w:val="254C45D5"/>
    <w:rsid w:val="2552474A"/>
    <w:rsid w:val="25584143"/>
    <w:rsid w:val="2565318A"/>
    <w:rsid w:val="256D74C3"/>
    <w:rsid w:val="256F237E"/>
    <w:rsid w:val="257C1D6A"/>
    <w:rsid w:val="25871828"/>
    <w:rsid w:val="25893620"/>
    <w:rsid w:val="25910727"/>
    <w:rsid w:val="25954889"/>
    <w:rsid w:val="2598079C"/>
    <w:rsid w:val="259C7089"/>
    <w:rsid w:val="25A27518"/>
    <w:rsid w:val="25A530AD"/>
    <w:rsid w:val="25A95DFD"/>
    <w:rsid w:val="25AD1201"/>
    <w:rsid w:val="25B12B77"/>
    <w:rsid w:val="25B3069D"/>
    <w:rsid w:val="25B439D5"/>
    <w:rsid w:val="25B63FD2"/>
    <w:rsid w:val="25B97089"/>
    <w:rsid w:val="25BA28AD"/>
    <w:rsid w:val="25BA3610"/>
    <w:rsid w:val="25BF34E6"/>
    <w:rsid w:val="25C55B68"/>
    <w:rsid w:val="25C72F98"/>
    <w:rsid w:val="25CD5C03"/>
    <w:rsid w:val="25CE54D7"/>
    <w:rsid w:val="25D36F91"/>
    <w:rsid w:val="25D424CD"/>
    <w:rsid w:val="25D7087A"/>
    <w:rsid w:val="25D725DE"/>
    <w:rsid w:val="25DA0320"/>
    <w:rsid w:val="25DC7BF4"/>
    <w:rsid w:val="25DF798B"/>
    <w:rsid w:val="25E20BC6"/>
    <w:rsid w:val="25EE4C55"/>
    <w:rsid w:val="25EE7927"/>
    <w:rsid w:val="25F27417"/>
    <w:rsid w:val="25FA62CC"/>
    <w:rsid w:val="25FD5DBC"/>
    <w:rsid w:val="25FF1B34"/>
    <w:rsid w:val="26031625"/>
    <w:rsid w:val="260962C3"/>
    <w:rsid w:val="26105AEF"/>
    <w:rsid w:val="26221B3A"/>
    <w:rsid w:val="26230F52"/>
    <w:rsid w:val="26313096"/>
    <w:rsid w:val="263A2B6C"/>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C0B28"/>
    <w:rsid w:val="26AE073F"/>
    <w:rsid w:val="26B4291F"/>
    <w:rsid w:val="26B8583B"/>
    <w:rsid w:val="26BD5C77"/>
    <w:rsid w:val="26BE5C77"/>
    <w:rsid w:val="26C64400"/>
    <w:rsid w:val="26C850AD"/>
    <w:rsid w:val="26D134D1"/>
    <w:rsid w:val="26DB0100"/>
    <w:rsid w:val="26DE174A"/>
    <w:rsid w:val="26E10EAE"/>
    <w:rsid w:val="26F15921"/>
    <w:rsid w:val="26F94FC8"/>
    <w:rsid w:val="26FC754D"/>
    <w:rsid w:val="26FE3B9A"/>
    <w:rsid w:val="270311B0"/>
    <w:rsid w:val="27042DFE"/>
    <w:rsid w:val="27050B37"/>
    <w:rsid w:val="27117D71"/>
    <w:rsid w:val="271E248E"/>
    <w:rsid w:val="271F3D3B"/>
    <w:rsid w:val="27206996"/>
    <w:rsid w:val="2722776F"/>
    <w:rsid w:val="272279FF"/>
    <w:rsid w:val="272368F5"/>
    <w:rsid w:val="27262CF7"/>
    <w:rsid w:val="27277595"/>
    <w:rsid w:val="272B7ED2"/>
    <w:rsid w:val="27354FCE"/>
    <w:rsid w:val="27361586"/>
    <w:rsid w:val="273D6578"/>
    <w:rsid w:val="274D0515"/>
    <w:rsid w:val="275859A0"/>
    <w:rsid w:val="275A0439"/>
    <w:rsid w:val="27644D1D"/>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C3FE7"/>
    <w:rsid w:val="28017DE6"/>
    <w:rsid w:val="280478D6"/>
    <w:rsid w:val="280653FC"/>
    <w:rsid w:val="28094EEC"/>
    <w:rsid w:val="280A408E"/>
    <w:rsid w:val="281333B4"/>
    <w:rsid w:val="28240B7A"/>
    <w:rsid w:val="282671A9"/>
    <w:rsid w:val="28336664"/>
    <w:rsid w:val="283D04C3"/>
    <w:rsid w:val="284B2E0F"/>
    <w:rsid w:val="284B72B3"/>
    <w:rsid w:val="284D6B87"/>
    <w:rsid w:val="285048C9"/>
    <w:rsid w:val="28540164"/>
    <w:rsid w:val="2858552C"/>
    <w:rsid w:val="285C326E"/>
    <w:rsid w:val="28663CBB"/>
    <w:rsid w:val="286D2EB7"/>
    <w:rsid w:val="28722A91"/>
    <w:rsid w:val="287405B8"/>
    <w:rsid w:val="2879266B"/>
    <w:rsid w:val="288527C5"/>
    <w:rsid w:val="288D3427"/>
    <w:rsid w:val="288F53F1"/>
    <w:rsid w:val="2890116A"/>
    <w:rsid w:val="28940C5A"/>
    <w:rsid w:val="2894468D"/>
    <w:rsid w:val="289742A6"/>
    <w:rsid w:val="28980BDC"/>
    <w:rsid w:val="289C5DE6"/>
    <w:rsid w:val="289E3886"/>
    <w:rsid w:val="289F5451"/>
    <w:rsid w:val="28A864B3"/>
    <w:rsid w:val="28A95D87"/>
    <w:rsid w:val="28AF1112"/>
    <w:rsid w:val="28B5308F"/>
    <w:rsid w:val="28BE5CD7"/>
    <w:rsid w:val="28C332ED"/>
    <w:rsid w:val="28D15A0A"/>
    <w:rsid w:val="28D42E04"/>
    <w:rsid w:val="28D56B7C"/>
    <w:rsid w:val="28D92DB9"/>
    <w:rsid w:val="28DC58C4"/>
    <w:rsid w:val="28DF1D1C"/>
    <w:rsid w:val="28E4149E"/>
    <w:rsid w:val="28E929B8"/>
    <w:rsid w:val="28EB63A0"/>
    <w:rsid w:val="28ED2118"/>
    <w:rsid w:val="28ED3EC6"/>
    <w:rsid w:val="28F00706"/>
    <w:rsid w:val="28F2772E"/>
    <w:rsid w:val="28F33BD2"/>
    <w:rsid w:val="28FD6A48"/>
    <w:rsid w:val="29015BC3"/>
    <w:rsid w:val="290556B4"/>
    <w:rsid w:val="29086F52"/>
    <w:rsid w:val="29087613"/>
    <w:rsid w:val="29192F0D"/>
    <w:rsid w:val="29312005"/>
    <w:rsid w:val="293146FB"/>
    <w:rsid w:val="29332371"/>
    <w:rsid w:val="293A3683"/>
    <w:rsid w:val="29422522"/>
    <w:rsid w:val="29453338"/>
    <w:rsid w:val="295959FF"/>
    <w:rsid w:val="296039E3"/>
    <w:rsid w:val="2960729B"/>
    <w:rsid w:val="29625064"/>
    <w:rsid w:val="29687BF4"/>
    <w:rsid w:val="296C2DD1"/>
    <w:rsid w:val="29746395"/>
    <w:rsid w:val="29803016"/>
    <w:rsid w:val="29847D1D"/>
    <w:rsid w:val="29915199"/>
    <w:rsid w:val="299F0B8C"/>
    <w:rsid w:val="29AE292F"/>
    <w:rsid w:val="29B11398"/>
    <w:rsid w:val="29B37588"/>
    <w:rsid w:val="29B82726"/>
    <w:rsid w:val="29B859EE"/>
    <w:rsid w:val="29C36E98"/>
    <w:rsid w:val="29D46E34"/>
    <w:rsid w:val="29D95510"/>
    <w:rsid w:val="29DA6B40"/>
    <w:rsid w:val="29F4303F"/>
    <w:rsid w:val="29F673AC"/>
    <w:rsid w:val="29FD638B"/>
    <w:rsid w:val="2A067935"/>
    <w:rsid w:val="2A092018"/>
    <w:rsid w:val="2A144921"/>
    <w:rsid w:val="2A1A518F"/>
    <w:rsid w:val="2A1D0DBD"/>
    <w:rsid w:val="2A2238F8"/>
    <w:rsid w:val="2A224043"/>
    <w:rsid w:val="2A28197F"/>
    <w:rsid w:val="2A3534D2"/>
    <w:rsid w:val="2A353D77"/>
    <w:rsid w:val="2A3704DA"/>
    <w:rsid w:val="2A3C4980"/>
    <w:rsid w:val="2A3C5105"/>
    <w:rsid w:val="2A4144C9"/>
    <w:rsid w:val="2A4A4417"/>
    <w:rsid w:val="2A4C1771"/>
    <w:rsid w:val="2A4F6767"/>
    <w:rsid w:val="2A5364DD"/>
    <w:rsid w:val="2A557F75"/>
    <w:rsid w:val="2A5F0C10"/>
    <w:rsid w:val="2A6260C8"/>
    <w:rsid w:val="2A662182"/>
    <w:rsid w:val="2A7D74CC"/>
    <w:rsid w:val="2A8B3997"/>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E106F"/>
    <w:rsid w:val="2ACF535F"/>
    <w:rsid w:val="2AE00F03"/>
    <w:rsid w:val="2AE82B97"/>
    <w:rsid w:val="2AED28A3"/>
    <w:rsid w:val="2AFC4894"/>
    <w:rsid w:val="2AFC6642"/>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12E08"/>
    <w:rsid w:val="2B51698E"/>
    <w:rsid w:val="2B5C4A35"/>
    <w:rsid w:val="2B5E10AB"/>
    <w:rsid w:val="2B6111BC"/>
    <w:rsid w:val="2B6D725E"/>
    <w:rsid w:val="2B726905"/>
    <w:rsid w:val="2B735935"/>
    <w:rsid w:val="2B7B0E55"/>
    <w:rsid w:val="2B8378E0"/>
    <w:rsid w:val="2B8613CE"/>
    <w:rsid w:val="2B8A2A44"/>
    <w:rsid w:val="2B8E4B26"/>
    <w:rsid w:val="2B8F21F0"/>
    <w:rsid w:val="2B8F395A"/>
    <w:rsid w:val="2B916B5A"/>
    <w:rsid w:val="2B946D50"/>
    <w:rsid w:val="2BA016C4"/>
    <w:rsid w:val="2BAC1E16"/>
    <w:rsid w:val="2BAE6890"/>
    <w:rsid w:val="2BB005EE"/>
    <w:rsid w:val="2BBC3B7F"/>
    <w:rsid w:val="2BC532A9"/>
    <w:rsid w:val="2BCE6231"/>
    <w:rsid w:val="2BDC10FF"/>
    <w:rsid w:val="2BE27F2E"/>
    <w:rsid w:val="2BE34303"/>
    <w:rsid w:val="2BE54A9D"/>
    <w:rsid w:val="2BE55328"/>
    <w:rsid w:val="2BEC66B7"/>
    <w:rsid w:val="2BEE6D21"/>
    <w:rsid w:val="2BF119AC"/>
    <w:rsid w:val="2BF91A78"/>
    <w:rsid w:val="2BFF4F65"/>
    <w:rsid w:val="2C033294"/>
    <w:rsid w:val="2C0C4FAB"/>
    <w:rsid w:val="2C0C6D59"/>
    <w:rsid w:val="2C106849"/>
    <w:rsid w:val="2C126937"/>
    <w:rsid w:val="2C231518"/>
    <w:rsid w:val="2C235595"/>
    <w:rsid w:val="2C2726DF"/>
    <w:rsid w:val="2C2B1C60"/>
    <w:rsid w:val="2C334863"/>
    <w:rsid w:val="2C377AC1"/>
    <w:rsid w:val="2C3D3AC9"/>
    <w:rsid w:val="2C4B5AD3"/>
    <w:rsid w:val="2C5014F1"/>
    <w:rsid w:val="2C5030EA"/>
    <w:rsid w:val="2C520ABA"/>
    <w:rsid w:val="2C526E62"/>
    <w:rsid w:val="2C575892"/>
    <w:rsid w:val="2C591B76"/>
    <w:rsid w:val="2C6907A2"/>
    <w:rsid w:val="2C7072E8"/>
    <w:rsid w:val="2C7327E0"/>
    <w:rsid w:val="2C781ABD"/>
    <w:rsid w:val="2C7D37B3"/>
    <w:rsid w:val="2C8B4122"/>
    <w:rsid w:val="2CA1345F"/>
    <w:rsid w:val="2CA95888"/>
    <w:rsid w:val="2CAE7E10"/>
    <w:rsid w:val="2CB03B88"/>
    <w:rsid w:val="2CB335FE"/>
    <w:rsid w:val="2CBA2CC2"/>
    <w:rsid w:val="2CC01D80"/>
    <w:rsid w:val="2CC24F06"/>
    <w:rsid w:val="2CC82C80"/>
    <w:rsid w:val="2CD47E0C"/>
    <w:rsid w:val="2CD812B0"/>
    <w:rsid w:val="2CD95759"/>
    <w:rsid w:val="2CDD35CF"/>
    <w:rsid w:val="2CDF6D6E"/>
    <w:rsid w:val="2CEF215B"/>
    <w:rsid w:val="2D012673"/>
    <w:rsid w:val="2D017400"/>
    <w:rsid w:val="2D0A3299"/>
    <w:rsid w:val="2D0D4B37"/>
    <w:rsid w:val="2D0F08AF"/>
    <w:rsid w:val="2D205BB7"/>
    <w:rsid w:val="2D241B62"/>
    <w:rsid w:val="2D43024A"/>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815E9"/>
    <w:rsid w:val="2DDB2F86"/>
    <w:rsid w:val="2DDD09AD"/>
    <w:rsid w:val="2DEDD77C"/>
    <w:rsid w:val="2DF04B3D"/>
    <w:rsid w:val="2DF61A6F"/>
    <w:rsid w:val="2DFF6B75"/>
    <w:rsid w:val="2E0065CE"/>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7330BF"/>
    <w:rsid w:val="2E763918"/>
    <w:rsid w:val="2E825366"/>
    <w:rsid w:val="2E8A24CD"/>
    <w:rsid w:val="2E903C71"/>
    <w:rsid w:val="2E921785"/>
    <w:rsid w:val="2E9372BE"/>
    <w:rsid w:val="2E976DAE"/>
    <w:rsid w:val="2E9A77AF"/>
    <w:rsid w:val="2EA7310E"/>
    <w:rsid w:val="2EA83663"/>
    <w:rsid w:val="2EAB387A"/>
    <w:rsid w:val="2EBC05C2"/>
    <w:rsid w:val="2EC41B6D"/>
    <w:rsid w:val="2EC52085"/>
    <w:rsid w:val="2EC52D69"/>
    <w:rsid w:val="2EC658E5"/>
    <w:rsid w:val="2EC67693"/>
    <w:rsid w:val="2EC87765"/>
    <w:rsid w:val="2ECB4CA9"/>
    <w:rsid w:val="2ECB4FE2"/>
    <w:rsid w:val="2ECF07FE"/>
    <w:rsid w:val="2ED7364E"/>
    <w:rsid w:val="2ED81174"/>
    <w:rsid w:val="2EE10029"/>
    <w:rsid w:val="2EE81E5B"/>
    <w:rsid w:val="2EF05A04"/>
    <w:rsid w:val="2EF9007F"/>
    <w:rsid w:val="2EFC1390"/>
    <w:rsid w:val="2F000DF7"/>
    <w:rsid w:val="2F0C35AE"/>
    <w:rsid w:val="2F0E2F99"/>
    <w:rsid w:val="2F0E5ECE"/>
    <w:rsid w:val="2F120B2A"/>
    <w:rsid w:val="2F177EEF"/>
    <w:rsid w:val="2F1B08DB"/>
    <w:rsid w:val="2F1F6DA3"/>
    <w:rsid w:val="2F2D14C0"/>
    <w:rsid w:val="2F2F55AF"/>
    <w:rsid w:val="2F45118A"/>
    <w:rsid w:val="2F4773E5"/>
    <w:rsid w:val="2F4A4EE0"/>
    <w:rsid w:val="2F570024"/>
    <w:rsid w:val="2F570B40"/>
    <w:rsid w:val="2F57653D"/>
    <w:rsid w:val="2F594B25"/>
    <w:rsid w:val="2F595531"/>
    <w:rsid w:val="2F601896"/>
    <w:rsid w:val="2F640AC9"/>
    <w:rsid w:val="2F693540"/>
    <w:rsid w:val="2F6D3FB3"/>
    <w:rsid w:val="2F6D5D61"/>
    <w:rsid w:val="2F6F7878"/>
    <w:rsid w:val="2F7075FF"/>
    <w:rsid w:val="2F730857"/>
    <w:rsid w:val="2F7E1D1C"/>
    <w:rsid w:val="2F8B4A44"/>
    <w:rsid w:val="2F8D01B1"/>
    <w:rsid w:val="2F8F5946"/>
    <w:rsid w:val="2F920F9E"/>
    <w:rsid w:val="2F9669C2"/>
    <w:rsid w:val="2FAC6B25"/>
    <w:rsid w:val="2FAF78CE"/>
    <w:rsid w:val="2FB965CA"/>
    <w:rsid w:val="2FCC0CD9"/>
    <w:rsid w:val="2FCD4A51"/>
    <w:rsid w:val="2FD430BA"/>
    <w:rsid w:val="2FDB0F1C"/>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847806"/>
    <w:rsid w:val="3086532C"/>
    <w:rsid w:val="30874C00"/>
    <w:rsid w:val="308B22B5"/>
    <w:rsid w:val="3091782D"/>
    <w:rsid w:val="30944FF9"/>
    <w:rsid w:val="30987C52"/>
    <w:rsid w:val="30A43A04"/>
    <w:rsid w:val="30A62585"/>
    <w:rsid w:val="30A82846"/>
    <w:rsid w:val="30A9768F"/>
    <w:rsid w:val="30AB1586"/>
    <w:rsid w:val="30AB1A5E"/>
    <w:rsid w:val="30AD0B0B"/>
    <w:rsid w:val="30B023A9"/>
    <w:rsid w:val="30B04157"/>
    <w:rsid w:val="30B17964"/>
    <w:rsid w:val="30B8125D"/>
    <w:rsid w:val="30B93464"/>
    <w:rsid w:val="30BF083E"/>
    <w:rsid w:val="30D034A2"/>
    <w:rsid w:val="30E1037D"/>
    <w:rsid w:val="30E24E48"/>
    <w:rsid w:val="30E9688F"/>
    <w:rsid w:val="30F55EC1"/>
    <w:rsid w:val="30FF0C3A"/>
    <w:rsid w:val="30FF50DE"/>
    <w:rsid w:val="31020EF0"/>
    <w:rsid w:val="310532C2"/>
    <w:rsid w:val="3116114F"/>
    <w:rsid w:val="311961A0"/>
    <w:rsid w:val="311C64BD"/>
    <w:rsid w:val="311C67FF"/>
    <w:rsid w:val="311E37B6"/>
    <w:rsid w:val="311E5564"/>
    <w:rsid w:val="31277BD3"/>
    <w:rsid w:val="312863E3"/>
    <w:rsid w:val="31305298"/>
    <w:rsid w:val="31351D5F"/>
    <w:rsid w:val="313A6116"/>
    <w:rsid w:val="313C1E8F"/>
    <w:rsid w:val="313F372D"/>
    <w:rsid w:val="314239BA"/>
    <w:rsid w:val="31436D79"/>
    <w:rsid w:val="315471D8"/>
    <w:rsid w:val="31556AAC"/>
    <w:rsid w:val="31602DEA"/>
    <w:rsid w:val="31650EAE"/>
    <w:rsid w:val="316513E5"/>
    <w:rsid w:val="31694DC5"/>
    <w:rsid w:val="316A1E7D"/>
    <w:rsid w:val="31705EE7"/>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CF3CF6"/>
    <w:rsid w:val="31D04385"/>
    <w:rsid w:val="31DB09AB"/>
    <w:rsid w:val="31DF2096"/>
    <w:rsid w:val="31E0281A"/>
    <w:rsid w:val="31E02EF6"/>
    <w:rsid w:val="31E53335"/>
    <w:rsid w:val="31E77834"/>
    <w:rsid w:val="31EA3699"/>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9C7B7B"/>
    <w:rsid w:val="32AB5AC6"/>
    <w:rsid w:val="32AE7C54"/>
    <w:rsid w:val="32BD6FFF"/>
    <w:rsid w:val="32C043F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7030F"/>
    <w:rsid w:val="3337290D"/>
    <w:rsid w:val="333A4D44"/>
    <w:rsid w:val="334119DE"/>
    <w:rsid w:val="334E5DC6"/>
    <w:rsid w:val="3352118A"/>
    <w:rsid w:val="33550FE6"/>
    <w:rsid w:val="335602FC"/>
    <w:rsid w:val="335A2AA0"/>
    <w:rsid w:val="335E1ACB"/>
    <w:rsid w:val="33632873"/>
    <w:rsid w:val="336372A0"/>
    <w:rsid w:val="336819E3"/>
    <w:rsid w:val="33696AEA"/>
    <w:rsid w:val="336D27D3"/>
    <w:rsid w:val="336F654B"/>
    <w:rsid w:val="337B7169"/>
    <w:rsid w:val="337E3FFB"/>
    <w:rsid w:val="33892417"/>
    <w:rsid w:val="3393505B"/>
    <w:rsid w:val="33A100AA"/>
    <w:rsid w:val="33A1247D"/>
    <w:rsid w:val="33A55B75"/>
    <w:rsid w:val="33AA1331"/>
    <w:rsid w:val="33AC346D"/>
    <w:rsid w:val="33AD0C6F"/>
    <w:rsid w:val="33AD0E22"/>
    <w:rsid w:val="33AE6EFE"/>
    <w:rsid w:val="33BA369E"/>
    <w:rsid w:val="33C732A5"/>
    <w:rsid w:val="33CD6DCE"/>
    <w:rsid w:val="33D04B10"/>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62BC5"/>
    <w:rsid w:val="344254CB"/>
    <w:rsid w:val="34535D1B"/>
    <w:rsid w:val="34582047"/>
    <w:rsid w:val="34621C0C"/>
    <w:rsid w:val="346258FD"/>
    <w:rsid w:val="346C65E7"/>
    <w:rsid w:val="346D6A14"/>
    <w:rsid w:val="34732836"/>
    <w:rsid w:val="34735BC7"/>
    <w:rsid w:val="34741917"/>
    <w:rsid w:val="34761214"/>
    <w:rsid w:val="347B137B"/>
    <w:rsid w:val="347C419D"/>
    <w:rsid w:val="347D6A46"/>
    <w:rsid w:val="348214A6"/>
    <w:rsid w:val="34823063"/>
    <w:rsid w:val="34863867"/>
    <w:rsid w:val="348D1F9A"/>
    <w:rsid w:val="349E2575"/>
    <w:rsid w:val="34A50280"/>
    <w:rsid w:val="34AB5591"/>
    <w:rsid w:val="34B15A2E"/>
    <w:rsid w:val="34B61205"/>
    <w:rsid w:val="34BA1A48"/>
    <w:rsid w:val="34BF0E0C"/>
    <w:rsid w:val="34C16318"/>
    <w:rsid w:val="34C5335C"/>
    <w:rsid w:val="34CF1DAC"/>
    <w:rsid w:val="34D10B40"/>
    <w:rsid w:val="34DD74E5"/>
    <w:rsid w:val="34EC2A15"/>
    <w:rsid w:val="34EE16F2"/>
    <w:rsid w:val="34F10F51"/>
    <w:rsid w:val="34F23AD3"/>
    <w:rsid w:val="34FE2963"/>
    <w:rsid w:val="35042533"/>
    <w:rsid w:val="35092088"/>
    <w:rsid w:val="35111896"/>
    <w:rsid w:val="351138D5"/>
    <w:rsid w:val="351275CF"/>
    <w:rsid w:val="351A7555"/>
    <w:rsid w:val="351D29EB"/>
    <w:rsid w:val="35230286"/>
    <w:rsid w:val="352549E8"/>
    <w:rsid w:val="35262E10"/>
    <w:rsid w:val="352B0250"/>
    <w:rsid w:val="352C329C"/>
    <w:rsid w:val="3538296D"/>
    <w:rsid w:val="353A3CDC"/>
    <w:rsid w:val="353A4937"/>
    <w:rsid w:val="353D2B19"/>
    <w:rsid w:val="35405374"/>
    <w:rsid w:val="3546508A"/>
    <w:rsid w:val="354721FC"/>
    <w:rsid w:val="35486AF7"/>
    <w:rsid w:val="35507CB7"/>
    <w:rsid w:val="35527ED3"/>
    <w:rsid w:val="355827D3"/>
    <w:rsid w:val="35584DBD"/>
    <w:rsid w:val="355902E2"/>
    <w:rsid w:val="355A0B35"/>
    <w:rsid w:val="35676CEF"/>
    <w:rsid w:val="356B7E6A"/>
    <w:rsid w:val="35727C2D"/>
    <w:rsid w:val="35832670"/>
    <w:rsid w:val="3583298C"/>
    <w:rsid w:val="35847960"/>
    <w:rsid w:val="359D0A43"/>
    <w:rsid w:val="359E4EC6"/>
    <w:rsid w:val="359F39D4"/>
    <w:rsid w:val="35A57B52"/>
    <w:rsid w:val="35A65B28"/>
    <w:rsid w:val="35A77DEC"/>
    <w:rsid w:val="35AB75E3"/>
    <w:rsid w:val="35AF428F"/>
    <w:rsid w:val="35B86D60"/>
    <w:rsid w:val="35BF6BEA"/>
    <w:rsid w:val="35CB6B83"/>
    <w:rsid w:val="35CE4807"/>
    <w:rsid w:val="35D07B67"/>
    <w:rsid w:val="35D77D86"/>
    <w:rsid w:val="35DC6B72"/>
    <w:rsid w:val="35DF3832"/>
    <w:rsid w:val="35E33EF8"/>
    <w:rsid w:val="35E46651"/>
    <w:rsid w:val="35E77E4F"/>
    <w:rsid w:val="35EA0A28"/>
    <w:rsid w:val="35EB79DF"/>
    <w:rsid w:val="35F42120"/>
    <w:rsid w:val="35F66AB0"/>
    <w:rsid w:val="35FC1BEC"/>
    <w:rsid w:val="35FC399A"/>
    <w:rsid w:val="35FE7713"/>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3E2205"/>
    <w:rsid w:val="364165D0"/>
    <w:rsid w:val="364671D3"/>
    <w:rsid w:val="365732C7"/>
    <w:rsid w:val="367D0F7F"/>
    <w:rsid w:val="367D6E01"/>
    <w:rsid w:val="368220F2"/>
    <w:rsid w:val="36835E6A"/>
    <w:rsid w:val="36883480"/>
    <w:rsid w:val="368A544A"/>
    <w:rsid w:val="368D4E24"/>
    <w:rsid w:val="368F0D33"/>
    <w:rsid w:val="36A04C6E"/>
    <w:rsid w:val="36A225C5"/>
    <w:rsid w:val="36AC3612"/>
    <w:rsid w:val="36AF0874"/>
    <w:rsid w:val="36B13C9C"/>
    <w:rsid w:val="36B65C3C"/>
    <w:rsid w:val="36B83D65"/>
    <w:rsid w:val="36BB4DA2"/>
    <w:rsid w:val="36BC0EA5"/>
    <w:rsid w:val="36BD75CE"/>
    <w:rsid w:val="36CD22AA"/>
    <w:rsid w:val="36D16B63"/>
    <w:rsid w:val="36D22AC4"/>
    <w:rsid w:val="36D35D0D"/>
    <w:rsid w:val="36D6068F"/>
    <w:rsid w:val="36DA1F2E"/>
    <w:rsid w:val="36E006C5"/>
    <w:rsid w:val="36E0150E"/>
    <w:rsid w:val="36E0506A"/>
    <w:rsid w:val="36E61590"/>
    <w:rsid w:val="36F10B70"/>
    <w:rsid w:val="36F81861"/>
    <w:rsid w:val="37074CED"/>
    <w:rsid w:val="370C07C0"/>
    <w:rsid w:val="37116D42"/>
    <w:rsid w:val="37180CA8"/>
    <w:rsid w:val="37215DAE"/>
    <w:rsid w:val="372572D3"/>
    <w:rsid w:val="372A7860"/>
    <w:rsid w:val="372E4027"/>
    <w:rsid w:val="37314DB7"/>
    <w:rsid w:val="3734577F"/>
    <w:rsid w:val="373732D2"/>
    <w:rsid w:val="373A0C1E"/>
    <w:rsid w:val="373D432A"/>
    <w:rsid w:val="37421C4F"/>
    <w:rsid w:val="37425D25"/>
    <w:rsid w:val="374C04C6"/>
    <w:rsid w:val="374C26CA"/>
    <w:rsid w:val="375B2943"/>
    <w:rsid w:val="375F041E"/>
    <w:rsid w:val="37624BA8"/>
    <w:rsid w:val="37702892"/>
    <w:rsid w:val="37757EA8"/>
    <w:rsid w:val="377D0B0B"/>
    <w:rsid w:val="37825AA8"/>
    <w:rsid w:val="379245B6"/>
    <w:rsid w:val="37954E2F"/>
    <w:rsid w:val="37A20571"/>
    <w:rsid w:val="37AD13F0"/>
    <w:rsid w:val="37AE6F16"/>
    <w:rsid w:val="37AE71C3"/>
    <w:rsid w:val="37B6137A"/>
    <w:rsid w:val="37B7226F"/>
    <w:rsid w:val="37B73322"/>
    <w:rsid w:val="37B747BB"/>
    <w:rsid w:val="37C624B2"/>
    <w:rsid w:val="37CE7E2C"/>
    <w:rsid w:val="37CF2114"/>
    <w:rsid w:val="37D74FE0"/>
    <w:rsid w:val="37E82428"/>
    <w:rsid w:val="37ED5C91"/>
    <w:rsid w:val="37F21C57"/>
    <w:rsid w:val="37F772FC"/>
    <w:rsid w:val="38011815"/>
    <w:rsid w:val="38044D88"/>
    <w:rsid w:val="380A30F5"/>
    <w:rsid w:val="380B69DF"/>
    <w:rsid w:val="38140CB7"/>
    <w:rsid w:val="3818066F"/>
    <w:rsid w:val="38190C12"/>
    <w:rsid w:val="381A3528"/>
    <w:rsid w:val="381A4E20"/>
    <w:rsid w:val="382764DF"/>
    <w:rsid w:val="382C6A40"/>
    <w:rsid w:val="382F44FB"/>
    <w:rsid w:val="382F62A9"/>
    <w:rsid w:val="3834566E"/>
    <w:rsid w:val="383C5906"/>
    <w:rsid w:val="38412005"/>
    <w:rsid w:val="3843483E"/>
    <w:rsid w:val="384635F3"/>
    <w:rsid w:val="38471845"/>
    <w:rsid w:val="384C6E5B"/>
    <w:rsid w:val="38513B0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D3CBA"/>
    <w:rsid w:val="388E7474"/>
    <w:rsid w:val="389C3213"/>
    <w:rsid w:val="38A00F55"/>
    <w:rsid w:val="38A65E3F"/>
    <w:rsid w:val="38B01D9A"/>
    <w:rsid w:val="38B21F68"/>
    <w:rsid w:val="38C04C49"/>
    <w:rsid w:val="38C369F1"/>
    <w:rsid w:val="38C42E95"/>
    <w:rsid w:val="38CF0D23"/>
    <w:rsid w:val="38D21249"/>
    <w:rsid w:val="38D75AB2"/>
    <w:rsid w:val="38D94467"/>
    <w:rsid w:val="38E31C93"/>
    <w:rsid w:val="38E35E11"/>
    <w:rsid w:val="38F31085"/>
    <w:rsid w:val="38F512A1"/>
    <w:rsid w:val="38F848ED"/>
    <w:rsid w:val="3905700A"/>
    <w:rsid w:val="3906101F"/>
    <w:rsid w:val="39092E0A"/>
    <w:rsid w:val="390E5EBF"/>
    <w:rsid w:val="391334D5"/>
    <w:rsid w:val="39162FC5"/>
    <w:rsid w:val="39221A5F"/>
    <w:rsid w:val="3927464D"/>
    <w:rsid w:val="392A6A70"/>
    <w:rsid w:val="39396CB4"/>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6639D"/>
    <w:rsid w:val="39870D17"/>
    <w:rsid w:val="398879CF"/>
    <w:rsid w:val="3989775B"/>
    <w:rsid w:val="399651CC"/>
    <w:rsid w:val="39993D83"/>
    <w:rsid w:val="39A71E6F"/>
    <w:rsid w:val="39B414EE"/>
    <w:rsid w:val="39B527DE"/>
    <w:rsid w:val="39BA3CAC"/>
    <w:rsid w:val="39BA4298"/>
    <w:rsid w:val="39CA0222"/>
    <w:rsid w:val="39D1036D"/>
    <w:rsid w:val="39D1578E"/>
    <w:rsid w:val="39DC4084"/>
    <w:rsid w:val="39DC7D6B"/>
    <w:rsid w:val="39DD2AE2"/>
    <w:rsid w:val="39E74223"/>
    <w:rsid w:val="39ED01CA"/>
    <w:rsid w:val="39ED0DB9"/>
    <w:rsid w:val="39F257E0"/>
    <w:rsid w:val="39FD5F33"/>
    <w:rsid w:val="3A00576A"/>
    <w:rsid w:val="3A045513"/>
    <w:rsid w:val="3A06134D"/>
    <w:rsid w:val="3A12378C"/>
    <w:rsid w:val="3A15327D"/>
    <w:rsid w:val="3A166389"/>
    <w:rsid w:val="3A1742A3"/>
    <w:rsid w:val="3A1936CB"/>
    <w:rsid w:val="3A282FB0"/>
    <w:rsid w:val="3A2A31CC"/>
    <w:rsid w:val="3A2B7996"/>
    <w:rsid w:val="3A330B56"/>
    <w:rsid w:val="3A4122C4"/>
    <w:rsid w:val="3A476BFD"/>
    <w:rsid w:val="3A476E05"/>
    <w:rsid w:val="3A4D1D3F"/>
    <w:rsid w:val="3A5A3BC6"/>
    <w:rsid w:val="3A5F274A"/>
    <w:rsid w:val="3A686A7E"/>
    <w:rsid w:val="3A6F3410"/>
    <w:rsid w:val="3A727F87"/>
    <w:rsid w:val="3A76122C"/>
    <w:rsid w:val="3A7626D5"/>
    <w:rsid w:val="3A77477F"/>
    <w:rsid w:val="3A777A93"/>
    <w:rsid w:val="3A8328DC"/>
    <w:rsid w:val="3A836438"/>
    <w:rsid w:val="3A853CFC"/>
    <w:rsid w:val="3A887EF3"/>
    <w:rsid w:val="3A922B1F"/>
    <w:rsid w:val="3A9643BE"/>
    <w:rsid w:val="3A99210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7DDF"/>
    <w:rsid w:val="3ADF57BD"/>
    <w:rsid w:val="3AEA64B7"/>
    <w:rsid w:val="3AEE244B"/>
    <w:rsid w:val="3AF3358A"/>
    <w:rsid w:val="3AFB06C4"/>
    <w:rsid w:val="3B084B8F"/>
    <w:rsid w:val="3B0B2724"/>
    <w:rsid w:val="3B0E42A9"/>
    <w:rsid w:val="3B101CF1"/>
    <w:rsid w:val="3B196D9D"/>
    <w:rsid w:val="3B1B01D6"/>
    <w:rsid w:val="3B225C51"/>
    <w:rsid w:val="3B2C4D22"/>
    <w:rsid w:val="3B3A631B"/>
    <w:rsid w:val="3B3D2C57"/>
    <w:rsid w:val="3B3F449C"/>
    <w:rsid w:val="3B4B0D42"/>
    <w:rsid w:val="3B4E0C94"/>
    <w:rsid w:val="3B583526"/>
    <w:rsid w:val="3B5D325E"/>
    <w:rsid w:val="3B6444BC"/>
    <w:rsid w:val="3B6463A5"/>
    <w:rsid w:val="3B66527F"/>
    <w:rsid w:val="3B693880"/>
    <w:rsid w:val="3B6E724B"/>
    <w:rsid w:val="3B7F4E52"/>
    <w:rsid w:val="3B822B94"/>
    <w:rsid w:val="3B840969"/>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417FB"/>
    <w:rsid w:val="3C047A4D"/>
    <w:rsid w:val="3C070B8D"/>
    <w:rsid w:val="3C0802CE"/>
    <w:rsid w:val="3C0D1174"/>
    <w:rsid w:val="3C0E2679"/>
    <w:rsid w:val="3C0E4427"/>
    <w:rsid w:val="3C101EF8"/>
    <w:rsid w:val="3C1A2C1F"/>
    <w:rsid w:val="3C291261"/>
    <w:rsid w:val="3C29483E"/>
    <w:rsid w:val="3C355E58"/>
    <w:rsid w:val="3C395396"/>
    <w:rsid w:val="3C3B0AF7"/>
    <w:rsid w:val="3C406CD7"/>
    <w:rsid w:val="3C4340D1"/>
    <w:rsid w:val="3C4D4F50"/>
    <w:rsid w:val="3C4E6795"/>
    <w:rsid w:val="3C56625B"/>
    <w:rsid w:val="3C65056D"/>
    <w:rsid w:val="3C65139C"/>
    <w:rsid w:val="3C6E4EC6"/>
    <w:rsid w:val="3C794497"/>
    <w:rsid w:val="3C797AF3"/>
    <w:rsid w:val="3C7B6540"/>
    <w:rsid w:val="3C834E15"/>
    <w:rsid w:val="3C86610F"/>
    <w:rsid w:val="3C8666B4"/>
    <w:rsid w:val="3C923AA1"/>
    <w:rsid w:val="3C940547"/>
    <w:rsid w:val="3C9568F7"/>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719EB"/>
    <w:rsid w:val="3D0B5180"/>
    <w:rsid w:val="3D0B6828"/>
    <w:rsid w:val="3D0E0B83"/>
    <w:rsid w:val="3D163594"/>
    <w:rsid w:val="3D1729DA"/>
    <w:rsid w:val="3D1837B0"/>
    <w:rsid w:val="3D1B607F"/>
    <w:rsid w:val="3D242F26"/>
    <w:rsid w:val="3D2959BD"/>
    <w:rsid w:val="3D315477"/>
    <w:rsid w:val="3D3404E4"/>
    <w:rsid w:val="3D4103E4"/>
    <w:rsid w:val="3D4F2F6F"/>
    <w:rsid w:val="3D4F538F"/>
    <w:rsid w:val="3D574DF0"/>
    <w:rsid w:val="3D5B111A"/>
    <w:rsid w:val="3D6D0770"/>
    <w:rsid w:val="3D7529B0"/>
    <w:rsid w:val="3D7824A0"/>
    <w:rsid w:val="3D842AB7"/>
    <w:rsid w:val="3D873749"/>
    <w:rsid w:val="3D87623F"/>
    <w:rsid w:val="3D891FB8"/>
    <w:rsid w:val="3D8E52AA"/>
    <w:rsid w:val="3D917A02"/>
    <w:rsid w:val="3D934BE4"/>
    <w:rsid w:val="3D9372DA"/>
    <w:rsid w:val="3D9F78E8"/>
    <w:rsid w:val="3DA6700D"/>
    <w:rsid w:val="3DAF5796"/>
    <w:rsid w:val="3DB15560"/>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256D"/>
    <w:rsid w:val="3E1B735B"/>
    <w:rsid w:val="3E1C6301"/>
    <w:rsid w:val="3E247F32"/>
    <w:rsid w:val="3E2579B5"/>
    <w:rsid w:val="3E306B73"/>
    <w:rsid w:val="3E33483D"/>
    <w:rsid w:val="3E361BB6"/>
    <w:rsid w:val="3E3839DE"/>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B5A1B"/>
    <w:rsid w:val="3E704F26"/>
    <w:rsid w:val="3E790570"/>
    <w:rsid w:val="3E7964D0"/>
    <w:rsid w:val="3E8567C1"/>
    <w:rsid w:val="3E8D48FA"/>
    <w:rsid w:val="3E9055C8"/>
    <w:rsid w:val="3E9949B0"/>
    <w:rsid w:val="3E9D053F"/>
    <w:rsid w:val="3EA01CAF"/>
    <w:rsid w:val="3EA60687"/>
    <w:rsid w:val="3EAD1CD6"/>
    <w:rsid w:val="3EAF73F5"/>
    <w:rsid w:val="3EB37B0C"/>
    <w:rsid w:val="3EB61CAD"/>
    <w:rsid w:val="3EC62D97"/>
    <w:rsid w:val="3EC87D98"/>
    <w:rsid w:val="3EC924E2"/>
    <w:rsid w:val="3ECB79D6"/>
    <w:rsid w:val="3ED41958"/>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16DAB"/>
    <w:rsid w:val="3F360DD8"/>
    <w:rsid w:val="3F3C2875"/>
    <w:rsid w:val="3F4168C2"/>
    <w:rsid w:val="3F43088C"/>
    <w:rsid w:val="3F4A39D4"/>
    <w:rsid w:val="3F4A5777"/>
    <w:rsid w:val="3F4E11BA"/>
    <w:rsid w:val="3F52287D"/>
    <w:rsid w:val="3F532126"/>
    <w:rsid w:val="3F535C5C"/>
    <w:rsid w:val="3F584337"/>
    <w:rsid w:val="3F59020D"/>
    <w:rsid w:val="3F5E56C6"/>
    <w:rsid w:val="3F6324C8"/>
    <w:rsid w:val="3F636838"/>
    <w:rsid w:val="3F6668EF"/>
    <w:rsid w:val="3F770427"/>
    <w:rsid w:val="3F795547"/>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D5BE8"/>
    <w:rsid w:val="3FFE3893"/>
    <w:rsid w:val="40026051"/>
    <w:rsid w:val="4010076E"/>
    <w:rsid w:val="4021297B"/>
    <w:rsid w:val="40324FDC"/>
    <w:rsid w:val="40364F60"/>
    <w:rsid w:val="40381640"/>
    <w:rsid w:val="40396812"/>
    <w:rsid w:val="403C539B"/>
    <w:rsid w:val="4041567A"/>
    <w:rsid w:val="40464190"/>
    <w:rsid w:val="404F5C36"/>
    <w:rsid w:val="40503261"/>
    <w:rsid w:val="40520EC7"/>
    <w:rsid w:val="40532D51"/>
    <w:rsid w:val="4061721C"/>
    <w:rsid w:val="406960D0"/>
    <w:rsid w:val="40771090"/>
    <w:rsid w:val="40866C82"/>
    <w:rsid w:val="408C3EDA"/>
    <w:rsid w:val="4093314D"/>
    <w:rsid w:val="40A852D3"/>
    <w:rsid w:val="40A9471F"/>
    <w:rsid w:val="40B43E6A"/>
    <w:rsid w:val="40B90E06"/>
    <w:rsid w:val="40BE641C"/>
    <w:rsid w:val="40C854ED"/>
    <w:rsid w:val="40D03A0C"/>
    <w:rsid w:val="40D519B8"/>
    <w:rsid w:val="40D5458F"/>
    <w:rsid w:val="40E045E4"/>
    <w:rsid w:val="40E35E83"/>
    <w:rsid w:val="40E62000"/>
    <w:rsid w:val="40F00849"/>
    <w:rsid w:val="40FE0FE1"/>
    <w:rsid w:val="410D1152"/>
    <w:rsid w:val="411132BD"/>
    <w:rsid w:val="41250249"/>
    <w:rsid w:val="41287D39"/>
    <w:rsid w:val="412A1D04"/>
    <w:rsid w:val="41384420"/>
    <w:rsid w:val="41456B3D"/>
    <w:rsid w:val="414601C0"/>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67393"/>
    <w:rsid w:val="41F83BB0"/>
    <w:rsid w:val="41F8593B"/>
    <w:rsid w:val="4200138B"/>
    <w:rsid w:val="42022339"/>
    <w:rsid w:val="420669B8"/>
    <w:rsid w:val="42072045"/>
    <w:rsid w:val="42092942"/>
    <w:rsid w:val="42095582"/>
    <w:rsid w:val="420A743F"/>
    <w:rsid w:val="420F2CA7"/>
    <w:rsid w:val="420F6AF5"/>
    <w:rsid w:val="421107CE"/>
    <w:rsid w:val="42220C2D"/>
    <w:rsid w:val="422932C0"/>
    <w:rsid w:val="422B5D33"/>
    <w:rsid w:val="422E40B0"/>
    <w:rsid w:val="42336996"/>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27D35"/>
    <w:rsid w:val="42AE20D4"/>
    <w:rsid w:val="42B211EC"/>
    <w:rsid w:val="42B867D9"/>
    <w:rsid w:val="42B86E9B"/>
    <w:rsid w:val="42BA0E65"/>
    <w:rsid w:val="42BF4BC0"/>
    <w:rsid w:val="42C526A4"/>
    <w:rsid w:val="42D177DE"/>
    <w:rsid w:val="42D17F20"/>
    <w:rsid w:val="42D40179"/>
    <w:rsid w:val="42D75573"/>
    <w:rsid w:val="42DD6902"/>
    <w:rsid w:val="42DE4B54"/>
    <w:rsid w:val="42E41D08"/>
    <w:rsid w:val="42F13381"/>
    <w:rsid w:val="42F9316C"/>
    <w:rsid w:val="42F97FB9"/>
    <w:rsid w:val="42FE6FA4"/>
    <w:rsid w:val="43080135"/>
    <w:rsid w:val="43085C34"/>
    <w:rsid w:val="43106CD7"/>
    <w:rsid w:val="43134D1D"/>
    <w:rsid w:val="431B5A0C"/>
    <w:rsid w:val="43226128"/>
    <w:rsid w:val="432D59B5"/>
    <w:rsid w:val="433771D7"/>
    <w:rsid w:val="433D44BC"/>
    <w:rsid w:val="433E7E99"/>
    <w:rsid w:val="434768FE"/>
    <w:rsid w:val="434C41B3"/>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A2436B"/>
    <w:rsid w:val="43A55671"/>
    <w:rsid w:val="43B027A5"/>
    <w:rsid w:val="43B753A5"/>
    <w:rsid w:val="43BB4E95"/>
    <w:rsid w:val="43BB6827"/>
    <w:rsid w:val="43C31F9B"/>
    <w:rsid w:val="43C92CBE"/>
    <w:rsid w:val="43CE47D0"/>
    <w:rsid w:val="43D15585"/>
    <w:rsid w:val="43D441A9"/>
    <w:rsid w:val="43D63A7D"/>
    <w:rsid w:val="43DE0B83"/>
    <w:rsid w:val="43E36C72"/>
    <w:rsid w:val="43EA146E"/>
    <w:rsid w:val="43EA6644"/>
    <w:rsid w:val="43F03412"/>
    <w:rsid w:val="43F33DE5"/>
    <w:rsid w:val="44036616"/>
    <w:rsid w:val="44044A8E"/>
    <w:rsid w:val="44071E88"/>
    <w:rsid w:val="440F482D"/>
    <w:rsid w:val="44163079"/>
    <w:rsid w:val="4416656F"/>
    <w:rsid w:val="44273BE5"/>
    <w:rsid w:val="442B2615"/>
    <w:rsid w:val="442E38B9"/>
    <w:rsid w:val="44327DA0"/>
    <w:rsid w:val="443D549C"/>
    <w:rsid w:val="44417989"/>
    <w:rsid w:val="444949C5"/>
    <w:rsid w:val="444A7498"/>
    <w:rsid w:val="44550E45"/>
    <w:rsid w:val="44592E59"/>
    <w:rsid w:val="445F10EC"/>
    <w:rsid w:val="44742CA9"/>
    <w:rsid w:val="44745536"/>
    <w:rsid w:val="44806045"/>
    <w:rsid w:val="44837AB8"/>
    <w:rsid w:val="4484172B"/>
    <w:rsid w:val="448535BE"/>
    <w:rsid w:val="44916CC1"/>
    <w:rsid w:val="4492209A"/>
    <w:rsid w:val="44953CD6"/>
    <w:rsid w:val="449D537A"/>
    <w:rsid w:val="44A21BB1"/>
    <w:rsid w:val="44A44004"/>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D5522"/>
    <w:rsid w:val="44EE06A6"/>
    <w:rsid w:val="44EF26F9"/>
    <w:rsid w:val="44F85EE6"/>
    <w:rsid w:val="44FE21F3"/>
    <w:rsid w:val="450F36EA"/>
    <w:rsid w:val="451505D5"/>
    <w:rsid w:val="4515141C"/>
    <w:rsid w:val="45154A79"/>
    <w:rsid w:val="4519716D"/>
    <w:rsid w:val="451B7394"/>
    <w:rsid w:val="451E1374"/>
    <w:rsid w:val="452803B1"/>
    <w:rsid w:val="452A335C"/>
    <w:rsid w:val="45387C09"/>
    <w:rsid w:val="453C3DB3"/>
    <w:rsid w:val="454113CA"/>
    <w:rsid w:val="454C355D"/>
    <w:rsid w:val="454D5006"/>
    <w:rsid w:val="455040E6"/>
    <w:rsid w:val="4557044F"/>
    <w:rsid w:val="45582520"/>
    <w:rsid w:val="45667282"/>
    <w:rsid w:val="45677177"/>
    <w:rsid w:val="456978F4"/>
    <w:rsid w:val="456C350B"/>
    <w:rsid w:val="457E43CC"/>
    <w:rsid w:val="457E4CC3"/>
    <w:rsid w:val="45800144"/>
    <w:rsid w:val="45844552"/>
    <w:rsid w:val="45855547"/>
    <w:rsid w:val="4585575A"/>
    <w:rsid w:val="458A221C"/>
    <w:rsid w:val="458B4C95"/>
    <w:rsid w:val="458D5981"/>
    <w:rsid w:val="4590612B"/>
    <w:rsid w:val="45912351"/>
    <w:rsid w:val="45963B39"/>
    <w:rsid w:val="4599434E"/>
    <w:rsid w:val="45A55B9B"/>
    <w:rsid w:val="45A858ED"/>
    <w:rsid w:val="45BC676B"/>
    <w:rsid w:val="45D55761"/>
    <w:rsid w:val="45D85A64"/>
    <w:rsid w:val="45DD7344"/>
    <w:rsid w:val="45E053CB"/>
    <w:rsid w:val="45E306D3"/>
    <w:rsid w:val="45EA7CB3"/>
    <w:rsid w:val="45EC21FE"/>
    <w:rsid w:val="45F14B9E"/>
    <w:rsid w:val="45F6394A"/>
    <w:rsid w:val="45F702D3"/>
    <w:rsid w:val="460147BD"/>
    <w:rsid w:val="46081EE8"/>
    <w:rsid w:val="46131F38"/>
    <w:rsid w:val="46144D30"/>
    <w:rsid w:val="461A2060"/>
    <w:rsid w:val="461D5061"/>
    <w:rsid w:val="461F6271"/>
    <w:rsid w:val="462E487B"/>
    <w:rsid w:val="46366A55"/>
    <w:rsid w:val="4655708C"/>
    <w:rsid w:val="46582C54"/>
    <w:rsid w:val="46592743"/>
    <w:rsid w:val="465E57CF"/>
    <w:rsid w:val="46640BA5"/>
    <w:rsid w:val="46653CEC"/>
    <w:rsid w:val="46671304"/>
    <w:rsid w:val="466F7DC4"/>
    <w:rsid w:val="46715CDF"/>
    <w:rsid w:val="467C1271"/>
    <w:rsid w:val="467D0B27"/>
    <w:rsid w:val="467D43D1"/>
    <w:rsid w:val="46804174"/>
    <w:rsid w:val="468377A8"/>
    <w:rsid w:val="46932667"/>
    <w:rsid w:val="469F5593"/>
    <w:rsid w:val="46A41C10"/>
    <w:rsid w:val="46A475BE"/>
    <w:rsid w:val="46A71700"/>
    <w:rsid w:val="46AB2E40"/>
    <w:rsid w:val="46B11DF1"/>
    <w:rsid w:val="46B16FCD"/>
    <w:rsid w:val="46BA1434"/>
    <w:rsid w:val="46D1677D"/>
    <w:rsid w:val="46EC3A4E"/>
    <w:rsid w:val="46FB04BB"/>
    <w:rsid w:val="46FC1A4C"/>
    <w:rsid w:val="46FC4D11"/>
    <w:rsid w:val="47003C8C"/>
    <w:rsid w:val="47004189"/>
    <w:rsid w:val="470C3AC9"/>
    <w:rsid w:val="470E59CC"/>
    <w:rsid w:val="470F74C6"/>
    <w:rsid w:val="471833A7"/>
    <w:rsid w:val="471A45C8"/>
    <w:rsid w:val="471C20EE"/>
    <w:rsid w:val="471E2247"/>
    <w:rsid w:val="47215957"/>
    <w:rsid w:val="472A1DE0"/>
    <w:rsid w:val="472D42FC"/>
    <w:rsid w:val="473016F6"/>
    <w:rsid w:val="473860EE"/>
    <w:rsid w:val="473F5DDD"/>
    <w:rsid w:val="4741024B"/>
    <w:rsid w:val="474332E3"/>
    <w:rsid w:val="47456CD0"/>
    <w:rsid w:val="475140C4"/>
    <w:rsid w:val="4755115C"/>
    <w:rsid w:val="47633879"/>
    <w:rsid w:val="476C6422"/>
    <w:rsid w:val="476D25D3"/>
    <w:rsid w:val="47721D0E"/>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73570"/>
    <w:rsid w:val="48081689"/>
    <w:rsid w:val="48082673"/>
    <w:rsid w:val="480D4102"/>
    <w:rsid w:val="480F755D"/>
    <w:rsid w:val="4818290E"/>
    <w:rsid w:val="48184892"/>
    <w:rsid w:val="4820176A"/>
    <w:rsid w:val="48254FD3"/>
    <w:rsid w:val="48263C6E"/>
    <w:rsid w:val="48362D3C"/>
    <w:rsid w:val="48401E0D"/>
    <w:rsid w:val="484441E1"/>
    <w:rsid w:val="48511B4B"/>
    <w:rsid w:val="48580F04"/>
    <w:rsid w:val="485C74FB"/>
    <w:rsid w:val="485E0A99"/>
    <w:rsid w:val="48634DB6"/>
    <w:rsid w:val="486D24D6"/>
    <w:rsid w:val="486D5676"/>
    <w:rsid w:val="4872278C"/>
    <w:rsid w:val="48732184"/>
    <w:rsid w:val="48740B49"/>
    <w:rsid w:val="487F2935"/>
    <w:rsid w:val="488258B7"/>
    <w:rsid w:val="48831CF9"/>
    <w:rsid w:val="48855A71"/>
    <w:rsid w:val="488D6822"/>
    <w:rsid w:val="488E1949"/>
    <w:rsid w:val="48981C49"/>
    <w:rsid w:val="489A73B4"/>
    <w:rsid w:val="489D725F"/>
    <w:rsid w:val="48A42E12"/>
    <w:rsid w:val="48A87A57"/>
    <w:rsid w:val="48A91760"/>
    <w:rsid w:val="48B93B23"/>
    <w:rsid w:val="48C742DC"/>
    <w:rsid w:val="48D5496B"/>
    <w:rsid w:val="48D93A13"/>
    <w:rsid w:val="48DB38E3"/>
    <w:rsid w:val="48DC6BB8"/>
    <w:rsid w:val="48E257A9"/>
    <w:rsid w:val="48F36ECE"/>
    <w:rsid w:val="48FF75D2"/>
    <w:rsid w:val="49033877"/>
    <w:rsid w:val="49064E04"/>
    <w:rsid w:val="4907054C"/>
    <w:rsid w:val="49113EE5"/>
    <w:rsid w:val="4913307D"/>
    <w:rsid w:val="4919199A"/>
    <w:rsid w:val="49264CFE"/>
    <w:rsid w:val="492B6619"/>
    <w:rsid w:val="493059DD"/>
    <w:rsid w:val="493B39EC"/>
    <w:rsid w:val="493D0735"/>
    <w:rsid w:val="49431BB4"/>
    <w:rsid w:val="494633B0"/>
    <w:rsid w:val="4947157F"/>
    <w:rsid w:val="49490E9D"/>
    <w:rsid w:val="494971A9"/>
    <w:rsid w:val="4954017C"/>
    <w:rsid w:val="49544782"/>
    <w:rsid w:val="495A5D3D"/>
    <w:rsid w:val="4962490E"/>
    <w:rsid w:val="49632A67"/>
    <w:rsid w:val="49635DB3"/>
    <w:rsid w:val="496438D9"/>
    <w:rsid w:val="49652C7D"/>
    <w:rsid w:val="49696660"/>
    <w:rsid w:val="49705551"/>
    <w:rsid w:val="49724248"/>
    <w:rsid w:val="49777F90"/>
    <w:rsid w:val="497C0DC1"/>
    <w:rsid w:val="49845D29"/>
    <w:rsid w:val="4989380B"/>
    <w:rsid w:val="498C5DCF"/>
    <w:rsid w:val="4995680C"/>
    <w:rsid w:val="499C0B00"/>
    <w:rsid w:val="499C7517"/>
    <w:rsid w:val="499F0DB5"/>
    <w:rsid w:val="49A62143"/>
    <w:rsid w:val="49A81A17"/>
    <w:rsid w:val="49A95790"/>
    <w:rsid w:val="49AB5596"/>
    <w:rsid w:val="49B303BC"/>
    <w:rsid w:val="49B316E8"/>
    <w:rsid w:val="49B74350"/>
    <w:rsid w:val="49B9577F"/>
    <w:rsid w:val="49C0578E"/>
    <w:rsid w:val="49C4058B"/>
    <w:rsid w:val="49C425C9"/>
    <w:rsid w:val="49CA4084"/>
    <w:rsid w:val="49CE379C"/>
    <w:rsid w:val="49E36EF3"/>
    <w:rsid w:val="49E50EBD"/>
    <w:rsid w:val="49E54986"/>
    <w:rsid w:val="49F51014"/>
    <w:rsid w:val="4A0D3F70"/>
    <w:rsid w:val="4A221A4A"/>
    <w:rsid w:val="4A2424EA"/>
    <w:rsid w:val="4A2E53C5"/>
    <w:rsid w:val="4A3278A2"/>
    <w:rsid w:val="4A38723F"/>
    <w:rsid w:val="4A392FB7"/>
    <w:rsid w:val="4A3B1EE9"/>
    <w:rsid w:val="4A3F367E"/>
    <w:rsid w:val="4A4020E8"/>
    <w:rsid w:val="4A4431E9"/>
    <w:rsid w:val="4A45378A"/>
    <w:rsid w:val="4A5278E5"/>
    <w:rsid w:val="4A53089A"/>
    <w:rsid w:val="4A5B1180"/>
    <w:rsid w:val="4A5E657A"/>
    <w:rsid w:val="4A6B3B6F"/>
    <w:rsid w:val="4A712751"/>
    <w:rsid w:val="4A742241"/>
    <w:rsid w:val="4A78588E"/>
    <w:rsid w:val="4A7B674D"/>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597F"/>
    <w:rsid w:val="4AB663B6"/>
    <w:rsid w:val="4ABA3A4E"/>
    <w:rsid w:val="4ABB65DC"/>
    <w:rsid w:val="4AC13A05"/>
    <w:rsid w:val="4AC35380"/>
    <w:rsid w:val="4ACB66A6"/>
    <w:rsid w:val="4AD134FA"/>
    <w:rsid w:val="4AD3008D"/>
    <w:rsid w:val="4AE10C24"/>
    <w:rsid w:val="4AE201A2"/>
    <w:rsid w:val="4AF33403"/>
    <w:rsid w:val="4B030D93"/>
    <w:rsid w:val="4B06150B"/>
    <w:rsid w:val="4B09762A"/>
    <w:rsid w:val="4B10675D"/>
    <w:rsid w:val="4B146D2F"/>
    <w:rsid w:val="4B182FD3"/>
    <w:rsid w:val="4B244232"/>
    <w:rsid w:val="4B290690"/>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21E8C"/>
    <w:rsid w:val="4B766BB2"/>
    <w:rsid w:val="4B78366B"/>
    <w:rsid w:val="4B7E5126"/>
    <w:rsid w:val="4B8547A4"/>
    <w:rsid w:val="4B9C1A50"/>
    <w:rsid w:val="4BAB7265"/>
    <w:rsid w:val="4BB94F3A"/>
    <w:rsid w:val="4BC13264"/>
    <w:rsid w:val="4BC468B1"/>
    <w:rsid w:val="4BC87DE4"/>
    <w:rsid w:val="4BCB747A"/>
    <w:rsid w:val="4BCD4365"/>
    <w:rsid w:val="4BCE156F"/>
    <w:rsid w:val="4BE17463"/>
    <w:rsid w:val="4BE3142D"/>
    <w:rsid w:val="4BEE392E"/>
    <w:rsid w:val="4BEE7C6E"/>
    <w:rsid w:val="4BEF4C0C"/>
    <w:rsid w:val="4BF34481"/>
    <w:rsid w:val="4BF707D3"/>
    <w:rsid w:val="4BF929FE"/>
    <w:rsid w:val="4C08454D"/>
    <w:rsid w:val="4C0A69B9"/>
    <w:rsid w:val="4C0A6BA1"/>
    <w:rsid w:val="4C0C0983"/>
    <w:rsid w:val="4C152FE5"/>
    <w:rsid w:val="4C1827E3"/>
    <w:rsid w:val="4C196BFC"/>
    <w:rsid w:val="4C1C66ED"/>
    <w:rsid w:val="4C1D63CF"/>
    <w:rsid w:val="4C2E322E"/>
    <w:rsid w:val="4C362151"/>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7121"/>
    <w:rsid w:val="4CF105EB"/>
    <w:rsid w:val="4CF136D5"/>
    <w:rsid w:val="4CF220C5"/>
    <w:rsid w:val="4CFD4B48"/>
    <w:rsid w:val="4D0258E3"/>
    <w:rsid w:val="4D0A29E9"/>
    <w:rsid w:val="4D0B1AD9"/>
    <w:rsid w:val="4D1241E0"/>
    <w:rsid w:val="4D1B38DC"/>
    <w:rsid w:val="4D1D44CA"/>
    <w:rsid w:val="4D1F46E6"/>
    <w:rsid w:val="4D2717ED"/>
    <w:rsid w:val="4D31441A"/>
    <w:rsid w:val="4D352FBB"/>
    <w:rsid w:val="4D36558C"/>
    <w:rsid w:val="4D3A507C"/>
    <w:rsid w:val="4D3B0DF4"/>
    <w:rsid w:val="4D4B1038"/>
    <w:rsid w:val="4D534390"/>
    <w:rsid w:val="4D573E80"/>
    <w:rsid w:val="4D5A26ED"/>
    <w:rsid w:val="4D60033D"/>
    <w:rsid w:val="4D671BE9"/>
    <w:rsid w:val="4D7D31BB"/>
    <w:rsid w:val="4D7F313C"/>
    <w:rsid w:val="4D814A59"/>
    <w:rsid w:val="4D826A23"/>
    <w:rsid w:val="4D8A7D75"/>
    <w:rsid w:val="4D8C21E4"/>
    <w:rsid w:val="4D9609C0"/>
    <w:rsid w:val="4D970BDA"/>
    <w:rsid w:val="4D9A5F44"/>
    <w:rsid w:val="4D9C5D37"/>
    <w:rsid w:val="4D9C7AE5"/>
    <w:rsid w:val="4DA0086E"/>
    <w:rsid w:val="4DB120F1"/>
    <w:rsid w:val="4DB97EEA"/>
    <w:rsid w:val="4DBA55D7"/>
    <w:rsid w:val="4DBF5ADD"/>
    <w:rsid w:val="4DC4742C"/>
    <w:rsid w:val="4DCD2784"/>
    <w:rsid w:val="4DD03C33"/>
    <w:rsid w:val="4DD3433F"/>
    <w:rsid w:val="4DD70B1D"/>
    <w:rsid w:val="4DD83673"/>
    <w:rsid w:val="4DD84F19"/>
    <w:rsid w:val="4DD94895"/>
    <w:rsid w:val="4DDA23BB"/>
    <w:rsid w:val="4DED405F"/>
    <w:rsid w:val="4DFC4A28"/>
    <w:rsid w:val="4DFE100B"/>
    <w:rsid w:val="4DFF3A26"/>
    <w:rsid w:val="4E0518BE"/>
    <w:rsid w:val="4E094A4F"/>
    <w:rsid w:val="4E141D71"/>
    <w:rsid w:val="4E154438"/>
    <w:rsid w:val="4E173610"/>
    <w:rsid w:val="4E1C36B2"/>
    <w:rsid w:val="4E1F5D76"/>
    <w:rsid w:val="4E283CCC"/>
    <w:rsid w:val="4E2C7CEC"/>
    <w:rsid w:val="4E2E44B5"/>
    <w:rsid w:val="4E437F61"/>
    <w:rsid w:val="4E472EFD"/>
    <w:rsid w:val="4E487C6D"/>
    <w:rsid w:val="4E4D5283"/>
    <w:rsid w:val="4E50182D"/>
    <w:rsid w:val="4E573A0C"/>
    <w:rsid w:val="4E591146"/>
    <w:rsid w:val="4E5A0417"/>
    <w:rsid w:val="4E5E0644"/>
    <w:rsid w:val="4E5E4D9B"/>
    <w:rsid w:val="4E613247"/>
    <w:rsid w:val="4E676345"/>
    <w:rsid w:val="4E6A78E3"/>
    <w:rsid w:val="4E6D76D3"/>
    <w:rsid w:val="4E7F1E16"/>
    <w:rsid w:val="4E832A53"/>
    <w:rsid w:val="4E84409D"/>
    <w:rsid w:val="4E864E4A"/>
    <w:rsid w:val="4E8A2033"/>
    <w:rsid w:val="4E8A391E"/>
    <w:rsid w:val="4E8D7519"/>
    <w:rsid w:val="4E916F1E"/>
    <w:rsid w:val="4E9A33F8"/>
    <w:rsid w:val="4E9D675B"/>
    <w:rsid w:val="4E9E788D"/>
    <w:rsid w:val="4EA604F0"/>
    <w:rsid w:val="4EA60AE2"/>
    <w:rsid w:val="4EA824BA"/>
    <w:rsid w:val="4EAE7D34"/>
    <w:rsid w:val="4EB23A37"/>
    <w:rsid w:val="4EB70D01"/>
    <w:rsid w:val="4EB943FF"/>
    <w:rsid w:val="4EBE7F2F"/>
    <w:rsid w:val="4EC42650"/>
    <w:rsid w:val="4EC866B8"/>
    <w:rsid w:val="4ED137BE"/>
    <w:rsid w:val="4ED80FF1"/>
    <w:rsid w:val="4EEE35FC"/>
    <w:rsid w:val="4EEE3858"/>
    <w:rsid w:val="4EEE4670"/>
    <w:rsid w:val="4EFA642B"/>
    <w:rsid w:val="4EFD0A57"/>
    <w:rsid w:val="4EFE1926"/>
    <w:rsid w:val="4F082F58"/>
    <w:rsid w:val="4F0911AA"/>
    <w:rsid w:val="4F0B3174"/>
    <w:rsid w:val="4F1B0EDE"/>
    <w:rsid w:val="4F2204BE"/>
    <w:rsid w:val="4F22226C"/>
    <w:rsid w:val="4F2550A7"/>
    <w:rsid w:val="4F271630"/>
    <w:rsid w:val="4F29644A"/>
    <w:rsid w:val="4F2E0C11"/>
    <w:rsid w:val="4F2F71CE"/>
    <w:rsid w:val="4F351F9F"/>
    <w:rsid w:val="4F3673B2"/>
    <w:rsid w:val="4F3A5808"/>
    <w:rsid w:val="4F42736E"/>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17A31"/>
    <w:rsid w:val="4FE25169"/>
    <w:rsid w:val="4FE57280"/>
    <w:rsid w:val="4FE74643"/>
    <w:rsid w:val="4FE92D8A"/>
    <w:rsid w:val="4FEE03A0"/>
    <w:rsid w:val="4FEE214E"/>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601964"/>
    <w:rsid w:val="5066378B"/>
    <w:rsid w:val="506B7C43"/>
    <w:rsid w:val="50703ED4"/>
    <w:rsid w:val="507705FD"/>
    <w:rsid w:val="507718E7"/>
    <w:rsid w:val="5088616F"/>
    <w:rsid w:val="508A78F6"/>
    <w:rsid w:val="50935E3E"/>
    <w:rsid w:val="50964CC0"/>
    <w:rsid w:val="509B4084"/>
    <w:rsid w:val="509E35B3"/>
    <w:rsid w:val="509E6042"/>
    <w:rsid w:val="50A834F9"/>
    <w:rsid w:val="50A857E3"/>
    <w:rsid w:val="50A867A1"/>
    <w:rsid w:val="50BC0A37"/>
    <w:rsid w:val="50C86E43"/>
    <w:rsid w:val="50CA1482"/>
    <w:rsid w:val="50D1332A"/>
    <w:rsid w:val="50D91050"/>
    <w:rsid w:val="50DA1EA9"/>
    <w:rsid w:val="50E64204"/>
    <w:rsid w:val="50E963C7"/>
    <w:rsid w:val="50ED2EE0"/>
    <w:rsid w:val="50F10148"/>
    <w:rsid w:val="50F62A03"/>
    <w:rsid w:val="50F6575E"/>
    <w:rsid w:val="51052F88"/>
    <w:rsid w:val="51071719"/>
    <w:rsid w:val="510812ED"/>
    <w:rsid w:val="510F05CE"/>
    <w:rsid w:val="51102E68"/>
    <w:rsid w:val="511E1C85"/>
    <w:rsid w:val="511F4A55"/>
    <w:rsid w:val="51237D1B"/>
    <w:rsid w:val="51273B6A"/>
    <w:rsid w:val="5135416D"/>
    <w:rsid w:val="51354F21"/>
    <w:rsid w:val="5139389D"/>
    <w:rsid w:val="51450494"/>
    <w:rsid w:val="5148635A"/>
    <w:rsid w:val="514A2BEA"/>
    <w:rsid w:val="51570E30"/>
    <w:rsid w:val="515A3F3F"/>
    <w:rsid w:val="515B3813"/>
    <w:rsid w:val="515E35EA"/>
    <w:rsid w:val="5165265C"/>
    <w:rsid w:val="51660C4E"/>
    <w:rsid w:val="517B2107"/>
    <w:rsid w:val="517B5543"/>
    <w:rsid w:val="51814FF7"/>
    <w:rsid w:val="51870F9F"/>
    <w:rsid w:val="51890380"/>
    <w:rsid w:val="51905BB3"/>
    <w:rsid w:val="51932B62"/>
    <w:rsid w:val="5193320B"/>
    <w:rsid w:val="5197340C"/>
    <w:rsid w:val="51A52CE0"/>
    <w:rsid w:val="51A56620"/>
    <w:rsid w:val="51A6769A"/>
    <w:rsid w:val="51B1657A"/>
    <w:rsid w:val="51B24883"/>
    <w:rsid w:val="51B573C7"/>
    <w:rsid w:val="51C4760A"/>
    <w:rsid w:val="51C963A9"/>
    <w:rsid w:val="51D84F57"/>
    <w:rsid w:val="51DA47E6"/>
    <w:rsid w:val="51DB6702"/>
    <w:rsid w:val="51DC2BA6"/>
    <w:rsid w:val="51DF2696"/>
    <w:rsid w:val="51E44D95"/>
    <w:rsid w:val="51E63A25"/>
    <w:rsid w:val="51E67581"/>
    <w:rsid w:val="51EC3196"/>
    <w:rsid w:val="51ED6AE7"/>
    <w:rsid w:val="51EE6435"/>
    <w:rsid w:val="51F55A16"/>
    <w:rsid w:val="51F7178E"/>
    <w:rsid w:val="51F872B4"/>
    <w:rsid w:val="51FE1078"/>
    <w:rsid w:val="52067C23"/>
    <w:rsid w:val="5208140D"/>
    <w:rsid w:val="5209326F"/>
    <w:rsid w:val="52121225"/>
    <w:rsid w:val="52124677"/>
    <w:rsid w:val="52131388"/>
    <w:rsid w:val="52132340"/>
    <w:rsid w:val="52185B5B"/>
    <w:rsid w:val="5219128C"/>
    <w:rsid w:val="521A09E9"/>
    <w:rsid w:val="521C11F4"/>
    <w:rsid w:val="521F0E9F"/>
    <w:rsid w:val="521F2A93"/>
    <w:rsid w:val="52215EB7"/>
    <w:rsid w:val="52293911"/>
    <w:rsid w:val="522C1839"/>
    <w:rsid w:val="523227C6"/>
    <w:rsid w:val="52365E7C"/>
    <w:rsid w:val="523C201C"/>
    <w:rsid w:val="523D061E"/>
    <w:rsid w:val="523D2BA6"/>
    <w:rsid w:val="52410C5B"/>
    <w:rsid w:val="5241571A"/>
    <w:rsid w:val="5247502A"/>
    <w:rsid w:val="524810FD"/>
    <w:rsid w:val="524A1D12"/>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D1497"/>
    <w:rsid w:val="529B29C3"/>
    <w:rsid w:val="529C0587"/>
    <w:rsid w:val="52A5743C"/>
    <w:rsid w:val="52A7285B"/>
    <w:rsid w:val="52AD62F0"/>
    <w:rsid w:val="52AE4D91"/>
    <w:rsid w:val="52B56FC4"/>
    <w:rsid w:val="52BD2BB7"/>
    <w:rsid w:val="52C11D9C"/>
    <w:rsid w:val="52C476FB"/>
    <w:rsid w:val="52CD6993"/>
    <w:rsid w:val="52D12EE6"/>
    <w:rsid w:val="52D25057"/>
    <w:rsid w:val="52D40323"/>
    <w:rsid w:val="52D93896"/>
    <w:rsid w:val="52DE08E5"/>
    <w:rsid w:val="52DE3D21"/>
    <w:rsid w:val="52EB2845"/>
    <w:rsid w:val="52FA7D19"/>
    <w:rsid w:val="52FF1A0D"/>
    <w:rsid w:val="53071EA5"/>
    <w:rsid w:val="530F19CD"/>
    <w:rsid w:val="530F48B5"/>
    <w:rsid w:val="531279FD"/>
    <w:rsid w:val="531669C8"/>
    <w:rsid w:val="531E71EE"/>
    <w:rsid w:val="532B497C"/>
    <w:rsid w:val="532E6CBF"/>
    <w:rsid w:val="533345A7"/>
    <w:rsid w:val="53446C55"/>
    <w:rsid w:val="534D53DE"/>
    <w:rsid w:val="534E1882"/>
    <w:rsid w:val="53517035"/>
    <w:rsid w:val="53542C10"/>
    <w:rsid w:val="53591FD4"/>
    <w:rsid w:val="536760AB"/>
    <w:rsid w:val="536820F1"/>
    <w:rsid w:val="536C1D08"/>
    <w:rsid w:val="53841959"/>
    <w:rsid w:val="538B76B7"/>
    <w:rsid w:val="538D450E"/>
    <w:rsid w:val="53935351"/>
    <w:rsid w:val="539D57CC"/>
    <w:rsid w:val="53B22D76"/>
    <w:rsid w:val="53BA12AA"/>
    <w:rsid w:val="53BC2E44"/>
    <w:rsid w:val="53BF05EA"/>
    <w:rsid w:val="53BF62DB"/>
    <w:rsid w:val="53C32D17"/>
    <w:rsid w:val="53C47D96"/>
    <w:rsid w:val="53CB1124"/>
    <w:rsid w:val="53D333E6"/>
    <w:rsid w:val="53DB1AFB"/>
    <w:rsid w:val="53E73A84"/>
    <w:rsid w:val="53E93358"/>
    <w:rsid w:val="53EA42FA"/>
    <w:rsid w:val="53FB3968"/>
    <w:rsid w:val="53FC1520"/>
    <w:rsid w:val="54041F40"/>
    <w:rsid w:val="54120B01"/>
    <w:rsid w:val="541250CE"/>
    <w:rsid w:val="54164915"/>
    <w:rsid w:val="541C1CA1"/>
    <w:rsid w:val="544762D1"/>
    <w:rsid w:val="544B5DC1"/>
    <w:rsid w:val="54584EB6"/>
    <w:rsid w:val="54596D50"/>
    <w:rsid w:val="545A6686"/>
    <w:rsid w:val="545F25C6"/>
    <w:rsid w:val="5463135D"/>
    <w:rsid w:val="5465104B"/>
    <w:rsid w:val="546832F7"/>
    <w:rsid w:val="54686973"/>
    <w:rsid w:val="547A0454"/>
    <w:rsid w:val="547B1550"/>
    <w:rsid w:val="54801E0A"/>
    <w:rsid w:val="54866DF9"/>
    <w:rsid w:val="548A51C4"/>
    <w:rsid w:val="54913B60"/>
    <w:rsid w:val="549412E0"/>
    <w:rsid w:val="549A4653"/>
    <w:rsid w:val="54A92AE8"/>
    <w:rsid w:val="54A947EB"/>
    <w:rsid w:val="54AB7258"/>
    <w:rsid w:val="54AD082A"/>
    <w:rsid w:val="54AE00FE"/>
    <w:rsid w:val="54B43966"/>
    <w:rsid w:val="54B5148C"/>
    <w:rsid w:val="54C17E31"/>
    <w:rsid w:val="54C65448"/>
    <w:rsid w:val="54C96B57"/>
    <w:rsid w:val="54D050DC"/>
    <w:rsid w:val="54D264E2"/>
    <w:rsid w:val="54D33113"/>
    <w:rsid w:val="54DF6509"/>
    <w:rsid w:val="54E04A17"/>
    <w:rsid w:val="54E405A7"/>
    <w:rsid w:val="54E44CA2"/>
    <w:rsid w:val="54F55D2D"/>
    <w:rsid w:val="54F57475"/>
    <w:rsid w:val="54F6391C"/>
    <w:rsid w:val="54FC70BB"/>
    <w:rsid w:val="54FD6B73"/>
    <w:rsid w:val="55006BAB"/>
    <w:rsid w:val="55024293"/>
    <w:rsid w:val="5503449C"/>
    <w:rsid w:val="55130BD8"/>
    <w:rsid w:val="5518601D"/>
    <w:rsid w:val="55216B22"/>
    <w:rsid w:val="55225714"/>
    <w:rsid w:val="55276B2C"/>
    <w:rsid w:val="55281597"/>
    <w:rsid w:val="553C69B2"/>
    <w:rsid w:val="55400FE4"/>
    <w:rsid w:val="5543118E"/>
    <w:rsid w:val="55473A9D"/>
    <w:rsid w:val="554E0454"/>
    <w:rsid w:val="554F368F"/>
    <w:rsid w:val="55517407"/>
    <w:rsid w:val="5555007B"/>
    <w:rsid w:val="555714B5"/>
    <w:rsid w:val="55676E3B"/>
    <w:rsid w:val="556E620B"/>
    <w:rsid w:val="556E7630"/>
    <w:rsid w:val="55744268"/>
    <w:rsid w:val="55780E38"/>
    <w:rsid w:val="5580322B"/>
    <w:rsid w:val="55825812"/>
    <w:rsid w:val="55827531"/>
    <w:rsid w:val="5583514A"/>
    <w:rsid w:val="55886BA1"/>
    <w:rsid w:val="558A69EE"/>
    <w:rsid w:val="559E0611"/>
    <w:rsid w:val="55A44845"/>
    <w:rsid w:val="55A93125"/>
    <w:rsid w:val="55BE4C30"/>
    <w:rsid w:val="55C367C2"/>
    <w:rsid w:val="55C45860"/>
    <w:rsid w:val="55C617FA"/>
    <w:rsid w:val="55CA71B9"/>
    <w:rsid w:val="55CB6E0A"/>
    <w:rsid w:val="55CD4BC0"/>
    <w:rsid w:val="55D14D5F"/>
    <w:rsid w:val="55D1679A"/>
    <w:rsid w:val="55E243C4"/>
    <w:rsid w:val="55EC2C79"/>
    <w:rsid w:val="55EE2EA8"/>
    <w:rsid w:val="55F12998"/>
    <w:rsid w:val="55F61D5C"/>
    <w:rsid w:val="560256B0"/>
    <w:rsid w:val="560908AB"/>
    <w:rsid w:val="56093396"/>
    <w:rsid w:val="56116B96"/>
    <w:rsid w:val="561D553B"/>
    <w:rsid w:val="56264966"/>
    <w:rsid w:val="56283049"/>
    <w:rsid w:val="562E610E"/>
    <w:rsid w:val="56310FE7"/>
    <w:rsid w:val="563665FD"/>
    <w:rsid w:val="564C5E20"/>
    <w:rsid w:val="564C7BCE"/>
    <w:rsid w:val="564E1B99"/>
    <w:rsid w:val="56521689"/>
    <w:rsid w:val="565D5647"/>
    <w:rsid w:val="5660790D"/>
    <w:rsid w:val="566201DA"/>
    <w:rsid w:val="5664616C"/>
    <w:rsid w:val="56665134"/>
    <w:rsid w:val="566B3616"/>
    <w:rsid w:val="566C5776"/>
    <w:rsid w:val="566E184F"/>
    <w:rsid w:val="566E3FE9"/>
    <w:rsid w:val="5671018D"/>
    <w:rsid w:val="567315FF"/>
    <w:rsid w:val="5675239F"/>
    <w:rsid w:val="56763AC6"/>
    <w:rsid w:val="56834F0D"/>
    <w:rsid w:val="56884DC7"/>
    <w:rsid w:val="568B6949"/>
    <w:rsid w:val="56916F31"/>
    <w:rsid w:val="5697709C"/>
    <w:rsid w:val="56A05E3F"/>
    <w:rsid w:val="56A731E6"/>
    <w:rsid w:val="56A8574D"/>
    <w:rsid w:val="56AA0510"/>
    <w:rsid w:val="56C42B77"/>
    <w:rsid w:val="56D0330B"/>
    <w:rsid w:val="56D24DB9"/>
    <w:rsid w:val="56D33179"/>
    <w:rsid w:val="56DE2CEF"/>
    <w:rsid w:val="56E8798C"/>
    <w:rsid w:val="56EE21B9"/>
    <w:rsid w:val="56F23EB5"/>
    <w:rsid w:val="57056FEA"/>
    <w:rsid w:val="57064F84"/>
    <w:rsid w:val="57157831"/>
    <w:rsid w:val="571C6B19"/>
    <w:rsid w:val="5726160C"/>
    <w:rsid w:val="572B2E52"/>
    <w:rsid w:val="57312FF3"/>
    <w:rsid w:val="57323081"/>
    <w:rsid w:val="57354828"/>
    <w:rsid w:val="57403E9E"/>
    <w:rsid w:val="57480FB9"/>
    <w:rsid w:val="574F3973"/>
    <w:rsid w:val="5755458A"/>
    <w:rsid w:val="57555A3D"/>
    <w:rsid w:val="575753AE"/>
    <w:rsid w:val="575C2093"/>
    <w:rsid w:val="57604227"/>
    <w:rsid w:val="57672F12"/>
    <w:rsid w:val="576942DD"/>
    <w:rsid w:val="57697B57"/>
    <w:rsid w:val="576B0DA0"/>
    <w:rsid w:val="577332BA"/>
    <w:rsid w:val="57783371"/>
    <w:rsid w:val="57791C46"/>
    <w:rsid w:val="577B33D6"/>
    <w:rsid w:val="57831D16"/>
    <w:rsid w:val="57833AC4"/>
    <w:rsid w:val="578C6155"/>
    <w:rsid w:val="578F0028"/>
    <w:rsid w:val="578F4217"/>
    <w:rsid w:val="57917F8F"/>
    <w:rsid w:val="57953B57"/>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6077A"/>
    <w:rsid w:val="57E31C08"/>
    <w:rsid w:val="57E502DB"/>
    <w:rsid w:val="57E83927"/>
    <w:rsid w:val="57E866C9"/>
    <w:rsid w:val="57EE3633"/>
    <w:rsid w:val="57F0234F"/>
    <w:rsid w:val="57F03FAE"/>
    <w:rsid w:val="57F66044"/>
    <w:rsid w:val="57FA3D86"/>
    <w:rsid w:val="580469B3"/>
    <w:rsid w:val="580544D9"/>
    <w:rsid w:val="580F0297"/>
    <w:rsid w:val="582232DD"/>
    <w:rsid w:val="58227637"/>
    <w:rsid w:val="583628E4"/>
    <w:rsid w:val="58376A76"/>
    <w:rsid w:val="584A6390"/>
    <w:rsid w:val="585C3C2E"/>
    <w:rsid w:val="585F1E3B"/>
    <w:rsid w:val="586966C6"/>
    <w:rsid w:val="586B764B"/>
    <w:rsid w:val="58754A86"/>
    <w:rsid w:val="58782EFD"/>
    <w:rsid w:val="58787F0A"/>
    <w:rsid w:val="5886709C"/>
    <w:rsid w:val="588840E5"/>
    <w:rsid w:val="58893856"/>
    <w:rsid w:val="588A1893"/>
    <w:rsid w:val="588B0E82"/>
    <w:rsid w:val="588F1D73"/>
    <w:rsid w:val="58913FBE"/>
    <w:rsid w:val="58937D37"/>
    <w:rsid w:val="589406EF"/>
    <w:rsid w:val="58977AC0"/>
    <w:rsid w:val="589C6BEB"/>
    <w:rsid w:val="589F0489"/>
    <w:rsid w:val="58A00778"/>
    <w:rsid w:val="58A401B3"/>
    <w:rsid w:val="58A65CBC"/>
    <w:rsid w:val="58AC2BA6"/>
    <w:rsid w:val="58B02697"/>
    <w:rsid w:val="58B06B3A"/>
    <w:rsid w:val="58B40D71"/>
    <w:rsid w:val="58C85C32"/>
    <w:rsid w:val="58CA7BFC"/>
    <w:rsid w:val="58CD492B"/>
    <w:rsid w:val="58D04AE7"/>
    <w:rsid w:val="58D14644"/>
    <w:rsid w:val="58DD0FB2"/>
    <w:rsid w:val="58DF11CE"/>
    <w:rsid w:val="58DF1F01"/>
    <w:rsid w:val="58E16CF4"/>
    <w:rsid w:val="58F52598"/>
    <w:rsid w:val="58F72073"/>
    <w:rsid w:val="59026E45"/>
    <w:rsid w:val="59044790"/>
    <w:rsid w:val="590645DA"/>
    <w:rsid w:val="59107818"/>
    <w:rsid w:val="59172716"/>
    <w:rsid w:val="591E5852"/>
    <w:rsid w:val="591F15CA"/>
    <w:rsid w:val="59247DA9"/>
    <w:rsid w:val="59295D87"/>
    <w:rsid w:val="593212FE"/>
    <w:rsid w:val="593705EE"/>
    <w:rsid w:val="593F279A"/>
    <w:rsid w:val="59457283"/>
    <w:rsid w:val="594A2253"/>
    <w:rsid w:val="59594959"/>
    <w:rsid w:val="595F4F33"/>
    <w:rsid w:val="59611522"/>
    <w:rsid w:val="59622119"/>
    <w:rsid w:val="597569E8"/>
    <w:rsid w:val="5980662B"/>
    <w:rsid w:val="598F6750"/>
    <w:rsid w:val="59973856"/>
    <w:rsid w:val="599C0E6D"/>
    <w:rsid w:val="599C6D5A"/>
    <w:rsid w:val="599E145F"/>
    <w:rsid w:val="59A0270B"/>
    <w:rsid w:val="59A05551"/>
    <w:rsid w:val="59A26483"/>
    <w:rsid w:val="59A77780"/>
    <w:rsid w:val="59B63CDD"/>
    <w:rsid w:val="59BF60D2"/>
    <w:rsid w:val="59C74AA1"/>
    <w:rsid w:val="59C94DFC"/>
    <w:rsid w:val="59CC0CC5"/>
    <w:rsid w:val="59D800F7"/>
    <w:rsid w:val="59DD205E"/>
    <w:rsid w:val="59E22D24"/>
    <w:rsid w:val="59E52814"/>
    <w:rsid w:val="59E62A83"/>
    <w:rsid w:val="59E655B4"/>
    <w:rsid w:val="59E81184"/>
    <w:rsid w:val="59EF5441"/>
    <w:rsid w:val="59F033A8"/>
    <w:rsid w:val="59F34F31"/>
    <w:rsid w:val="59F9006D"/>
    <w:rsid w:val="5A001125"/>
    <w:rsid w:val="5A094754"/>
    <w:rsid w:val="5A127C5A"/>
    <w:rsid w:val="5A18742D"/>
    <w:rsid w:val="5A230CE7"/>
    <w:rsid w:val="5A366373"/>
    <w:rsid w:val="5A3A1404"/>
    <w:rsid w:val="5A3A2B60"/>
    <w:rsid w:val="5A3B5F77"/>
    <w:rsid w:val="5A405CDC"/>
    <w:rsid w:val="5A470DD9"/>
    <w:rsid w:val="5A4E2167"/>
    <w:rsid w:val="5A532C1D"/>
    <w:rsid w:val="5A552114"/>
    <w:rsid w:val="5A567D10"/>
    <w:rsid w:val="5A582FE6"/>
    <w:rsid w:val="5A59655A"/>
    <w:rsid w:val="5A5B4884"/>
    <w:rsid w:val="5A5C0554"/>
    <w:rsid w:val="5A61633E"/>
    <w:rsid w:val="5A663955"/>
    <w:rsid w:val="5A705E76"/>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B1A0A"/>
    <w:rsid w:val="5ACD73E4"/>
    <w:rsid w:val="5AD92379"/>
    <w:rsid w:val="5AE12973"/>
    <w:rsid w:val="5AEE1C72"/>
    <w:rsid w:val="5AEE56F8"/>
    <w:rsid w:val="5AF30D97"/>
    <w:rsid w:val="5AF656AC"/>
    <w:rsid w:val="5AF80325"/>
    <w:rsid w:val="5B013B70"/>
    <w:rsid w:val="5B0865DE"/>
    <w:rsid w:val="5B0867BA"/>
    <w:rsid w:val="5B092532"/>
    <w:rsid w:val="5B0E0F0F"/>
    <w:rsid w:val="5B10566E"/>
    <w:rsid w:val="5B13515F"/>
    <w:rsid w:val="5B174C4F"/>
    <w:rsid w:val="5B215CCF"/>
    <w:rsid w:val="5B250C85"/>
    <w:rsid w:val="5B2E2399"/>
    <w:rsid w:val="5B2E29E9"/>
    <w:rsid w:val="5B313258"/>
    <w:rsid w:val="5B321A89"/>
    <w:rsid w:val="5B3752F1"/>
    <w:rsid w:val="5B3D5BBC"/>
    <w:rsid w:val="5B3D5C55"/>
    <w:rsid w:val="5B411AA7"/>
    <w:rsid w:val="5B445318"/>
    <w:rsid w:val="5B4506D2"/>
    <w:rsid w:val="5B5075BB"/>
    <w:rsid w:val="5B56652C"/>
    <w:rsid w:val="5B591312"/>
    <w:rsid w:val="5B6360E6"/>
    <w:rsid w:val="5B651126"/>
    <w:rsid w:val="5B7A1F69"/>
    <w:rsid w:val="5B7E704A"/>
    <w:rsid w:val="5B85605C"/>
    <w:rsid w:val="5B876AF2"/>
    <w:rsid w:val="5B8D3163"/>
    <w:rsid w:val="5B8D3C5B"/>
    <w:rsid w:val="5B98227D"/>
    <w:rsid w:val="5B9F6CF3"/>
    <w:rsid w:val="5BA92D4B"/>
    <w:rsid w:val="5BAB37E2"/>
    <w:rsid w:val="5BB4164A"/>
    <w:rsid w:val="5BB43E59"/>
    <w:rsid w:val="5BC36B85"/>
    <w:rsid w:val="5BC86423"/>
    <w:rsid w:val="5BD3501A"/>
    <w:rsid w:val="5BD4669C"/>
    <w:rsid w:val="5BD710E2"/>
    <w:rsid w:val="5BD90156"/>
    <w:rsid w:val="5BD90F85"/>
    <w:rsid w:val="5BDE751B"/>
    <w:rsid w:val="5BE30FD5"/>
    <w:rsid w:val="5BE70AC5"/>
    <w:rsid w:val="5BE74621"/>
    <w:rsid w:val="5BF67C29"/>
    <w:rsid w:val="5BF907F8"/>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566D9D"/>
    <w:rsid w:val="5C5B500F"/>
    <w:rsid w:val="5C5D48E3"/>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72B19"/>
    <w:rsid w:val="5CD821BC"/>
    <w:rsid w:val="5CDA3F26"/>
    <w:rsid w:val="5CDB3C64"/>
    <w:rsid w:val="5CDD2041"/>
    <w:rsid w:val="5CDD33AE"/>
    <w:rsid w:val="5CE34071"/>
    <w:rsid w:val="5CED210B"/>
    <w:rsid w:val="5CF0446B"/>
    <w:rsid w:val="5CF214D0"/>
    <w:rsid w:val="5CF52D6E"/>
    <w:rsid w:val="5CF54B1C"/>
    <w:rsid w:val="5CF80AB0"/>
    <w:rsid w:val="5D02030B"/>
    <w:rsid w:val="5D084E39"/>
    <w:rsid w:val="5D0964D7"/>
    <w:rsid w:val="5D105CF8"/>
    <w:rsid w:val="5D1D22C5"/>
    <w:rsid w:val="5D210677"/>
    <w:rsid w:val="5D2A4D65"/>
    <w:rsid w:val="5D2C42B6"/>
    <w:rsid w:val="5D331AE8"/>
    <w:rsid w:val="5D3339BE"/>
    <w:rsid w:val="5D3851D3"/>
    <w:rsid w:val="5D423AD9"/>
    <w:rsid w:val="5D4D63B1"/>
    <w:rsid w:val="5D4E06D0"/>
    <w:rsid w:val="5D502E32"/>
    <w:rsid w:val="5D585F07"/>
    <w:rsid w:val="5D616395"/>
    <w:rsid w:val="5D6A27A8"/>
    <w:rsid w:val="5D752101"/>
    <w:rsid w:val="5D75259B"/>
    <w:rsid w:val="5D810AA5"/>
    <w:rsid w:val="5D861BCD"/>
    <w:rsid w:val="5D88074A"/>
    <w:rsid w:val="5D985696"/>
    <w:rsid w:val="5D9869B0"/>
    <w:rsid w:val="5D9D6994"/>
    <w:rsid w:val="5DA14CA4"/>
    <w:rsid w:val="5DA6050C"/>
    <w:rsid w:val="5DA64068"/>
    <w:rsid w:val="5DAB78D0"/>
    <w:rsid w:val="5DAD3E49"/>
    <w:rsid w:val="5DAE2321"/>
    <w:rsid w:val="5DBC5ECC"/>
    <w:rsid w:val="5DC32E6C"/>
    <w:rsid w:val="5DC343F9"/>
    <w:rsid w:val="5DC35E00"/>
    <w:rsid w:val="5DD07AF4"/>
    <w:rsid w:val="5DD9443E"/>
    <w:rsid w:val="5DE2248A"/>
    <w:rsid w:val="5DE54B90"/>
    <w:rsid w:val="5DEA4642"/>
    <w:rsid w:val="5DEE0041"/>
    <w:rsid w:val="5E0016D0"/>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D224D"/>
    <w:rsid w:val="5E3E7882"/>
    <w:rsid w:val="5E4E4E2C"/>
    <w:rsid w:val="5E4E6BDA"/>
    <w:rsid w:val="5E4F1664"/>
    <w:rsid w:val="5E4F64AE"/>
    <w:rsid w:val="5E5D4D99"/>
    <w:rsid w:val="5E6A153A"/>
    <w:rsid w:val="5E7E6701"/>
    <w:rsid w:val="5E841E57"/>
    <w:rsid w:val="5E8545C5"/>
    <w:rsid w:val="5E856373"/>
    <w:rsid w:val="5E9219AA"/>
    <w:rsid w:val="5E954808"/>
    <w:rsid w:val="5E9640DD"/>
    <w:rsid w:val="5E97383C"/>
    <w:rsid w:val="5EA42C9D"/>
    <w:rsid w:val="5EA507C4"/>
    <w:rsid w:val="5EB2004A"/>
    <w:rsid w:val="5EB32EE1"/>
    <w:rsid w:val="5EC46929"/>
    <w:rsid w:val="5EC64CF9"/>
    <w:rsid w:val="5ED35331"/>
    <w:rsid w:val="5ED52E57"/>
    <w:rsid w:val="5EDF5A84"/>
    <w:rsid w:val="5EE94B54"/>
    <w:rsid w:val="5EF05EE3"/>
    <w:rsid w:val="5EF57137"/>
    <w:rsid w:val="5EFE6E42"/>
    <w:rsid w:val="5F054FBD"/>
    <w:rsid w:val="5F093B85"/>
    <w:rsid w:val="5F0B3395"/>
    <w:rsid w:val="5F107AA7"/>
    <w:rsid w:val="5F1B3A4B"/>
    <w:rsid w:val="5F1D035A"/>
    <w:rsid w:val="5F240F6E"/>
    <w:rsid w:val="5F25151C"/>
    <w:rsid w:val="5F2F2747"/>
    <w:rsid w:val="5F304531"/>
    <w:rsid w:val="5F3131CD"/>
    <w:rsid w:val="5F335DCF"/>
    <w:rsid w:val="5F354FCC"/>
    <w:rsid w:val="5F381638"/>
    <w:rsid w:val="5F3A715E"/>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8E1258"/>
    <w:rsid w:val="5F903222"/>
    <w:rsid w:val="5FA32F55"/>
    <w:rsid w:val="5FA37CAF"/>
    <w:rsid w:val="5FA4174E"/>
    <w:rsid w:val="5FA62DEE"/>
    <w:rsid w:val="5FAC5FA5"/>
    <w:rsid w:val="5FB045E7"/>
    <w:rsid w:val="5FB27708"/>
    <w:rsid w:val="5FB707AE"/>
    <w:rsid w:val="5FB7255D"/>
    <w:rsid w:val="5FB91456"/>
    <w:rsid w:val="5FBC5A2C"/>
    <w:rsid w:val="5FBD4480"/>
    <w:rsid w:val="5FC93D7A"/>
    <w:rsid w:val="5FD2225B"/>
    <w:rsid w:val="5FDC1FC3"/>
    <w:rsid w:val="5FDD7B11"/>
    <w:rsid w:val="5FE01A64"/>
    <w:rsid w:val="5FE01AB3"/>
    <w:rsid w:val="5FE01C28"/>
    <w:rsid w:val="5FE570CA"/>
    <w:rsid w:val="5FE62E42"/>
    <w:rsid w:val="5FE80968"/>
    <w:rsid w:val="5FE938A5"/>
    <w:rsid w:val="5FEA0B84"/>
    <w:rsid w:val="5FFA7637"/>
    <w:rsid w:val="5FFC38E9"/>
    <w:rsid w:val="600914DE"/>
    <w:rsid w:val="600A090D"/>
    <w:rsid w:val="600D03CE"/>
    <w:rsid w:val="60144BDF"/>
    <w:rsid w:val="60145C01"/>
    <w:rsid w:val="6018063D"/>
    <w:rsid w:val="601A3622"/>
    <w:rsid w:val="602F1F75"/>
    <w:rsid w:val="60331A5C"/>
    <w:rsid w:val="60367589"/>
    <w:rsid w:val="60397415"/>
    <w:rsid w:val="603C28E6"/>
    <w:rsid w:val="603C6C42"/>
    <w:rsid w:val="603D527B"/>
    <w:rsid w:val="603F3A23"/>
    <w:rsid w:val="604007A4"/>
    <w:rsid w:val="60405A0D"/>
    <w:rsid w:val="604638E0"/>
    <w:rsid w:val="604E364F"/>
    <w:rsid w:val="60511079"/>
    <w:rsid w:val="60597AB8"/>
    <w:rsid w:val="60653243"/>
    <w:rsid w:val="60681AA9"/>
    <w:rsid w:val="606B5DF2"/>
    <w:rsid w:val="606C2ECA"/>
    <w:rsid w:val="607B445F"/>
    <w:rsid w:val="60824919"/>
    <w:rsid w:val="60886391"/>
    <w:rsid w:val="608A7C71"/>
    <w:rsid w:val="608D263A"/>
    <w:rsid w:val="609168F9"/>
    <w:rsid w:val="609371CC"/>
    <w:rsid w:val="60956D42"/>
    <w:rsid w:val="60A93E60"/>
    <w:rsid w:val="60B116A2"/>
    <w:rsid w:val="60B438B3"/>
    <w:rsid w:val="60B6122B"/>
    <w:rsid w:val="60BB42CE"/>
    <w:rsid w:val="60D16514"/>
    <w:rsid w:val="60D5551B"/>
    <w:rsid w:val="60D801D1"/>
    <w:rsid w:val="60D8398C"/>
    <w:rsid w:val="60E121F5"/>
    <w:rsid w:val="60F048A3"/>
    <w:rsid w:val="60F95222"/>
    <w:rsid w:val="610B0DB2"/>
    <w:rsid w:val="610E79D9"/>
    <w:rsid w:val="612E2CF2"/>
    <w:rsid w:val="61302DBD"/>
    <w:rsid w:val="61333E65"/>
    <w:rsid w:val="613936FA"/>
    <w:rsid w:val="614147D4"/>
    <w:rsid w:val="61472254"/>
    <w:rsid w:val="61527A3D"/>
    <w:rsid w:val="615618D2"/>
    <w:rsid w:val="61574EC1"/>
    <w:rsid w:val="615A41CF"/>
    <w:rsid w:val="61630BEE"/>
    <w:rsid w:val="6165067D"/>
    <w:rsid w:val="61700C15"/>
    <w:rsid w:val="617028A6"/>
    <w:rsid w:val="617649CA"/>
    <w:rsid w:val="61771B73"/>
    <w:rsid w:val="61796953"/>
    <w:rsid w:val="617E51EA"/>
    <w:rsid w:val="618042CE"/>
    <w:rsid w:val="61842912"/>
    <w:rsid w:val="618648DC"/>
    <w:rsid w:val="61867CBA"/>
    <w:rsid w:val="618860C5"/>
    <w:rsid w:val="618928AC"/>
    <w:rsid w:val="61913C09"/>
    <w:rsid w:val="619E1C26"/>
    <w:rsid w:val="61A94127"/>
    <w:rsid w:val="61A9504A"/>
    <w:rsid w:val="61AB60F1"/>
    <w:rsid w:val="61B60BBE"/>
    <w:rsid w:val="61BA5B6C"/>
    <w:rsid w:val="61BE553D"/>
    <w:rsid w:val="61BF5B0C"/>
    <w:rsid w:val="61D03DA9"/>
    <w:rsid w:val="61D6397A"/>
    <w:rsid w:val="61D76EE6"/>
    <w:rsid w:val="61DB6A4D"/>
    <w:rsid w:val="61E04AD9"/>
    <w:rsid w:val="61F555BE"/>
    <w:rsid w:val="6201775B"/>
    <w:rsid w:val="620D71A2"/>
    <w:rsid w:val="620F042E"/>
    <w:rsid w:val="62106035"/>
    <w:rsid w:val="621670CB"/>
    <w:rsid w:val="62172B4C"/>
    <w:rsid w:val="621E7D7A"/>
    <w:rsid w:val="62320319"/>
    <w:rsid w:val="62361A2E"/>
    <w:rsid w:val="6238312F"/>
    <w:rsid w:val="623920A5"/>
    <w:rsid w:val="62397BA1"/>
    <w:rsid w:val="623A36A7"/>
    <w:rsid w:val="623A61B6"/>
    <w:rsid w:val="623B6840"/>
    <w:rsid w:val="624D0F56"/>
    <w:rsid w:val="624E5AC5"/>
    <w:rsid w:val="625F6A4A"/>
    <w:rsid w:val="625F79DD"/>
    <w:rsid w:val="626C278F"/>
    <w:rsid w:val="62740596"/>
    <w:rsid w:val="62776161"/>
    <w:rsid w:val="6280132C"/>
    <w:rsid w:val="6280553C"/>
    <w:rsid w:val="628232F6"/>
    <w:rsid w:val="628C499D"/>
    <w:rsid w:val="629D15BD"/>
    <w:rsid w:val="62A414BE"/>
    <w:rsid w:val="62AF7540"/>
    <w:rsid w:val="62B352E4"/>
    <w:rsid w:val="62B6362D"/>
    <w:rsid w:val="62B65BDA"/>
    <w:rsid w:val="62BD432E"/>
    <w:rsid w:val="62C21944"/>
    <w:rsid w:val="62CA6252"/>
    <w:rsid w:val="62D179A7"/>
    <w:rsid w:val="62D535D8"/>
    <w:rsid w:val="62DA07C5"/>
    <w:rsid w:val="62DA7DAA"/>
    <w:rsid w:val="62DB0217"/>
    <w:rsid w:val="62DD530F"/>
    <w:rsid w:val="62EF025F"/>
    <w:rsid w:val="62F82F7B"/>
    <w:rsid w:val="62FF4946"/>
    <w:rsid w:val="63041F5D"/>
    <w:rsid w:val="630A6E47"/>
    <w:rsid w:val="630C3F88"/>
    <w:rsid w:val="63116428"/>
    <w:rsid w:val="63131C60"/>
    <w:rsid w:val="631872EE"/>
    <w:rsid w:val="632223E3"/>
    <w:rsid w:val="632473E0"/>
    <w:rsid w:val="632945F8"/>
    <w:rsid w:val="632F112F"/>
    <w:rsid w:val="633329E6"/>
    <w:rsid w:val="63347148"/>
    <w:rsid w:val="634379A6"/>
    <w:rsid w:val="63512CC8"/>
    <w:rsid w:val="635527B8"/>
    <w:rsid w:val="635822A8"/>
    <w:rsid w:val="636649C5"/>
    <w:rsid w:val="6367429A"/>
    <w:rsid w:val="636D38E3"/>
    <w:rsid w:val="636F2CBC"/>
    <w:rsid w:val="6372336A"/>
    <w:rsid w:val="63730E90"/>
    <w:rsid w:val="63A66B70"/>
    <w:rsid w:val="63AB4186"/>
    <w:rsid w:val="63AD6150"/>
    <w:rsid w:val="63B35BE5"/>
    <w:rsid w:val="63B573FB"/>
    <w:rsid w:val="63BC7619"/>
    <w:rsid w:val="63C86E42"/>
    <w:rsid w:val="63CE60C7"/>
    <w:rsid w:val="63CF256B"/>
    <w:rsid w:val="63D77671"/>
    <w:rsid w:val="63E61222"/>
    <w:rsid w:val="63FE69AC"/>
    <w:rsid w:val="63FF035D"/>
    <w:rsid w:val="64016C68"/>
    <w:rsid w:val="64025D70"/>
    <w:rsid w:val="64041ABE"/>
    <w:rsid w:val="64061D04"/>
    <w:rsid w:val="64070C3A"/>
    <w:rsid w:val="640A2E5C"/>
    <w:rsid w:val="640B4E4E"/>
    <w:rsid w:val="640F4998"/>
    <w:rsid w:val="6416213F"/>
    <w:rsid w:val="641E704E"/>
    <w:rsid w:val="64252409"/>
    <w:rsid w:val="64277EAD"/>
    <w:rsid w:val="642908B4"/>
    <w:rsid w:val="642D103F"/>
    <w:rsid w:val="642F125B"/>
    <w:rsid w:val="643527F9"/>
    <w:rsid w:val="64367104"/>
    <w:rsid w:val="643F585C"/>
    <w:rsid w:val="64477D24"/>
    <w:rsid w:val="644B7C6E"/>
    <w:rsid w:val="645E744B"/>
    <w:rsid w:val="645F1659"/>
    <w:rsid w:val="64607667"/>
    <w:rsid w:val="64657FC6"/>
    <w:rsid w:val="646A6EA6"/>
    <w:rsid w:val="64722EF6"/>
    <w:rsid w:val="64740A1C"/>
    <w:rsid w:val="64746C6E"/>
    <w:rsid w:val="647E5BE3"/>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0FE0"/>
    <w:rsid w:val="64C9520C"/>
    <w:rsid w:val="64CC6AAA"/>
    <w:rsid w:val="64DA5E0B"/>
    <w:rsid w:val="64DB6CED"/>
    <w:rsid w:val="64DE67DD"/>
    <w:rsid w:val="64E2758F"/>
    <w:rsid w:val="64E732AE"/>
    <w:rsid w:val="64EB797F"/>
    <w:rsid w:val="64F105C1"/>
    <w:rsid w:val="64F6539B"/>
    <w:rsid w:val="651641C9"/>
    <w:rsid w:val="652228B0"/>
    <w:rsid w:val="65244DE3"/>
    <w:rsid w:val="65292CF6"/>
    <w:rsid w:val="652B08B5"/>
    <w:rsid w:val="652B723C"/>
    <w:rsid w:val="6534385F"/>
    <w:rsid w:val="65392928"/>
    <w:rsid w:val="653B778C"/>
    <w:rsid w:val="653E0329"/>
    <w:rsid w:val="653F425B"/>
    <w:rsid w:val="654674C5"/>
    <w:rsid w:val="65484A48"/>
    <w:rsid w:val="65491EA9"/>
    <w:rsid w:val="65530F79"/>
    <w:rsid w:val="65566374"/>
    <w:rsid w:val="655A5E64"/>
    <w:rsid w:val="655B398A"/>
    <w:rsid w:val="656206A5"/>
    <w:rsid w:val="65623600"/>
    <w:rsid w:val="656976B0"/>
    <w:rsid w:val="656A57C4"/>
    <w:rsid w:val="656D408F"/>
    <w:rsid w:val="656E5DB3"/>
    <w:rsid w:val="6570115F"/>
    <w:rsid w:val="65707DEA"/>
    <w:rsid w:val="65765E72"/>
    <w:rsid w:val="657D5FF6"/>
    <w:rsid w:val="657F58CB"/>
    <w:rsid w:val="65817895"/>
    <w:rsid w:val="65896749"/>
    <w:rsid w:val="658B3C23"/>
    <w:rsid w:val="658D036C"/>
    <w:rsid w:val="65901116"/>
    <w:rsid w:val="659908BE"/>
    <w:rsid w:val="659A0956"/>
    <w:rsid w:val="65A447B7"/>
    <w:rsid w:val="65A52645"/>
    <w:rsid w:val="65AA660F"/>
    <w:rsid w:val="65B01973"/>
    <w:rsid w:val="65BE21B3"/>
    <w:rsid w:val="65BE264A"/>
    <w:rsid w:val="65C041E2"/>
    <w:rsid w:val="65C634F9"/>
    <w:rsid w:val="65D1317E"/>
    <w:rsid w:val="65D73958"/>
    <w:rsid w:val="65E059A3"/>
    <w:rsid w:val="65E51816"/>
    <w:rsid w:val="65E575C2"/>
    <w:rsid w:val="65F660A6"/>
    <w:rsid w:val="65FB4FFA"/>
    <w:rsid w:val="66134265"/>
    <w:rsid w:val="661C5E23"/>
    <w:rsid w:val="663B4FEF"/>
    <w:rsid w:val="663B6ADC"/>
    <w:rsid w:val="663D1F2D"/>
    <w:rsid w:val="66432D9C"/>
    <w:rsid w:val="664A2BB8"/>
    <w:rsid w:val="664B1C51"/>
    <w:rsid w:val="664D6B97"/>
    <w:rsid w:val="66551508"/>
    <w:rsid w:val="66552ACF"/>
    <w:rsid w:val="6657649E"/>
    <w:rsid w:val="6659436D"/>
    <w:rsid w:val="665C34BE"/>
    <w:rsid w:val="665F74AA"/>
    <w:rsid w:val="666845B1"/>
    <w:rsid w:val="6669068F"/>
    <w:rsid w:val="66703465"/>
    <w:rsid w:val="66707909"/>
    <w:rsid w:val="6672542F"/>
    <w:rsid w:val="66794A10"/>
    <w:rsid w:val="667C62AE"/>
    <w:rsid w:val="66805D9E"/>
    <w:rsid w:val="668263D9"/>
    <w:rsid w:val="66826704"/>
    <w:rsid w:val="668A2779"/>
    <w:rsid w:val="668A4527"/>
    <w:rsid w:val="668C6F35"/>
    <w:rsid w:val="668F7D8F"/>
    <w:rsid w:val="66903B07"/>
    <w:rsid w:val="66914861"/>
    <w:rsid w:val="66954650"/>
    <w:rsid w:val="66990550"/>
    <w:rsid w:val="669971F6"/>
    <w:rsid w:val="66A11F66"/>
    <w:rsid w:val="66A51361"/>
    <w:rsid w:val="66A54030"/>
    <w:rsid w:val="66AA4BC9"/>
    <w:rsid w:val="66AF4903"/>
    <w:rsid w:val="66B31CC5"/>
    <w:rsid w:val="66B612EF"/>
    <w:rsid w:val="66BB5028"/>
    <w:rsid w:val="66BC3299"/>
    <w:rsid w:val="66D71736"/>
    <w:rsid w:val="66D87988"/>
    <w:rsid w:val="66DB14FC"/>
    <w:rsid w:val="66E83943"/>
    <w:rsid w:val="66EA4BFD"/>
    <w:rsid w:val="66ED4AB6"/>
    <w:rsid w:val="66F26C83"/>
    <w:rsid w:val="66FD119D"/>
    <w:rsid w:val="66FE3167"/>
    <w:rsid w:val="67024A05"/>
    <w:rsid w:val="670C33CD"/>
    <w:rsid w:val="670C6543"/>
    <w:rsid w:val="670F0ED0"/>
    <w:rsid w:val="670F2C7E"/>
    <w:rsid w:val="671102C9"/>
    <w:rsid w:val="671D35ED"/>
    <w:rsid w:val="6727016E"/>
    <w:rsid w:val="67302D72"/>
    <w:rsid w:val="67367BDE"/>
    <w:rsid w:val="67383895"/>
    <w:rsid w:val="673C3F4D"/>
    <w:rsid w:val="673D6C8E"/>
    <w:rsid w:val="67401089"/>
    <w:rsid w:val="674072DB"/>
    <w:rsid w:val="67515045"/>
    <w:rsid w:val="675E7762"/>
    <w:rsid w:val="676034DA"/>
    <w:rsid w:val="67620795"/>
    <w:rsid w:val="67650AA1"/>
    <w:rsid w:val="676B3D88"/>
    <w:rsid w:val="67793D50"/>
    <w:rsid w:val="677B0314"/>
    <w:rsid w:val="678C7972"/>
    <w:rsid w:val="67901824"/>
    <w:rsid w:val="67910EA4"/>
    <w:rsid w:val="679B538E"/>
    <w:rsid w:val="67A03B90"/>
    <w:rsid w:val="67A535E2"/>
    <w:rsid w:val="67A7735B"/>
    <w:rsid w:val="67AD6FA5"/>
    <w:rsid w:val="67B46B65"/>
    <w:rsid w:val="67B64405"/>
    <w:rsid w:val="67B6759E"/>
    <w:rsid w:val="67B825EE"/>
    <w:rsid w:val="67BA4365"/>
    <w:rsid w:val="67C21C75"/>
    <w:rsid w:val="67C65A33"/>
    <w:rsid w:val="67C73559"/>
    <w:rsid w:val="67CE6F06"/>
    <w:rsid w:val="67D068B1"/>
    <w:rsid w:val="67DF6AF4"/>
    <w:rsid w:val="67DF71BB"/>
    <w:rsid w:val="67E4410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1647E"/>
    <w:rsid w:val="6833299C"/>
    <w:rsid w:val="68352BB8"/>
    <w:rsid w:val="6838340B"/>
    <w:rsid w:val="683934CF"/>
    <w:rsid w:val="683B72BC"/>
    <w:rsid w:val="6845021D"/>
    <w:rsid w:val="684C483A"/>
    <w:rsid w:val="68537E16"/>
    <w:rsid w:val="685B4079"/>
    <w:rsid w:val="6867275C"/>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161D3"/>
    <w:rsid w:val="68B30CED"/>
    <w:rsid w:val="68B3402F"/>
    <w:rsid w:val="68BC680B"/>
    <w:rsid w:val="68C006D4"/>
    <w:rsid w:val="68C111CC"/>
    <w:rsid w:val="68C55A28"/>
    <w:rsid w:val="68C61A62"/>
    <w:rsid w:val="68C656C9"/>
    <w:rsid w:val="68C667CC"/>
    <w:rsid w:val="68C857DA"/>
    <w:rsid w:val="68C93813"/>
    <w:rsid w:val="68CA50AF"/>
    <w:rsid w:val="68CF0917"/>
    <w:rsid w:val="68D03951"/>
    <w:rsid w:val="68D73C6F"/>
    <w:rsid w:val="68E24AEE"/>
    <w:rsid w:val="68F63A6F"/>
    <w:rsid w:val="68F93BE6"/>
    <w:rsid w:val="68FC5484"/>
    <w:rsid w:val="69011A03"/>
    <w:rsid w:val="69036813"/>
    <w:rsid w:val="691427CE"/>
    <w:rsid w:val="69194FE4"/>
    <w:rsid w:val="69201173"/>
    <w:rsid w:val="692C087F"/>
    <w:rsid w:val="692F585A"/>
    <w:rsid w:val="69325074"/>
    <w:rsid w:val="693B3D95"/>
    <w:rsid w:val="693E5A9D"/>
    <w:rsid w:val="6940200D"/>
    <w:rsid w:val="69470DF5"/>
    <w:rsid w:val="695E7C81"/>
    <w:rsid w:val="696230A8"/>
    <w:rsid w:val="69636512"/>
    <w:rsid w:val="696D1EDE"/>
    <w:rsid w:val="696E697F"/>
    <w:rsid w:val="69700315"/>
    <w:rsid w:val="69703A94"/>
    <w:rsid w:val="697414BE"/>
    <w:rsid w:val="69766FE4"/>
    <w:rsid w:val="697B45FB"/>
    <w:rsid w:val="697F233D"/>
    <w:rsid w:val="6982764E"/>
    <w:rsid w:val="698A1782"/>
    <w:rsid w:val="698C2CAC"/>
    <w:rsid w:val="6994390F"/>
    <w:rsid w:val="69981651"/>
    <w:rsid w:val="699B6A4B"/>
    <w:rsid w:val="69A41DA4"/>
    <w:rsid w:val="69A47D59"/>
    <w:rsid w:val="69AC6EAA"/>
    <w:rsid w:val="69B30239"/>
    <w:rsid w:val="69BE09A8"/>
    <w:rsid w:val="69CE0BCF"/>
    <w:rsid w:val="69D16A9C"/>
    <w:rsid w:val="69DC2584"/>
    <w:rsid w:val="69E06B54"/>
    <w:rsid w:val="6A077F06"/>
    <w:rsid w:val="6A0B3BD1"/>
    <w:rsid w:val="6A0B4DA2"/>
    <w:rsid w:val="6A0D4CED"/>
    <w:rsid w:val="6A1C4030"/>
    <w:rsid w:val="6A2133F4"/>
    <w:rsid w:val="6A2151A2"/>
    <w:rsid w:val="6A3430A0"/>
    <w:rsid w:val="6A3C571E"/>
    <w:rsid w:val="6A3F1ACC"/>
    <w:rsid w:val="6A452BC9"/>
    <w:rsid w:val="6A482602"/>
    <w:rsid w:val="6A4E1D0F"/>
    <w:rsid w:val="6A521800"/>
    <w:rsid w:val="6A623F41"/>
    <w:rsid w:val="6A6908F7"/>
    <w:rsid w:val="6A6B570C"/>
    <w:rsid w:val="6A6E5F0E"/>
    <w:rsid w:val="6A7554EE"/>
    <w:rsid w:val="6A837C0B"/>
    <w:rsid w:val="6A877213"/>
    <w:rsid w:val="6A8B520E"/>
    <w:rsid w:val="6A8D0A8A"/>
    <w:rsid w:val="6A9D12E5"/>
    <w:rsid w:val="6AA54025"/>
    <w:rsid w:val="6AA778F8"/>
    <w:rsid w:val="6AAB2D00"/>
    <w:rsid w:val="6ABB5326"/>
    <w:rsid w:val="6AC27C99"/>
    <w:rsid w:val="6AC703D4"/>
    <w:rsid w:val="6AC87D14"/>
    <w:rsid w:val="6ACC63C3"/>
    <w:rsid w:val="6AD14E1A"/>
    <w:rsid w:val="6AE6658B"/>
    <w:rsid w:val="6AEA1A38"/>
    <w:rsid w:val="6AED32D6"/>
    <w:rsid w:val="6AF01018"/>
    <w:rsid w:val="6B014FD4"/>
    <w:rsid w:val="6B040620"/>
    <w:rsid w:val="6B0546BF"/>
    <w:rsid w:val="6B086362"/>
    <w:rsid w:val="6B140A94"/>
    <w:rsid w:val="6B1765A5"/>
    <w:rsid w:val="6B1E5B86"/>
    <w:rsid w:val="6B225676"/>
    <w:rsid w:val="6B2A0DD1"/>
    <w:rsid w:val="6B2A62D8"/>
    <w:rsid w:val="6B3123E5"/>
    <w:rsid w:val="6B3928DE"/>
    <w:rsid w:val="6B3A571B"/>
    <w:rsid w:val="6B3D24B0"/>
    <w:rsid w:val="6B3E1D84"/>
    <w:rsid w:val="6B421874"/>
    <w:rsid w:val="6B433182"/>
    <w:rsid w:val="6B454EC0"/>
    <w:rsid w:val="6B4D6993"/>
    <w:rsid w:val="6B4E304B"/>
    <w:rsid w:val="6B515E8F"/>
    <w:rsid w:val="6B594E10"/>
    <w:rsid w:val="6B5B6012"/>
    <w:rsid w:val="6B680BAF"/>
    <w:rsid w:val="6B6905B2"/>
    <w:rsid w:val="6B715CB5"/>
    <w:rsid w:val="6B7B6CF5"/>
    <w:rsid w:val="6B8C2AEF"/>
    <w:rsid w:val="6B8D6867"/>
    <w:rsid w:val="6B9120BE"/>
    <w:rsid w:val="6B942D3D"/>
    <w:rsid w:val="6B980468"/>
    <w:rsid w:val="6B9A0316"/>
    <w:rsid w:val="6BA22B89"/>
    <w:rsid w:val="6BA37769"/>
    <w:rsid w:val="6BA56514"/>
    <w:rsid w:val="6BA623F4"/>
    <w:rsid w:val="6BB7760B"/>
    <w:rsid w:val="6BB8600B"/>
    <w:rsid w:val="6BB93481"/>
    <w:rsid w:val="6BB95D93"/>
    <w:rsid w:val="6BC15C2B"/>
    <w:rsid w:val="6BC4672D"/>
    <w:rsid w:val="6BC530A7"/>
    <w:rsid w:val="6BCA186A"/>
    <w:rsid w:val="6BCB7ABB"/>
    <w:rsid w:val="6BCC7390"/>
    <w:rsid w:val="6BD24A28"/>
    <w:rsid w:val="6BD46244"/>
    <w:rsid w:val="6BD6020E"/>
    <w:rsid w:val="6BD66471"/>
    <w:rsid w:val="6BE22552"/>
    <w:rsid w:val="6BE7241B"/>
    <w:rsid w:val="6BEE4FC6"/>
    <w:rsid w:val="6BF52DE2"/>
    <w:rsid w:val="6BF863D7"/>
    <w:rsid w:val="6BFB3638"/>
    <w:rsid w:val="6C0F78E9"/>
    <w:rsid w:val="6C107BF8"/>
    <w:rsid w:val="6C1D78D9"/>
    <w:rsid w:val="6C1E785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9C6D62"/>
    <w:rsid w:val="6CA7022C"/>
    <w:rsid w:val="6CAB1B96"/>
    <w:rsid w:val="6CB2643C"/>
    <w:rsid w:val="6CB319F4"/>
    <w:rsid w:val="6CB775D6"/>
    <w:rsid w:val="6CBC783E"/>
    <w:rsid w:val="6CBF2773"/>
    <w:rsid w:val="6CC369E5"/>
    <w:rsid w:val="6CC4275D"/>
    <w:rsid w:val="6CC462B9"/>
    <w:rsid w:val="6CC548BB"/>
    <w:rsid w:val="6CD9456A"/>
    <w:rsid w:val="6CDE55CC"/>
    <w:rsid w:val="6CDF1345"/>
    <w:rsid w:val="6CE54BAD"/>
    <w:rsid w:val="6CEA21C3"/>
    <w:rsid w:val="6CEB1A97"/>
    <w:rsid w:val="6CEB70AA"/>
    <w:rsid w:val="6CF05300"/>
    <w:rsid w:val="6CF22E26"/>
    <w:rsid w:val="6CF34F90"/>
    <w:rsid w:val="6CF43042"/>
    <w:rsid w:val="6CF76761"/>
    <w:rsid w:val="6CFA66BC"/>
    <w:rsid w:val="6CFC0D9E"/>
    <w:rsid w:val="6D093C1F"/>
    <w:rsid w:val="6D147240"/>
    <w:rsid w:val="6D1C1338"/>
    <w:rsid w:val="6D1E3C1B"/>
    <w:rsid w:val="6D241DD6"/>
    <w:rsid w:val="6D261FE2"/>
    <w:rsid w:val="6D330C25"/>
    <w:rsid w:val="6D3A2C36"/>
    <w:rsid w:val="6D3B47CD"/>
    <w:rsid w:val="6D4C4C2C"/>
    <w:rsid w:val="6D4D62AE"/>
    <w:rsid w:val="6D5263BD"/>
    <w:rsid w:val="6D567859"/>
    <w:rsid w:val="6D5923AE"/>
    <w:rsid w:val="6D5B4E6F"/>
    <w:rsid w:val="6D657A9C"/>
    <w:rsid w:val="6D6B4CAD"/>
    <w:rsid w:val="6D714693"/>
    <w:rsid w:val="6D72274B"/>
    <w:rsid w:val="6D7418F5"/>
    <w:rsid w:val="6D754438"/>
    <w:rsid w:val="6D7C458B"/>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700B4"/>
    <w:rsid w:val="6DB30807"/>
    <w:rsid w:val="6DB620A5"/>
    <w:rsid w:val="6DB73718"/>
    <w:rsid w:val="6DB77BCC"/>
    <w:rsid w:val="6DBB76BC"/>
    <w:rsid w:val="6DC01870"/>
    <w:rsid w:val="6DC26C9C"/>
    <w:rsid w:val="6DCE632D"/>
    <w:rsid w:val="6DD469CF"/>
    <w:rsid w:val="6DD87EEB"/>
    <w:rsid w:val="6DDB7D5E"/>
    <w:rsid w:val="6DE06A16"/>
    <w:rsid w:val="6DED20C4"/>
    <w:rsid w:val="6DEE7A91"/>
    <w:rsid w:val="6DF9597F"/>
    <w:rsid w:val="6DFB36A6"/>
    <w:rsid w:val="6DFD7CD4"/>
    <w:rsid w:val="6DFE57FA"/>
    <w:rsid w:val="6E0861F9"/>
    <w:rsid w:val="6E0F421C"/>
    <w:rsid w:val="6E0F7A08"/>
    <w:rsid w:val="6E11552E"/>
    <w:rsid w:val="6E1814DE"/>
    <w:rsid w:val="6E1F5E9D"/>
    <w:rsid w:val="6E2141BB"/>
    <w:rsid w:val="6E241705"/>
    <w:rsid w:val="6E2C72E6"/>
    <w:rsid w:val="6E314C1B"/>
    <w:rsid w:val="6E3D33F0"/>
    <w:rsid w:val="6E42797D"/>
    <w:rsid w:val="6E511D65"/>
    <w:rsid w:val="6E526272"/>
    <w:rsid w:val="6E563D5E"/>
    <w:rsid w:val="6E5773E2"/>
    <w:rsid w:val="6E5D0773"/>
    <w:rsid w:val="6E5E5C3B"/>
    <w:rsid w:val="6E602332"/>
    <w:rsid w:val="6E6040B1"/>
    <w:rsid w:val="6E6B2E90"/>
    <w:rsid w:val="6E786C73"/>
    <w:rsid w:val="6E8362CB"/>
    <w:rsid w:val="6E8607DF"/>
    <w:rsid w:val="6E8C5574"/>
    <w:rsid w:val="6E8E6B7E"/>
    <w:rsid w:val="6E8F758B"/>
    <w:rsid w:val="6E900B48"/>
    <w:rsid w:val="6E9323E7"/>
    <w:rsid w:val="6E95110E"/>
    <w:rsid w:val="6E971216"/>
    <w:rsid w:val="6E9F5AF8"/>
    <w:rsid w:val="6EA662E7"/>
    <w:rsid w:val="6EB32A89"/>
    <w:rsid w:val="6EC2024B"/>
    <w:rsid w:val="6ED400FB"/>
    <w:rsid w:val="6EE37AB3"/>
    <w:rsid w:val="6EE44D45"/>
    <w:rsid w:val="6EEC71C0"/>
    <w:rsid w:val="6EED60BF"/>
    <w:rsid w:val="6EF353C5"/>
    <w:rsid w:val="6EF52D06"/>
    <w:rsid w:val="6EFA3169"/>
    <w:rsid w:val="6F273C43"/>
    <w:rsid w:val="6F2F65B3"/>
    <w:rsid w:val="6F3410B3"/>
    <w:rsid w:val="6F392F8E"/>
    <w:rsid w:val="6F3D09AC"/>
    <w:rsid w:val="6F40256E"/>
    <w:rsid w:val="6F40431D"/>
    <w:rsid w:val="6F417668"/>
    <w:rsid w:val="6F452BFB"/>
    <w:rsid w:val="6F457B85"/>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B37E8"/>
    <w:rsid w:val="6FBD7A2F"/>
    <w:rsid w:val="6FC325D7"/>
    <w:rsid w:val="6FCC5BB0"/>
    <w:rsid w:val="6FCD2ECB"/>
    <w:rsid w:val="6FD03BBF"/>
    <w:rsid w:val="6FD44A65"/>
    <w:rsid w:val="6FE06948"/>
    <w:rsid w:val="6FE86762"/>
    <w:rsid w:val="6FEA4497"/>
    <w:rsid w:val="6FEC31DF"/>
    <w:rsid w:val="6FEE6936"/>
    <w:rsid w:val="7000463E"/>
    <w:rsid w:val="7000585A"/>
    <w:rsid w:val="7008021A"/>
    <w:rsid w:val="700C41FF"/>
    <w:rsid w:val="70197B71"/>
    <w:rsid w:val="701D453F"/>
    <w:rsid w:val="701D6A70"/>
    <w:rsid w:val="70223A22"/>
    <w:rsid w:val="70225B6A"/>
    <w:rsid w:val="70231548"/>
    <w:rsid w:val="70247FB9"/>
    <w:rsid w:val="70254AB1"/>
    <w:rsid w:val="70270E51"/>
    <w:rsid w:val="70275718"/>
    <w:rsid w:val="702811CF"/>
    <w:rsid w:val="70293112"/>
    <w:rsid w:val="702F640E"/>
    <w:rsid w:val="703665E2"/>
    <w:rsid w:val="70384FF4"/>
    <w:rsid w:val="703D260A"/>
    <w:rsid w:val="70411F4E"/>
    <w:rsid w:val="7045295A"/>
    <w:rsid w:val="704C6CF1"/>
    <w:rsid w:val="704E0CBB"/>
    <w:rsid w:val="705171D8"/>
    <w:rsid w:val="70521BC1"/>
    <w:rsid w:val="705C2D66"/>
    <w:rsid w:val="705D2CAC"/>
    <w:rsid w:val="706752A1"/>
    <w:rsid w:val="70730722"/>
    <w:rsid w:val="70787AE6"/>
    <w:rsid w:val="70790109"/>
    <w:rsid w:val="707B1384"/>
    <w:rsid w:val="708446DD"/>
    <w:rsid w:val="70860455"/>
    <w:rsid w:val="708E757A"/>
    <w:rsid w:val="70936354"/>
    <w:rsid w:val="709366CE"/>
    <w:rsid w:val="70954D22"/>
    <w:rsid w:val="709D70DA"/>
    <w:rsid w:val="709D754D"/>
    <w:rsid w:val="709F1517"/>
    <w:rsid w:val="70A5697A"/>
    <w:rsid w:val="70AC0354"/>
    <w:rsid w:val="70AD3C34"/>
    <w:rsid w:val="70C44AD9"/>
    <w:rsid w:val="70C66EAD"/>
    <w:rsid w:val="70CA22A0"/>
    <w:rsid w:val="70CB3C99"/>
    <w:rsid w:val="70CC15AD"/>
    <w:rsid w:val="70D25448"/>
    <w:rsid w:val="70D95624"/>
    <w:rsid w:val="70DE203F"/>
    <w:rsid w:val="70E60EF4"/>
    <w:rsid w:val="70E81A42"/>
    <w:rsid w:val="70E87D2E"/>
    <w:rsid w:val="70EF0726"/>
    <w:rsid w:val="70EF120B"/>
    <w:rsid w:val="70F54131"/>
    <w:rsid w:val="70FD08A9"/>
    <w:rsid w:val="70FD13AF"/>
    <w:rsid w:val="70FF3D63"/>
    <w:rsid w:val="71007D30"/>
    <w:rsid w:val="7102506A"/>
    <w:rsid w:val="71035C4A"/>
    <w:rsid w:val="710B095A"/>
    <w:rsid w:val="710D1811"/>
    <w:rsid w:val="710D5338"/>
    <w:rsid w:val="71153587"/>
    <w:rsid w:val="711A50E8"/>
    <w:rsid w:val="711B76F1"/>
    <w:rsid w:val="711C2B67"/>
    <w:rsid w:val="711E678E"/>
    <w:rsid w:val="71220EF5"/>
    <w:rsid w:val="71237A52"/>
    <w:rsid w:val="71245815"/>
    <w:rsid w:val="712A333C"/>
    <w:rsid w:val="71382182"/>
    <w:rsid w:val="71384BB7"/>
    <w:rsid w:val="71397275"/>
    <w:rsid w:val="7141437C"/>
    <w:rsid w:val="71436104"/>
    <w:rsid w:val="71694942"/>
    <w:rsid w:val="716C4B94"/>
    <w:rsid w:val="71710218"/>
    <w:rsid w:val="717F485B"/>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DE7E1D"/>
    <w:rsid w:val="71E52F59"/>
    <w:rsid w:val="71EF4549"/>
    <w:rsid w:val="71EF7BAE"/>
    <w:rsid w:val="71F65166"/>
    <w:rsid w:val="71FD64F5"/>
    <w:rsid w:val="72001C62"/>
    <w:rsid w:val="7203542C"/>
    <w:rsid w:val="720535FB"/>
    <w:rsid w:val="720C6738"/>
    <w:rsid w:val="72113D4E"/>
    <w:rsid w:val="72133F6A"/>
    <w:rsid w:val="72165B9A"/>
    <w:rsid w:val="721D186F"/>
    <w:rsid w:val="72247F25"/>
    <w:rsid w:val="72253C9E"/>
    <w:rsid w:val="722C6DDA"/>
    <w:rsid w:val="723010BB"/>
    <w:rsid w:val="723143F0"/>
    <w:rsid w:val="7237488A"/>
    <w:rsid w:val="723D0FE7"/>
    <w:rsid w:val="723F1631"/>
    <w:rsid w:val="723F4635"/>
    <w:rsid w:val="724834E8"/>
    <w:rsid w:val="72494180"/>
    <w:rsid w:val="724A0B97"/>
    <w:rsid w:val="724E763A"/>
    <w:rsid w:val="7250699E"/>
    <w:rsid w:val="72516841"/>
    <w:rsid w:val="72600832"/>
    <w:rsid w:val="726F7E37"/>
    <w:rsid w:val="72785B7B"/>
    <w:rsid w:val="727B3360"/>
    <w:rsid w:val="727D7636"/>
    <w:rsid w:val="72936F84"/>
    <w:rsid w:val="7294037B"/>
    <w:rsid w:val="72964253"/>
    <w:rsid w:val="72AD5867"/>
    <w:rsid w:val="72B33216"/>
    <w:rsid w:val="72B50B7E"/>
    <w:rsid w:val="72C41B88"/>
    <w:rsid w:val="72C664D9"/>
    <w:rsid w:val="72CD4767"/>
    <w:rsid w:val="72CE0B34"/>
    <w:rsid w:val="72D4412C"/>
    <w:rsid w:val="72D85B7E"/>
    <w:rsid w:val="72D942B7"/>
    <w:rsid w:val="72E10121"/>
    <w:rsid w:val="72EB0A43"/>
    <w:rsid w:val="72F13B80"/>
    <w:rsid w:val="72F5398F"/>
    <w:rsid w:val="72FB0ADD"/>
    <w:rsid w:val="72FF629D"/>
    <w:rsid w:val="72FF67ED"/>
    <w:rsid w:val="73005B71"/>
    <w:rsid w:val="73063BC5"/>
    <w:rsid w:val="73064C79"/>
    <w:rsid w:val="7307181B"/>
    <w:rsid w:val="73190326"/>
    <w:rsid w:val="73263829"/>
    <w:rsid w:val="732857F3"/>
    <w:rsid w:val="7329156C"/>
    <w:rsid w:val="733028FA"/>
    <w:rsid w:val="73307239"/>
    <w:rsid w:val="73320420"/>
    <w:rsid w:val="7344628D"/>
    <w:rsid w:val="734737A0"/>
    <w:rsid w:val="734A27AC"/>
    <w:rsid w:val="734B59A2"/>
    <w:rsid w:val="73520AC2"/>
    <w:rsid w:val="73650000"/>
    <w:rsid w:val="73665063"/>
    <w:rsid w:val="73740A39"/>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13A3B"/>
    <w:rsid w:val="73B34F06"/>
    <w:rsid w:val="73D414D7"/>
    <w:rsid w:val="73E13BF4"/>
    <w:rsid w:val="73E159A2"/>
    <w:rsid w:val="73F43927"/>
    <w:rsid w:val="73FA511F"/>
    <w:rsid w:val="73FB2F08"/>
    <w:rsid w:val="73FE4F2A"/>
    <w:rsid w:val="740262AF"/>
    <w:rsid w:val="7405767D"/>
    <w:rsid w:val="740626E6"/>
    <w:rsid w:val="740F3DF9"/>
    <w:rsid w:val="740F42BD"/>
    <w:rsid w:val="74122000"/>
    <w:rsid w:val="74147B26"/>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109A1"/>
    <w:rsid w:val="74546174"/>
    <w:rsid w:val="74650604"/>
    <w:rsid w:val="74686F6C"/>
    <w:rsid w:val="746960C4"/>
    <w:rsid w:val="746F4A04"/>
    <w:rsid w:val="746F4CA9"/>
    <w:rsid w:val="7472182D"/>
    <w:rsid w:val="74760217"/>
    <w:rsid w:val="7478586B"/>
    <w:rsid w:val="747B7BA5"/>
    <w:rsid w:val="74844CAB"/>
    <w:rsid w:val="748A7A37"/>
    <w:rsid w:val="748E5B2A"/>
    <w:rsid w:val="749520B2"/>
    <w:rsid w:val="749A44CF"/>
    <w:rsid w:val="749D4A3B"/>
    <w:rsid w:val="74A23383"/>
    <w:rsid w:val="74B77C7F"/>
    <w:rsid w:val="74B9247B"/>
    <w:rsid w:val="74BD01BD"/>
    <w:rsid w:val="74C23A26"/>
    <w:rsid w:val="74C50E20"/>
    <w:rsid w:val="74C97804"/>
    <w:rsid w:val="74CC419D"/>
    <w:rsid w:val="74CE4179"/>
    <w:rsid w:val="74D02A9C"/>
    <w:rsid w:val="74E018B9"/>
    <w:rsid w:val="74E724EC"/>
    <w:rsid w:val="74E7348C"/>
    <w:rsid w:val="74E76FE8"/>
    <w:rsid w:val="74EA0887"/>
    <w:rsid w:val="74F8076B"/>
    <w:rsid w:val="74F811F5"/>
    <w:rsid w:val="74F86FE9"/>
    <w:rsid w:val="74FC15EE"/>
    <w:rsid w:val="75031FCE"/>
    <w:rsid w:val="750F5290"/>
    <w:rsid w:val="7514495A"/>
    <w:rsid w:val="75144CBB"/>
    <w:rsid w:val="75147228"/>
    <w:rsid w:val="75183646"/>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07680"/>
    <w:rsid w:val="75953BB6"/>
    <w:rsid w:val="759B1ACD"/>
    <w:rsid w:val="75A510B6"/>
    <w:rsid w:val="75A51933"/>
    <w:rsid w:val="75A629FF"/>
    <w:rsid w:val="75A6486C"/>
    <w:rsid w:val="75AC0834"/>
    <w:rsid w:val="75AE25D4"/>
    <w:rsid w:val="75BA4D4F"/>
    <w:rsid w:val="75BC76D1"/>
    <w:rsid w:val="75BE5F9B"/>
    <w:rsid w:val="75C8506C"/>
    <w:rsid w:val="75D532E5"/>
    <w:rsid w:val="75E1612D"/>
    <w:rsid w:val="75EF43A6"/>
    <w:rsid w:val="75F02645"/>
    <w:rsid w:val="75F74182"/>
    <w:rsid w:val="75F85CE9"/>
    <w:rsid w:val="76034F0D"/>
    <w:rsid w:val="76040FE2"/>
    <w:rsid w:val="760429DC"/>
    <w:rsid w:val="760C0509"/>
    <w:rsid w:val="760D6F22"/>
    <w:rsid w:val="760F2C9B"/>
    <w:rsid w:val="7614205F"/>
    <w:rsid w:val="76191155"/>
    <w:rsid w:val="76197675"/>
    <w:rsid w:val="762A53DF"/>
    <w:rsid w:val="762F092F"/>
    <w:rsid w:val="763B6BB8"/>
    <w:rsid w:val="763E532E"/>
    <w:rsid w:val="76452218"/>
    <w:rsid w:val="7646530C"/>
    <w:rsid w:val="764A58FE"/>
    <w:rsid w:val="764E2556"/>
    <w:rsid w:val="76530DD9"/>
    <w:rsid w:val="76550D87"/>
    <w:rsid w:val="76632DD8"/>
    <w:rsid w:val="766338BB"/>
    <w:rsid w:val="7671171A"/>
    <w:rsid w:val="767B056C"/>
    <w:rsid w:val="768E1E11"/>
    <w:rsid w:val="769136B0"/>
    <w:rsid w:val="7693567A"/>
    <w:rsid w:val="76966F18"/>
    <w:rsid w:val="769E7691"/>
    <w:rsid w:val="769F401E"/>
    <w:rsid w:val="76A21419"/>
    <w:rsid w:val="76A2218F"/>
    <w:rsid w:val="76AF3B36"/>
    <w:rsid w:val="76B63116"/>
    <w:rsid w:val="76BB24DB"/>
    <w:rsid w:val="76BD26F7"/>
    <w:rsid w:val="76C23869"/>
    <w:rsid w:val="76C75323"/>
    <w:rsid w:val="76CE66B2"/>
    <w:rsid w:val="76D0133D"/>
    <w:rsid w:val="76D35A76"/>
    <w:rsid w:val="76D4037D"/>
    <w:rsid w:val="76D65876"/>
    <w:rsid w:val="76D95E5B"/>
    <w:rsid w:val="76DB737B"/>
    <w:rsid w:val="76E71522"/>
    <w:rsid w:val="76E9087B"/>
    <w:rsid w:val="76EA2DC0"/>
    <w:rsid w:val="76EB45B4"/>
    <w:rsid w:val="76EC2FDC"/>
    <w:rsid w:val="76ED0DC3"/>
    <w:rsid w:val="76EE044E"/>
    <w:rsid w:val="76F74C5D"/>
    <w:rsid w:val="76F93003"/>
    <w:rsid w:val="76FD790B"/>
    <w:rsid w:val="7705172F"/>
    <w:rsid w:val="770A7A13"/>
    <w:rsid w:val="770E6AAE"/>
    <w:rsid w:val="770F1CA5"/>
    <w:rsid w:val="771146FB"/>
    <w:rsid w:val="77147E3D"/>
    <w:rsid w:val="771A5453"/>
    <w:rsid w:val="77253DF8"/>
    <w:rsid w:val="772A140E"/>
    <w:rsid w:val="772B3B04"/>
    <w:rsid w:val="772C33D8"/>
    <w:rsid w:val="772E53A2"/>
    <w:rsid w:val="772E58B5"/>
    <w:rsid w:val="773553C0"/>
    <w:rsid w:val="773D57FB"/>
    <w:rsid w:val="773E455F"/>
    <w:rsid w:val="773E756E"/>
    <w:rsid w:val="77400C32"/>
    <w:rsid w:val="774150D6"/>
    <w:rsid w:val="7745051E"/>
    <w:rsid w:val="77483836"/>
    <w:rsid w:val="7749680F"/>
    <w:rsid w:val="774C75D7"/>
    <w:rsid w:val="774F2D1B"/>
    <w:rsid w:val="7758241F"/>
    <w:rsid w:val="776345B3"/>
    <w:rsid w:val="77664B3C"/>
    <w:rsid w:val="777032C5"/>
    <w:rsid w:val="777127A0"/>
    <w:rsid w:val="777668F4"/>
    <w:rsid w:val="778154D2"/>
    <w:rsid w:val="77844405"/>
    <w:rsid w:val="77862AE9"/>
    <w:rsid w:val="77880CC9"/>
    <w:rsid w:val="77903967"/>
    <w:rsid w:val="779C230C"/>
    <w:rsid w:val="77A06F50"/>
    <w:rsid w:val="77A80CB1"/>
    <w:rsid w:val="77AE0291"/>
    <w:rsid w:val="77B346BB"/>
    <w:rsid w:val="77B47CCC"/>
    <w:rsid w:val="77B91110"/>
    <w:rsid w:val="77BA3D96"/>
    <w:rsid w:val="77BC650A"/>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7FC2B3A"/>
    <w:rsid w:val="78047EB1"/>
    <w:rsid w:val="78084CF2"/>
    <w:rsid w:val="780A196C"/>
    <w:rsid w:val="780A28F0"/>
    <w:rsid w:val="780A4000"/>
    <w:rsid w:val="780B324D"/>
    <w:rsid w:val="780F37DF"/>
    <w:rsid w:val="780F40A3"/>
    <w:rsid w:val="781A76D5"/>
    <w:rsid w:val="781D0955"/>
    <w:rsid w:val="78254338"/>
    <w:rsid w:val="782A3DBC"/>
    <w:rsid w:val="78303AC8"/>
    <w:rsid w:val="783119C3"/>
    <w:rsid w:val="78341C0A"/>
    <w:rsid w:val="78353E77"/>
    <w:rsid w:val="783C3AEF"/>
    <w:rsid w:val="78480A2C"/>
    <w:rsid w:val="78542BE7"/>
    <w:rsid w:val="7857340C"/>
    <w:rsid w:val="78574485"/>
    <w:rsid w:val="785E00D6"/>
    <w:rsid w:val="78612068"/>
    <w:rsid w:val="78623556"/>
    <w:rsid w:val="786372CE"/>
    <w:rsid w:val="786F7A21"/>
    <w:rsid w:val="78776303"/>
    <w:rsid w:val="78787071"/>
    <w:rsid w:val="787A6483"/>
    <w:rsid w:val="787E0710"/>
    <w:rsid w:val="78852DA0"/>
    <w:rsid w:val="788A1513"/>
    <w:rsid w:val="788F4888"/>
    <w:rsid w:val="78915BE9"/>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F341AE"/>
    <w:rsid w:val="78F61EF0"/>
    <w:rsid w:val="78FB12B4"/>
    <w:rsid w:val="78FE2B52"/>
    <w:rsid w:val="79004B1D"/>
    <w:rsid w:val="790463BB"/>
    <w:rsid w:val="790939D1"/>
    <w:rsid w:val="791A3E30"/>
    <w:rsid w:val="7922572B"/>
    <w:rsid w:val="79230922"/>
    <w:rsid w:val="79246AEA"/>
    <w:rsid w:val="792702FB"/>
    <w:rsid w:val="79306ADB"/>
    <w:rsid w:val="79347FE5"/>
    <w:rsid w:val="7936673D"/>
    <w:rsid w:val="793A6280"/>
    <w:rsid w:val="793D1589"/>
    <w:rsid w:val="79464C25"/>
    <w:rsid w:val="794E7636"/>
    <w:rsid w:val="79584959"/>
    <w:rsid w:val="795A422D"/>
    <w:rsid w:val="795B1D53"/>
    <w:rsid w:val="795D33AB"/>
    <w:rsid w:val="79674631"/>
    <w:rsid w:val="796927C3"/>
    <w:rsid w:val="79722641"/>
    <w:rsid w:val="797352EE"/>
    <w:rsid w:val="79775734"/>
    <w:rsid w:val="797F76B6"/>
    <w:rsid w:val="798017B9"/>
    <w:rsid w:val="79856DD0"/>
    <w:rsid w:val="798C15A3"/>
    <w:rsid w:val="799106C2"/>
    <w:rsid w:val="7997722F"/>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C699D"/>
    <w:rsid w:val="79DE65C0"/>
    <w:rsid w:val="79E545B6"/>
    <w:rsid w:val="79ED1354"/>
    <w:rsid w:val="79F309DD"/>
    <w:rsid w:val="79F3130E"/>
    <w:rsid w:val="79F747D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C15C5"/>
    <w:rsid w:val="7A9814B1"/>
    <w:rsid w:val="7A9B107F"/>
    <w:rsid w:val="7A9B4AFD"/>
    <w:rsid w:val="7AA420E1"/>
    <w:rsid w:val="7AAA75E8"/>
    <w:rsid w:val="7AAD0C01"/>
    <w:rsid w:val="7AAD4830"/>
    <w:rsid w:val="7AB14320"/>
    <w:rsid w:val="7ABC51E6"/>
    <w:rsid w:val="7ABD2E68"/>
    <w:rsid w:val="7ABD507C"/>
    <w:rsid w:val="7AD32237"/>
    <w:rsid w:val="7AD522E8"/>
    <w:rsid w:val="7AD973D3"/>
    <w:rsid w:val="7ADF72B5"/>
    <w:rsid w:val="7AF470B9"/>
    <w:rsid w:val="7B034450"/>
    <w:rsid w:val="7B09415C"/>
    <w:rsid w:val="7B0D78D9"/>
    <w:rsid w:val="7B1256BC"/>
    <w:rsid w:val="7B197943"/>
    <w:rsid w:val="7B276391"/>
    <w:rsid w:val="7B297B05"/>
    <w:rsid w:val="7B322405"/>
    <w:rsid w:val="7B35774E"/>
    <w:rsid w:val="7B38234C"/>
    <w:rsid w:val="7B3C3E77"/>
    <w:rsid w:val="7B404852"/>
    <w:rsid w:val="7B5235EA"/>
    <w:rsid w:val="7B542EAC"/>
    <w:rsid w:val="7B5829EE"/>
    <w:rsid w:val="7B584A2A"/>
    <w:rsid w:val="7B590514"/>
    <w:rsid w:val="7B5C7324"/>
    <w:rsid w:val="7B5F3D7C"/>
    <w:rsid w:val="7B7D7D6C"/>
    <w:rsid w:val="7B81116A"/>
    <w:rsid w:val="7B825CBD"/>
    <w:rsid w:val="7B8A4AB6"/>
    <w:rsid w:val="7B8F3F36"/>
    <w:rsid w:val="7B90370B"/>
    <w:rsid w:val="7B94686C"/>
    <w:rsid w:val="7BA2010D"/>
    <w:rsid w:val="7BAC6ABD"/>
    <w:rsid w:val="7BB51BEE"/>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70452"/>
    <w:rsid w:val="7C0B3FA6"/>
    <w:rsid w:val="7C0C660D"/>
    <w:rsid w:val="7C0F691B"/>
    <w:rsid w:val="7C2823C0"/>
    <w:rsid w:val="7C2E19A1"/>
    <w:rsid w:val="7C324150"/>
    <w:rsid w:val="7C3A2CCD"/>
    <w:rsid w:val="7C430D1C"/>
    <w:rsid w:val="7C440E4A"/>
    <w:rsid w:val="7C442F72"/>
    <w:rsid w:val="7C4446F4"/>
    <w:rsid w:val="7C4C0D8D"/>
    <w:rsid w:val="7C4E5B9F"/>
    <w:rsid w:val="7C4F5666"/>
    <w:rsid w:val="7C551482"/>
    <w:rsid w:val="7C581E2C"/>
    <w:rsid w:val="7C5A0FE1"/>
    <w:rsid w:val="7C613B24"/>
    <w:rsid w:val="7C63789C"/>
    <w:rsid w:val="7C7F3FAA"/>
    <w:rsid w:val="7C86434E"/>
    <w:rsid w:val="7C9525C4"/>
    <w:rsid w:val="7C9618B9"/>
    <w:rsid w:val="7C9A5D73"/>
    <w:rsid w:val="7C9D55C8"/>
    <w:rsid w:val="7CB225D2"/>
    <w:rsid w:val="7CC36B4B"/>
    <w:rsid w:val="7CC734A3"/>
    <w:rsid w:val="7CC77E2B"/>
    <w:rsid w:val="7CC90568"/>
    <w:rsid w:val="7CD12A58"/>
    <w:rsid w:val="7CD50A1F"/>
    <w:rsid w:val="7CD75B94"/>
    <w:rsid w:val="7CD81ACA"/>
    <w:rsid w:val="7CD95C45"/>
    <w:rsid w:val="7CDC31AB"/>
    <w:rsid w:val="7CE16A13"/>
    <w:rsid w:val="7CE21BD1"/>
    <w:rsid w:val="7CE704CD"/>
    <w:rsid w:val="7CED7166"/>
    <w:rsid w:val="7CF16C56"/>
    <w:rsid w:val="7CF404F4"/>
    <w:rsid w:val="7CFA56EB"/>
    <w:rsid w:val="7CFE1373"/>
    <w:rsid w:val="7D04591E"/>
    <w:rsid w:val="7D160A41"/>
    <w:rsid w:val="7D1B3CD3"/>
    <w:rsid w:val="7D1E3E51"/>
    <w:rsid w:val="7D221505"/>
    <w:rsid w:val="7D23702C"/>
    <w:rsid w:val="7D25327D"/>
    <w:rsid w:val="7D2A6A4D"/>
    <w:rsid w:val="7D2B7667"/>
    <w:rsid w:val="7D361B51"/>
    <w:rsid w:val="7D40198C"/>
    <w:rsid w:val="7D435A31"/>
    <w:rsid w:val="7D441F12"/>
    <w:rsid w:val="7D53064C"/>
    <w:rsid w:val="7D6A4E7C"/>
    <w:rsid w:val="7D7358BD"/>
    <w:rsid w:val="7D807FDA"/>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A7DB1"/>
    <w:rsid w:val="7E1231D5"/>
    <w:rsid w:val="7E152481"/>
    <w:rsid w:val="7E152E18"/>
    <w:rsid w:val="7E2B6198"/>
    <w:rsid w:val="7E301A00"/>
    <w:rsid w:val="7E33504C"/>
    <w:rsid w:val="7E39169C"/>
    <w:rsid w:val="7E3C46AB"/>
    <w:rsid w:val="7E406FB3"/>
    <w:rsid w:val="7E41193E"/>
    <w:rsid w:val="7E473768"/>
    <w:rsid w:val="7E4C1C3E"/>
    <w:rsid w:val="7E5A6F1A"/>
    <w:rsid w:val="7E5B0F45"/>
    <w:rsid w:val="7E5C09FE"/>
    <w:rsid w:val="7E5C7923"/>
    <w:rsid w:val="7E6D4A02"/>
    <w:rsid w:val="7E722019"/>
    <w:rsid w:val="7E7E276B"/>
    <w:rsid w:val="7E8A55B4"/>
    <w:rsid w:val="7E8D6E52"/>
    <w:rsid w:val="7E957AB5"/>
    <w:rsid w:val="7E966F3A"/>
    <w:rsid w:val="7E9977A1"/>
    <w:rsid w:val="7E9F09A1"/>
    <w:rsid w:val="7E9F10B2"/>
    <w:rsid w:val="7E9F26E2"/>
    <w:rsid w:val="7EA31E30"/>
    <w:rsid w:val="7EA36676"/>
    <w:rsid w:val="7EAF1C20"/>
    <w:rsid w:val="7EB77A2B"/>
    <w:rsid w:val="7EBB39C0"/>
    <w:rsid w:val="7EC20604"/>
    <w:rsid w:val="7EC30AC6"/>
    <w:rsid w:val="7EC53367"/>
    <w:rsid w:val="7EC94365"/>
    <w:rsid w:val="7ED54763"/>
    <w:rsid w:val="7EDB5E10"/>
    <w:rsid w:val="7EDC56E4"/>
    <w:rsid w:val="7EDF478F"/>
    <w:rsid w:val="7EEB05D3"/>
    <w:rsid w:val="7EEC1DCB"/>
    <w:rsid w:val="7EEE26E0"/>
    <w:rsid w:val="7EF058D7"/>
    <w:rsid w:val="7EF70770"/>
    <w:rsid w:val="7EF742CC"/>
    <w:rsid w:val="7EF81DA3"/>
    <w:rsid w:val="7F0374ED"/>
    <w:rsid w:val="7F044C6C"/>
    <w:rsid w:val="7F090CCE"/>
    <w:rsid w:val="7F0F7867"/>
    <w:rsid w:val="7F111831"/>
    <w:rsid w:val="7F165AB5"/>
    <w:rsid w:val="7F1A529F"/>
    <w:rsid w:val="7F1D4C01"/>
    <w:rsid w:val="7F303D3B"/>
    <w:rsid w:val="7F3655AF"/>
    <w:rsid w:val="7F3C2FA7"/>
    <w:rsid w:val="7F4F4108"/>
    <w:rsid w:val="7F601E71"/>
    <w:rsid w:val="7F6A2CF0"/>
    <w:rsid w:val="7F6A763A"/>
    <w:rsid w:val="7F6B762D"/>
    <w:rsid w:val="7F703475"/>
    <w:rsid w:val="7F735A2D"/>
    <w:rsid w:val="7F736048"/>
    <w:rsid w:val="7F7362C1"/>
    <w:rsid w:val="7F787239"/>
    <w:rsid w:val="7F7CCD77"/>
    <w:rsid w:val="7F7E679B"/>
    <w:rsid w:val="7F7F471D"/>
    <w:rsid w:val="7F8178E0"/>
    <w:rsid w:val="7F853C77"/>
    <w:rsid w:val="7F961D37"/>
    <w:rsid w:val="7F966C81"/>
    <w:rsid w:val="7F9D30C5"/>
    <w:rsid w:val="7FA154A9"/>
    <w:rsid w:val="7FA62DC9"/>
    <w:rsid w:val="7FBD034F"/>
    <w:rsid w:val="7FBE3F06"/>
    <w:rsid w:val="7FC34A28"/>
    <w:rsid w:val="7FCD479C"/>
    <w:rsid w:val="7FD10FC1"/>
    <w:rsid w:val="7FD124EE"/>
    <w:rsid w:val="7FD54AA6"/>
    <w:rsid w:val="7FD743DA"/>
    <w:rsid w:val="7FDA7E75"/>
    <w:rsid w:val="7FDB3BED"/>
    <w:rsid w:val="7FDC1E3F"/>
    <w:rsid w:val="7FDD1714"/>
    <w:rsid w:val="7FE02FB2"/>
    <w:rsid w:val="7FE4033B"/>
    <w:rsid w:val="7FE87725"/>
    <w:rsid w:val="7FEA48BC"/>
    <w:rsid w:val="7FF67685"/>
    <w:rsid w:val="EDAF5224"/>
    <w:rsid w:val="EEEAE0D5"/>
    <w:rsid w:val="F3BBC625"/>
    <w:rsid w:val="FB7B36D0"/>
    <w:rsid w:val="FBDF2C71"/>
    <w:rsid w:val="FBFF14F4"/>
    <w:rsid w:val="FD65D63F"/>
    <w:rsid w:val="FFF62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1"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2">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4">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paragraph" w:styleId="7">
    <w:name w:val="heading 9"/>
    <w:basedOn w:val="1"/>
    <w:next w:val="1"/>
    <w:semiHidden/>
    <w:unhideWhenUsed/>
    <w:qFormat/>
    <w:uiPriority w:val="1"/>
    <w:pPr>
      <w:ind w:left="842"/>
      <w:outlineLvl w:val="8"/>
    </w:pPr>
    <w:rPr>
      <w:rFonts w:ascii="Microsoft JhengHei" w:hAnsi="Microsoft JhengHei" w:eastAsia="Microsoft JhengHei"/>
      <w:b/>
      <w:bCs/>
      <w:sz w:val="24"/>
      <w:szCs w:val="24"/>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8">
    <w:name w:val="Normal Indent"/>
    <w:basedOn w:val="1"/>
    <w:autoRedefine/>
    <w:qFormat/>
    <w:uiPriority w:val="0"/>
    <w:pPr>
      <w:ind w:firstLine="420"/>
    </w:pPr>
    <w:rPr>
      <w:szCs w:val="20"/>
    </w:rPr>
  </w:style>
  <w:style w:type="paragraph" w:styleId="9">
    <w:name w:val="annotation text"/>
    <w:basedOn w:val="1"/>
    <w:autoRedefine/>
    <w:qFormat/>
    <w:uiPriority w:val="0"/>
    <w:pPr>
      <w:widowControl w:val="0"/>
      <w:adjustRightInd w:val="0"/>
      <w:spacing w:line="360" w:lineRule="atLeast"/>
      <w:textAlignment w:val="baseline"/>
    </w:pPr>
    <w:rPr>
      <w:sz w:val="24"/>
    </w:rPr>
  </w:style>
  <w:style w:type="paragraph" w:styleId="10">
    <w:name w:val="Body Text"/>
    <w:basedOn w:val="1"/>
    <w:next w:val="1"/>
    <w:autoRedefine/>
    <w:qFormat/>
    <w:uiPriority w:val="0"/>
    <w:pPr>
      <w:spacing w:after="120"/>
    </w:pPr>
  </w:style>
  <w:style w:type="paragraph" w:styleId="11">
    <w:name w:val="Body Text Indent"/>
    <w:basedOn w:val="1"/>
    <w:autoRedefine/>
    <w:qFormat/>
    <w:uiPriority w:val="0"/>
    <w:pPr>
      <w:spacing w:after="120" w:afterLines="0" w:afterAutospacing="0"/>
      <w:ind w:left="420" w:leftChars="200"/>
    </w:pPr>
  </w:style>
  <w:style w:type="paragraph" w:styleId="12">
    <w:name w:val="toc 3"/>
    <w:basedOn w:val="1"/>
    <w:next w:val="1"/>
    <w:qFormat/>
    <w:uiPriority w:val="0"/>
    <w:pPr>
      <w:ind w:left="840" w:leftChars="400"/>
    </w:pPr>
  </w:style>
  <w:style w:type="paragraph" w:styleId="13">
    <w:name w:val="Plain Text"/>
    <w:basedOn w:val="1"/>
    <w:autoRedefine/>
    <w:unhideWhenUsed/>
    <w:qFormat/>
    <w:uiPriority w:val="99"/>
    <w:rPr>
      <w:rFonts w:ascii="宋体"/>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envelope return"/>
    <w:basedOn w:val="1"/>
    <w:qFormat/>
    <w:uiPriority w:val="0"/>
    <w:pPr>
      <w:snapToGrid w:val="0"/>
      <w:spacing w:line="360" w:lineRule="auto"/>
    </w:pPr>
    <w:rPr>
      <w:rFonts w:ascii="Arial" w:hAnsi="Arial"/>
      <w:sz w:val="24"/>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18">
    <w:name w:val="List 5"/>
    <w:basedOn w:val="1"/>
    <w:next w:val="19"/>
    <w:qFormat/>
    <w:uiPriority w:val="0"/>
    <w:pPr>
      <w:ind w:left="2100" w:hanging="420"/>
    </w:pPr>
  </w:style>
  <w:style w:type="paragraph" w:customStyle="1" w:styleId="19">
    <w:name w:val="目录 51"/>
    <w:basedOn w:val="1"/>
    <w:next w:val="1"/>
    <w:qFormat/>
    <w:uiPriority w:val="99"/>
    <w:pPr>
      <w:widowControl w:val="0"/>
      <w:adjustRightInd/>
      <w:snapToGrid/>
      <w:spacing w:after="0"/>
      <w:ind w:left="630"/>
      <w:jc w:val="both"/>
    </w:pPr>
    <w:rPr>
      <w:rFonts w:ascii="Times New Roman" w:hAnsi="Times New Roman" w:eastAsia="宋体"/>
      <w:kern w:val="2"/>
      <w:sz w:val="20"/>
      <w:szCs w:val="24"/>
    </w:rPr>
  </w:style>
  <w:style w:type="paragraph" w:styleId="20">
    <w:name w:val="toc 2"/>
    <w:basedOn w:val="1"/>
    <w:next w:val="1"/>
    <w:qFormat/>
    <w:uiPriority w:val="0"/>
    <w:pPr>
      <w:ind w:left="420" w:leftChars="200"/>
    </w:pPr>
  </w:style>
  <w:style w:type="paragraph" w:styleId="21">
    <w:name w:val="Body Text 2"/>
    <w:basedOn w:val="1"/>
    <w:autoRedefine/>
    <w:qFormat/>
    <w:uiPriority w:val="0"/>
    <w:rPr>
      <w:rFonts w:ascii="仿宋_GB2312" w:eastAsia="仿宋_GB2312"/>
      <w:b/>
      <w:sz w:val="24"/>
    </w:rPr>
  </w:style>
  <w:style w:type="paragraph" w:styleId="2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Body Text First Indent"/>
    <w:basedOn w:val="10"/>
    <w:next w:val="1"/>
    <w:autoRedefine/>
    <w:qFormat/>
    <w:uiPriority w:val="0"/>
    <w:pPr>
      <w:spacing w:line="312" w:lineRule="auto"/>
      <w:ind w:firstLine="420"/>
    </w:pPr>
    <w:rPr>
      <w:color w:val="000000"/>
      <w:szCs w:val="21"/>
    </w:rPr>
  </w:style>
  <w:style w:type="paragraph" w:styleId="25">
    <w:name w:val="Body Text First Indent 2"/>
    <w:basedOn w:val="11"/>
    <w:autoRedefine/>
    <w:unhideWhenUsed/>
    <w:qFormat/>
    <w:uiPriority w:val="99"/>
    <w:pPr>
      <w:ind w:firstLine="420" w:firstLineChars="200"/>
    </w:p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page number"/>
    <w:basedOn w:val="28"/>
    <w:autoRedefine/>
    <w:qFormat/>
    <w:uiPriority w:val="0"/>
  </w:style>
  <w:style w:type="character" w:styleId="31">
    <w:name w:val="Emphasis"/>
    <w:basedOn w:val="28"/>
    <w:autoRedefine/>
    <w:qFormat/>
    <w:uiPriority w:val="0"/>
    <w:rPr>
      <w:i/>
    </w:rPr>
  </w:style>
  <w:style w:type="character" w:styleId="32">
    <w:name w:val="Hyperlink"/>
    <w:basedOn w:val="28"/>
    <w:autoRedefine/>
    <w:qFormat/>
    <w:uiPriority w:val="0"/>
    <w:rPr>
      <w:color w:val="0000FF"/>
      <w:u w:val="single"/>
    </w:rPr>
  </w:style>
  <w:style w:type="character" w:styleId="33">
    <w:name w:val="annotation reference"/>
    <w:basedOn w:val="28"/>
    <w:autoRedefine/>
    <w:qFormat/>
    <w:uiPriority w:val="0"/>
    <w:rPr>
      <w:sz w:val="21"/>
      <w:szCs w:val="21"/>
    </w:rPr>
  </w:style>
  <w:style w:type="paragraph" w:customStyle="1" w:styleId="34">
    <w:name w:val="表格文字"/>
    <w:basedOn w:val="1"/>
    <w:next w:val="10"/>
    <w:autoRedefine/>
    <w:qFormat/>
    <w:uiPriority w:val="0"/>
    <w:pPr>
      <w:spacing w:before="25" w:after="25"/>
    </w:pPr>
    <w:rPr>
      <w:bCs/>
      <w:spacing w:val="10"/>
      <w:sz w:val="24"/>
      <w:szCs w:val="20"/>
    </w:rPr>
  </w:style>
  <w:style w:type="paragraph" w:customStyle="1" w:styleId="35">
    <w:name w:val="样式 正文文字缩进 + 小四 首行缩进:  2 字符"/>
    <w:basedOn w:val="1"/>
    <w:qFormat/>
    <w:uiPriority w:val="0"/>
    <w:pPr>
      <w:spacing w:line="600" w:lineRule="exact"/>
      <w:jc w:val="center"/>
    </w:pPr>
    <w:rPr>
      <w:rFonts w:ascii="宋体"/>
      <w:b/>
      <w:u w:val="doubl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19"/>
    <w:basedOn w:val="28"/>
    <w:autoRedefine/>
    <w:qFormat/>
    <w:uiPriority w:val="0"/>
    <w:rPr>
      <w:rFonts w:hint="eastAsia" w:ascii="Times New Roman" w:eastAsia="楷体_GB2312" w:cs="楷体_GB2312"/>
      <w:sz w:val="32"/>
      <w:szCs w:val="32"/>
    </w:rPr>
  </w:style>
  <w:style w:type="character" w:customStyle="1" w:styleId="38">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39">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40">
    <w:name w:val=" Char Char Char"/>
    <w:autoRedefine/>
    <w:qFormat/>
    <w:uiPriority w:val="0"/>
    <w:rPr>
      <w:rFonts w:ascii="Cambria" w:hAnsi="Cambria" w:eastAsia="宋体"/>
      <w:b/>
      <w:bCs/>
      <w:sz w:val="32"/>
      <w:szCs w:val="32"/>
      <w:lang w:val="en-US" w:eastAsia="zh-CN" w:bidi="ar-SA"/>
    </w:rPr>
  </w:style>
  <w:style w:type="paragraph" w:customStyle="1" w:styleId="41">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2">
    <w:name w:val="Default"/>
    <w:next w:val="43"/>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3">
    <w:name w:val="正文缩进1"/>
    <w:basedOn w:val="1"/>
    <w:next w:val="18"/>
    <w:qFormat/>
    <w:uiPriority w:val="99"/>
    <w:pPr>
      <w:adjustRightInd/>
      <w:snapToGrid/>
      <w:spacing w:after="0"/>
      <w:ind w:firstLine="420"/>
      <w:jc w:val="both"/>
    </w:pPr>
    <w:rPr>
      <w:rFonts w:ascii="Times New Roman" w:hAnsi="Times New Roman" w:eastAsia="宋体"/>
      <w:kern w:val="2"/>
      <w:sz w:val="20"/>
      <w:szCs w:val="24"/>
    </w:rPr>
  </w:style>
  <w:style w:type="paragraph" w:styleId="44">
    <w:name w:val="List Paragraph"/>
    <w:basedOn w:val="1"/>
    <w:autoRedefine/>
    <w:qFormat/>
    <w:uiPriority w:val="34"/>
    <w:pPr>
      <w:ind w:firstLine="420" w:firstLineChars="200"/>
    </w:pPr>
  </w:style>
  <w:style w:type="paragraph" w:customStyle="1" w:styleId="45">
    <w:name w:val="Table Paragraph"/>
    <w:basedOn w:val="1"/>
    <w:autoRedefine/>
    <w:qFormat/>
    <w:uiPriority w:val="1"/>
    <w:pPr>
      <w:spacing w:before="43"/>
      <w:ind w:left="107"/>
    </w:pPr>
    <w:rPr>
      <w:rFonts w:ascii="宋体" w:hAnsi="宋体" w:cs="宋体"/>
      <w:lang w:eastAsia="en-US" w:bidi="en-US"/>
    </w:rPr>
  </w:style>
  <w:style w:type="paragraph" w:customStyle="1" w:styleId="46">
    <w:name w:val="List Paragraph1"/>
    <w:basedOn w:val="1"/>
    <w:autoRedefine/>
    <w:qFormat/>
    <w:uiPriority w:val="0"/>
    <w:pPr>
      <w:ind w:firstLine="420" w:firstLineChars="200"/>
    </w:pPr>
    <w:rPr>
      <w:rFonts w:ascii="Calibri" w:hAnsi="Calibri"/>
      <w:szCs w:val="22"/>
    </w:rPr>
  </w:style>
  <w:style w:type="paragraph" w:customStyle="1" w:styleId="47">
    <w:name w:val="标题2"/>
    <w:basedOn w:val="48"/>
    <w:autoRedefine/>
    <w:qFormat/>
    <w:uiPriority w:val="0"/>
    <w:rPr>
      <w:b w:val="0"/>
      <w:sz w:val="21"/>
    </w:rPr>
  </w:style>
  <w:style w:type="paragraph" w:customStyle="1" w:styleId="48">
    <w:name w:val="标题1"/>
    <w:basedOn w:val="49"/>
    <w:autoRedefine/>
    <w:qFormat/>
    <w:uiPriority w:val="0"/>
    <w:pPr>
      <w:ind w:right="100" w:rightChars="100" w:firstLine="0" w:firstLineChars="0"/>
    </w:pPr>
    <w:rPr>
      <w:b/>
      <w:bCs/>
      <w:sz w:val="24"/>
    </w:rPr>
  </w:style>
  <w:style w:type="paragraph" w:customStyle="1" w:styleId="49">
    <w:name w:val="列出段落1"/>
    <w:basedOn w:val="1"/>
    <w:autoRedefine/>
    <w:qFormat/>
    <w:uiPriority w:val="34"/>
    <w:pPr>
      <w:ind w:firstLine="420" w:firstLineChars="200"/>
    </w:pPr>
  </w:style>
  <w:style w:type="paragraph" w:customStyle="1" w:styleId="50">
    <w:name w:val="彩色列表 - 强调文字颜色 12"/>
    <w:basedOn w:val="1"/>
    <w:autoRedefine/>
    <w:qFormat/>
    <w:uiPriority w:val="34"/>
    <w:pPr>
      <w:ind w:firstLine="420" w:firstLineChars="200"/>
    </w:pPr>
    <w:rPr>
      <w:szCs w:val="22"/>
    </w:rPr>
  </w:style>
  <w:style w:type="paragraph" w:customStyle="1" w:styleId="51">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52">
    <w:name w:val="grame"/>
    <w:qFormat/>
    <w:uiPriority w:val="0"/>
  </w:style>
  <w:style w:type="paragraph" w:customStyle="1" w:styleId="53">
    <w:name w:val="ZJ表格"/>
    <w:basedOn w:val="1"/>
    <w:qFormat/>
    <w:uiPriority w:val="0"/>
    <w:pPr>
      <w:keepNext w:val="0"/>
      <w:keepLines w:val="0"/>
      <w:widowControl w:val="0"/>
      <w:suppressLineNumbers w:val="0"/>
      <w:spacing w:before="0" w:beforeAutospacing="0" w:after="0" w:afterAutospacing="0" w:line="273" w:lineRule="auto"/>
      <w:ind w:left="0" w:right="0" w:firstLine="0" w:firstLineChars="0"/>
      <w:jc w:val="center"/>
    </w:pPr>
    <w:rPr>
      <w:rFonts w:hint="eastAsia" w:ascii="宋体" w:hAnsi="宋体" w:eastAsia="宋体" w:cs="仿宋"/>
      <w:kern w:val="2"/>
      <w:sz w:val="32"/>
      <w:szCs w:val="32"/>
      <w:lang w:val="en-US" w:eastAsia="zh-CN" w:bidi="ar"/>
    </w:rPr>
  </w:style>
  <w:style w:type="character" w:customStyle="1" w:styleId="54">
    <w:name w:val="16"/>
    <w:basedOn w:val="28"/>
    <w:qFormat/>
    <w:uiPriority w:val="0"/>
    <w:rPr>
      <w:rFonts w:hint="eastAsia" w:ascii="宋体" w:hAnsi="宋体" w:eastAsia="宋体" w:cs="宋体"/>
      <w:color w:val="FF0000"/>
      <w:sz w:val="20"/>
      <w:szCs w:val="20"/>
    </w:rPr>
  </w:style>
  <w:style w:type="paragraph" w:customStyle="1" w:styleId="55">
    <w:name w:val="WPSOffice手动目录 1"/>
    <w:qFormat/>
    <w:uiPriority w:val="0"/>
    <w:pPr>
      <w:ind w:leftChars="0"/>
    </w:pPr>
    <w:rPr>
      <w:rFonts w:ascii="Times New Roman" w:hAnsi="Times New Roman" w:eastAsia="宋体" w:cs="Times New Roman"/>
      <w:sz w:val="20"/>
      <w:szCs w:val="20"/>
    </w:rPr>
  </w:style>
  <w:style w:type="paragraph" w:customStyle="1" w:styleId="56">
    <w:name w:val="纯文本1"/>
    <w:basedOn w:val="1"/>
    <w:qFormat/>
    <w:uiPriority w:val="0"/>
    <w:rPr>
      <w:rFonts w:ascii="宋体" w:hAnsi="Courier New" w:eastAsia="宋体" w:cs="Times New Roman"/>
      <w:szCs w:val="22"/>
    </w:rPr>
  </w:style>
  <w:style w:type="paragraph" w:customStyle="1" w:styleId="5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8">
    <w:name w:val="PlainText"/>
    <w:basedOn w:val="1"/>
    <w:qFormat/>
    <w:uiPriority w:val="0"/>
    <w:pPr>
      <w:jc w:val="both"/>
      <w:textAlignment w:val="baseline"/>
    </w:pPr>
    <w:rPr>
      <w:rFonts w:ascii="宋体" w:hAnsi="Courier New"/>
      <w:kern w:val="2"/>
      <w:sz w:val="21"/>
      <w:szCs w:val="21"/>
      <w:lang w:val="en-US" w:eastAsia="zh-CN" w:bidi="ar-SA"/>
    </w:rPr>
  </w:style>
  <w:style w:type="paragraph" w:customStyle="1" w:styleId="59">
    <w:name w:val="BodyText1I"/>
    <w:basedOn w:val="60"/>
    <w:qFormat/>
    <w:uiPriority w:val="0"/>
    <w:pPr>
      <w:spacing w:after="120" w:line="312" w:lineRule="auto"/>
      <w:ind w:firstLine="420"/>
      <w:jc w:val="both"/>
      <w:textAlignment w:val="baseline"/>
    </w:pPr>
    <w:rPr>
      <w:color w:val="000000"/>
      <w:szCs w:val="21"/>
    </w:rPr>
  </w:style>
  <w:style w:type="paragraph" w:customStyle="1" w:styleId="60">
    <w:name w:val="BodyText"/>
    <w:basedOn w:val="1"/>
    <w:qFormat/>
    <w:uiPriority w:val="0"/>
    <w:pPr>
      <w:spacing w:after="120"/>
      <w:jc w:val="both"/>
      <w:textAlignment w:val="baseline"/>
    </w:pPr>
  </w:style>
  <w:style w:type="paragraph" w:customStyle="1" w:styleId="61">
    <w:name w:val="一级条标题"/>
    <w:basedOn w:val="62"/>
    <w:next w:val="63"/>
    <w:qFormat/>
    <w:uiPriority w:val="99"/>
    <w:pPr>
      <w:spacing w:line="240" w:lineRule="auto"/>
      <w:ind w:left="420"/>
      <w:outlineLvl w:val="2"/>
    </w:pPr>
  </w:style>
  <w:style w:type="paragraph" w:customStyle="1" w:styleId="62">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63">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64">
    <w:name w:val="UserStyle_0"/>
    <w:qFormat/>
    <w:uiPriority w:val="0"/>
    <w:pPr>
      <w:jc w:val="both"/>
      <w:textAlignment w:val="baseline"/>
    </w:pPr>
    <w:rPr>
      <w:rFonts w:ascii="Times New Roman" w:hAnsi="Times New Roman" w:eastAsia="宋体" w:cs="Times New Roman"/>
      <w:kern w:val="2"/>
      <w:sz w:val="21"/>
      <w:szCs w:val="22"/>
      <w:lang w:val="en-US" w:eastAsia="zh-CN" w:bidi="ar-SA"/>
    </w:rPr>
  </w:style>
  <w:style w:type="paragraph" w:customStyle="1" w:styleId="65">
    <w:name w:val="Absatz2AL"/>
    <w:basedOn w:val="10"/>
    <w:next w:val="1"/>
    <w:qFormat/>
    <w:uiPriority w:val="99"/>
    <w:pPr>
      <w:widowControl/>
      <w:overflowPunct w:val="0"/>
      <w:autoSpaceDE w:val="0"/>
      <w:autoSpaceDN w:val="0"/>
      <w:spacing w:line="240" w:lineRule="auto"/>
    </w:pPr>
    <w:rPr>
      <w:rFonts w:eastAsia="楷体_GB2312"/>
      <w:lang w:val="de-DE"/>
    </w:rPr>
  </w:style>
  <w:style w:type="paragraph" w:customStyle="1" w:styleId="66">
    <w:name w:val="标题 3.1"/>
    <w:basedOn w:val="4"/>
    <w:qFormat/>
    <w:uiPriority w:val="99"/>
    <w:pPr>
      <w:keepLines w:val="0"/>
      <w:widowControl/>
      <w:tabs>
        <w:tab w:val="left" w:pos="709"/>
        <w:tab w:val="left" w:pos="1440"/>
        <w:tab w:val="left" w:pos="1620"/>
      </w:tabs>
      <w:spacing w:before="240" w:line="480" w:lineRule="exact"/>
      <w:ind w:firstLine="0"/>
    </w:pPr>
    <w:rPr>
      <w:rFonts w:ascii="宋体"/>
      <w:kern w:val="2"/>
      <w:sz w:val="28"/>
      <w:szCs w:val="20"/>
    </w:rPr>
  </w:style>
  <w:style w:type="paragraph" w:customStyle="1" w:styleId="67">
    <w:name w:val="正文缩进2格"/>
    <w:basedOn w:val="1"/>
    <w:qFormat/>
    <w:uiPriority w:val="99"/>
    <w:pPr>
      <w:widowControl/>
      <w:spacing w:line="600" w:lineRule="exact"/>
      <w:ind w:firstLine="639" w:firstLineChars="206"/>
      <w:jc w:val="left"/>
    </w:pPr>
    <w:rPr>
      <w:rFonts w:ascii="仿宋_GB2312" w:hAnsi="宋体" w:eastAsia="仿宋_GB2312"/>
      <w:sz w:val="28"/>
    </w:rPr>
  </w:style>
  <w:style w:type="character" w:customStyle="1" w:styleId="68">
    <w:name w:val="font31"/>
    <w:basedOn w:val="28"/>
    <w:qFormat/>
    <w:uiPriority w:val="0"/>
    <w:rPr>
      <w:rFonts w:hint="default" w:ascii="Wingdings 2" w:hAnsi="Wingdings 2" w:eastAsia="Wingdings 2" w:cs="Wingdings 2"/>
      <w:color w:val="000000"/>
      <w:sz w:val="28"/>
      <w:szCs w:val="28"/>
      <w:u w:val="none"/>
    </w:rPr>
  </w:style>
  <w:style w:type="character" w:customStyle="1" w:styleId="69">
    <w:name w:val="font21"/>
    <w:basedOn w:val="28"/>
    <w:qFormat/>
    <w:uiPriority w:val="0"/>
    <w:rPr>
      <w:rFonts w:hint="eastAsia" w:ascii="仿宋" w:hAnsi="仿宋" w:eastAsia="仿宋" w:cs="仿宋"/>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22791</Words>
  <Characters>24643</Characters>
  <Lines>0</Lines>
  <Paragraphs>0</Paragraphs>
  <TotalTime>1</TotalTime>
  <ScaleCrop>false</ScaleCrop>
  <LinksUpToDate>false</LinksUpToDate>
  <CharactersWithSpaces>25201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2021-10-15T08:56:00Z</dcterms:created>
  <dc:creator>1</dc:creator>
  <cp:lastModifiedBy>临沧市第二人民医院</cp:lastModifiedBy>
  <cp:lastPrinted>2024-12-25T09:49:00Z</cp:lastPrinted>
  <dcterms:modified xsi:type="dcterms:W3CDTF">2025-09-19T06:34:58Z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62092A6C16C14D43B334B5D2148783EF_13</vt:lpwstr>
  </property>
  <property fmtid="{D5CDD505-2E9C-101B-9397-08002B2CF9AE}" pid="3" name="KSOProductBuildVer">
    <vt:lpwstr>2052-12.1.0.22529</vt:lpwstr>
  </property>
  <property fmtid="{D5CDD505-2E9C-101B-9397-08002B2CF9AE}" pid="4" name="KSOTemplateDocerSaveRecord">
    <vt:lpwstr>eyJoZGlkIjoiNjYwZTA0YzI0ZGYwOTAwYTMwNTE3YTJlN2QwNWQ4MWMiLCJ1c2VySWQiOiI1NTgyNzg2NTUifQ==</vt:lpwstr>
  </property>
</Properties>
</file>