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EE353">
      <w:pPr>
        <w:spacing w:line="360" w:lineRule="auto"/>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6"/>
          <w:szCs w:val="36"/>
          <w:highlight w:val="none"/>
          <w:lang w:eastAsia="zh-CN"/>
        </w:rPr>
        <w:t>云南林业职业技术学院环境工程学院实验室仪器设</w:t>
      </w:r>
      <w:bookmarkStart w:id="60" w:name="_GoBack"/>
      <w:bookmarkEnd w:id="60"/>
      <w:r>
        <w:rPr>
          <w:rFonts w:hint="eastAsia" w:ascii="宋体" w:hAnsi="宋体" w:cs="宋体"/>
          <w:b/>
          <w:color w:val="auto"/>
          <w:sz w:val="36"/>
          <w:szCs w:val="36"/>
          <w:highlight w:val="none"/>
          <w:lang w:eastAsia="zh-CN"/>
        </w:rPr>
        <w:t>备采购</w:t>
      </w:r>
    </w:p>
    <w:p w14:paraId="0E53C99D">
      <w:pPr>
        <w:spacing w:line="360" w:lineRule="auto"/>
        <w:jc w:val="center"/>
        <w:rPr>
          <w:rFonts w:ascii="宋体" w:hAnsi="宋体" w:cs="宋体"/>
          <w:color w:val="auto"/>
          <w:sz w:val="24"/>
          <w:szCs w:val="24"/>
          <w:highlight w:val="none"/>
        </w:rPr>
      </w:pPr>
      <w:r>
        <w:rPr>
          <w:rFonts w:hint="eastAsia" w:ascii="宋体" w:hAnsi="宋体" w:cs="宋体"/>
          <w:b/>
          <w:color w:val="auto"/>
          <w:sz w:val="32"/>
          <w:szCs w:val="32"/>
          <w:highlight w:val="none"/>
        </w:rPr>
        <w:t>招标公告</w:t>
      </w:r>
    </w:p>
    <w:p w14:paraId="3F6A3313">
      <w:pPr>
        <w:pStyle w:val="2"/>
        <w:rPr>
          <w:rFonts w:ascii="宋体" w:hAnsi="宋体" w:cs="宋体"/>
          <w:color w:val="auto"/>
          <w:highlight w:val="none"/>
        </w:rPr>
      </w:pPr>
      <w:bookmarkStart w:id="0" w:name="_Toc32031"/>
      <w:bookmarkEnd w:id="0"/>
      <w:bookmarkStart w:id="1" w:name="_Toc29108"/>
      <w:bookmarkEnd w:id="1"/>
    </w:p>
    <w:p w14:paraId="68362BBA">
      <w:pPr>
        <w:widowControl w:val="0"/>
        <w:pBdr>
          <w:top w:val="single" w:color="auto" w:sz="4" w:space="1"/>
          <w:left w:val="single" w:color="auto" w:sz="4" w:space="4"/>
          <w:bottom w:val="single" w:color="auto" w:sz="4" w:space="1"/>
          <w:right w:val="single" w:color="auto" w:sz="4" w:space="4"/>
        </w:pBdr>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kern w:val="2"/>
          <w:sz w:val="24"/>
          <w:szCs w:val="24"/>
          <w:highlight w:val="none"/>
          <w:lang w:bidi="ar"/>
        </w:rPr>
        <w:t>项目概况</w:t>
      </w:r>
    </w:p>
    <w:p w14:paraId="013877E2">
      <w:pPr>
        <w:widowControl w:val="0"/>
        <w:pBdr>
          <w:top w:val="single" w:color="auto" w:sz="4" w:space="1"/>
          <w:left w:val="single" w:color="auto" w:sz="4" w:space="4"/>
          <w:bottom w:val="single" w:color="auto" w:sz="4" w:space="1"/>
          <w:right w:val="single" w:color="auto" w:sz="4" w:space="4"/>
        </w:pBdr>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kern w:val="2"/>
          <w:sz w:val="24"/>
          <w:szCs w:val="24"/>
          <w:highlight w:val="none"/>
          <w:u w:val="single"/>
          <w:lang w:eastAsia="zh-CN"/>
        </w:rPr>
        <w:t>云南林业职业技术学院环境工程学院实验室仪器设备采购</w:t>
      </w:r>
      <w:r>
        <w:rPr>
          <w:rFonts w:hint="eastAsia" w:ascii="宋体" w:hAnsi="宋体" w:cs="宋体"/>
          <w:color w:val="auto"/>
          <w:kern w:val="2"/>
          <w:sz w:val="24"/>
          <w:szCs w:val="24"/>
          <w:highlight w:val="none"/>
        </w:rPr>
        <w:t>招标项目的潜在投标人应在</w:t>
      </w:r>
      <w:r>
        <w:rPr>
          <w:rFonts w:hint="eastAsia" w:ascii="宋体" w:hAnsi="宋体" w:cs="宋体"/>
          <w:color w:val="auto"/>
          <w:sz w:val="24"/>
          <w:szCs w:val="24"/>
          <w:highlight w:val="none"/>
          <w:u w:val="single"/>
        </w:rPr>
        <w:t>政采云平台（</w:t>
      </w:r>
      <w:r>
        <w:rPr>
          <w:color w:val="auto"/>
          <w:highlight w:val="none"/>
        </w:rPr>
        <w:fldChar w:fldCharType="begin"/>
      </w:r>
      <w:r>
        <w:rPr>
          <w:color w:val="auto"/>
          <w:highlight w:val="none"/>
        </w:rPr>
        <w:instrText xml:space="preserve"> HYPERLINK "https://www.zcygov.cn/）获取（下载）获取招标文件，并于2025年" </w:instrText>
      </w:r>
      <w:r>
        <w:rPr>
          <w:color w:val="auto"/>
          <w:highlight w:val="none"/>
        </w:rPr>
        <w:fldChar w:fldCharType="separate"/>
      </w:r>
      <w:r>
        <w:rPr>
          <w:rStyle w:val="8"/>
          <w:rFonts w:hint="eastAsia" w:ascii="宋体" w:hAnsi="宋体" w:cs="宋体"/>
          <w:color w:val="auto"/>
          <w:sz w:val="24"/>
          <w:szCs w:val="24"/>
          <w:highlight w:val="none"/>
        </w:rPr>
        <w:t>https://www.zcygov.cn/）获取（下载）</w:t>
      </w:r>
      <w:r>
        <w:rPr>
          <w:rStyle w:val="8"/>
          <w:rFonts w:hint="eastAsia" w:ascii="宋体" w:hAnsi="宋体" w:cs="宋体"/>
          <w:color w:val="auto"/>
          <w:kern w:val="2"/>
          <w:sz w:val="24"/>
          <w:szCs w:val="24"/>
          <w:highlight w:val="none"/>
          <w:lang w:bidi="ar"/>
        </w:rPr>
        <w:t>获取招标文件，并于</w:t>
      </w:r>
      <w:r>
        <w:rPr>
          <w:rStyle w:val="8"/>
          <w:rFonts w:hint="eastAsia" w:ascii="宋体" w:hAnsi="宋体" w:cs="宋体"/>
          <w:color w:val="auto"/>
          <w:kern w:val="2"/>
          <w:sz w:val="24"/>
          <w:szCs w:val="24"/>
          <w:highlight w:val="none"/>
          <w:u w:val="single"/>
          <w:lang w:bidi="ar"/>
        </w:rPr>
        <w:t>2026</w:t>
      </w:r>
      <w:r>
        <w:rPr>
          <w:rStyle w:val="8"/>
          <w:rFonts w:hint="eastAsia" w:ascii="宋体" w:hAnsi="宋体" w:cs="宋体"/>
          <w:bCs/>
          <w:color w:val="auto"/>
          <w:kern w:val="2"/>
          <w:sz w:val="24"/>
          <w:szCs w:val="24"/>
          <w:highlight w:val="none"/>
          <w:u w:val="single"/>
          <w:lang w:bidi="ar"/>
        </w:rPr>
        <w:t>年</w:t>
      </w:r>
      <w:r>
        <w:rPr>
          <w:rStyle w:val="8"/>
          <w:rFonts w:hint="eastAsia" w:ascii="宋体" w:hAnsi="宋体" w:cs="宋体"/>
          <w:bCs/>
          <w:color w:val="auto"/>
          <w:kern w:val="2"/>
          <w:sz w:val="24"/>
          <w:szCs w:val="24"/>
          <w:highlight w:val="none"/>
          <w:lang w:bidi="ar"/>
        </w:rPr>
        <w:fldChar w:fldCharType="end"/>
      </w:r>
      <w:r>
        <w:rPr>
          <w:rFonts w:hint="eastAsia" w:ascii="宋体" w:hAnsi="宋体" w:cs="宋体"/>
          <w:color w:val="auto"/>
          <w:sz w:val="24"/>
          <w:szCs w:val="24"/>
          <w:highlight w:val="none"/>
          <w:u w:val="single"/>
          <w:lang w:val="en-US" w:eastAsia="zh-CN"/>
        </w:rPr>
        <w:t>6</w:t>
      </w:r>
      <w:r>
        <w:rPr>
          <w:color w:val="auto"/>
          <w:highlight w:val="none"/>
        </w:rPr>
        <w:fldChar w:fldCharType="begin"/>
      </w:r>
      <w:r>
        <w:rPr>
          <w:color w:val="auto"/>
          <w:highlight w:val="none"/>
        </w:rPr>
        <w:instrText xml:space="preserve"> HYPERLINK "http://ggzy.yn.gov.cn/" \l "/homePag）获取招标文件，并于2023年   月" </w:instrText>
      </w:r>
      <w:r>
        <w:rPr>
          <w:color w:val="auto"/>
          <w:highlight w:val="none"/>
        </w:rPr>
        <w:fldChar w:fldCharType="separate"/>
      </w:r>
      <w:r>
        <w:rPr>
          <w:rStyle w:val="8"/>
          <w:rFonts w:hint="eastAsia" w:ascii="宋体" w:hAnsi="宋体" w:cs="宋体"/>
          <w:color w:val="auto"/>
          <w:kern w:val="2"/>
          <w:sz w:val="24"/>
          <w:szCs w:val="24"/>
          <w:highlight w:val="none"/>
          <w:u w:val="single"/>
        </w:rPr>
        <w:t>月</w:t>
      </w:r>
      <w:r>
        <w:rPr>
          <w:rStyle w:val="8"/>
          <w:rFonts w:hint="eastAsia" w:ascii="宋体" w:hAnsi="宋体" w:cs="宋体"/>
          <w:color w:val="auto"/>
          <w:kern w:val="2"/>
          <w:sz w:val="24"/>
          <w:szCs w:val="24"/>
          <w:highlight w:val="none"/>
          <w:u w:val="single"/>
        </w:rPr>
        <w:fldChar w:fldCharType="end"/>
      </w:r>
      <w:r>
        <w:rPr>
          <w:rStyle w:val="8"/>
          <w:rFonts w:hint="eastAsia" w:ascii="宋体" w:hAnsi="宋体" w:cs="宋体"/>
          <w:color w:val="auto"/>
          <w:kern w:val="2"/>
          <w:sz w:val="24"/>
          <w:szCs w:val="24"/>
          <w:highlight w:val="none"/>
          <w:u w:val="single"/>
          <w:lang w:val="en-US" w:eastAsia="zh-CN"/>
        </w:rPr>
        <w:t>8</w:t>
      </w:r>
      <w:r>
        <w:rPr>
          <w:rFonts w:hint="eastAsia" w:ascii="宋体" w:hAnsi="宋体" w:cs="宋体"/>
          <w:color w:val="auto"/>
          <w:kern w:val="2"/>
          <w:sz w:val="24"/>
          <w:szCs w:val="24"/>
          <w:highlight w:val="none"/>
          <w:u w:val="single"/>
        </w:rPr>
        <w:t>日</w:t>
      </w:r>
      <w:r>
        <w:rPr>
          <w:rFonts w:hint="eastAsia" w:ascii="宋体" w:hAnsi="宋体" w:cs="宋体"/>
          <w:color w:val="auto"/>
          <w:kern w:val="2"/>
          <w:sz w:val="24"/>
          <w:szCs w:val="24"/>
          <w:highlight w:val="none"/>
          <w:u w:val="single"/>
          <w:lang w:val="en-US" w:eastAsia="zh-CN"/>
        </w:rPr>
        <w:t>14</w:t>
      </w:r>
      <w:r>
        <w:rPr>
          <w:rFonts w:hint="eastAsia" w:ascii="宋体" w:hAnsi="宋体" w:cs="宋体"/>
          <w:color w:val="auto"/>
          <w:kern w:val="2"/>
          <w:sz w:val="24"/>
          <w:szCs w:val="24"/>
          <w:highlight w:val="none"/>
          <w:u w:val="single"/>
        </w:rPr>
        <w:t>点30分</w:t>
      </w:r>
      <w:r>
        <w:rPr>
          <w:rFonts w:hint="eastAsia" w:ascii="宋体" w:hAnsi="宋体" w:cs="宋体"/>
          <w:bCs/>
          <w:color w:val="auto"/>
          <w:kern w:val="2"/>
          <w:sz w:val="24"/>
          <w:szCs w:val="24"/>
          <w:highlight w:val="none"/>
          <w:u w:val="single"/>
        </w:rPr>
        <w:t>（</w:t>
      </w:r>
      <w:r>
        <w:rPr>
          <w:rFonts w:hint="eastAsia" w:ascii="宋体" w:hAnsi="宋体" w:cs="宋体"/>
          <w:bCs/>
          <w:color w:val="auto"/>
          <w:kern w:val="2"/>
          <w:sz w:val="24"/>
          <w:szCs w:val="24"/>
          <w:highlight w:val="none"/>
        </w:rPr>
        <w:t>北京时间）前递交投标文件</w:t>
      </w:r>
      <w:r>
        <w:rPr>
          <w:rFonts w:hint="eastAsia" w:ascii="宋体" w:hAnsi="宋体" w:cs="宋体"/>
          <w:color w:val="auto"/>
          <w:kern w:val="2"/>
          <w:sz w:val="24"/>
          <w:szCs w:val="24"/>
          <w:highlight w:val="none"/>
        </w:rPr>
        <w:t>。</w:t>
      </w:r>
    </w:p>
    <w:p w14:paraId="6E5BCF7F">
      <w:pPr>
        <w:pStyle w:val="2"/>
        <w:rPr>
          <w:rFonts w:ascii="宋体" w:hAnsi="宋体" w:cs="宋体"/>
          <w:color w:val="auto"/>
          <w:sz w:val="24"/>
          <w:highlight w:val="none"/>
        </w:rPr>
      </w:pPr>
    </w:p>
    <w:p w14:paraId="53343665">
      <w:pPr>
        <w:pStyle w:val="3"/>
        <w:widowControl/>
        <w:spacing w:before="0" w:after="0" w:line="360" w:lineRule="auto"/>
        <w:rPr>
          <w:rFonts w:ascii="宋体" w:hAnsi="宋体" w:eastAsia="宋体" w:cs="宋体"/>
          <w:color w:val="auto"/>
          <w:highlight w:val="none"/>
        </w:rPr>
      </w:pPr>
      <w:bookmarkStart w:id="2" w:name="_Toc35393621"/>
      <w:bookmarkStart w:id="3" w:name="_Toc23839"/>
      <w:bookmarkStart w:id="4" w:name="_Toc24846"/>
      <w:bookmarkStart w:id="5" w:name="_Toc28359079"/>
      <w:bookmarkStart w:id="6" w:name="_Toc28359002"/>
      <w:bookmarkStart w:id="7" w:name="_Toc11566"/>
      <w:bookmarkStart w:id="8" w:name="_Toc35393790"/>
      <w:bookmarkStart w:id="9" w:name="_Hlk24379207"/>
      <w:r>
        <w:rPr>
          <w:rFonts w:hint="eastAsia" w:ascii="宋体" w:hAnsi="宋体" w:eastAsia="宋体" w:cs="宋体"/>
          <w:bCs w:val="0"/>
          <w:color w:val="auto"/>
          <w:sz w:val="24"/>
          <w:szCs w:val="24"/>
          <w:highlight w:val="none"/>
        </w:rPr>
        <w:t>一、项目基本情况</w:t>
      </w:r>
      <w:bookmarkEnd w:id="2"/>
      <w:bookmarkEnd w:id="3"/>
      <w:bookmarkEnd w:id="4"/>
      <w:bookmarkEnd w:id="5"/>
      <w:bookmarkEnd w:id="6"/>
      <w:bookmarkEnd w:id="7"/>
      <w:bookmarkEnd w:id="8"/>
    </w:p>
    <w:p w14:paraId="15179E6E">
      <w:pPr>
        <w:widowControl w:val="0"/>
        <w:spacing w:line="360" w:lineRule="auto"/>
        <w:ind w:firstLine="480" w:firstLineChars="200"/>
        <w:jc w:val="both"/>
        <w:rPr>
          <w:rFonts w:hint="eastAsia" w:ascii="宋体" w:hAnsi="宋体" w:eastAsia="宋体" w:cs="宋体"/>
          <w:color w:val="auto"/>
          <w:kern w:val="2"/>
          <w:sz w:val="24"/>
          <w:szCs w:val="24"/>
          <w:highlight w:val="none"/>
          <w:lang w:eastAsia="zh-CN" w:bidi="ar"/>
        </w:rPr>
      </w:pPr>
      <w:r>
        <w:rPr>
          <w:rFonts w:hint="eastAsia" w:ascii="宋体" w:hAnsi="宋体" w:cs="宋体"/>
          <w:color w:val="auto"/>
          <w:kern w:val="2"/>
          <w:sz w:val="24"/>
          <w:szCs w:val="24"/>
          <w:highlight w:val="none"/>
          <w:lang w:bidi="ar"/>
        </w:rPr>
        <w:t>招标编号：</w:t>
      </w:r>
      <w:r>
        <w:rPr>
          <w:rFonts w:hint="eastAsia" w:ascii="宋体" w:hAnsi="宋体" w:cs="宋体"/>
          <w:color w:val="auto"/>
          <w:kern w:val="2"/>
          <w:sz w:val="24"/>
          <w:szCs w:val="24"/>
          <w:highlight w:val="none"/>
          <w:lang w:eastAsia="zh-CN" w:bidi="ar"/>
        </w:rPr>
        <w:t>YNZC2026-G1-02431-YYZX-0217</w:t>
      </w:r>
    </w:p>
    <w:p w14:paraId="46259E5A">
      <w:pPr>
        <w:widowControl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lang w:bidi="ar"/>
        </w:rPr>
        <w:t>项目名称：</w:t>
      </w:r>
      <w:r>
        <w:rPr>
          <w:rFonts w:hint="eastAsia" w:ascii="宋体" w:hAnsi="宋体" w:cs="宋体"/>
          <w:color w:val="auto"/>
          <w:kern w:val="2"/>
          <w:sz w:val="24"/>
          <w:szCs w:val="24"/>
          <w:highlight w:val="none"/>
          <w:lang w:eastAsia="zh-CN" w:bidi="ar"/>
        </w:rPr>
        <w:t>云南林业职业技术学院环境工程学院实验室仪器设备采购</w:t>
      </w:r>
    </w:p>
    <w:bookmarkEnd w:id="9"/>
    <w:p w14:paraId="67F023FA">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s="宋体"/>
          <w:color w:val="auto"/>
          <w:kern w:val="2"/>
          <w:sz w:val="24"/>
          <w:szCs w:val="24"/>
          <w:highlight w:val="none"/>
          <w:lang w:bidi="ar"/>
        </w:rPr>
        <w:t>预算金额：</w:t>
      </w:r>
      <w:r>
        <w:rPr>
          <w:rFonts w:hint="eastAsia" w:ascii="宋体" w:hAnsi="宋体"/>
          <w:color w:val="auto"/>
          <w:sz w:val="24"/>
          <w:szCs w:val="24"/>
          <w:highlight w:val="none"/>
          <w:lang w:eastAsia="zh-CN"/>
        </w:rPr>
        <w:t>74.44</w:t>
      </w:r>
      <w:r>
        <w:rPr>
          <w:rFonts w:hint="eastAsia" w:ascii="宋体" w:hAnsi="宋体"/>
          <w:color w:val="auto"/>
          <w:sz w:val="24"/>
          <w:szCs w:val="24"/>
          <w:highlight w:val="none"/>
          <w:lang w:val="en-US" w:eastAsia="zh-CN"/>
        </w:rPr>
        <w:t>万</w:t>
      </w:r>
      <w:r>
        <w:rPr>
          <w:rFonts w:hint="eastAsia" w:ascii="宋体" w:hAnsi="宋体"/>
          <w:color w:val="auto"/>
          <w:sz w:val="24"/>
          <w:szCs w:val="24"/>
          <w:highlight w:val="none"/>
          <w:lang w:eastAsia="zh-CN"/>
        </w:rPr>
        <w:t>元</w:t>
      </w:r>
    </w:p>
    <w:p w14:paraId="19F5CACE">
      <w:pPr>
        <w:widowControl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lang w:bidi="ar"/>
        </w:rPr>
        <w:t>最高限价：</w:t>
      </w:r>
      <w:r>
        <w:rPr>
          <w:rFonts w:hint="eastAsia" w:ascii="宋体" w:hAnsi="宋体"/>
          <w:color w:val="auto"/>
          <w:sz w:val="24"/>
          <w:szCs w:val="24"/>
          <w:highlight w:val="none"/>
          <w:lang w:eastAsia="zh-CN"/>
        </w:rPr>
        <w:t>74.44</w:t>
      </w:r>
      <w:r>
        <w:rPr>
          <w:rFonts w:hint="eastAsia" w:ascii="宋体" w:hAnsi="宋体"/>
          <w:color w:val="auto"/>
          <w:sz w:val="24"/>
          <w:szCs w:val="24"/>
          <w:highlight w:val="none"/>
          <w:lang w:val="en-US" w:eastAsia="zh-CN"/>
        </w:rPr>
        <w:t>万</w:t>
      </w:r>
      <w:r>
        <w:rPr>
          <w:rFonts w:hint="eastAsia" w:ascii="宋体" w:hAnsi="宋体"/>
          <w:color w:val="auto"/>
          <w:sz w:val="24"/>
          <w:szCs w:val="24"/>
          <w:highlight w:val="none"/>
          <w:lang w:eastAsia="zh-CN"/>
        </w:rPr>
        <w:t>元</w:t>
      </w:r>
    </w:p>
    <w:p w14:paraId="6A380CB8">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s="宋体"/>
          <w:color w:val="auto"/>
          <w:kern w:val="2"/>
          <w:sz w:val="24"/>
          <w:szCs w:val="24"/>
          <w:highlight w:val="none"/>
          <w:lang w:bidi="ar"/>
        </w:rPr>
        <w:t>采购需求：</w:t>
      </w:r>
      <w:r>
        <w:rPr>
          <w:rFonts w:hint="eastAsia" w:ascii="宋体" w:hAnsi="宋体"/>
          <w:color w:val="auto"/>
          <w:sz w:val="24"/>
          <w:szCs w:val="24"/>
          <w:highlight w:val="none"/>
          <w:lang w:eastAsia="zh-CN"/>
        </w:rPr>
        <w:t>云南林业职业技术学院环境工程学院实验室仪器设备采购，</w:t>
      </w:r>
      <w:r>
        <w:rPr>
          <w:rFonts w:hint="eastAsia" w:ascii="宋体" w:hAnsi="宋体"/>
          <w:color w:val="auto"/>
          <w:sz w:val="24"/>
          <w:szCs w:val="24"/>
          <w:highlight w:val="none"/>
          <w:lang w:val="en-US" w:eastAsia="zh-CN"/>
        </w:rPr>
        <w:t>采购</w:t>
      </w:r>
      <w:r>
        <w:rPr>
          <w:rFonts w:hint="eastAsia" w:ascii="宋体" w:hAnsi="宋体"/>
          <w:color w:val="auto"/>
          <w:sz w:val="24"/>
          <w:szCs w:val="24"/>
          <w:highlight w:val="none"/>
        </w:rPr>
        <w:t>pH计8台、混凝六联搅拌器8套、化学需氧量在线自动监测仪1套、氨氮在线自动监测仪1套、紫外-可见分光光度计</w:t>
      </w:r>
      <w:r>
        <w:rPr>
          <w:rFonts w:hint="eastAsia" w:ascii="宋体" w:hAnsi="宋体"/>
          <w:color w:val="auto"/>
          <w:sz w:val="24"/>
          <w:szCs w:val="24"/>
          <w:highlight w:val="none"/>
          <w:lang w:val="en-US" w:eastAsia="zh-CN"/>
        </w:rPr>
        <w:t>A</w:t>
      </w:r>
      <w:r>
        <w:rPr>
          <w:rFonts w:hint="eastAsia" w:ascii="宋体" w:hAnsi="宋体"/>
          <w:color w:val="auto"/>
          <w:sz w:val="24"/>
          <w:szCs w:val="24"/>
          <w:highlight w:val="none"/>
        </w:rPr>
        <w:t>1套、紫外-可见分光光度计</w:t>
      </w:r>
      <w:r>
        <w:rPr>
          <w:rFonts w:hint="eastAsia" w:ascii="宋体" w:hAnsi="宋体"/>
          <w:color w:val="auto"/>
          <w:sz w:val="24"/>
          <w:szCs w:val="24"/>
          <w:highlight w:val="none"/>
          <w:lang w:val="en-US" w:eastAsia="zh-CN"/>
        </w:rPr>
        <w:t>B</w:t>
      </w:r>
      <w:r>
        <w:rPr>
          <w:rFonts w:hint="eastAsia" w:ascii="宋体" w:hAnsi="宋体"/>
          <w:color w:val="auto"/>
          <w:sz w:val="24"/>
          <w:szCs w:val="24"/>
          <w:highlight w:val="none"/>
        </w:rPr>
        <w:t>1套、冷藏冰箱1台、多功能粉碎机2台、土壤动物分离器1套、空气温湿度记录仪3台、储存式液氮罐2台、水中化学需氧量消解仪1台、手提式高压蒸汽灭菌器2台、环境空气颗粒物综合采样器6台、孔口流量校准器1台、校准器1台、土壤速测仪（温湿度+电导率+PH+氮磷钾）6套</w:t>
      </w:r>
      <w:r>
        <w:rPr>
          <w:rFonts w:hint="eastAsia" w:ascii="宋体" w:hAnsi="宋体"/>
          <w:color w:val="auto"/>
          <w:sz w:val="24"/>
          <w:szCs w:val="24"/>
          <w:highlight w:val="none"/>
          <w:lang w:eastAsia="zh-CN"/>
        </w:rPr>
        <w:t>。</w:t>
      </w:r>
    </w:p>
    <w:tbl>
      <w:tblPr>
        <w:tblStyle w:val="6"/>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48"/>
        <w:gridCol w:w="3027"/>
        <w:gridCol w:w="1337"/>
        <w:gridCol w:w="1408"/>
        <w:gridCol w:w="1890"/>
      </w:tblGrid>
      <w:tr w14:paraId="13EE1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98"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E14621E">
            <w:pPr>
              <w:spacing w:line="360" w:lineRule="auto"/>
              <w:jc w:val="center"/>
              <w:rPr>
                <w:rFonts w:hint="eastAsia" w:ascii="宋体" w:hAnsi="宋体" w:eastAsia="宋体" w:cs="Times New Roman"/>
                <w:b/>
                <w:bCs/>
                <w:color w:val="auto"/>
                <w:sz w:val="24"/>
                <w:szCs w:val="24"/>
                <w:highlight w:val="none"/>
                <w:lang w:val="en-US" w:eastAsia="zh-CN"/>
              </w:rPr>
            </w:pPr>
            <w:r>
              <w:rPr>
                <w:rFonts w:hint="default" w:ascii="宋体" w:hAnsi="宋体" w:eastAsia="宋体" w:cs="Times New Roman"/>
                <w:b/>
                <w:bCs/>
                <w:color w:val="auto"/>
                <w:sz w:val="24"/>
                <w:szCs w:val="24"/>
                <w:highlight w:val="none"/>
                <w:lang w:val="en-US" w:eastAsia="zh-CN"/>
              </w:rPr>
              <w:t>序号</w:t>
            </w:r>
          </w:p>
        </w:tc>
        <w:tc>
          <w:tcPr>
            <w:tcW w:w="1778" w:type="pct"/>
            <w:tcBorders>
              <w:top w:val="single" w:color="000000" w:sz="8" w:space="0"/>
              <w:left w:val="nil"/>
              <w:bottom w:val="single" w:color="000000" w:sz="8" w:space="0"/>
              <w:right w:val="single" w:color="000000" w:sz="8" w:space="0"/>
            </w:tcBorders>
            <w:shd w:val="clear" w:color="auto" w:fill="auto"/>
            <w:vAlign w:val="center"/>
          </w:tcPr>
          <w:p w14:paraId="775F2019">
            <w:pPr>
              <w:spacing w:line="360" w:lineRule="auto"/>
              <w:jc w:val="center"/>
              <w:rPr>
                <w:rFonts w:hint="default" w:ascii="宋体" w:hAnsi="宋体" w:eastAsia="宋体" w:cs="Times New Roman"/>
                <w:b/>
                <w:bCs/>
                <w:color w:val="auto"/>
                <w:sz w:val="24"/>
                <w:szCs w:val="24"/>
                <w:highlight w:val="none"/>
                <w:lang w:val="en-US" w:eastAsia="zh-CN"/>
              </w:rPr>
            </w:pPr>
            <w:r>
              <w:rPr>
                <w:rFonts w:hint="default" w:ascii="宋体" w:hAnsi="宋体" w:eastAsia="宋体" w:cs="Times New Roman"/>
                <w:b/>
                <w:bCs/>
                <w:color w:val="auto"/>
                <w:sz w:val="24"/>
                <w:szCs w:val="24"/>
                <w:highlight w:val="none"/>
                <w:lang w:val="en-US" w:eastAsia="zh-CN"/>
              </w:rPr>
              <w:t>采购标的物名称</w:t>
            </w:r>
          </w:p>
        </w:tc>
        <w:tc>
          <w:tcPr>
            <w:tcW w:w="785" w:type="pct"/>
            <w:tcBorders>
              <w:top w:val="single" w:color="000000" w:sz="8" w:space="0"/>
              <w:left w:val="nil"/>
              <w:bottom w:val="single" w:color="000000" w:sz="8" w:space="0"/>
              <w:right w:val="single" w:color="000000" w:sz="8" w:space="0"/>
            </w:tcBorders>
            <w:shd w:val="clear" w:color="auto" w:fill="auto"/>
            <w:vAlign w:val="center"/>
          </w:tcPr>
          <w:p w14:paraId="46F8F756">
            <w:pPr>
              <w:spacing w:line="360" w:lineRule="auto"/>
              <w:jc w:val="center"/>
              <w:rPr>
                <w:rFonts w:hint="default" w:ascii="宋体" w:hAnsi="宋体" w:eastAsia="宋体" w:cs="Times New Roman"/>
                <w:b/>
                <w:bCs/>
                <w:color w:val="auto"/>
                <w:sz w:val="24"/>
                <w:szCs w:val="24"/>
                <w:highlight w:val="none"/>
                <w:lang w:val="en-US" w:eastAsia="zh-CN"/>
              </w:rPr>
            </w:pPr>
            <w:r>
              <w:rPr>
                <w:rFonts w:hint="default" w:ascii="宋体" w:hAnsi="宋体" w:eastAsia="宋体" w:cs="Times New Roman"/>
                <w:b/>
                <w:bCs/>
                <w:color w:val="auto"/>
                <w:sz w:val="24"/>
                <w:szCs w:val="24"/>
                <w:highlight w:val="none"/>
                <w:lang w:val="en-US" w:eastAsia="zh-CN"/>
              </w:rPr>
              <w:t>采购数量</w:t>
            </w:r>
          </w:p>
        </w:tc>
        <w:tc>
          <w:tcPr>
            <w:tcW w:w="827" w:type="pct"/>
            <w:tcBorders>
              <w:top w:val="single" w:color="000000" w:sz="8" w:space="0"/>
              <w:left w:val="nil"/>
              <w:bottom w:val="single" w:color="000000" w:sz="8" w:space="0"/>
              <w:right w:val="single" w:color="000000" w:sz="8" w:space="0"/>
            </w:tcBorders>
            <w:shd w:val="clear" w:color="auto" w:fill="auto"/>
            <w:vAlign w:val="center"/>
          </w:tcPr>
          <w:p w14:paraId="2CDE7065">
            <w:pPr>
              <w:spacing w:line="360" w:lineRule="auto"/>
              <w:jc w:val="center"/>
              <w:rPr>
                <w:rFonts w:hint="default" w:ascii="宋体" w:hAnsi="宋体" w:eastAsia="宋体" w:cs="Times New Roman"/>
                <w:b/>
                <w:bCs/>
                <w:color w:val="auto"/>
                <w:sz w:val="24"/>
                <w:szCs w:val="24"/>
                <w:highlight w:val="none"/>
                <w:lang w:val="en-US" w:eastAsia="zh-CN"/>
              </w:rPr>
            </w:pPr>
            <w:r>
              <w:rPr>
                <w:rFonts w:hint="default" w:ascii="宋体" w:hAnsi="宋体" w:eastAsia="宋体" w:cs="Times New Roman"/>
                <w:b/>
                <w:bCs/>
                <w:color w:val="auto"/>
                <w:sz w:val="24"/>
                <w:szCs w:val="24"/>
                <w:highlight w:val="none"/>
                <w:lang w:val="en-US" w:eastAsia="zh-CN"/>
              </w:rPr>
              <w:t>单位</w:t>
            </w:r>
          </w:p>
        </w:tc>
        <w:tc>
          <w:tcPr>
            <w:tcW w:w="1110" w:type="pct"/>
            <w:tcBorders>
              <w:top w:val="single" w:color="000000" w:sz="8" w:space="0"/>
              <w:left w:val="nil"/>
              <w:bottom w:val="single" w:color="000000" w:sz="8" w:space="0"/>
              <w:right w:val="single" w:color="000000" w:sz="8" w:space="0"/>
            </w:tcBorders>
            <w:shd w:val="clear" w:color="auto" w:fill="auto"/>
            <w:vAlign w:val="center"/>
          </w:tcPr>
          <w:p w14:paraId="468D74AC">
            <w:pPr>
              <w:spacing w:line="360" w:lineRule="auto"/>
              <w:jc w:val="center"/>
              <w:rPr>
                <w:rFonts w:hint="default" w:ascii="宋体" w:hAnsi="宋体" w:eastAsia="宋体" w:cs="Times New Roman"/>
                <w:b/>
                <w:bCs/>
                <w:color w:val="auto"/>
                <w:sz w:val="24"/>
                <w:szCs w:val="24"/>
                <w:highlight w:val="none"/>
                <w:lang w:val="en-US" w:eastAsia="zh-CN"/>
              </w:rPr>
            </w:pPr>
            <w:r>
              <w:rPr>
                <w:rFonts w:hint="default" w:ascii="宋体" w:hAnsi="宋体" w:eastAsia="宋体" w:cs="Times New Roman"/>
                <w:b/>
                <w:bCs/>
                <w:color w:val="auto"/>
                <w:sz w:val="24"/>
                <w:szCs w:val="24"/>
                <w:highlight w:val="none"/>
                <w:lang w:val="en-US" w:eastAsia="zh-CN"/>
              </w:rPr>
              <w:t>单价限价</w:t>
            </w:r>
          </w:p>
          <w:p w14:paraId="436F097C">
            <w:pPr>
              <w:spacing w:line="360" w:lineRule="auto"/>
              <w:jc w:val="center"/>
              <w:rPr>
                <w:rFonts w:hint="default" w:ascii="宋体" w:hAnsi="宋体" w:eastAsia="宋体" w:cs="Times New Roman"/>
                <w:b/>
                <w:bCs/>
                <w:color w:val="auto"/>
                <w:sz w:val="24"/>
                <w:szCs w:val="24"/>
                <w:highlight w:val="none"/>
                <w:lang w:val="en-US" w:eastAsia="zh-CN"/>
              </w:rPr>
            </w:pPr>
            <w:r>
              <w:rPr>
                <w:rFonts w:hint="default" w:ascii="宋体" w:hAnsi="宋体" w:eastAsia="宋体" w:cs="Times New Roman"/>
                <w:b/>
                <w:bCs/>
                <w:color w:val="auto"/>
                <w:sz w:val="24"/>
                <w:szCs w:val="24"/>
                <w:highlight w:val="none"/>
                <w:lang w:val="en-US" w:eastAsia="zh-CN"/>
              </w:rPr>
              <w:t>（万元）</w:t>
            </w:r>
          </w:p>
        </w:tc>
      </w:tr>
      <w:tr w14:paraId="6B5E2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trPr>
        <w:tc>
          <w:tcPr>
            <w:tcW w:w="498" w:type="pct"/>
            <w:tcBorders>
              <w:top w:val="nil"/>
              <w:left w:val="single" w:color="000000" w:sz="8" w:space="0"/>
              <w:bottom w:val="single" w:color="000000" w:sz="8" w:space="0"/>
              <w:right w:val="single" w:color="000000" w:sz="8" w:space="0"/>
            </w:tcBorders>
            <w:shd w:val="clear" w:color="auto" w:fill="auto"/>
            <w:vAlign w:val="center"/>
          </w:tcPr>
          <w:p w14:paraId="4E068F34">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w:t>
            </w:r>
          </w:p>
        </w:tc>
        <w:tc>
          <w:tcPr>
            <w:tcW w:w="1778" w:type="pct"/>
            <w:tcBorders>
              <w:top w:val="nil"/>
              <w:left w:val="nil"/>
              <w:bottom w:val="single" w:color="000000" w:sz="8" w:space="0"/>
              <w:right w:val="single" w:color="000000" w:sz="8" w:space="0"/>
            </w:tcBorders>
            <w:shd w:val="clear" w:color="auto" w:fill="auto"/>
            <w:vAlign w:val="center"/>
          </w:tcPr>
          <w:p w14:paraId="118E684E">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pH计</w:t>
            </w:r>
          </w:p>
        </w:tc>
        <w:tc>
          <w:tcPr>
            <w:tcW w:w="785" w:type="pct"/>
            <w:tcBorders>
              <w:top w:val="nil"/>
              <w:left w:val="nil"/>
              <w:bottom w:val="single" w:color="000000" w:sz="8" w:space="0"/>
              <w:right w:val="single" w:color="000000" w:sz="8" w:space="0"/>
            </w:tcBorders>
            <w:shd w:val="clear" w:color="auto" w:fill="auto"/>
            <w:noWrap/>
            <w:vAlign w:val="center"/>
          </w:tcPr>
          <w:p w14:paraId="71FEB094">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8</w:t>
            </w:r>
          </w:p>
        </w:tc>
        <w:tc>
          <w:tcPr>
            <w:tcW w:w="827" w:type="pct"/>
            <w:tcBorders>
              <w:top w:val="nil"/>
              <w:left w:val="nil"/>
              <w:bottom w:val="single" w:color="000000" w:sz="8" w:space="0"/>
              <w:right w:val="single" w:color="000000" w:sz="8" w:space="0"/>
            </w:tcBorders>
            <w:shd w:val="clear" w:color="auto" w:fill="auto"/>
            <w:noWrap/>
            <w:vAlign w:val="center"/>
          </w:tcPr>
          <w:p w14:paraId="742E2F8B">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台</w:t>
            </w:r>
          </w:p>
        </w:tc>
        <w:tc>
          <w:tcPr>
            <w:tcW w:w="1110" w:type="pct"/>
            <w:tcBorders>
              <w:top w:val="nil"/>
              <w:left w:val="nil"/>
              <w:bottom w:val="single" w:color="000000" w:sz="8" w:space="0"/>
              <w:right w:val="single" w:color="000000" w:sz="8" w:space="0"/>
            </w:tcBorders>
            <w:shd w:val="clear" w:color="auto" w:fill="auto"/>
            <w:noWrap/>
            <w:vAlign w:val="center"/>
          </w:tcPr>
          <w:p w14:paraId="6331BEEB">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0.9</w:t>
            </w:r>
          </w:p>
        </w:tc>
      </w:tr>
      <w:tr w14:paraId="023C2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trPr>
        <w:tc>
          <w:tcPr>
            <w:tcW w:w="498" w:type="pct"/>
            <w:tcBorders>
              <w:top w:val="nil"/>
              <w:left w:val="single" w:color="000000" w:sz="8" w:space="0"/>
              <w:bottom w:val="single" w:color="000000" w:sz="8" w:space="0"/>
              <w:right w:val="single" w:color="000000" w:sz="8" w:space="0"/>
            </w:tcBorders>
            <w:shd w:val="clear" w:color="auto" w:fill="auto"/>
            <w:vAlign w:val="center"/>
          </w:tcPr>
          <w:p w14:paraId="6A2A7331">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2</w:t>
            </w:r>
          </w:p>
        </w:tc>
        <w:tc>
          <w:tcPr>
            <w:tcW w:w="1778" w:type="pct"/>
            <w:tcBorders>
              <w:top w:val="nil"/>
              <w:left w:val="nil"/>
              <w:bottom w:val="single" w:color="000000" w:sz="8" w:space="0"/>
              <w:right w:val="single" w:color="000000" w:sz="8" w:space="0"/>
            </w:tcBorders>
            <w:shd w:val="clear" w:color="auto" w:fill="auto"/>
            <w:vAlign w:val="center"/>
          </w:tcPr>
          <w:p w14:paraId="503375C7">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混凝六联搅拌器</w:t>
            </w:r>
          </w:p>
        </w:tc>
        <w:tc>
          <w:tcPr>
            <w:tcW w:w="785" w:type="pct"/>
            <w:tcBorders>
              <w:top w:val="nil"/>
              <w:left w:val="nil"/>
              <w:bottom w:val="single" w:color="000000" w:sz="8" w:space="0"/>
              <w:right w:val="single" w:color="000000" w:sz="8" w:space="0"/>
            </w:tcBorders>
            <w:shd w:val="clear" w:color="auto" w:fill="auto"/>
            <w:noWrap/>
            <w:vAlign w:val="center"/>
          </w:tcPr>
          <w:p w14:paraId="08A94423">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8</w:t>
            </w:r>
          </w:p>
        </w:tc>
        <w:tc>
          <w:tcPr>
            <w:tcW w:w="827" w:type="pct"/>
            <w:tcBorders>
              <w:top w:val="nil"/>
              <w:left w:val="nil"/>
              <w:bottom w:val="single" w:color="000000" w:sz="8" w:space="0"/>
              <w:right w:val="single" w:color="000000" w:sz="8" w:space="0"/>
            </w:tcBorders>
            <w:shd w:val="clear" w:color="auto" w:fill="auto"/>
            <w:noWrap/>
            <w:vAlign w:val="center"/>
          </w:tcPr>
          <w:p w14:paraId="66563E26">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套</w:t>
            </w:r>
          </w:p>
        </w:tc>
        <w:tc>
          <w:tcPr>
            <w:tcW w:w="1110" w:type="pct"/>
            <w:tcBorders>
              <w:top w:val="nil"/>
              <w:left w:val="nil"/>
              <w:bottom w:val="single" w:color="000000" w:sz="8" w:space="0"/>
              <w:right w:val="single" w:color="000000" w:sz="8" w:space="0"/>
            </w:tcBorders>
            <w:shd w:val="clear" w:color="auto" w:fill="auto"/>
            <w:noWrap/>
            <w:vAlign w:val="center"/>
          </w:tcPr>
          <w:p w14:paraId="66991968">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2.2</w:t>
            </w:r>
          </w:p>
        </w:tc>
      </w:tr>
      <w:tr w14:paraId="4C60A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trPr>
        <w:tc>
          <w:tcPr>
            <w:tcW w:w="498" w:type="pct"/>
            <w:tcBorders>
              <w:top w:val="nil"/>
              <w:left w:val="single" w:color="000000" w:sz="8" w:space="0"/>
              <w:bottom w:val="single" w:color="000000" w:sz="8" w:space="0"/>
              <w:right w:val="single" w:color="000000" w:sz="8" w:space="0"/>
            </w:tcBorders>
            <w:shd w:val="clear" w:color="auto" w:fill="auto"/>
            <w:vAlign w:val="center"/>
          </w:tcPr>
          <w:p w14:paraId="2477F880">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3</w:t>
            </w:r>
          </w:p>
        </w:tc>
        <w:tc>
          <w:tcPr>
            <w:tcW w:w="1778" w:type="pct"/>
            <w:tcBorders>
              <w:top w:val="nil"/>
              <w:left w:val="nil"/>
              <w:bottom w:val="single" w:color="000000" w:sz="8" w:space="0"/>
              <w:right w:val="single" w:color="000000" w:sz="8" w:space="0"/>
            </w:tcBorders>
            <w:shd w:val="clear" w:color="auto" w:fill="auto"/>
            <w:vAlign w:val="center"/>
          </w:tcPr>
          <w:p w14:paraId="6A5FB2C7">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化学需氧量在线自动监测仪</w:t>
            </w:r>
          </w:p>
        </w:tc>
        <w:tc>
          <w:tcPr>
            <w:tcW w:w="785" w:type="pct"/>
            <w:tcBorders>
              <w:top w:val="nil"/>
              <w:left w:val="nil"/>
              <w:bottom w:val="single" w:color="000000" w:sz="8" w:space="0"/>
              <w:right w:val="single" w:color="000000" w:sz="8" w:space="0"/>
            </w:tcBorders>
            <w:shd w:val="clear" w:color="auto" w:fill="auto"/>
            <w:noWrap/>
            <w:vAlign w:val="center"/>
          </w:tcPr>
          <w:p w14:paraId="3DDB4614">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w:t>
            </w:r>
          </w:p>
        </w:tc>
        <w:tc>
          <w:tcPr>
            <w:tcW w:w="827" w:type="pct"/>
            <w:tcBorders>
              <w:top w:val="nil"/>
              <w:left w:val="nil"/>
              <w:bottom w:val="single" w:color="000000" w:sz="8" w:space="0"/>
              <w:right w:val="single" w:color="000000" w:sz="8" w:space="0"/>
            </w:tcBorders>
            <w:shd w:val="clear" w:color="auto" w:fill="auto"/>
            <w:noWrap/>
            <w:vAlign w:val="center"/>
          </w:tcPr>
          <w:p w14:paraId="36182AC0">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套</w:t>
            </w:r>
          </w:p>
        </w:tc>
        <w:tc>
          <w:tcPr>
            <w:tcW w:w="1110" w:type="pct"/>
            <w:tcBorders>
              <w:top w:val="nil"/>
              <w:left w:val="nil"/>
              <w:bottom w:val="single" w:color="000000" w:sz="8" w:space="0"/>
              <w:right w:val="single" w:color="000000" w:sz="8" w:space="0"/>
            </w:tcBorders>
            <w:shd w:val="clear" w:color="auto" w:fill="auto"/>
            <w:noWrap/>
            <w:vAlign w:val="center"/>
          </w:tcPr>
          <w:p w14:paraId="601772D7">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10.5</w:t>
            </w:r>
          </w:p>
        </w:tc>
      </w:tr>
      <w:tr w14:paraId="580A1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trPr>
        <w:tc>
          <w:tcPr>
            <w:tcW w:w="498" w:type="pct"/>
            <w:tcBorders>
              <w:top w:val="nil"/>
              <w:left w:val="single" w:color="000000" w:sz="8" w:space="0"/>
              <w:bottom w:val="single" w:color="000000" w:sz="8" w:space="0"/>
              <w:right w:val="single" w:color="000000" w:sz="8" w:space="0"/>
            </w:tcBorders>
            <w:shd w:val="clear" w:color="auto" w:fill="auto"/>
            <w:vAlign w:val="center"/>
          </w:tcPr>
          <w:p w14:paraId="00386C38">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4</w:t>
            </w:r>
          </w:p>
        </w:tc>
        <w:tc>
          <w:tcPr>
            <w:tcW w:w="1778" w:type="pct"/>
            <w:tcBorders>
              <w:top w:val="nil"/>
              <w:left w:val="nil"/>
              <w:bottom w:val="single" w:color="000000" w:sz="8" w:space="0"/>
              <w:right w:val="single" w:color="000000" w:sz="8" w:space="0"/>
            </w:tcBorders>
            <w:shd w:val="clear" w:color="auto" w:fill="auto"/>
            <w:vAlign w:val="center"/>
          </w:tcPr>
          <w:p w14:paraId="180B5DAB">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氨氮在线自动监测仪</w:t>
            </w:r>
          </w:p>
        </w:tc>
        <w:tc>
          <w:tcPr>
            <w:tcW w:w="785" w:type="pct"/>
            <w:tcBorders>
              <w:top w:val="nil"/>
              <w:left w:val="nil"/>
              <w:bottom w:val="single" w:color="000000" w:sz="8" w:space="0"/>
              <w:right w:val="single" w:color="000000" w:sz="8" w:space="0"/>
            </w:tcBorders>
            <w:shd w:val="clear" w:color="auto" w:fill="auto"/>
            <w:noWrap/>
            <w:vAlign w:val="center"/>
          </w:tcPr>
          <w:p w14:paraId="33C7FC24">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w:t>
            </w:r>
          </w:p>
        </w:tc>
        <w:tc>
          <w:tcPr>
            <w:tcW w:w="827" w:type="pct"/>
            <w:tcBorders>
              <w:top w:val="nil"/>
              <w:left w:val="nil"/>
              <w:bottom w:val="single" w:color="000000" w:sz="8" w:space="0"/>
              <w:right w:val="single" w:color="000000" w:sz="8" w:space="0"/>
            </w:tcBorders>
            <w:shd w:val="clear" w:color="auto" w:fill="auto"/>
            <w:noWrap/>
            <w:vAlign w:val="center"/>
          </w:tcPr>
          <w:p w14:paraId="05DA72AD">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套</w:t>
            </w:r>
          </w:p>
        </w:tc>
        <w:tc>
          <w:tcPr>
            <w:tcW w:w="1110" w:type="pct"/>
            <w:tcBorders>
              <w:top w:val="nil"/>
              <w:left w:val="nil"/>
              <w:bottom w:val="single" w:color="000000" w:sz="8" w:space="0"/>
              <w:right w:val="single" w:color="000000" w:sz="8" w:space="0"/>
            </w:tcBorders>
            <w:shd w:val="clear" w:color="auto" w:fill="auto"/>
            <w:noWrap/>
            <w:vAlign w:val="center"/>
          </w:tcPr>
          <w:p w14:paraId="44695828">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10.5</w:t>
            </w:r>
          </w:p>
        </w:tc>
      </w:tr>
      <w:tr w14:paraId="3E8DC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98" w:type="pct"/>
            <w:tcBorders>
              <w:top w:val="nil"/>
              <w:left w:val="single" w:color="000000" w:sz="8" w:space="0"/>
              <w:bottom w:val="single" w:color="000000" w:sz="8" w:space="0"/>
              <w:right w:val="single" w:color="000000" w:sz="8" w:space="0"/>
            </w:tcBorders>
            <w:shd w:val="clear" w:color="auto" w:fill="auto"/>
            <w:vAlign w:val="center"/>
          </w:tcPr>
          <w:p w14:paraId="6E378A6D">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5</w:t>
            </w:r>
          </w:p>
        </w:tc>
        <w:tc>
          <w:tcPr>
            <w:tcW w:w="1778" w:type="pct"/>
            <w:tcBorders>
              <w:top w:val="nil"/>
              <w:left w:val="nil"/>
              <w:bottom w:val="single" w:color="000000" w:sz="8" w:space="0"/>
              <w:right w:val="single" w:color="000000" w:sz="8" w:space="0"/>
            </w:tcBorders>
            <w:shd w:val="clear" w:color="auto" w:fill="auto"/>
            <w:vAlign w:val="center"/>
          </w:tcPr>
          <w:p w14:paraId="673B4FD7">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紫外-可见分光光度计</w:t>
            </w:r>
            <w:r>
              <w:rPr>
                <w:rFonts w:hint="eastAsia" w:ascii="宋体" w:hAnsi="宋体" w:cs="Times New Roman"/>
                <w:color w:val="auto"/>
                <w:sz w:val="24"/>
                <w:szCs w:val="24"/>
                <w:highlight w:val="none"/>
                <w:lang w:val="en-US" w:eastAsia="zh-CN"/>
              </w:rPr>
              <w:t>A</w:t>
            </w:r>
          </w:p>
        </w:tc>
        <w:tc>
          <w:tcPr>
            <w:tcW w:w="785" w:type="pct"/>
            <w:tcBorders>
              <w:top w:val="nil"/>
              <w:left w:val="nil"/>
              <w:bottom w:val="single" w:color="000000" w:sz="8" w:space="0"/>
              <w:right w:val="single" w:color="000000" w:sz="8" w:space="0"/>
            </w:tcBorders>
            <w:shd w:val="clear" w:color="auto" w:fill="auto"/>
            <w:noWrap/>
            <w:vAlign w:val="center"/>
          </w:tcPr>
          <w:p w14:paraId="2FA050E2">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w:t>
            </w:r>
          </w:p>
        </w:tc>
        <w:tc>
          <w:tcPr>
            <w:tcW w:w="827" w:type="pct"/>
            <w:tcBorders>
              <w:top w:val="nil"/>
              <w:left w:val="nil"/>
              <w:bottom w:val="single" w:color="000000" w:sz="8" w:space="0"/>
              <w:right w:val="single" w:color="000000" w:sz="8" w:space="0"/>
            </w:tcBorders>
            <w:shd w:val="clear" w:color="auto" w:fill="auto"/>
            <w:noWrap/>
            <w:vAlign w:val="center"/>
          </w:tcPr>
          <w:p w14:paraId="7646A370">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套</w:t>
            </w:r>
          </w:p>
        </w:tc>
        <w:tc>
          <w:tcPr>
            <w:tcW w:w="1110" w:type="pct"/>
            <w:tcBorders>
              <w:top w:val="nil"/>
              <w:left w:val="nil"/>
              <w:bottom w:val="single" w:color="000000" w:sz="8" w:space="0"/>
              <w:right w:val="single" w:color="000000" w:sz="8" w:space="0"/>
            </w:tcBorders>
            <w:shd w:val="clear" w:color="auto" w:fill="auto"/>
            <w:noWrap/>
            <w:vAlign w:val="center"/>
          </w:tcPr>
          <w:p w14:paraId="5964D7A2">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5.2</w:t>
            </w:r>
          </w:p>
        </w:tc>
      </w:tr>
      <w:tr w14:paraId="547C6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498" w:type="pct"/>
            <w:tcBorders>
              <w:top w:val="nil"/>
              <w:left w:val="single" w:color="000000" w:sz="8" w:space="0"/>
              <w:bottom w:val="single" w:color="000000" w:sz="8" w:space="0"/>
              <w:right w:val="single" w:color="000000" w:sz="8" w:space="0"/>
            </w:tcBorders>
            <w:shd w:val="clear" w:color="auto" w:fill="auto"/>
            <w:vAlign w:val="center"/>
          </w:tcPr>
          <w:p w14:paraId="1F210ACF">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6</w:t>
            </w:r>
          </w:p>
        </w:tc>
        <w:tc>
          <w:tcPr>
            <w:tcW w:w="1778" w:type="pct"/>
            <w:tcBorders>
              <w:top w:val="nil"/>
              <w:left w:val="nil"/>
              <w:bottom w:val="single" w:color="000000" w:sz="8" w:space="0"/>
              <w:right w:val="single" w:color="000000" w:sz="8" w:space="0"/>
            </w:tcBorders>
            <w:shd w:val="clear" w:color="auto" w:fill="auto"/>
            <w:vAlign w:val="center"/>
          </w:tcPr>
          <w:p w14:paraId="4D6739E8">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紫外-可见分光光度计</w:t>
            </w:r>
            <w:r>
              <w:rPr>
                <w:rFonts w:hint="eastAsia" w:ascii="宋体" w:hAnsi="宋体" w:cs="Times New Roman"/>
                <w:color w:val="auto"/>
                <w:sz w:val="24"/>
                <w:szCs w:val="24"/>
                <w:highlight w:val="none"/>
                <w:lang w:val="en-US" w:eastAsia="zh-CN"/>
              </w:rPr>
              <w:t>B</w:t>
            </w:r>
          </w:p>
        </w:tc>
        <w:tc>
          <w:tcPr>
            <w:tcW w:w="785" w:type="pct"/>
            <w:tcBorders>
              <w:top w:val="nil"/>
              <w:left w:val="nil"/>
              <w:bottom w:val="single" w:color="000000" w:sz="8" w:space="0"/>
              <w:right w:val="single" w:color="000000" w:sz="8" w:space="0"/>
            </w:tcBorders>
            <w:shd w:val="clear" w:color="auto" w:fill="auto"/>
            <w:noWrap/>
            <w:vAlign w:val="center"/>
          </w:tcPr>
          <w:p w14:paraId="57FB2EA0">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w:t>
            </w:r>
          </w:p>
        </w:tc>
        <w:tc>
          <w:tcPr>
            <w:tcW w:w="827" w:type="pct"/>
            <w:tcBorders>
              <w:top w:val="nil"/>
              <w:left w:val="nil"/>
              <w:bottom w:val="single" w:color="000000" w:sz="8" w:space="0"/>
              <w:right w:val="single" w:color="000000" w:sz="8" w:space="0"/>
            </w:tcBorders>
            <w:shd w:val="clear" w:color="auto" w:fill="auto"/>
            <w:noWrap/>
            <w:vAlign w:val="center"/>
          </w:tcPr>
          <w:p w14:paraId="186A8A22">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套</w:t>
            </w:r>
          </w:p>
        </w:tc>
        <w:tc>
          <w:tcPr>
            <w:tcW w:w="1110" w:type="pct"/>
            <w:tcBorders>
              <w:top w:val="nil"/>
              <w:left w:val="nil"/>
              <w:bottom w:val="single" w:color="000000" w:sz="8" w:space="0"/>
              <w:right w:val="single" w:color="000000" w:sz="8" w:space="0"/>
            </w:tcBorders>
            <w:shd w:val="clear" w:color="auto" w:fill="auto"/>
            <w:noWrap/>
            <w:vAlign w:val="center"/>
          </w:tcPr>
          <w:p w14:paraId="6D9EF051">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2.1</w:t>
            </w:r>
          </w:p>
        </w:tc>
      </w:tr>
      <w:tr w14:paraId="09C69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trPr>
        <w:tc>
          <w:tcPr>
            <w:tcW w:w="498" w:type="pct"/>
            <w:tcBorders>
              <w:top w:val="nil"/>
              <w:left w:val="single" w:color="000000" w:sz="8" w:space="0"/>
              <w:bottom w:val="single" w:color="000000" w:sz="8" w:space="0"/>
              <w:right w:val="single" w:color="000000" w:sz="8" w:space="0"/>
            </w:tcBorders>
            <w:shd w:val="clear" w:color="auto" w:fill="auto"/>
            <w:vAlign w:val="center"/>
          </w:tcPr>
          <w:p w14:paraId="60B5C765">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7</w:t>
            </w:r>
          </w:p>
        </w:tc>
        <w:tc>
          <w:tcPr>
            <w:tcW w:w="1778" w:type="pct"/>
            <w:tcBorders>
              <w:top w:val="nil"/>
              <w:left w:val="nil"/>
              <w:bottom w:val="single" w:color="000000" w:sz="8" w:space="0"/>
              <w:right w:val="single" w:color="000000" w:sz="8" w:space="0"/>
            </w:tcBorders>
            <w:shd w:val="clear" w:color="auto" w:fill="auto"/>
            <w:vAlign w:val="center"/>
          </w:tcPr>
          <w:p w14:paraId="00A3792D">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冷藏冰箱</w:t>
            </w:r>
          </w:p>
        </w:tc>
        <w:tc>
          <w:tcPr>
            <w:tcW w:w="785" w:type="pct"/>
            <w:tcBorders>
              <w:top w:val="nil"/>
              <w:left w:val="nil"/>
              <w:bottom w:val="single" w:color="000000" w:sz="8" w:space="0"/>
              <w:right w:val="single" w:color="000000" w:sz="8" w:space="0"/>
            </w:tcBorders>
            <w:shd w:val="clear" w:color="auto" w:fill="auto"/>
            <w:vAlign w:val="center"/>
          </w:tcPr>
          <w:p w14:paraId="1006BF60">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w:t>
            </w:r>
          </w:p>
        </w:tc>
        <w:tc>
          <w:tcPr>
            <w:tcW w:w="827" w:type="pct"/>
            <w:tcBorders>
              <w:top w:val="nil"/>
              <w:left w:val="nil"/>
              <w:bottom w:val="single" w:color="000000" w:sz="8" w:space="0"/>
              <w:right w:val="single" w:color="000000" w:sz="8" w:space="0"/>
            </w:tcBorders>
            <w:shd w:val="clear" w:color="auto" w:fill="auto"/>
            <w:vAlign w:val="center"/>
          </w:tcPr>
          <w:p w14:paraId="7022E035">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台</w:t>
            </w:r>
          </w:p>
        </w:tc>
        <w:tc>
          <w:tcPr>
            <w:tcW w:w="1110" w:type="pct"/>
            <w:tcBorders>
              <w:top w:val="nil"/>
              <w:left w:val="nil"/>
              <w:bottom w:val="single" w:color="000000" w:sz="8" w:space="0"/>
              <w:right w:val="single" w:color="000000" w:sz="8" w:space="0"/>
            </w:tcBorders>
            <w:shd w:val="clear" w:color="auto" w:fill="auto"/>
            <w:vAlign w:val="center"/>
          </w:tcPr>
          <w:p w14:paraId="4FA12244">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0.52</w:t>
            </w:r>
          </w:p>
        </w:tc>
      </w:tr>
      <w:tr w14:paraId="018A0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98" w:type="pct"/>
            <w:tcBorders>
              <w:top w:val="nil"/>
              <w:left w:val="single" w:color="000000" w:sz="8" w:space="0"/>
              <w:bottom w:val="single" w:color="000000" w:sz="8" w:space="0"/>
              <w:right w:val="single" w:color="000000" w:sz="8" w:space="0"/>
            </w:tcBorders>
            <w:shd w:val="clear" w:color="auto" w:fill="auto"/>
            <w:vAlign w:val="center"/>
          </w:tcPr>
          <w:p w14:paraId="62FFA1CE">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8</w:t>
            </w:r>
          </w:p>
        </w:tc>
        <w:tc>
          <w:tcPr>
            <w:tcW w:w="1778" w:type="pct"/>
            <w:tcBorders>
              <w:top w:val="nil"/>
              <w:left w:val="nil"/>
              <w:bottom w:val="single" w:color="000000" w:sz="8" w:space="0"/>
              <w:right w:val="single" w:color="000000" w:sz="8" w:space="0"/>
            </w:tcBorders>
            <w:shd w:val="clear" w:color="auto" w:fill="auto"/>
            <w:vAlign w:val="center"/>
          </w:tcPr>
          <w:p w14:paraId="1BD86065">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多功能粉碎机</w:t>
            </w:r>
          </w:p>
        </w:tc>
        <w:tc>
          <w:tcPr>
            <w:tcW w:w="785" w:type="pct"/>
            <w:tcBorders>
              <w:top w:val="nil"/>
              <w:left w:val="nil"/>
              <w:bottom w:val="single" w:color="000000" w:sz="8" w:space="0"/>
              <w:right w:val="single" w:color="000000" w:sz="8" w:space="0"/>
            </w:tcBorders>
            <w:shd w:val="clear" w:color="auto" w:fill="auto"/>
            <w:noWrap/>
            <w:vAlign w:val="center"/>
          </w:tcPr>
          <w:p w14:paraId="7C7A7280">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2</w:t>
            </w:r>
          </w:p>
        </w:tc>
        <w:tc>
          <w:tcPr>
            <w:tcW w:w="827" w:type="pct"/>
            <w:tcBorders>
              <w:top w:val="nil"/>
              <w:left w:val="nil"/>
              <w:bottom w:val="single" w:color="000000" w:sz="8" w:space="0"/>
              <w:right w:val="single" w:color="000000" w:sz="8" w:space="0"/>
            </w:tcBorders>
            <w:shd w:val="clear" w:color="auto" w:fill="auto"/>
            <w:noWrap/>
            <w:vAlign w:val="center"/>
          </w:tcPr>
          <w:p w14:paraId="5044BFC9">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台</w:t>
            </w:r>
          </w:p>
        </w:tc>
        <w:tc>
          <w:tcPr>
            <w:tcW w:w="1110" w:type="pct"/>
            <w:tcBorders>
              <w:top w:val="nil"/>
              <w:left w:val="nil"/>
              <w:bottom w:val="single" w:color="000000" w:sz="8" w:space="0"/>
              <w:right w:val="single" w:color="000000" w:sz="8" w:space="0"/>
            </w:tcBorders>
            <w:shd w:val="clear" w:color="auto" w:fill="auto"/>
            <w:noWrap/>
            <w:vAlign w:val="center"/>
          </w:tcPr>
          <w:p w14:paraId="39562446">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0.1</w:t>
            </w:r>
          </w:p>
        </w:tc>
      </w:tr>
      <w:tr w14:paraId="54F47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98" w:type="pct"/>
            <w:tcBorders>
              <w:top w:val="nil"/>
              <w:left w:val="single" w:color="000000" w:sz="8" w:space="0"/>
              <w:bottom w:val="single" w:color="000000" w:sz="8" w:space="0"/>
              <w:right w:val="single" w:color="000000" w:sz="8" w:space="0"/>
            </w:tcBorders>
            <w:shd w:val="clear" w:color="auto" w:fill="auto"/>
            <w:vAlign w:val="center"/>
          </w:tcPr>
          <w:p w14:paraId="7D73C770">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9</w:t>
            </w:r>
          </w:p>
        </w:tc>
        <w:tc>
          <w:tcPr>
            <w:tcW w:w="1778" w:type="pct"/>
            <w:tcBorders>
              <w:top w:val="nil"/>
              <w:left w:val="nil"/>
              <w:bottom w:val="single" w:color="000000" w:sz="8" w:space="0"/>
              <w:right w:val="single" w:color="000000" w:sz="8" w:space="0"/>
            </w:tcBorders>
            <w:shd w:val="clear" w:color="auto" w:fill="auto"/>
            <w:vAlign w:val="center"/>
          </w:tcPr>
          <w:p w14:paraId="764D21E4">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土壤动物分离器</w:t>
            </w:r>
          </w:p>
        </w:tc>
        <w:tc>
          <w:tcPr>
            <w:tcW w:w="785" w:type="pct"/>
            <w:tcBorders>
              <w:top w:val="nil"/>
              <w:left w:val="nil"/>
              <w:bottom w:val="single" w:color="000000" w:sz="8" w:space="0"/>
              <w:right w:val="single" w:color="000000" w:sz="8" w:space="0"/>
            </w:tcBorders>
            <w:shd w:val="clear" w:color="auto" w:fill="auto"/>
            <w:noWrap/>
            <w:vAlign w:val="center"/>
          </w:tcPr>
          <w:p w14:paraId="02E55C58">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w:t>
            </w:r>
          </w:p>
        </w:tc>
        <w:tc>
          <w:tcPr>
            <w:tcW w:w="827" w:type="pct"/>
            <w:tcBorders>
              <w:top w:val="nil"/>
              <w:left w:val="nil"/>
              <w:bottom w:val="single" w:color="000000" w:sz="8" w:space="0"/>
              <w:right w:val="single" w:color="000000" w:sz="8" w:space="0"/>
            </w:tcBorders>
            <w:shd w:val="clear" w:color="auto" w:fill="auto"/>
            <w:noWrap/>
            <w:vAlign w:val="center"/>
          </w:tcPr>
          <w:p w14:paraId="443BB9C8">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套</w:t>
            </w:r>
          </w:p>
        </w:tc>
        <w:tc>
          <w:tcPr>
            <w:tcW w:w="1110" w:type="pct"/>
            <w:tcBorders>
              <w:top w:val="nil"/>
              <w:left w:val="nil"/>
              <w:bottom w:val="single" w:color="000000" w:sz="8" w:space="0"/>
              <w:right w:val="single" w:color="000000" w:sz="8" w:space="0"/>
            </w:tcBorders>
            <w:shd w:val="clear" w:color="auto" w:fill="auto"/>
            <w:noWrap/>
            <w:vAlign w:val="center"/>
          </w:tcPr>
          <w:p w14:paraId="2CEE98F0">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3</w:t>
            </w:r>
          </w:p>
        </w:tc>
      </w:tr>
      <w:tr w14:paraId="00F04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98" w:type="pct"/>
            <w:tcBorders>
              <w:top w:val="nil"/>
              <w:left w:val="single" w:color="000000" w:sz="8" w:space="0"/>
              <w:bottom w:val="single" w:color="000000" w:sz="8" w:space="0"/>
              <w:right w:val="single" w:color="000000" w:sz="8" w:space="0"/>
            </w:tcBorders>
            <w:shd w:val="clear" w:color="auto" w:fill="auto"/>
            <w:vAlign w:val="center"/>
          </w:tcPr>
          <w:p w14:paraId="3A264CC9">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10</w:t>
            </w:r>
          </w:p>
        </w:tc>
        <w:tc>
          <w:tcPr>
            <w:tcW w:w="1778" w:type="pct"/>
            <w:tcBorders>
              <w:top w:val="nil"/>
              <w:left w:val="nil"/>
              <w:bottom w:val="single" w:color="000000" w:sz="8" w:space="0"/>
              <w:right w:val="single" w:color="000000" w:sz="8" w:space="0"/>
            </w:tcBorders>
            <w:shd w:val="clear" w:color="auto" w:fill="auto"/>
            <w:vAlign w:val="center"/>
          </w:tcPr>
          <w:p w14:paraId="3B4520FD">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空气温湿度记录仪</w:t>
            </w:r>
          </w:p>
        </w:tc>
        <w:tc>
          <w:tcPr>
            <w:tcW w:w="785" w:type="pct"/>
            <w:tcBorders>
              <w:top w:val="nil"/>
              <w:left w:val="nil"/>
              <w:bottom w:val="single" w:color="000000" w:sz="8" w:space="0"/>
              <w:right w:val="single" w:color="000000" w:sz="8" w:space="0"/>
            </w:tcBorders>
            <w:shd w:val="clear" w:color="auto" w:fill="auto"/>
            <w:noWrap/>
            <w:vAlign w:val="center"/>
          </w:tcPr>
          <w:p w14:paraId="21BB6F8E">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3</w:t>
            </w:r>
          </w:p>
        </w:tc>
        <w:tc>
          <w:tcPr>
            <w:tcW w:w="827" w:type="pct"/>
            <w:tcBorders>
              <w:top w:val="nil"/>
              <w:left w:val="nil"/>
              <w:bottom w:val="single" w:color="000000" w:sz="8" w:space="0"/>
              <w:right w:val="single" w:color="000000" w:sz="8" w:space="0"/>
            </w:tcBorders>
            <w:shd w:val="clear" w:color="auto" w:fill="auto"/>
            <w:noWrap/>
            <w:vAlign w:val="center"/>
          </w:tcPr>
          <w:p w14:paraId="5A3A9B10">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台</w:t>
            </w:r>
          </w:p>
        </w:tc>
        <w:tc>
          <w:tcPr>
            <w:tcW w:w="1110" w:type="pct"/>
            <w:tcBorders>
              <w:top w:val="nil"/>
              <w:left w:val="nil"/>
              <w:bottom w:val="single" w:color="000000" w:sz="8" w:space="0"/>
              <w:right w:val="single" w:color="000000" w:sz="8" w:space="0"/>
            </w:tcBorders>
            <w:shd w:val="clear" w:color="auto" w:fill="auto"/>
            <w:noWrap/>
            <w:vAlign w:val="center"/>
          </w:tcPr>
          <w:p w14:paraId="4DE7F1D8">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0.3</w:t>
            </w:r>
          </w:p>
        </w:tc>
      </w:tr>
      <w:tr w14:paraId="5E0D5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98" w:type="pct"/>
            <w:tcBorders>
              <w:top w:val="nil"/>
              <w:left w:val="single" w:color="000000" w:sz="8" w:space="0"/>
              <w:bottom w:val="single" w:color="000000" w:sz="8" w:space="0"/>
              <w:right w:val="single" w:color="000000" w:sz="8" w:space="0"/>
            </w:tcBorders>
            <w:shd w:val="clear" w:color="auto" w:fill="auto"/>
            <w:vAlign w:val="center"/>
          </w:tcPr>
          <w:p w14:paraId="014D7061">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11</w:t>
            </w:r>
          </w:p>
        </w:tc>
        <w:tc>
          <w:tcPr>
            <w:tcW w:w="1778" w:type="pct"/>
            <w:tcBorders>
              <w:top w:val="nil"/>
              <w:left w:val="nil"/>
              <w:bottom w:val="single" w:color="000000" w:sz="8" w:space="0"/>
              <w:right w:val="single" w:color="000000" w:sz="8" w:space="0"/>
            </w:tcBorders>
            <w:shd w:val="clear" w:color="auto" w:fill="auto"/>
            <w:vAlign w:val="center"/>
          </w:tcPr>
          <w:p w14:paraId="477CBF39">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储存式液氮罐</w:t>
            </w:r>
          </w:p>
        </w:tc>
        <w:tc>
          <w:tcPr>
            <w:tcW w:w="785" w:type="pct"/>
            <w:tcBorders>
              <w:top w:val="nil"/>
              <w:left w:val="nil"/>
              <w:bottom w:val="single" w:color="000000" w:sz="8" w:space="0"/>
              <w:right w:val="single" w:color="000000" w:sz="8" w:space="0"/>
            </w:tcBorders>
            <w:shd w:val="clear" w:color="auto" w:fill="auto"/>
            <w:noWrap/>
            <w:vAlign w:val="center"/>
          </w:tcPr>
          <w:p w14:paraId="5635D4A1">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2</w:t>
            </w:r>
          </w:p>
        </w:tc>
        <w:tc>
          <w:tcPr>
            <w:tcW w:w="827" w:type="pct"/>
            <w:tcBorders>
              <w:top w:val="nil"/>
              <w:left w:val="nil"/>
              <w:bottom w:val="single" w:color="000000" w:sz="8" w:space="0"/>
              <w:right w:val="single" w:color="000000" w:sz="8" w:space="0"/>
            </w:tcBorders>
            <w:shd w:val="clear" w:color="auto" w:fill="auto"/>
            <w:noWrap/>
            <w:vAlign w:val="center"/>
          </w:tcPr>
          <w:p w14:paraId="5B3F3D1D">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台</w:t>
            </w:r>
          </w:p>
        </w:tc>
        <w:tc>
          <w:tcPr>
            <w:tcW w:w="1110" w:type="pct"/>
            <w:tcBorders>
              <w:top w:val="nil"/>
              <w:left w:val="nil"/>
              <w:bottom w:val="single" w:color="000000" w:sz="8" w:space="0"/>
              <w:right w:val="single" w:color="000000" w:sz="8" w:space="0"/>
            </w:tcBorders>
            <w:shd w:val="clear" w:color="auto" w:fill="auto"/>
            <w:noWrap/>
            <w:vAlign w:val="center"/>
          </w:tcPr>
          <w:p w14:paraId="6383EDBD">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0.5</w:t>
            </w:r>
          </w:p>
        </w:tc>
      </w:tr>
      <w:tr w14:paraId="55642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498" w:type="pct"/>
            <w:tcBorders>
              <w:top w:val="nil"/>
              <w:left w:val="single" w:color="000000" w:sz="8" w:space="0"/>
              <w:bottom w:val="single" w:color="000000" w:sz="8" w:space="0"/>
              <w:right w:val="single" w:color="000000" w:sz="8" w:space="0"/>
            </w:tcBorders>
            <w:shd w:val="clear" w:color="auto" w:fill="auto"/>
            <w:vAlign w:val="center"/>
          </w:tcPr>
          <w:p w14:paraId="2BD5B1EF">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12</w:t>
            </w:r>
          </w:p>
        </w:tc>
        <w:tc>
          <w:tcPr>
            <w:tcW w:w="1778" w:type="pct"/>
            <w:tcBorders>
              <w:top w:val="nil"/>
              <w:left w:val="nil"/>
              <w:bottom w:val="single" w:color="000000" w:sz="8" w:space="0"/>
              <w:right w:val="single" w:color="000000" w:sz="8" w:space="0"/>
            </w:tcBorders>
            <w:shd w:val="clear" w:color="auto" w:fill="auto"/>
            <w:vAlign w:val="center"/>
          </w:tcPr>
          <w:p w14:paraId="51D31762">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水中化学需氧量消解仪</w:t>
            </w:r>
          </w:p>
        </w:tc>
        <w:tc>
          <w:tcPr>
            <w:tcW w:w="785" w:type="pct"/>
            <w:tcBorders>
              <w:top w:val="nil"/>
              <w:left w:val="nil"/>
              <w:bottom w:val="single" w:color="000000" w:sz="8" w:space="0"/>
              <w:right w:val="single" w:color="000000" w:sz="8" w:space="0"/>
            </w:tcBorders>
            <w:shd w:val="clear" w:color="auto" w:fill="auto"/>
            <w:vAlign w:val="center"/>
          </w:tcPr>
          <w:p w14:paraId="713749DA">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w:t>
            </w:r>
          </w:p>
        </w:tc>
        <w:tc>
          <w:tcPr>
            <w:tcW w:w="827" w:type="pct"/>
            <w:tcBorders>
              <w:top w:val="nil"/>
              <w:left w:val="nil"/>
              <w:bottom w:val="single" w:color="000000" w:sz="8" w:space="0"/>
              <w:right w:val="single" w:color="000000" w:sz="8" w:space="0"/>
            </w:tcBorders>
            <w:shd w:val="clear" w:color="auto" w:fill="auto"/>
            <w:vAlign w:val="center"/>
          </w:tcPr>
          <w:p w14:paraId="04B915C4">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台</w:t>
            </w:r>
          </w:p>
        </w:tc>
        <w:tc>
          <w:tcPr>
            <w:tcW w:w="1110" w:type="pct"/>
            <w:tcBorders>
              <w:top w:val="nil"/>
              <w:left w:val="nil"/>
              <w:bottom w:val="single" w:color="000000" w:sz="8" w:space="0"/>
              <w:right w:val="single" w:color="000000" w:sz="8" w:space="0"/>
            </w:tcBorders>
            <w:shd w:val="clear" w:color="auto" w:fill="auto"/>
            <w:vAlign w:val="center"/>
          </w:tcPr>
          <w:p w14:paraId="40B05688">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0.52</w:t>
            </w:r>
          </w:p>
        </w:tc>
      </w:tr>
      <w:tr w14:paraId="217DA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98" w:type="pct"/>
            <w:tcBorders>
              <w:top w:val="nil"/>
              <w:left w:val="single" w:color="000000" w:sz="8" w:space="0"/>
              <w:bottom w:val="single" w:color="000000" w:sz="8" w:space="0"/>
              <w:right w:val="single" w:color="000000" w:sz="8" w:space="0"/>
            </w:tcBorders>
            <w:shd w:val="clear" w:color="auto" w:fill="auto"/>
            <w:vAlign w:val="center"/>
          </w:tcPr>
          <w:p w14:paraId="3A27E601">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13</w:t>
            </w:r>
          </w:p>
        </w:tc>
        <w:tc>
          <w:tcPr>
            <w:tcW w:w="1778" w:type="pct"/>
            <w:tcBorders>
              <w:top w:val="nil"/>
              <w:left w:val="nil"/>
              <w:bottom w:val="single" w:color="000000" w:sz="8" w:space="0"/>
              <w:right w:val="single" w:color="000000" w:sz="8" w:space="0"/>
            </w:tcBorders>
            <w:shd w:val="clear" w:color="auto" w:fill="auto"/>
            <w:vAlign w:val="center"/>
          </w:tcPr>
          <w:p w14:paraId="3DAEAE64">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手提式高压蒸汽灭菌器</w:t>
            </w:r>
          </w:p>
        </w:tc>
        <w:tc>
          <w:tcPr>
            <w:tcW w:w="785" w:type="pct"/>
            <w:tcBorders>
              <w:top w:val="nil"/>
              <w:left w:val="nil"/>
              <w:bottom w:val="single" w:color="000000" w:sz="8" w:space="0"/>
              <w:right w:val="single" w:color="000000" w:sz="8" w:space="0"/>
            </w:tcBorders>
            <w:shd w:val="clear" w:color="auto" w:fill="auto"/>
            <w:vAlign w:val="center"/>
          </w:tcPr>
          <w:p w14:paraId="681E50CB">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2</w:t>
            </w:r>
          </w:p>
        </w:tc>
        <w:tc>
          <w:tcPr>
            <w:tcW w:w="827" w:type="pct"/>
            <w:tcBorders>
              <w:top w:val="nil"/>
              <w:left w:val="nil"/>
              <w:bottom w:val="single" w:color="000000" w:sz="8" w:space="0"/>
              <w:right w:val="single" w:color="000000" w:sz="8" w:space="0"/>
            </w:tcBorders>
            <w:shd w:val="clear" w:color="auto" w:fill="auto"/>
            <w:vAlign w:val="center"/>
          </w:tcPr>
          <w:p w14:paraId="55A5C141">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台</w:t>
            </w:r>
          </w:p>
        </w:tc>
        <w:tc>
          <w:tcPr>
            <w:tcW w:w="1110" w:type="pct"/>
            <w:tcBorders>
              <w:top w:val="nil"/>
              <w:left w:val="nil"/>
              <w:bottom w:val="single" w:color="000000" w:sz="8" w:space="0"/>
              <w:right w:val="single" w:color="000000" w:sz="8" w:space="0"/>
            </w:tcBorders>
            <w:shd w:val="clear" w:color="auto" w:fill="auto"/>
            <w:vAlign w:val="center"/>
          </w:tcPr>
          <w:p w14:paraId="31820513">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0.9</w:t>
            </w:r>
          </w:p>
        </w:tc>
      </w:tr>
      <w:tr w14:paraId="79AC8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98" w:type="pct"/>
            <w:tcBorders>
              <w:top w:val="nil"/>
              <w:left w:val="single" w:color="000000" w:sz="8" w:space="0"/>
              <w:bottom w:val="single" w:color="000000" w:sz="8" w:space="0"/>
              <w:right w:val="single" w:color="000000" w:sz="8" w:space="0"/>
            </w:tcBorders>
            <w:shd w:val="clear" w:color="auto" w:fill="auto"/>
            <w:vAlign w:val="center"/>
          </w:tcPr>
          <w:p w14:paraId="4443265F">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14</w:t>
            </w:r>
          </w:p>
        </w:tc>
        <w:tc>
          <w:tcPr>
            <w:tcW w:w="1778" w:type="pct"/>
            <w:tcBorders>
              <w:top w:val="nil"/>
              <w:left w:val="nil"/>
              <w:bottom w:val="single" w:color="000000" w:sz="8" w:space="0"/>
              <w:right w:val="single" w:color="000000" w:sz="8" w:space="0"/>
            </w:tcBorders>
            <w:shd w:val="clear" w:color="auto" w:fill="auto"/>
            <w:vAlign w:val="center"/>
          </w:tcPr>
          <w:p w14:paraId="6B8CF15B">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环境空气颗粒物综合采样器</w:t>
            </w:r>
          </w:p>
        </w:tc>
        <w:tc>
          <w:tcPr>
            <w:tcW w:w="785" w:type="pct"/>
            <w:tcBorders>
              <w:top w:val="nil"/>
              <w:left w:val="nil"/>
              <w:bottom w:val="single" w:color="000000" w:sz="8" w:space="0"/>
              <w:right w:val="single" w:color="000000" w:sz="8" w:space="0"/>
            </w:tcBorders>
            <w:shd w:val="clear" w:color="auto" w:fill="auto"/>
            <w:vAlign w:val="center"/>
          </w:tcPr>
          <w:p w14:paraId="1E72B074">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6</w:t>
            </w:r>
          </w:p>
        </w:tc>
        <w:tc>
          <w:tcPr>
            <w:tcW w:w="827" w:type="pct"/>
            <w:tcBorders>
              <w:top w:val="nil"/>
              <w:left w:val="nil"/>
              <w:bottom w:val="single" w:color="000000" w:sz="8" w:space="0"/>
              <w:right w:val="single" w:color="000000" w:sz="8" w:space="0"/>
            </w:tcBorders>
            <w:shd w:val="clear" w:color="auto" w:fill="auto"/>
            <w:vAlign w:val="center"/>
          </w:tcPr>
          <w:p w14:paraId="2153A7B7">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台</w:t>
            </w:r>
          </w:p>
        </w:tc>
        <w:tc>
          <w:tcPr>
            <w:tcW w:w="1110" w:type="pct"/>
            <w:tcBorders>
              <w:top w:val="nil"/>
              <w:left w:val="nil"/>
              <w:bottom w:val="single" w:color="000000" w:sz="8" w:space="0"/>
              <w:right w:val="single" w:color="000000" w:sz="8" w:space="0"/>
            </w:tcBorders>
            <w:shd w:val="clear" w:color="auto" w:fill="auto"/>
            <w:vAlign w:val="center"/>
          </w:tcPr>
          <w:p w14:paraId="475A605C">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1.5</w:t>
            </w:r>
          </w:p>
        </w:tc>
      </w:tr>
      <w:tr w14:paraId="7B8B3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498" w:type="pct"/>
            <w:tcBorders>
              <w:top w:val="nil"/>
              <w:left w:val="single" w:color="000000" w:sz="8" w:space="0"/>
              <w:bottom w:val="single" w:color="000000" w:sz="8" w:space="0"/>
              <w:right w:val="single" w:color="000000" w:sz="8" w:space="0"/>
            </w:tcBorders>
            <w:shd w:val="clear" w:color="auto" w:fill="auto"/>
            <w:vAlign w:val="center"/>
          </w:tcPr>
          <w:p w14:paraId="0B955947">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15</w:t>
            </w:r>
          </w:p>
        </w:tc>
        <w:tc>
          <w:tcPr>
            <w:tcW w:w="1778" w:type="pct"/>
            <w:tcBorders>
              <w:top w:val="nil"/>
              <w:left w:val="nil"/>
              <w:bottom w:val="single" w:color="000000" w:sz="8" w:space="0"/>
              <w:right w:val="single" w:color="000000" w:sz="8" w:space="0"/>
            </w:tcBorders>
            <w:shd w:val="clear" w:color="auto" w:fill="auto"/>
            <w:vAlign w:val="center"/>
          </w:tcPr>
          <w:p w14:paraId="47F7C06B">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孔口流量校准器</w:t>
            </w:r>
          </w:p>
        </w:tc>
        <w:tc>
          <w:tcPr>
            <w:tcW w:w="785" w:type="pct"/>
            <w:tcBorders>
              <w:top w:val="nil"/>
              <w:left w:val="nil"/>
              <w:bottom w:val="single" w:color="000000" w:sz="8" w:space="0"/>
              <w:right w:val="single" w:color="000000" w:sz="8" w:space="0"/>
            </w:tcBorders>
            <w:shd w:val="clear" w:color="auto" w:fill="auto"/>
            <w:vAlign w:val="center"/>
          </w:tcPr>
          <w:p w14:paraId="425579A2">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w:t>
            </w:r>
          </w:p>
        </w:tc>
        <w:tc>
          <w:tcPr>
            <w:tcW w:w="827" w:type="pct"/>
            <w:tcBorders>
              <w:top w:val="nil"/>
              <w:left w:val="nil"/>
              <w:bottom w:val="single" w:color="000000" w:sz="8" w:space="0"/>
              <w:right w:val="single" w:color="000000" w:sz="8" w:space="0"/>
            </w:tcBorders>
            <w:shd w:val="clear" w:color="auto" w:fill="auto"/>
            <w:vAlign w:val="center"/>
          </w:tcPr>
          <w:p w14:paraId="181A0C17">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台</w:t>
            </w:r>
          </w:p>
        </w:tc>
        <w:tc>
          <w:tcPr>
            <w:tcW w:w="1110" w:type="pct"/>
            <w:tcBorders>
              <w:top w:val="nil"/>
              <w:left w:val="nil"/>
              <w:bottom w:val="single" w:color="000000" w:sz="8" w:space="0"/>
              <w:right w:val="single" w:color="000000" w:sz="8" w:space="0"/>
            </w:tcBorders>
            <w:shd w:val="clear" w:color="auto" w:fill="auto"/>
            <w:vAlign w:val="center"/>
          </w:tcPr>
          <w:p w14:paraId="2A92CCE8">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2.6</w:t>
            </w:r>
          </w:p>
        </w:tc>
      </w:tr>
      <w:tr w14:paraId="44E6E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498" w:type="pct"/>
            <w:tcBorders>
              <w:top w:val="nil"/>
              <w:left w:val="single" w:color="000000" w:sz="8" w:space="0"/>
              <w:bottom w:val="single" w:color="000000" w:sz="8" w:space="0"/>
              <w:right w:val="single" w:color="000000" w:sz="8" w:space="0"/>
            </w:tcBorders>
            <w:shd w:val="clear" w:color="auto" w:fill="auto"/>
            <w:vAlign w:val="center"/>
          </w:tcPr>
          <w:p w14:paraId="2965497C">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16</w:t>
            </w:r>
          </w:p>
        </w:tc>
        <w:tc>
          <w:tcPr>
            <w:tcW w:w="1778" w:type="pct"/>
            <w:tcBorders>
              <w:top w:val="nil"/>
              <w:left w:val="nil"/>
              <w:bottom w:val="single" w:color="000000" w:sz="8" w:space="0"/>
              <w:right w:val="single" w:color="000000" w:sz="8" w:space="0"/>
            </w:tcBorders>
            <w:shd w:val="clear" w:color="auto" w:fill="auto"/>
            <w:vAlign w:val="center"/>
          </w:tcPr>
          <w:p w14:paraId="677EC896">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校准器</w:t>
            </w:r>
          </w:p>
        </w:tc>
        <w:tc>
          <w:tcPr>
            <w:tcW w:w="785" w:type="pct"/>
            <w:tcBorders>
              <w:top w:val="nil"/>
              <w:left w:val="nil"/>
              <w:bottom w:val="single" w:color="000000" w:sz="8" w:space="0"/>
              <w:right w:val="single" w:color="000000" w:sz="8" w:space="0"/>
            </w:tcBorders>
            <w:shd w:val="clear" w:color="auto" w:fill="auto"/>
            <w:vAlign w:val="center"/>
          </w:tcPr>
          <w:p w14:paraId="13A2091F">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w:t>
            </w:r>
          </w:p>
        </w:tc>
        <w:tc>
          <w:tcPr>
            <w:tcW w:w="827" w:type="pct"/>
            <w:tcBorders>
              <w:top w:val="nil"/>
              <w:left w:val="nil"/>
              <w:bottom w:val="single" w:color="000000" w:sz="8" w:space="0"/>
              <w:right w:val="single" w:color="000000" w:sz="8" w:space="0"/>
            </w:tcBorders>
            <w:shd w:val="clear" w:color="auto" w:fill="auto"/>
            <w:vAlign w:val="center"/>
          </w:tcPr>
          <w:p w14:paraId="1C5EAAE7">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台</w:t>
            </w:r>
          </w:p>
        </w:tc>
        <w:tc>
          <w:tcPr>
            <w:tcW w:w="1110" w:type="pct"/>
            <w:tcBorders>
              <w:top w:val="nil"/>
              <w:left w:val="nil"/>
              <w:bottom w:val="single" w:color="000000" w:sz="8" w:space="0"/>
              <w:right w:val="single" w:color="000000" w:sz="8" w:space="0"/>
            </w:tcBorders>
            <w:shd w:val="clear" w:color="auto" w:fill="auto"/>
            <w:vAlign w:val="center"/>
          </w:tcPr>
          <w:p w14:paraId="7057B23D">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0.6</w:t>
            </w:r>
          </w:p>
        </w:tc>
      </w:tr>
      <w:tr w14:paraId="4FF1A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498" w:type="pct"/>
            <w:tcBorders>
              <w:top w:val="nil"/>
              <w:left w:val="single" w:color="000000" w:sz="8" w:space="0"/>
              <w:bottom w:val="single" w:color="000000" w:sz="8" w:space="0"/>
              <w:right w:val="single" w:color="000000" w:sz="8" w:space="0"/>
            </w:tcBorders>
            <w:shd w:val="clear" w:color="auto" w:fill="auto"/>
            <w:vAlign w:val="center"/>
          </w:tcPr>
          <w:p w14:paraId="1A76E7C6">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1</w:t>
            </w:r>
            <w:r>
              <w:rPr>
                <w:rFonts w:hint="eastAsia" w:ascii="宋体" w:hAnsi="宋体" w:cs="Times New Roman"/>
                <w:color w:val="auto"/>
                <w:sz w:val="24"/>
                <w:szCs w:val="24"/>
                <w:highlight w:val="none"/>
                <w:lang w:val="en-US" w:eastAsia="zh-CN"/>
              </w:rPr>
              <w:t>7</w:t>
            </w:r>
          </w:p>
        </w:tc>
        <w:tc>
          <w:tcPr>
            <w:tcW w:w="1778" w:type="pct"/>
            <w:tcBorders>
              <w:top w:val="nil"/>
              <w:left w:val="nil"/>
              <w:bottom w:val="single" w:color="000000" w:sz="8" w:space="0"/>
              <w:right w:val="single" w:color="000000" w:sz="8" w:space="0"/>
            </w:tcBorders>
            <w:shd w:val="clear" w:color="auto" w:fill="auto"/>
            <w:vAlign w:val="center"/>
          </w:tcPr>
          <w:p w14:paraId="60C8FD04">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土壤速测仪（温湿度+电导率+PH+氮磷钾）</w:t>
            </w:r>
          </w:p>
        </w:tc>
        <w:tc>
          <w:tcPr>
            <w:tcW w:w="785" w:type="pct"/>
            <w:tcBorders>
              <w:top w:val="nil"/>
              <w:left w:val="nil"/>
              <w:bottom w:val="single" w:color="000000" w:sz="8" w:space="0"/>
              <w:right w:val="single" w:color="000000" w:sz="8" w:space="0"/>
            </w:tcBorders>
            <w:shd w:val="clear" w:color="auto" w:fill="auto"/>
            <w:noWrap/>
            <w:vAlign w:val="center"/>
          </w:tcPr>
          <w:p w14:paraId="1FED176A">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6</w:t>
            </w:r>
          </w:p>
        </w:tc>
        <w:tc>
          <w:tcPr>
            <w:tcW w:w="827" w:type="pct"/>
            <w:tcBorders>
              <w:top w:val="nil"/>
              <w:left w:val="nil"/>
              <w:bottom w:val="single" w:color="000000" w:sz="8" w:space="0"/>
              <w:right w:val="single" w:color="000000" w:sz="8" w:space="0"/>
            </w:tcBorders>
            <w:shd w:val="clear" w:color="auto" w:fill="auto"/>
            <w:noWrap/>
            <w:vAlign w:val="center"/>
          </w:tcPr>
          <w:p w14:paraId="3B9AEB8D">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套</w:t>
            </w:r>
          </w:p>
        </w:tc>
        <w:tc>
          <w:tcPr>
            <w:tcW w:w="1110" w:type="pct"/>
            <w:tcBorders>
              <w:top w:val="nil"/>
              <w:left w:val="nil"/>
              <w:bottom w:val="single" w:color="000000" w:sz="8" w:space="0"/>
              <w:right w:val="single" w:color="000000" w:sz="8" w:space="0"/>
            </w:tcBorders>
            <w:shd w:val="clear" w:color="auto" w:fill="auto"/>
            <w:noWrap/>
            <w:vAlign w:val="center"/>
          </w:tcPr>
          <w:p w14:paraId="3E5C5E55">
            <w:pPr>
              <w:spacing w:line="360" w:lineRule="auto"/>
              <w:jc w:val="center"/>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0.2</w:t>
            </w:r>
          </w:p>
        </w:tc>
      </w:tr>
    </w:tbl>
    <w:p w14:paraId="24DDCAA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注：①本项目共划分为1个标段，各投标人需对项目进行整体投标，不得缺项漏项，否则作否决投标处理。</w:t>
      </w:r>
    </w:p>
    <w:p w14:paraId="220398CA">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②本次招标不允许进口产品投标。进口产品是指通过中国海关报关验放进入中国境内且产自关境外的产品。</w:t>
      </w:r>
    </w:p>
    <w:p w14:paraId="4B063792">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bidi="ar"/>
        </w:rPr>
        <w:t>合同履行期限：</w:t>
      </w:r>
      <w:r>
        <w:rPr>
          <w:rFonts w:hint="eastAsia" w:ascii="宋体" w:hAnsi="宋体"/>
          <w:color w:val="auto"/>
          <w:sz w:val="24"/>
          <w:szCs w:val="24"/>
          <w:highlight w:val="none"/>
          <w:lang w:eastAsia="zh-CN"/>
        </w:rPr>
        <w:t>合同生效后20个日历天，完成设备安装、调试、试运行、培训和验收。</w:t>
      </w:r>
    </w:p>
    <w:p w14:paraId="336C3133">
      <w:pPr>
        <w:widowControl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kern w:val="2"/>
          <w:sz w:val="24"/>
          <w:szCs w:val="24"/>
          <w:highlight w:val="none"/>
          <w:lang w:bidi="ar"/>
        </w:rPr>
        <w:t>本项目不接受联合体投标。</w:t>
      </w:r>
    </w:p>
    <w:p w14:paraId="58A84FC9">
      <w:pPr>
        <w:pStyle w:val="3"/>
        <w:widowControl/>
        <w:spacing w:before="0" w:after="0" w:line="360" w:lineRule="auto"/>
        <w:rPr>
          <w:rFonts w:ascii="宋体" w:hAnsi="宋体" w:eastAsia="宋体" w:cs="宋体"/>
          <w:bCs w:val="0"/>
          <w:color w:val="auto"/>
          <w:sz w:val="24"/>
          <w:szCs w:val="24"/>
          <w:highlight w:val="none"/>
        </w:rPr>
      </w:pPr>
      <w:bookmarkStart w:id="10" w:name="_Toc35393791"/>
      <w:bookmarkStart w:id="11" w:name="_Toc12972"/>
      <w:bookmarkStart w:id="12" w:name="_Toc28359003"/>
      <w:bookmarkStart w:id="13" w:name="_Toc28359080"/>
      <w:bookmarkStart w:id="14" w:name="_Toc35393622"/>
      <w:bookmarkStart w:id="15" w:name="_Toc2051"/>
      <w:bookmarkStart w:id="16" w:name="_Toc28393"/>
      <w:r>
        <w:rPr>
          <w:rFonts w:hint="eastAsia" w:ascii="宋体" w:hAnsi="宋体" w:eastAsia="宋体" w:cs="宋体"/>
          <w:bCs w:val="0"/>
          <w:color w:val="auto"/>
          <w:sz w:val="24"/>
          <w:szCs w:val="24"/>
          <w:highlight w:val="none"/>
        </w:rPr>
        <w:t>二、</w:t>
      </w:r>
      <w:bookmarkEnd w:id="10"/>
      <w:bookmarkEnd w:id="11"/>
      <w:bookmarkEnd w:id="12"/>
      <w:bookmarkEnd w:id="13"/>
      <w:bookmarkEnd w:id="14"/>
      <w:bookmarkEnd w:id="15"/>
      <w:r>
        <w:rPr>
          <w:rFonts w:hint="eastAsia" w:ascii="宋体" w:hAnsi="宋体" w:eastAsia="宋体" w:cs="宋体"/>
          <w:bCs w:val="0"/>
          <w:color w:val="auto"/>
          <w:sz w:val="24"/>
          <w:szCs w:val="24"/>
          <w:highlight w:val="none"/>
        </w:rPr>
        <w:t>申请人的资格要求</w:t>
      </w:r>
      <w:bookmarkEnd w:id="16"/>
    </w:p>
    <w:p w14:paraId="4C09BF31">
      <w:pPr>
        <w:spacing w:line="360" w:lineRule="auto"/>
        <w:ind w:firstLine="480" w:firstLineChars="200"/>
        <w:rPr>
          <w:rFonts w:ascii="宋体" w:hAnsi="宋体" w:cs="宋体"/>
          <w:color w:val="auto"/>
          <w:sz w:val="24"/>
          <w:szCs w:val="24"/>
          <w:highlight w:val="none"/>
        </w:rPr>
      </w:pPr>
      <w:bookmarkStart w:id="17" w:name="_Toc28359004"/>
      <w:bookmarkStart w:id="18" w:name="_Toc28359081"/>
      <w:r>
        <w:rPr>
          <w:rFonts w:hint="eastAsia" w:ascii="宋体" w:hAnsi="宋体" w:cs="宋体"/>
          <w:color w:val="auto"/>
          <w:sz w:val="24"/>
          <w:szCs w:val="24"/>
          <w:highlight w:val="none"/>
        </w:rPr>
        <w:t>1.满足《中华人民共和国政府采购法》第二十二条规定；</w:t>
      </w:r>
    </w:p>
    <w:p w14:paraId="2CF8873B">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1.1具有独立承担民事责任的能力。提供法人或者其他组织的营业执照等证明文件。</w:t>
      </w:r>
    </w:p>
    <w:p w14:paraId="5568A066">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 xml:space="preserve">1.2具有良好的商业信誉和健全的财务会计制度。投标人须提供财务状况报告，内容可为以下两者之一： </w:t>
      </w:r>
    </w:p>
    <w:p w14:paraId="29DE4B36">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①提供2023年至今任意一年经审计的财务报告（包括资产负债表、利润表、现金流量表、所有者权益变动表及其附注（执行小企业会计准则的可不提供所有者权益变动表）），新成立不满</w:t>
      </w:r>
      <w:r>
        <w:rPr>
          <w:rFonts w:hint="eastAsia" w:ascii="宋体" w:hAnsi="宋体" w:cs="宋体"/>
          <w:color w:val="auto"/>
          <w:kern w:val="2"/>
          <w:sz w:val="24"/>
          <w:szCs w:val="24"/>
          <w:highlight w:val="none"/>
          <w:u w:val="single"/>
          <w:lang w:bidi="ar"/>
        </w:rPr>
        <w:t>1</w:t>
      </w:r>
      <w:r>
        <w:rPr>
          <w:rFonts w:hint="eastAsia" w:ascii="宋体" w:hAnsi="宋体" w:cs="宋体"/>
          <w:color w:val="auto"/>
          <w:kern w:val="2"/>
          <w:sz w:val="24"/>
          <w:szCs w:val="24"/>
          <w:highlight w:val="none"/>
          <w:lang w:bidi="ar"/>
        </w:rPr>
        <w:t>年的投标人提供自成立至今的财务报表；</w:t>
      </w:r>
    </w:p>
    <w:p w14:paraId="4FF82E82">
      <w:pPr>
        <w:widowControl w:val="0"/>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②提供自投标文件提交截止时间前三个月内基本开户银行出具的资信证明。</w:t>
      </w:r>
    </w:p>
    <w:p w14:paraId="7F1D0D89">
      <w:pPr>
        <w:widowControl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kern w:val="2"/>
          <w:sz w:val="24"/>
          <w:szCs w:val="24"/>
          <w:highlight w:val="none"/>
          <w:lang w:bidi="ar"/>
        </w:rPr>
        <w:t>1.3具有履行合同所必需的设备和专业技术能力。提供具备履行合同所必需的设备和专业技术能力的证明材料。</w:t>
      </w:r>
    </w:p>
    <w:p w14:paraId="189D3895">
      <w:pPr>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1.4有依法缴纳税收和社会保障资金的良好记录。</w:t>
      </w:r>
      <w:r>
        <w:rPr>
          <w:rFonts w:hint="eastAsia" w:ascii="宋体" w:hAnsi="宋体" w:cs="宋体"/>
          <w:color w:val="auto"/>
          <w:sz w:val="24"/>
          <w:szCs w:val="24"/>
          <w:highlight w:val="none"/>
        </w:rPr>
        <w:t>提供2025年10月至今任意1个月依法缴纳税收和缴纳社会保障资金的证明（</w:t>
      </w:r>
      <w:r>
        <w:rPr>
          <w:rFonts w:hint="eastAsia" w:ascii="宋体" w:hAnsi="宋体" w:cs="宋体"/>
          <w:color w:val="auto"/>
          <w:sz w:val="24"/>
          <w:szCs w:val="24"/>
          <w:highlight w:val="none"/>
          <w:lang w:eastAsia="zh-CN"/>
        </w:rPr>
        <w:t>成立未满1个月的提供成立以来的税收和社会保障资金缴纳凭据或情况说明</w:t>
      </w:r>
      <w:r>
        <w:rPr>
          <w:rFonts w:hint="eastAsia" w:ascii="宋体" w:hAnsi="宋体" w:cs="宋体"/>
          <w:color w:val="auto"/>
          <w:sz w:val="24"/>
          <w:szCs w:val="24"/>
          <w:highlight w:val="none"/>
        </w:rPr>
        <w:t>；依法免税或不需要缴纳社会保障资金的投标人，应提供相应文件证明其依法免税或不需要缴纳社会保障资金）。</w:t>
      </w:r>
    </w:p>
    <w:p w14:paraId="629070B0">
      <w:pPr>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rPr>
        <w:t>1.5参加政府采购活动前三年内，在经营活动中没有重大违法记录。提供参加政府采购活动前三年内在经营活动中没有重大违法记录的书面声明。</w:t>
      </w:r>
    </w:p>
    <w:p w14:paraId="5A3FF17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1.6法律、行政法规规定的其他条件。</w:t>
      </w:r>
    </w:p>
    <w:p w14:paraId="62205BA4">
      <w:pPr>
        <w:pStyle w:val="2"/>
        <w:ind w:firstLine="480"/>
        <w:rPr>
          <w:rFonts w:ascii="宋体" w:hAnsi="宋体" w:cs="宋体"/>
          <w:color w:val="auto"/>
          <w:kern w:val="0"/>
          <w:sz w:val="24"/>
          <w:highlight w:val="none"/>
        </w:rPr>
      </w:pPr>
      <w:r>
        <w:rPr>
          <w:rFonts w:hint="eastAsia" w:ascii="宋体" w:hAnsi="宋体" w:cs="宋体"/>
          <w:color w:val="auto"/>
          <w:kern w:val="0"/>
          <w:sz w:val="24"/>
          <w:highlight w:val="none"/>
        </w:rPr>
        <w:t>1.6.1单位负责人为同一人或者存在直接控股、管理关系的不同供应商，不得参加同一合同项下的政府采购活动。</w:t>
      </w:r>
    </w:p>
    <w:p w14:paraId="0E689FDD">
      <w:pPr>
        <w:pStyle w:val="2"/>
        <w:tabs>
          <w:tab w:val="left" w:pos="5250"/>
        </w:tabs>
        <w:ind w:firstLine="480"/>
        <w:rPr>
          <w:rFonts w:ascii="宋体" w:hAnsi="宋体" w:cs="宋体"/>
          <w:color w:val="auto"/>
          <w:kern w:val="0"/>
          <w:sz w:val="24"/>
          <w:highlight w:val="none"/>
        </w:rPr>
      </w:pPr>
      <w:r>
        <w:rPr>
          <w:rFonts w:hint="eastAsia" w:ascii="宋体" w:hAnsi="宋体" w:cs="宋体"/>
          <w:color w:val="auto"/>
          <w:kern w:val="0"/>
          <w:sz w:val="24"/>
          <w:highlight w:val="none"/>
        </w:rPr>
        <w:t>为采购项目提供整体设计、规范编制或者项目管理、监理、检测等服务的供应商，不得再参加该采购项目的其他采购活动。</w:t>
      </w:r>
    </w:p>
    <w:p w14:paraId="5EC9895F">
      <w:pPr>
        <w:pStyle w:val="2"/>
        <w:ind w:firstLine="480"/>
        <w:rPr>
          <w:rFonts w:ascii="宋体" w:hAnsi="宋体" w:cs="宋体"/>
          <w:color w:val="auto"/>
          <w:kern w:val="0"/>
          <w:sz w:val="24"/>
          <w:highlight w:val="none"/>
        </w:rPr>
      </w:pPr>
      <w:r>
        <w:rPr>
          <w:rFonts w:hint="eastAsia" w:ascii="宋体" w:hAnsi="宋体" w:cs="宋体"/>
          <w:color w:val="auto"/>
          <w:kern w:val="0"/>
          <w:sz w:val="24"/>
          <w:highlight w:val="none"/>
        </w:rPr>
        <w:t>1.6.2投标人应在“信用中国”网站（www.creditchina.gov.cn）未被列入失信被执行人记录、重大税收违法失信主体且在中国政府采购网（www.ccgp.gov.cn）没有政府采购严重违法失信行为记录。</w:t>
      </w:r>
    </w:p>
    <w:p w14:paraId="74A7E22B">
      <w:pPr>
        <w:pStyle w:val="2"/>
        <w:ind w:firstLine="480"/>
        <w:rPr>
          <w:rFonts w:ascii="宋体" w:hAnsi="宋体" w:cs="宋体"/>
          <w:color w:val="auto"/>
          <w:kern w:val="0"/>
          <w:sz w:val="24"/>
          <w:highlight w:val="none"/>
        </w:rPr>
      </w:pPr>
      <w:r>
        <w:rPr>
          <w:rFonts w:hint="eastAsia" w:ascii="宋体" w:hAnsi="宋体" w:cs="宋体"/>
          <w:color w:val="auto"/>
          <w:kern w:val="0"/>
          <w:sz w:val="24"/>
          <w:highlight w:val="none"/>
        </w:rPr>
        <w:t>2.落实政府采购政策需满足的资格要求：本项目为非专门面向中小企业采购的项目。</w:t>
      </w:r>
    </w:p>
    <w:p w14:paraId="77BEDCA9">
      <w:pPr>
        <w:pStyle w:val="2"/>
        <w:ind w:firstLine="480"/>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3.本项目的特定资格要求：本项目不接受联合体投标</w:t>
      </w:r>
      <w:r>
        <w:rPr>
          <w:rFonts w:hint="eastAsia" w:ascii="宋体" w:hAnsi="宋体" w:cs="宋体"/>
          <w:color w:val="auto"/>
          <w:kern w:val="0"/>
          <w:sz w:val="24"/>
          <w:highlight w:val="none"/>
          <w:lang w:eastAsia="zh-CN"/>
        </w:rPr>
        <w:t>。</w:t>
      </w:r>
    </w:p>
    <w:p w14:paraId="385291A5">
      <w:pPr>
        <w:pStyle w:val="3"/>
        <w:widowControl/>
        <w:spacing w:before="0" w:after="0" w:line="360" w:lineRule="auto"/>
        <w:rPr>
          <w:rFonts w:ascii="宋体" w:hAnsi="宋体" w:eastAsia="宋体" w:cs="宋体"/>
          <w:bCs w:val="0"/>
          <w:color w:val="auto"/>
          <w:sz w:val="24"/>
          <w:szCs w:val="24"/>
          <w:highlight w:val="none"/>
        </w:rPr>
      </w:pPr>
      <w:bookmarkStart w:id="19" w:name="_Toc26678"/>
      <w:bookmarkStart w:id="20" w:name="_Toc21827"/>
      <w:bookmarkStart w:id="21" w:name="_Toc29745"/>
      <w:bookmarkStart w:id="22" w:name="_Toc35393623"/>
      <w:bookmarkStart w:id="23" w:name="_Toc35393792"/>
      <w:r>
        <w:rPr>
          <w:rFonts w:hint="eastAsia" w:ascii="宋体" w:hAnsi="宋体" w:eastAsia="宋体" w:cs="宋体"/>
          <w:bCs w:val="0"/>
          <w:color w:val="auto"/>
          <w:sz w:val="24"/>
          <w:szCs w:val="24"/>
          <w:highlight w:val="none"/>
        </w:rPr>
        <w:t>三、获取招标文件</w:t>
      </w:r>
      <w:bookmarkEnd w:id="17"/>
      <w:bookmarkEnd w:id="18"/>
      <w:bookmarkEnd w:id="19"/>
      <w:bookmarkEnd w:id="20"/>
      <w:bookmarkEnd w:id="21"/>
      <w:bookmarkEnd w:id="22"/>
      <w:bookmarkEnd w:id="23"/>
      <w:r>
        <w:rPr>
          <w:rFonts w:hint="eastAsia" w:ascii="宋体" w:hAnsi="宋体" w:eastAsia="宋体" w:cs="宋体"/>
          <w:bCs w:val="0"/>
          <w:color w:val="auto"/>
          <w:sz w:val="24"/>
          <w:szCs w:val="24"/>
          <w:highlight w:val="none"/>
        </w:rPr>
        <w:t xml:space="preserve"> </w:t>
      </w:r>
    </w:p>
    <w:p w14:paraId="52AA3817">
      <w:pPr>
        <w:widowControl w:val="0"/>
        <w:spacing w:line="360" w:lineRule="auto"/>
        <w:ind w:firstLine="54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时间：</w:t>
      </w:r>
      <w:r>
        <w:rPr>
          <w:rFonts w:hint="eastAsia" w:ascii="宋体" w:hAnsi="宋体" w:cs="宋体"/>
          <w:color w:val="auto"/>
          <w:kern w:val="2"/>
          <w:sz w:val="24"/>
          <w:szCs w:val="24"/>
          <w:highlight w:val="none"/>
          <w:u w:val="single"/>
        </w:rPr>
        <w:t>2026年</w:t>
      </w:r>
      <w:r>
        <w:rPr>
          <w:rFonts w:hint="eastAsia" w:ascii="宋体" w:hAnsi="宋体" w:cs="宋体"/>
          <w:color w:val="auto"/>
          <w:kern w:val="2"/>
          <w:sz w:val="24"/>
          <w:szCs w:val="24"/>
          <w:highlight w:val="none"/>
          <w:u w:val="single"/>
          <w:lang w:val="en-US" w:eastAsia="zh-CN"/>
        </w:rPr>
        <w:t>5</w:t>
      </w:r>
      <w:r>
        <w:rPr>
          <w:rFonts w:hint="eastAsia" w:ascii="宋体" w:hAnsi="宋体" w:cs="宋体"/>
          <w:color w:val="auto"/>
          <w:kern w:val="2"/>
          <w:sz w:val="24"/>
          <w:szCs w:val="24"/>
          <w:highlight w:val="none"/>
          <w:u w:val="single"/>
        </w:rPr>
        <w:t>月</w:t>
      </w:r>
      <w:r>
        <w:rPr>
          <w:rFonts w:hint="eastAsia" w:ascii="宋体" w:hAnsi="宋体" w:cs="宋体"/>
          <w:color w:val="auto"/>
          <w:kern w:val="2"/>
          <w:sz w:val="24"/>
          <w:szCs w:val="24"/>
          <w:highlight w:val="none"/>
          <w:u w:val="single"/>
          <w:lang w:val="en-US" w:eastAsia="zh-CN"/>
        </w:rPr>
        <w:t>15</w:t>
      </w:r>
      <w:r>
        <w:rPr>
          <w:rFonts w:hint="eastAsia" w:ascii="宋体" w:hAnsi="宋体" w:cs="宋体"/>
          <w:color w:val="auto"/>
          <w:kern w:val="2"/>
          <w:sz w:val="24"/>
          <w:szCs w:val="24"/>
          <w:highlight w:val="none"/>
          <w:u w:val="single"/>
        </w:rPr>
        <w:t>日</w:t>
      </w:r>
      <w:r>
        <w:rPr>
          <w:rFonts w:hint="eastAsia" w:ascii="宋体" w:hAnsi="宋体" w:cs="宋体"/>
          <w:color w:val="auto"/>
          <w:kern w:val="2"/>
          <w:sz w:val="24"/>
          <w:szCs w:val="24"/>
          <w:highlight w:val="none"/>
        </w:rPr>
        <w:t>至</w:t>
      </w:r>
      <w:r>
        <w:rPr>
          <w:rFonts w:hint="eastAsia" w:ascii="宋体" w:hAnsi="宋体" w:cs="宋体"/>
          <w:color w:val="auto"/>
          <w:kern w:val="2"/>
          <w:sz w:val="24"/>
          <w:szCs w:val="24"/>
          <w:highlight w:val="none"/>
          <w:u w:val="single"/>
        </w:rPr>
        <w:t>2026年</w:t>
      </w:r>
      <w:r>
        <w:rPr>
          <w:rFonts w:hint="eastAsia" w:ascii="宋体" w:hAnsi="宋体" w:cs="宋体"/>
          <w:color w:val="auto"/>
          <w:kern w:val="2"/>
          <w:sz w:val="24"/>
          <w:szCs w:val="24"/>
          <w:highlight w:val="none"/>
          <w:u w:val="single"/>
          <w:lang w:val="en-US" w:eastAsia="zh-CN"/>
        </w:rPr>
        <w:t>5</w:t>
      </w:r>
      <w:r>
        <w:rPr>
          <w:rFonts w:hint="eastAsia" w:ascii="宋体" w:hAnsi="宋体" w:cs="宋体"/>
          <w:color w:val="auto"/>
          <w:kern w:val="2"/>
          <w:sz w:val="24"/>
          <w:szCs w:val="24"/>
          <w:highlight w:val="none"/>
          <w:u w:val="single"/>
        </w:rPr>
        <w:t>月</w:t>
      </w:r>
      <w:r>
        <w:rPr>
          <w:rFonts w:hint="eastAsia" w:ascii="宋体" w:hAnsi="宋体" w:cs="宋体"/>
          <w:color w:val="auto"/>
          <w:kern w:val="2"/>
          <w:sz w:val="24"/>
          <w:szCs w:val="24"/>
          <w:highlight w:val="none"/>
          <w:u w:val="single"/>
          <w:lang w:val="en-US" w:eastAsia="zh-CN"/>
        </w:rPr>
        <w:t>22</w:t>
      </w:r>
      <w:r>
        <w:rPr>
          <w:rFonts w:hint="eastAsia" w:ascii="宋体" w:hAnsi="宋体" w:cs="宋体"/>
          <w:color w:val="auto"/>
          <w:kern w:val="2"/>
          <w:sz w:val="24"/>
          <w:szCs w:val="24"/>
          <w:highlight w:val="none"/>
          <w:u w:val="single"/>
        </w:rPr>
        <w:t>日</w:t>
      </w:r>
      <w:r>
        <w:rPr>
          <w:rFonts w:hint="eastAsia" w:ascii="宋体" w:hAnsi="宋体" w:cs="宋体"/>
          <w:color w:val="auto"/>
          <w:kern w:val="2"/>
          <w:sz w:val="24"/>
          <w:szCs w:val="24"/>
          <w:highlight w:val="none"/>
        </w:rPr>
        <w:t>，每天上午</w:t>
      </w:r>
      <w:r>
        <w:rPr>
          <w:rFonts w:hint="eastAsia" w:ascii="宋体" w:hAnsi="宋体" w:cs="宋体"/>
          <w:color w:val="auto"/>
          <w:kern w:val="2"/>
          <w:sz w:val="24"/>
          <w:szCs w:val="24"/>
          <w:highlight w:val="none"/>
          <w:u w:val="single"/>
        </w:rPr>
        <w:t>06:00</w:t>
      </w:r>
      <w:r>
        <w:rPr>
          <w:rFonts w:hint="eastAsia" w:ascii="宋体" w:hAnsi="宋体" w:cs="宋体"/>
          <w:color w:val="auto"/>
          <w:kern w:val="2"/>
          <w:sz w:val="24"/>
          <w:szCs w:val="24"/>
          <w:highlight w:val="none"/>
        </w:rPr>
        <w:t>至</w:t>
      </w:r>
      <w:r>
        <w:rPr>
          <w:rFonts w:hint="eastAsia" w:ascii="宋体" w:hAnsi="宋体" w:cs="宋体"/>
          <w:color w:val="auto"/>
          <w:kern w:val="2"/>
          <w:sz w:val="24"/>
          <w:szCs w:val="24"/>
          <w:highlight w:val="none"/>
          <w:u w:val="single"/>
        </w:rPr>
        <w:t>12:00</w:t>
      </w:r>
      <w:r>
        <w:rPr>
          <w:rFonts w:hint="eastAsia" w:ascii="宋体" w:hAnsi="宋体" w:cs="宋体"/>
          <w:color w:val="auto"/>
          <w:kern w:val="2"/>
          <w:sz w:val="24"/>
          <w:szCs w:val="24"/>
          <w:highlight w:val="none"/>
        </w:rPr>
        <w:t>，下午</w:t>
      </w:r>
      <w:r>
        <w:rPr>
          <w:rFonts w:hint="eastAsia" w:ascii="宋体" w:hAnsi="宋体" w:cs="宋体"/>
          <w:color w:val="auto"/>
          <w:kern w:val="2"/>
          <w:sz w:val="24"/>
          <w:szCs w:val="24"/>
          <w:highlight w:val="none"/>
          <w:u w:val="single"/>
        </w:rPr>
        <w:t>12:00</w:t>
      </w:r>
      <w:r>
        <w:rPr>
          <w:rFonts w:hint="eastAsia" w:ascii="宋体" w:hAnsi="宋体" w:cs="宋体"/>
          <w:color w:val="auto"/>
          <w:kern w:val="2"/>
          <w:sz w:val="24"/>
          <w:szCs w:val="24"/>
          <w:highlight w:val="none"/>
        </w:rPr>
        <w:t>至</w:t>
      </w:r>
      <w:r>
        <w:rPr>
          <w:rFonts w:hint="eastAsia" w:ascii="宋体" w:hAnsi="宋体" w:cs="宋体"/>
          <w:color w:val="auto"/>
          <w:kern w:val="2"/>
          <w:sz w:val="24"/>
          <w:szCs w:val="24"/>
          <w:highlight w:val="none"/>
          <w:u w:val="single"/>
        </w:rPr>
        <w:t>23:59</w:t>
      </w:r>
      <w:r>
        <w:rPr>
          <w:rFonts w:hint="eastAsia" w:ascii="宋体" w:hAnsi="宋体" w:cs="宋体"/>
          <w:color w:val="auto"/>
          <w:kern w:val="2"/>
          <w:sz w:val="24"/>
          <w:szCs w:val="24"/>
          <w:highlight w:val="none"/>
        </w:rPr>
        <w:t>（北京时间，法定节假日除外）</w:t>
      </w:r>
    </w:p>
    <w:p w14:paraId="5D905A51">
      <w:pPr>
        <w:widowControl w:val="0"/>
        <w:spacing w:line="360" w:lineRule="auto"/>
        <w:ind w:firstLine="54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地点：云南省政府采购电子交易平台（政采云https://www.zcygov.cn/）</w:t>
      </w:r>
    </w:p>
    <w:p w14:paraId="606B7069">
      <w:pPr>
        <w:widowControl w:val="0"/>
        <w:spacing w:line="360" w:lineRule="auto"/>
        <w:ind w:firstLine="54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方式：1.凡有意参加投标者，须持与云南省政府采购电子交易平台（政采云）兼容的数字证书（CA），在平台绑定后，线上获取采购文件及其它采购资料。CA申领链接：https://middle.zcygov.cn/ca/apply/list?_app_=zcy.sys</w:t>
      </w:r>
    </w:p>
    <w:p w14:paraId="1890EF24">
      <w:pPr>
        <w:widowControl w:val="0"/>
        <w:spacing w:line="360" w:lineRule="auto"/>
        <w:ind w:firstLine="54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2.按上述要求获取文件的供应商视为合法获取了本项目采购文件，具备本项目的投标资格。</w:t>
      </w:r>
    </w:p>
    <w:p w14:paraId="5D609DC8">
      <w:pPr>
        <w:widowControl w:val="0"/>
        <w:spacing w:line="360" w:lineRule="auto"/>
        <w:ind w:firstLine="540"/>
        <w:jc w:val="both"/>
        <w:rPr>
          <w:rFonts w:hint="eastAsia" w:ascii="宋体" w:hAnsi="宋体" w:cs="宋体"/>
          <w:color w:val="auto"/>
          <w:sz w:val="24"/>
          <w:szCs w:val="24"/>
          <w:highlight w:val="none"/>
        </w:rPr>
      </w:pPr>
      <w:r>
        <w:rPr>
          <w:rFonts w:hint="eastAsia" w:ascii="宋体" w:hAnsi="宋体" w:cs="宋体"/>
          <w:color w:val="auto"/>
          <w:kern w:val="2"/>
          <w:sz w:val="24"/>
          <w:szCs w:val="24"/>
          <w:highlight w:val="none"/>
        </w:rPr>
        <w:t>售价：0元</w:t>
      </w:r>
    </w:p>
    <w:p w14:paraId="3C6067FC">
      <w:pPr>
        <w:widowControl w:val="0"/>
        <w:spacing w:line="360" w:lineRule="auto"/>
        <w:ind w:firstLine="540"/>
        <w:jc w:val="both"/>
        <w:rPr>
          <w:rFonts w:ascii="宋体" w:hAnsi="宋体" w:cs="宋体"/>
          <w:color w:val="auto"/>
          <w:sz w:val="24"/>
          <w:szCs w:val="24"/>
          <w:highlight w:val="none"/>
        </w:rPr>
      </w:pPr>
      <w:r>
        <w:rPr>
          <w:rFonts w:hint="eastAsia" w:ascii="宋体" w:hAnsi="宋体" w:cs="宋体"/>
          <w:color w:val="auto"/>
          <w:kern w:val="2"/>
          <w:sz w:val="24"/>
          <w:szCs w:val="24"/>
          <w:highlight w:val="none"/>
        </w:rPr>
        <w:t>售价：0元</w:t>
      </w:r>
    </w:p>
    <w:p w14:paraId="3C89AEE3">
      <w:pPr>
        <w:pStyle w:val="3"/>
        <w:widowControl/>
        <w:spacing w:before="0" w:after="0" w:line="360" w:lineRule="auto"/>
        <w:rPr>
          <w:rFonts w:hint="eastAsia" w:ascii="宋体" w:hAnsi="宋体" w:eastAsia="宋体" w:cs="宋体"/>
          <w:bCs w:val="0"/>
          <w:color w:val="auto"/>
          <w:sz w:val="24"/>
          <w:szCs w:val="24"/>
          <w:highlight w:val="none"/>
        </w:rPr>
      </w:pPr>
      <w:bookmarkStart w:id="24" w:name="_Toc28359082"/>
      <w:bookmarkStart w:id="25" w:name="_Toc28359005"/>
      <w:bookmarkStart w:id="26" w:name="_Toc35393624"/>
      <w:bookmarkStart w:id="27" w:name="_Toc24645"/>
      <w:bookmarkStart w:id="28" w:name="_Toc35393793"/>
      <w:bookmarkStart w:id="29" w:name="_Toc17921"/>
      <w:bookmarkStart w:id="30" w:name="_Toc30316"/>
      <w:bookmarkStart w:id="31" w:name="_Toc8332"/>
      <w:bookmarkStart w:id="32" w:name="_Toc21084"/>
      <w:bookmarkStart w:id="33" w:name="_Toc26119"/>
      <w:bookmarkStart w:id="34" w:name="_Toc28359007"/>
      <w:bookmarkStart w:id="35" w:name="_Toc35393625"/>
      <w:bookmarkStart w:id="36" w:name="_Toc35393794"/>
      <w:bookmarkStart w:id="37" w:name="_Toc13971"/>
      <w:bookmarkStart w:id="38" w:name="_Toc27369"/>
      <w:bookmarkStart w:id="39" w:name="_Toc28359084"/>
      <w:r>
        <w:rPr>
          <w:rFonts w:hint="eastAsia" w:ascii="宋体" w:hAnsi="宋体" w:eastAsia="宋体" w:cs="宋体"/>
          <w:bCs w:val="0"/>
          <w:color w:val="auto"/>
          <w:sz w:val="24"/>
          <w:szCs w:val="24"/>
          <w:highlight w:val="none"/>
        </w:rPr>
        <w:t>四、提交投标文件</w:t>
      </w:r>
      <w:bookmarkEnd w:id="24"/>
      <w:bookmarkEnd w:id="25"/>
      <w:r>
        <w:rPr>
          <w:rFonts w:hint="eastAsia" w:ascii="宋体" w:hAnsi="宋体" w:eastAsia="宋体" w:cs="宋体"/>
          <w:bCs w:val="0"/>
          <w:color w:val="auto"/>
          <w:sz w:val="24"/>
          <w:szCs w:val="24"/>
          <w:highlight w:val="none"/>
        </w:rPr>
        <w:t>截止时间、开标时间和地点</w:t>
      </w:r>
      <w:bookmarkEnd w:id="26"/>
      <w:bookmarkEnd w:id="27"/>
      <w:bookmarkEnd w:id="28"/>
      <w:bookmarkEnd w:id="29"/>
      <w:bookmarkEnd w:id="30"/>
      <w:bookmarkEnd w:id="31"/>
      <w:bookmarkEnd w:id="32"/>
      <w:bookmarkEnd w:id="33"/>
    </w:p>
    <w:p w14:paraId="1BB19DD1">
      <w:pPr>
        <w:widowControl w:val="0"/>
        <w:spacing w:line="360" w:lineRule="auto"/>
        <w:ind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提交投标文件截止时间：2026年</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14</w:t>
      </w:r>
      <w:r>
        <w:rPr>
          <w:rFonts w:hint="eastAsia" w:ascii="宋体" w:hAnsi="宋体" w:eastAsia="宋体" w:cs="宋体"/>
          <w:color w:val="auto"/>
          <w:sz w:val="24"/>
          <w:highlight w:val="none"/>
        </w:rPr>
        <w:t>点</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rPr>
        <w:t>分（北京时间）</w:t>
      </w:r>
    </w:p>
    <w:p w14:paraId="68A4381A">
      <w:pPr>
        <w:widowControl w:val="0"/>
        <w:spacing w:line="360" w:lineRule="auto"/>
        <w:ind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投标地点（网址）：请登录云南省政府采购电子交易平台（政采云）投标客户端投标</w:t>
      </w:r>
    </w:p>
    <w:p w14:paraId="4D79A125">
      <w:pPr>
        <w:widowControl w:val="0"/>
        <w:spacing w:line="360" w:lineRule="auto"/>
        <w:ind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开标时间：</w:t>
      </w:r>
      <w:r>
        <w:rPr>
          <w:rFonts w:hint="eastAsia" w:ascii="宋体" w:hAnsi="宋体" w:eastAsia="宋体" w:cs="宋体"/>
          <w:color w:val="auto"/>
          <w:sz w:val="24"/>
          <w:highlight w:val="none"/>
          <w:lang w:eastAsia="zh-CN"/>
        </w:rPr>
        <w:t>2026年</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14</w:t>
      </w:r>
      <w:r>
        <w:rPr>
          <w:rFonts w:hint="eastAsia" w:ascii="宋体" w:hAnsi="宋体" w:eastAsia="宋体" w:cs="宋体"/>
          <w:color w:val="auto"/>
          <w:sz w:val="24"/>
          <w:highlight w:val="none"/>
        </w:rPr>
        <w:t>点</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rPr>
        <w:t>分</w:t>
      </w:r>
    </w:p>
    <w:p w14:paraId="1D7A5EA5">
      <w:pPr>
        <w:widowControl w:val="0"/>
        <w:spacing w:line="360" w:lineRule="auto"/>
        <w:ind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开标地点：云南省昆明市盘龙区联盟路与万宏路交汇处万宏嘉园沣苑（地块三）B座</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rPr>
        <w:t>楼（奥斯迪商务中心B座</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rPr>
        <w:t>楼）</w:t>
      </w:r>
      <w:r>
        <w:rPr>
          <w:rFonts w:hint="eastAsia" w:ascii="宋体" w:hAnsi="宋体" w:cs="宋体"/>
          <w:color w:val="auto"/>
          <w:sz w:val="24"/>
          <w:highlight w:val="none"/>
          <w:lang w:val="en-US" w:eastAsia="zh-CN"/>
        </w:rPr>
        <w:t>1510A</w:t>
      </w:r>
      <w:r>
        <w:rPr>
          <w:rFonts w:hint="eastAsia" w:ascii="宋体" w:hAnsi="宋体" w:eastAsia="宋体" w:cs="宋体"/>
          <w:color w:val="auto"/>
          <w:sz w:val="24"/>
          <w:highlight w:val="none"/>
          <w:lang w:val="en-US" w:eastAsia="zh-CN"/>
        </w:rPr>
        <w:t>会议室</w:t>
      </w:r>
      <w:r>
        <w:rPr>
          <w:rFonts w:hint="eastAsia" w:ascii="宋体" w:hAnsi="宋体" w:eastAsia="宋体" w:cs="宋体"/>
          <w:color w:val="auto"/>
          <w:sz w:val="24"/>
          <w:highlight w:val="none"/>
        </w:rPr>
        <w:t>。</w:t>
      </w:r>
    </w:p>
    <w:p w14:paraId="14CADACF">
      <w:pPr>
        <w:pStyle w:val="3"/>
        <w:widowControl/>
        <w:spacing w:before="0" w:after="0" w:line="360" w:lineRule="auto"/>
        <w:rPr>
          <w:rFonts w:ascii="宋体" w:hAnsi="宋体" w:eastAsia="宋体" w:cs="宋体"/>
          <w:bCs w:val="0"/>
          <w:color w:val="auto"/>
          <w:sz w:val="24"/>
          <w:szCs w:val="24"/>
          <w:highlight w:val="none"/>
        </w:rPr>
      </w:pPr>
      <w:bookmarkStart w:id="40" w:name="_Toc32763"/>
      <w:r>
        <w:rPr>
          <w:rFonts w:hint="eastAsia" w:ascii="宋体" w:hAnsi="宋体" w:eastAsia="宋体" w:cs="宋体"/>
          <w:bCs w:val="0"/>
          <w:color w:val="auto"/>
          <w:sz w:val="24"/>
          <w:szCs w:val="24"/>
          <w:highlight w:val="none"/>
        </w:rPr>
        <w:t>五、公告期限</w:t>
      </w:r>
      <w:bookmarkEnd w:id="34"/>
      <w:bookmarkEnd w:id="35"/>
      <w:bookmarkEnd w:id="36"/>
      <w:bookmarkEnd w:id="37"/>
      <w:bookmarkEnd w:id="38"/>
      <w:bookmarkEnd w:id="39"/>
      <w:bookmarkEnd w:id="40"/>
    </w:p>
    <w:p w14:paraId="45390187">
      <w:pPr>
        <w:widowControl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bidi="ar"/>
        </w:rPr>
        <w:t>自本公告发布之日起5个工作日。</w:t>
      </w:r>
    </w:p>
    <w:p w14:paraId="36FC7913">
      <w:pPr>
        <w:pStyle w:val="3"/>
        <w:widowControl/>
        <w:spacing w:before="0" w:after="0" w:line="360" w:lineRule="auto"/>
        <w:rPr>
          <w:rFonts w:ascii="宋体" w:hAnsi="宋体" w:eastAsia="宋体" w:cs="宋体"/>
          <w:bCs w:val="0"/>
          <w:color w:val="auto"/>
          <w:sz w:val="24"/>
          <w:szCs w:val="24"/>
          <w:highlight w:val="none"/>
        </w:rPr>
      </w:pPr>
      <w:bookmarkStart w:id="41" w:name="_Toc1706"/>
      <w:bookmarkStart w:id="42" w:name="_Toc35393795"/>
      <w:bookmarkStart w:id="43" w:name="_Toc35393626"/>
      <w:bookmarkStart w:id="44" w:name="_Toc14132"/>
      <w:r>
        <w:rPr>
          <w:rFonts w:hint="eastAsia" w:ascii="宋体" w:hAnsi="宋体" w:eastAsia="宋体" w:cs="宋体"/>
          <w:bCs w:val="0"/>
          <w:color w:val="auto"/>
          <w:sz w:val="24"/>
          <w:szCs w:val="24"/>
          <w:highlight w:val="none"/>
        </w:rPr>
        <w:t>六、其他补充事宜</w:t>
      </w:r>
      <w:bookmarkEnd w:id="41"/>
      <w:bookmarkEnd w:id="42"/>
      <w:bookmarkEnd w:id="43"/>
      <w:bookmarkEnd w:id="44"/>
    </w:p>
    <w:p w14:paraId="0EBDB05D">
      <w:pPr>
        <w:widowControl w:val="0"/>
        <w:spacing w:line="360" w:lineRule="auto"/>
        <w:ind w:firstLine="480" w:firstLineChars="200"/>
        <w:rPr>
          <w:rFonts w:ascii="宋体" w:hAnsi="宋体" w:cs="宋体"/>
          <w:color w:val="auto"/>
          <w:sz w:val="24"/>
          <w:szCs w:val="24"/>
          <w:highlight w:val="none"/>
          <w:u w:val="single"/>
        </w:rPr>
      </w:pPr>
      <w:bookmarkStart w:id="45" w:name="_Toc35393796"/>
      <w:bookmarkStart w:id="46" w:name="_Toc28359085"/>
      <w:bookmarkStart w:id="47" w:name="_Toc28979"/>
      <w:bookmarkStart w:id="48" w:name="_Toc28359008"/>
      <w:bookmarkStart w:id="49" w:name="_Toc35393627"/>
      <w:r>
        <w:rPr>
          <w:rFonts w:hint="eastAsia" w:ascii="宋体" w:hAnsi="宋体" w:cs="宋体"/>
          <w:color w:val="auto"/>
          <w:sz w:val="24"/>
          <w:szCs w:val="24"/>
          <w:highlight w:val="none"/>
        </w:rPr>
        <w:t>1.开标方式：网上开标</w:t>
      </w:r>
    </w:p>
    <w:p w14:paraId="1E2386D3">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2.是否需要缴纳投标保证金：是</w:t>
      </w:r>
    </w:p>
    <w:p w14:paraId="53F8187B">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3.保证金缴纳金额：</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000元</w:t>
      </w:r>
    </w:p>
    <w:p w14:paraId="6FCFF9A0">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4.保证金缴纳方式：</w:t>
      </w:r>
    </w:p>
    <w:p w14:paraId="18A87241">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4.1支票、汇票、本票、保函、转账、网银、电汇等非现金形式</w:t>
      </w:r>
    </w:p>
    <w:p w14:paraId="1133D64C">
      <w:pPr>
        <w:widowControl w:val="0"/>
        <w:wordWrap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4.2为支持和促进中小企业发展，进一步发挥政府采购政策功能，鼓励投标人使用电子保险/保函替代投标、履约保证金，支持中标人基于成交项目进行合同融资。申请人可登录【云南省政府采购金融支撑服务平台】进行了解办理，或致电95763，如您有紧急需求的可联系13732226998(谢工)。直达链接:https://jinrong.zcygov.cn/luban/finance/yunnan"。</w:t>
      </w:r>
    </w:p>
    <w:p w14:paraId="0CB0DB4F">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5.保证金缴纳截止时间：</w:t>
      </w:r>
      <w:r>
        <w:rPr>
          <w:rFonts w:hint="eastAsia" w:ascii="宋体" w:hAnsi="宋体" w:cs="宋体"/>
          <w:color w:val="auto"/>
          <w:kern w:val="2"/>
          <w:sz w:val="24"/>
          <w:szCs w:val="24"/>
          <w:highlight w:val="none"/>
          <w:u w:val="single"/>
        </w:rPr>
        <w:t>2026年</w:t>
      </w:r>
      <w:r>
        <w:rPr>
          <w:rFonts w:hint="eastAsia" w:ascii="宋体" w:hAnsi="宋体" w:cs="宋体"/>
          <w:color w:val="auto"/>
          <w:kern w:val="2"/>
          <w:sz w:val="24"/>
          <w:szCs w:val="24"/>
          <w:highlight w:val="none"/>
          <w:u w:val="single"/>
          <w:lang w:val="en-US" w:eastAsia="zh-CN"/>
        </w:rPr>
        <w:t>6</w:t>
      </w:r>
      <w:r>
        <w:rPr>
          <w:rFonts w:hint="eastAsia" w:ascii="宋体" w:hAnsi="宋体" w:cs="宋体"/>
          <w:color w:val="auto"/>
          <w:kern w:val="2"/>
          <w:sz w:val="24"/>
          <w:szCs w:val="24"/>
          <w:highlight w:val="none"/>
          <w:u w:val="single"/>
        </w:rPr>
        <w:t>月</w:t>
      </w:r>
      <w:r>
        <w:rPr>
          <w:rFonts w:hint="eastAsia" w:ascii="宋体" w:hAnsi="宋体" w:cs="宋体"/>
          <w:color w:val="auto"/>
          <w:kern w:val="2"/>
          <w:sz w:val="24"/>
          <w:szCs w:val="24"/>
          <w:highlight w:val="none"/>
          <w:u w:val="single"/>
          <w:lang w:val="en-US" w:eastAsia="zh-CN"/>
        </w:rPr>
        <w:t>8</w:t>
      </w:r>
      <w:r>
        <w:rPr>
          <w:rFonts w:hint="eastAsia" w:ascii="宋体" w:hAnsi="宋体" w:cs="宋体"/>
          <w:color w:val="auto"/>
          <w:kern w:val="2"/>
          <w:sz w:val="24"/>
          <w:szCs w:val="24"/>
          <w:highlight w:val="none"/>
          <w:u w:val="single"/>
        </w:rPr>
        <w:t>日</w:t>
      </w:r>
      <w:r>
        <w:rPr>
          <w:rFonts w:hint="eastAsia" w:ascii="宋体" w:hAnsi="宋体" w:cs="宋体"/>
          <w:color w:val="auto"/>
          <w:kern w:val="2"/>
          <w:sz w:val="24"/>
          <w:szCs w:val="24"/>
          <w:highlight w:val="none"/>
          <w:u w:val="single"/>
          <w:lang w:val="en-US" w:eastAsia="zh-CN"/>
        </w:rPr>
        <w:t>14</w:t>
      </w:r>
      <w:r>
        <w:rPr>
          <w:rFonts w:hint="eastAsia" w:ascii="宋体" w:hAnsi="宋体" w:cs="宋体"/>
          <w:color w:val="auto"/>
          <w:kern w:val="2"/>
          <w:sz w:val="24"/>
          <w:szCs w:val="24"/>
          <w:highlight w:val="none"/>
          <w:u w:val="single"/>
        </w:rPr>
        <w:t>点30分</w:t>
      </w:r>
    </w:p>
    <w:p w14:paraId="77DA13ED">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6.其他：</w:t>
      </w:r>
    </w:p>
    <w:p w14:paraId="75EECADD">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6.1本次招标公告</w:t>
      </w:r>
      <w:r>
        <w:rPr>
          <w:rFonts w:hint="eastAsia" w:ascii="宋体" w:hAnsi="宋体" w:cs="宋体"/>
          <w:color w:val="auto"/>
          <w:sz w:val="24"/>
          <w:szCs w:val="24"/>
          <w:highlight w:val="none"/>
        </w:rPr>
        <w:t>在云南省政府采购网、</w:t>
      </w:r>
      <w:r>
        <w:rPr>
          <w:rFonts w:hint="eastAsia"/>
          <w:color w:val="auto"/>
          <w:sz w:val="24"/>
          <w:highlight w:val="none"/>
        </w:rPr>
        <w:t>云南林业职业技术学院官网</w:t>
      </w:r>
      <w:r>
        <w:rPr>
          <w:rFonts w:hint="eastAsia" w:ascii="宋体" w:hAnsi="宋体" w:cs="宋体"/>
          <w:color w:val="auto"/>
          <w:sz w:val="24"/>
          <w:szCs w:val="24"/>
          <w:highlight w:val="none"/>
        </w:rPr>
        <w:t>发布，公告内容和时间以云南省政府采购网、</w:t>
      </w:r>
      <w:r>
        <w:rPr>
          <w:rFonts w:hint="eastAsia"/>
          <w:color w:val="auto"/>
          <w:sz w:val="24"/>
          <w:highlight w:val="none"/>
        </w:rPr>
        <w:t>云南林业职业技术学院官网</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HYPERLINK "http://www.ynavc.com/main/news/word/55）发布的信息为准"</w:instrText>
      </w:r>
      <w:r>
        <w:rPr>
          <w:rFonts w:hint="eastAsia" w:ascii="宋体" w:hAnsi="宋体" w:cs="宋体"/>
          <w:color w:val="auto"/>
          <w:sz w:val="24"/>
          <w:szCs w:val="24"/>
          <w:highlight w:val="none"/>
        </w:rPr>
        <w:fldChar w:fldCharType="separate"/>
      </w:r>
      <w:r>
        <w:rPr>
          <w:rStyle w:val="8"/>
          <w:rFonts w:hint="eastAsia" w:ascii="宋体" w:hAnsi="宋体" w:cs="宋体"/>
          <w:color w:val="auto"/>
          <w:sz w:val="24"/>
          <w:szCs w:val="24"/>
          <w:highlight w:val="none"/>
        </w:rPr>
        <w:t>发布的信息为准</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 </w:t>
      </w:r>
    </w:p>
    <w:p w14:paraId="76FA95DB">
      <w:pPr>
        <w:widowControl w:val="0"/>
        <w:spacing w:line="360" w:lineRule="auto"/>
        <w:ind w:firstLine="540"/>
        <w:jc w:val="both"/>
        <w:rPr>
          <w:rFonts w:ascii="宋体" w:hAnsi="宋体" w:cs="宋体"/>
          <w:color w:val="auto"/>
          <w:sz w:val="24"/>
          <w:szCs w:val="24"/>
          <w:highlight w:val="none"/>
        </w:rPr>
      </w:pPr>
      <w:r>
        <w:rPr>
          <w:rFonts w:hint="eastAsia" w:ascii="宋体" w:hAnsi="宋体" w:cs="宋体"/>
          <w:color w:val="auto"/>
          <w:sz w:val="24"/>
          <w:szCs w:val="24"/>
          <w:highlight w:val="none"/>
        </w:rPr>
        <w:t>6.2本项目执行政府采购促进中小企业发展、支持监狱企业、促进残疾人就业、强制采购和优先采购节能、环保产品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支持本国产品</w:t>
      </w:r>
      <w:r>
        <w:rPr>
          <w:rFonts w:hint="eastAsia" w:ascii="宋体" w:hAnsi="宋体" w:cs="宋体"/>
          <w:color w:val="auto"/>
          <w:sz w:val="24"/>
          <w:szCs w:val="24"/>
          <w:highlight w:val="none"/>
        </w:rPr>
        <w:t>等政府采购政策。</w:t>
      </w:r>
    </w:p>
    <w:p w14:paraId="0653F34A">
      <w:pPr>
        <w:widowControl w:val="0"/>
        <w:spacing w:line="360" w:lineRule="auto"/>
        <w:ind w:firstLine="54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6.3获取招标文件的方式：有意参加投标的供应商需要在政采云平台办理数字证书（CA）。完成数字证书（CA）办理后，供应商需要在政采云平台绑定数字证书(CA)，并在平台上获取采购文件和其他相关采购资料。</w:t>
      </w:r>
    </w:p>
    <w:p w14:paraId="5DA913C1">
      <w:pPr>
        <w:widowControl w:val="0"/>
        <w:spacing w:line="360" w:lineRule="auto"/>
        <w:ind w:firstLine="54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注：CA办理链接：http://yzt.ynsmartcert.cn/cms/yztmdkj.html或者https://middle.zcygov.cn/ca/apply/list?_app_=zcy.sys</w:t>
      </w:r>
    </w:p>
    <w:p w14:paraId="3A67C3F5">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kern w:val="2"/>
          <w:sz w:val="24"/>
          <w:szCs w:val="24"/>
          <w:highlight w:val="none"/>
          <w:lang w:bidi="ar"/>
        </w:rPr>
        <w:t>需要注意的是，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数字证书问题可咨询云南壹证通CA：0871-67276028（紧急可拨19988166369）。</w:t>
      </w:r>
    </w:p>
    <w:p w14:paraId="39D5569C">
      <w:pPr>
        <w:pStyle w:val="3"/>
        <w:widowControl/>
        <w:spacing w:before="0" w:after="0" w:line="360" w:lineRule="auto"/>
        <w:rPr>
          <w:rFonts w:ascii="宋体" w:hAnsi="宋体" w:eastAsia="宋体" w:cs="宋体"/>
          <w:bCs w:val="0"/>
          <w:color w:val="auto"/>
          <w:sz w:val="24"/>
          <w:szCs w:val="24"/>
          <w:highlight w:val="none"/>
        </w:rPr>
      </w:pPr>
      <w:bookmarkStart w:id="50" w:name="_Toc1653"/>
      <w:bookmarkStart w:id="51" w:name="_Toc2232"/>
      <w:r>
        <w:rPr>
          <w:rFonts w:hint="eastAsia" w:ascii="宋体" w:hAnsi="宋体" w:eastAsia="宋体" w:cs="宋体"/>
          <w:bCs w:val="0"/>
          <w:color w:val="auto"/>
          <w:sz w:val="24"/>
          <w:szCs w:val="24"/>
          <w:highlight w:val="none"/>
        </w:rPr>
        <w:t>七、对本次招标提出询问，请按以下方式联系</w:t>
      </w:r>
      <w:bookmarkEnd w:id="45"/>
      <w:bookmarkEnd w:id="46"/>
      <w:bookmarkEnd w:id="47"/>
      <w:bookmarkEnd w:id="48"/>
      <w:bookmarkEnd w:id="49"/>
      <w:bookmarkEnd w:id="50"/>
      <w:bookmarkEnd w:id="51"/>
    </w:p>
    <w:p w14:paraId="60D137D8">
      <w:pPr>
        <w:widowControl w:val="0"/>
        <w:spacing w:line="360" w:lineRule="auto"/>
        <w:ind w:firstLine="480" w:firstLineChars="200"/>
        <w:rPr>
          <w:rFonts w:hint="eastAsia" w:ascii="宋体" w:hAnsi="宋体" w:cs="宋体"/>
          <w:color w:val="auto"/>
          <w:sz w:val="24"/>
          <w:szCs w:val="24"/>
          <w:highlight w:val="none"/>
          <w:lang w:val="en-US" w:eastAsia="zh-CN"/>
        </w:rPr>
      </w:pPr>
      <w:bookmarkStart w:id="52" w:name="_Toc28359020"/>
      <w:bookmarkStart w:id="53" w:name="_Toc28359097"/>
      <w:bookmarkStart w:id="54" w:name="_Toc35393807"/>
      <w:bookmarkStart w:id="55" w:name="_Toc35393638"/>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采购人信息</w:t>
      </w:r>
    </w:p>
    <w:p w14:paraId="45641BFC">
      <w:pPr>
        <w:widowControl w:val="0"/>
        <w:spacing w:line="360" w:lineRule="auto"/>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u w:val="single"/>
        </w:rPr>
        <w:t>云南林业职业技术学院</w:t>
      </w:r>
    </w:p>
    <w:p w14:paraId="6FFE5AB6">
      <w:pPr>
        <w:widowControl w:val="0"/>
        <w:spacing w:line="360" w:lineRule="auto"/>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u w:val="single"/>
        </w:rPr>
        <w:t>云南省昆明市盘龙区穿金路787号</w:t>
      </w:r>
    </w:p>
    <w:p w14:paraId="59260BB1">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single"/>
          <w:lang w:val="en-US" w:eastAsia="zh-CN"/>
        </w:rPr>
        <w:t>孙</w:t>
      </w:r>
      <w:r>
        <w:rPr>
          <w:rFonts w:hint="eastAsia" w:ascii="宋体" w:hAnsi="宋体" w:cs="宋体"/>
          <w:color w:val="auto"/>
          <w:sz w:val="24"/>
          <w:szCs w:val="24"/>
          <w:highlight w:val="none"/>
          <w:u w:val="single"/>
        </w:rPr>
        <w:t>老师</w:t>
      </w:r>
      <w:r>
        <w:rPr>
          <w:rFonts w:hint="eastAsia" w:ascii="宋体" w:hAnsi="宋体" w:cs="宋体"/>
          <w:color w:val="auto"/>
          <w:sz w:val="24"/>
          <w:szCs w:val="24"/>
          <w:highlight w:val="none"/>
          <w:u w:val="single"/>
          <w:lang w:val="en-US" w:eastAsia="zh-CN"/>
        </w:rPr>
        <w:t>0871-65017860</w:t>
      </w:r>
    </w:p>
    <w:p w14:paraId="66D47F52">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bookmarkEnd w:id="52"/>
      <w:bookmarkEnd w:id="53"/>
      <w:bookmarkEnd w:id="54"/>
      <w:bookmarkEnd w:id="55"/>
    </w:p>
    <w:p w14:paraId="01255B50">
      <w:pPr>
        <w:widowControl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kern w:val="2"/>
          <w:sz w:val="24"/>
          <w:szCs w:val="24"/>
          <w:highlight w:val="none"/>
          <w:lang w:bidi="ar"/>
        </w:rPr>
        <w:t>名 称：</w:t>
      </w:r>
      <w:r>
        <w:rPr>
          <w:rFonts w:hint="eastAsia" w:ascii="宋体" w:hAnsi="宋体" w:cs="宋体"/>
          <w:color w:val="auto"/>
          <w:kern w:val="2"/>
          <w:sz w:val="24"/>
          <w:szCs w:val="24"/>
          <w:highlight w:val="none"/>
          <w:u w:val="single"/>
          <w:lang w:bidi="ar"/>
        </w:rPr>
        <w:t>云南元大工程咨询有限责任公司</w:t>
      </w:r>
    </w:p>
    <w:p w14:paraId="112CBC78">
      <w:pPr>
        <w:widowControl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kern w:val="2"/>
          <w:sz w:val="24"/>
          <w:szCs w:val="24"/>
          <w:highlight w:val="none"/>
          <w:lang w:bidi="ar"/>
        </w:rPr>
        <w:t>地　址：</w:t>
      </w:r>
      <w:r>
        <w:rPr>
          <w:rFonts w:hint="eastAsia" w:ascii="宋体" w:hAnsi="宋体" w:cs="宋体"/>
          <w:color w:val="auto"/>
          <w:kern w:val="2"/>
          <w:sz w:val="24"/>
          <w:szCs w:val="24"/>
          <w:highlight w:val="none"/>
          <w:u w:val="single"/>
          <w:lang w:bidi="ar"/>
        </w:rPr>
        <w:t>云南省昆明市盘龙区联盟路与万宏路交汇处万宏嘉园沣苑（地块三）B座15楼（奥斯迪商务中心B座15楼）</w:t>
      </w:r>
    </w:p>
    <w:p w14:paraId="7C47081B">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kern w:val="2"/>
          <w:sz w:val="24"/>
          <w:szCs w:val="24"/>
          <w:highlight w:val="none"/>
          <w:lang w:bidi="ar"/>
        </w:rPr>
        <w:t>联系方式：</w:t>
      </w:r>
      <w:r>
        <w:rPr>
          <w:rFonts w:hint="eastAsia" w:ascii="宋体" w:hAnsi="宋体" w:cs="宋体"/>
          <w:color w:val="auto"/>
          <w:kern w:val="2"/>
          <w:sz w:val="24"/>
          <w:szCs w:val="24"/>
          <w:highlight w:val="none"/>
          <w:u w:val="single"/>
          <w:lang w:bidi="ar"/>
        </w:rPr>
        <w:t>李波琼、杨晨、黎泽龙、王博冰、曾桂华</w:t>
      </w:r>
      <w:r>
        <w:rPr>
          <w:rFonts w:hint="eastAsia" w:ascii="宋体" w:hAnsi="宋体" w:cs="宋体"/>
          <w:color w:val="auto"/>
          <w:sz w:val="24"/>
          <w:szCs w:val="24"/>
          <w:highlight w:val="none"/>
          <w:u w:val="single"/>
        </w:rPr>
        <w:t>0871-63338509</w:t>
      </w:r>
    </w:p>
    <w:p w14:paraId="4C0EE836">
      <w:pPr>
        <w:widowControl w:val="0"/>
        <w:spacing w:line="360" w:lineRule="auto"/>
        <w:ind w:firstLine="480" w:firstLineChars="200"/>
        <w:rPr>
          <w:rFonts w:ascii="宋体" w:hAnsi="宋体" w:cs="宋体"/>
          <w:color w:val="auto"/>
          <w:sz w:val="24"/>
          <w:szCs w:val="24"/>
          <w:highlight w:val="none"/>
        </w:rPr>
      </w:pPr>
      <w:bookmarkStart w:id="56" w:name="_Toc28359098"/>
      <w:bookmarkStart w:id="57" w:name="_Toc35393639"/>
      <w:bookmarkStart w:id="58" w:name="_Toc28359021"/>
      <w:bookmarkStart w:id="59" w:name="_Toc35393808"/>
      <w:r>
        <w:rPr>
          <w:rFonts w:hint="eastAsia" w:ascii="宋体" w:hAnsi="宋体" w:cs="宋体"/>
          <w:color w:val="auto"/>
          <w:sz w:val="24"/>
          <w:szCs w:val="24"/>
          <w:highlight w:val="none"/>
        </w:rPr>
        <w:t>3.项目联系方式</w:t>
      </w:r>
      <w:bookmarkEnd w:id="56"/>
      <w:bookmarkEnd w:id="57"/>
      <w:bookmarkEnd w:id="58"/>
      <w:bookmarkEnd w:id="59"/>
    </w:p>
    <w:p w14:paraId="72EF2D2A">
      <w:pPr>
        <w:pStyle w:val="5"/>
        <w:widowControl w:val="0"/>
        <w:spacing w:before="0" w:beforeAutospacing="0" w:after="0" w:afterAutospacing="0" w:line="360" w:lineRule="auto"/>
        <w:ind w:firstLine="480" w:firstLineChars="200"/>
        <w:jc w:val="both"/>
        <w:rPr>
          <w:rFonts w:ascii="宋体" w:hAnsi="宋体" w:cs="宋体"/>
          <w:color w:val="auto"/>
          <w:highlight w:val="none"/>
          <w:u w:val="single"/>
        </w:rPr>
      </w:pPr>
      <w:r>
        <w:rPr>
          <w:rFonts w:hint="eastAsia" w:ascii="宋体" w:hAnsi="宋体" w:cs="宋体"/>
          <w:color w:val="auto"/>
          <w:kern w:val="2"/>
          <w:highlight w:val="none"/>
          <w:lang w:bidi="ar"/>
        </w:rPr>
        <w:t>项目联系人：</w:t>
      </w:r>
      <w:r>
        <w:rPr>
          <w:rFonts w:hint="eastAsia" w:ascii="宋体" w:hAnsi="宋体" w:cs="宋体"/>
          <w:color w:val="auto"/>
          <w:kern w:val="2"/>
          <w:highlight w:val="none"/>
          <w:u w:val="single"/>
          <w:lang w:bidi="ar"/>
        </w:rPr>
        <w:t>李波琼、杨晨、黎泽龙、王博冰、曾桂华</w:t>
      </w:r>
    </w:p>
    <w:p w14:paraId="5CA4A462">
      <w:pPr>
        <w:widowControl w:val="0"/>
        <w:spacing w:line="360" w:lineRule="auto"/>
        <w:ind w:firstLine="480" w:firstLineChars="200"/>
        <w:jc w:val="both"/>
        <w:rPr>
          <w:rFonts w:ascii="宋体" w:hAnsi="宋体" w:cs="宋体"/>
          <w:color w:val="auto"/>
          <w:sz w:val="24"/>
          <w:szCs w:val="24"/>
          <w:highlight w:val="none"/>
          <w:u w:val="single"/>
        </w:rPr>
      </w:pPr>
      <w:r>
        <w:rPr>
          <w:rFonts w:hint="eastAsia" w:ascii="宋体" w:hAnsi="宋体" w:cs="宋体"/>
          <w:color w:val="auto"/>
          <w:sz w:val="24"/>
          <w:highlight w:val="none"/>
          <w:lang w:bidi="ar"/>
        </w:rPr>
        <w:t>电　话：</w:t>
      </w:r>
      <w:r>
        <w:rPr>
          <w:rFonts w:hint="eastAsia" w:ascii="宋体" w:hAnsi="宋体" w:cs="宋体"/>
          <w:color w:val="auto"/>
          <w:sz w:val="24"/>
          <w:highlight w:val="none"/>
          <w:u w:val="single"/>
        </w:rPr>
        <w:t>0871-63338509</w:t>
      </w:r>
    </w:p>
    <w:p w14:paraId="5B0F8E8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152C6"/>
    <w:rsid w:val="00531B63"/>
    <w:rsid w:val="006E7E5A"/>
    <w:rsid w:val="0075392D"/>
    <w:rsid w:val="00904CD2"/>
    <w:rsid w:val="00A10FBB"/>
    <w:rsid w:val="00B569A9"/>
    <w:rsid w:val="00C93277"/>
    <w:rsid w:val="00D574CE"/>
    <w:rsid w:val="00D63B53"/>
    <w:rsid w:val="00EC0B7D"/>
    <w:rsid w:val="010B02CA"/>
    <w:rsid w:val="01261E60"/>
    <w:rsid w:val="0161266E"/>
    <w:rsid w:val="01625FE5"/>
    <w:rsid w:val="01800EDD"/>
    <w:rsid w:val="01A52030"/>
    <w:rsid w:val="01AF3690"/>
    <w:rsid w:val="01BE4653"/>
    <w:rsid w:val="01CA17D2"/>
    <w:rsid w:val="01DB0A8A"/>
    <w:rsid w:val="0243576A"/>
    <w:rsid w:val="024B0F61"/>
    <w:rsid w:val="027D0165"/>
    <w:rsid w:val="028175C2"/>
    <w:rsid w:val="028F6E61"/>
    <w:rsid w:val="02962A84"/>
    <w:rsid w:val="0298506C"/>
    <w:rsid w:val="029F3EB8"/>
    <w:rsid w:val="02CB494F"/>
    <w:rsid w:val="02D47087"/>
    <w:rsid w:val="02D85958"/>
    <w:rsid w:val="02F31E91"/>
    <w:rsid w:val="030C151D"/>
    <w:rsid w:val="03313B7C"/>
    <w:rsid w:val="033F016B"/>
    <w:rsid w:val="035029C4"/>
    <w:rsid w:val="03643F6F"/>
    <w:rsid w:val="036D62CB"/>
    <w:rsid w:val="03737E48"/>
    <w:rsid w:val="03D830A3"/>
    <w:rsid w:val="03DF1FA8"/>
    <w:rsid w:val="03DF7248"/>
    <w:rsid w:val="03E16237"/>
    <w:rsid w:val="04683BD9"/>
    <w:rsid w:val="048259EE"/>
    <w:rsid w:val="04894C2A"/>
    <w:rsid w:val="049967A3"/>
    <w:rsid w:val="04C8663B"/>
    <w:rsid w:val="04EE57F7"/>
    <w:rsid w:val="051B1A2B"/>
    <w:rsid w:val="05541575"/>
    <w:rsid w:val="05555C80"/>
    <w:rsid w:val="056B5B6C"/>
    <w:rsid w:val="058A4993"/>
    <w:rsid w:val="058B1C7B"/>
    <w:rsid w:val="05945F41"/>
    <w:rsid w:val="05961F14"/>
    <w:rsid w:val="05982C74"/>
    <w:rsid w:val="059C557F"/>
    <w:rsid w:val="05A9049A"/>
    <w:rsid w:val="05B978BC"/>
    <w:rsid w:val="05F10DB2"/>
    <w:rsid w:val="063549A6"/>
    <w:rsid w:val="063D5002"/>
    <w:rsid w:val="065B0559"/>
    <w:rsid w:val="066B416A"/>
    <w:rsid w:val="0676166B"/>
    <w:rsid w:val="068718B5"/>
    <w:rsid w:val="06920642"/>
    <w:rsid w:val="06AE4586"/>
    <w:rsid w:val="06BE3498"/>
    <w:rsid w:val="06EF0DC2"/>
    <w:rsid w:val="06F011BB"/>
    <w:rsid w:val="06F43B21"/>
    <w:rsid w:val="07005C1C"/>
    <w:rsid w:val="07305BD5"/>
    <w:rsid w:val="07454098"/>
    <w:rsid w:val="07493041"/>
    <w:rsid w:val="07503DB6"/>
    <w:rsid w:val="076245EE"/>
    <w:rsid w:val="07876D9F"/>
    <w:rsid w:val="0794642E"/>
    <w:rsid w:val="07AC7992"/>
    <w:rsid w:val="08006B8F"/>
    <w:rsid w:val="08096EEE"/>
    <w:rsid w:val="08157828"/>
    <w:rsid w:val="082C44B1"/>
    <w:rsid w:val="08473F33"/>
    <w:rsid w:val="084A57EC"/>
    <w:rsid w:val="08583315"/>
    <w:rsid w:val="08842433"/>
    <w:rsid w:val="08915084"/>
    <w:rsid w:val="08965DF9"/>
    <w:rsid w:val="08983B12"/>
    <w:rsid w:val="08CF3976"/>
    <w:rsid w:val="08D1412A"/>
    <w:rsid w:val="08DA3079"/>
    <w:rsid w:val="08F93E77"/>
    <w:rsid w:val="08F94FD2"/>
    <w:rsid w:val="09543EAD"/>
    <w:rsid w:val="096701E9"/>
    <w:rsid w:val="09A96D15"/>
    <w:rsid w:val="09B833EE"/>
    <w:rsid w:val="09C40DCB"/>
    <w:rsid w:val="09EB452A"/>
    <w:rsid w:val="09F448DD"/>
    <w:rsid w:val="0A0E0932"/>
    <w:rsid w:val="0A105095"/>
    <w:rsid w:val="0A174055"/>
    <w:rsid w:val="0A24445C"/>
    <w:rsid w:val="0A421448"/>
    <w:rsid w:val="0A4458F0"/>
    <w:rsid w:val="0A9319E8"/>
    <w:rsid w:val="0AA7067D"/>
    <w:rsid w:val="0AAD1839"/>
    <w:rsid w:val="0AC405BE"/>
    <w:rsid w:val="0AF9699D"/>
    <w:rsid w:val="0B2278E4"/>
    <w:rsid w:val="0B285BD0"/>
    <w:rsid w:val="0B29412C"/>
    <w:rsid w:val="0B506DE9"/>
    <w:rsid w:val="0B6C14B0"/>
    <w:rsid w:val="0B885C32"/>
    <w:rsid w:val="0B8C2E87"/>
    <w:rsid w:val="0BA23BBE"/>
    <w:rsid w:val="0BCF0E9E"/>
    <w:rsid w:val="0BE127CF"/>
    <w:rsid w:val="0BE57CED"/>
    <w:rsid w:val="0C11246E"/>
    <w:rsid w:val="0C297C88"/>
    <w:rsid w:val="0CA92443"/>
    <w:rsid w:val="0CAF2003"/>
    <w:rsid w:val="0CFE3AA1"/>
    <w:rsid w:val="0D023E36"/>
    <w:rsid w:val="0D177C26"/>
    <w:rsid w:val="0D276757"/>
    <w:rsid w:val="0D385B41"/>
    <w:rsid w:val="0D4713D6"/>
    <w:rsid w:val="0D81299C"/>
    <w:rsid w:val="0DE67AA6"/>
    <w:rsid w:val="0E09571A"/>
    <w:rsid w:val="0E2309DB"/>
    <w:rsid w:val="0E2E47FE"/>
    <w:rsid w:val="0E7E292B"/>
    <w:rsid w:val="0E8A0C16"/>
    <w:rsid w:val="0E946024"/>
    <w:rsid w:val="0EA460DA"/>
    <w:rsid w:val="0EAE7CF5"/>
    <w:rsid w:val="0EB17801"/>
    <w:rsid w:val="0EB80607"/>
    <w:rsid w:val="0EC8202C"/>
    <w:rsid w:val="0EE93533"/>
    <w:rsid w:val="0F002E05"/>
    <w:rsid w:val="0F066C22"/>
    <w:rsid w:val="0F25770B"/>
    <w:rsid w:val="0F3051FD"/>
    <w:rsid w:val="0F813651"/>
    <w:rsid w:val="0FA2349A"/>
    <w:rsid w:val="0FC058E0"/>
    <w:rsid w:val="0FCA66F9"/>
    <w:rsid w:val="0FED1B31"/>
    <w:rsid w:val="0FF82063"/>
    <w:rsid w:val="100D3295"/>
    <w:rsid w:val="103266B4"/>
    <w:rsid w:val="10547E13"/>
    <w:rsid w:val="105A62E3"/>
    <w:rsid w:val="10A71674"/>
    <w:rsid w:val="10B3004D"/>
    <w:rsid w:val="10C07796"/>
    <w:rsid w:val="10D40B6C"/>
    <w:rsid w:val="10D9778D"/>
    <w:rsid w:val="10E85C61"/>
    <w:rsid w:val="10F87AD9"/>
    <w:rsid w:val="10F9566B"/>
    <w:rsid w:val="11153A18"/>
    <w:rsid w:val="11435507"/>
    <w:rsid w:val="11533D90"/>
    <w:rsid w:val="11A144B5"/>
    <w:rsid w:val="11CA7612"/>
    <w:rsid w:val="11EE1A48"/>
    <w:rsid w:val="11F119B9"/>
    <w:rsid w:val="11F42E82"/>
    <w:rsid w:val="11FD37AD"/>
    <w:rsid w:val="120D0867"/>
    <w:rsid w:val="12125657"/>
    <w:rsid w:val="121D6D32"/>
    <w:rsid w:val="124921A4"/>
    <w:rsid w:val="124D722E"/>
    <w:rsid w:val="125908A2"/>
    <w:rsid w:val="128B5242"/>
    <w:rsid w:val="129410DA"/>
    <w:rsid w:val="129434F6"/>
    <w:rsid w:val="12981CDF"/>
    <w:rsid w:val="12BF661C"/>
    <w:rsid w:val="12CC4419"/>
    <w:rsid w:val="12DD688C"/>
    <w:rsid w:val="12F203B4"/>
    <w:rsid w:val="12F2709E"/>
    <w:rsid w:val="12F96B97"/>
    <w:rsid w:val="131D21F4"/>
    <w:rsid w:val="132E739B"/>
    <w:rsid w:val="133113E0"/>
    <w:rsid w:val="1333731E"/>
    <w:rsid w:val="1365786E"/>
    <w:rsid w:val="139530AF"/>
    <w:rsid w:val="13A47E68"/>
    <w:rsid w:val="13DF5571"/>
    <w:rsid w:val="13F65437"/>
    <w:rsid w:val="1409431F"/>
    <w:rsid w:val="14186390"/>
    <w:rsid w:val="142C1C3F"/>
    <w:rsid w:val="14662EA7"/>
    <w:rsid w:val="146D6A6F"/>
    <w:rsid w:val="14936E78"/>
    <w:rsid w:val="14A13BB4"/>
    <w:rsid w:val="14C14DE6"/>
    <w:rsid w:val="14CE4992"/>
    <w:rsid w:val="14CF1CD4"/>
    <w:rsid w:val="14E37C7C"/>
    <w:rsid w:val="14F64523"/>
    <w:rsid w:val="1527553F"/>
    <w:rsid w:val="154521A9"/>
    <w:rsid w:val="156A7173"/>
    <w:rsid w:val="157A4080"/>
    <w:rsid w:val="15805B34"/>
    <w:rsid w:val="15836766"/>
    <w:rsid w:val="15BA26B6"/>
    <w:rsid w:val="15C91E2E"/>
    <w:rsid w:val="160F3FAA"/>
    <w:rsid w:val="162D733A"/>
    <w:rsid w:val="16326045"/>
    <w:rsid w:val="16506A16"/>
    <w:rsid w:val="16547394"/>
    <w:rsid w:val="16733AED"/>
    <w:rsid w:val="16763EDA"/>
    <w:rsid w:val="169970B8"/>
    <w:rsid w:val="169B0E8D"/>
    <w:rsid w:val="169E6D08"/>
    <w:rsid w:val="16A11E81"/>
    <w:rsid w:val="16A31DC7"/>
    <w:rsid w:val="16B04A25"/>
    <w:rsid w:val="16B24E15"/>
    <w:rsid w:val="16C32FA1"/>
    <w:rsid w:val="171E50DF"/>
    <w:rsid w:val="172E6D09"/>
    <w:rsid w:val="173E7656"/>
    <w:rsid w:val="175133EC"/>
    <w:rsid w:val="17791D72"/>
    <w:rsid w:val="177A0AC8"/>
    <w:rsid w:val="17811AF8"/>
    <w:rsid w:val="180E44D0"/>
    <w:rsid w:val="18700ACD"/>
    <w:rsid w:val="18754096"/>
    <w:rsid w:val="18A74A4F"/>
    <w:rsid w:val="18AA72B1"/>
    <w:rsid w:val="18BE6680"/>
    <w:rsid w:val="192E7E4C"/>
    <w:rsid w:val="19447497"/>
    <w:rsid w:val="19563FAA"/>
    <w:rsid w:val="198D3F10"/>
    <w:rsid w:val="19A36CDF"/>
    <w:rsid w:val="19B651D5"/>
    <w:rsid w:val="19C6637C"/>
    <w:rsid w:val="19CA57E2"/>
    <w:rsid w:val="19F72CDD"/>
    <w:rsid w:val="1A19206A"/>
    <w:rsid w:val="1A2C6AC3"/>
    <w:rsid w:val="1A406B31"/>
    <w:rsid w:val="1A4C37CF"/>
    <w:rsid w:val="1A540844"/>
    <w:rsid w:val="1A7C3C32"/>
    <w:rsid w:val="1A845E24"/>
    <w:rsid w:val="1A937556"/>
    <w:rsid w:val="1A9876D4"/>
    <w:rsid w:val="1AA6066A"/>
    <w:rsid w:val="1AB70EE1"/>
    <w:rsid w:val="1ABB114A"/>
    <w:rsid w:val="1AD05482"/>
    <w:rsid w:val="1B036D1D"/>
    <w:rsid w:val="1B2E4DFC"/>
    <w:rsid w:val="1B4B6683"/>
    <w:rsid w:val="1B5C1C3C"/>
    <w:rsid w:val="1B5D7113"/>
    <w:rsid w:val="1B65124B"/>
    <w:rsid w:val="1B6933CB"/>
    <w:rsid w:val="1B851DDB"/>
    <w:rsid w:val="1BC63FDD"/>
    <w:rsid w:val="1BE85CBE"/>
    <w:rsid w:val="1BEB2568"/>
    <w:rsid w:val="1BF17771"/>
    <w:rsid w:val="1BF416FF"/>
    <w:rsid w:val="1BF44F34"/>
    <w:rsid w:val="1BF60A0B"/>
    <w:rsid w:val="1BFE4441"/>
    <w:rsid w:val="1C091C83"/>
    <w:rsid w:val="1C4E38AF"/>
    <w:rsid w:val="1C4F52E5"/>
    <w:rsid w:val="1C8451ED"/>
    <w:rsid w:val="1CBA7E02"/>
    <w:rsid w:val="1CBA7F2B"/>
    <w:rsid w:val="1CDC6EB8"/>
    <w:rsid w:val="1CF27EBF"/>
    <w:rsid w:val="1D0279CD"/>
    <w:rsid w:val="1D656BB7"/>
    <w:rsid w:val="1D6C7B7C"/>
    <w:rsid w:val="1D7E2DEA"/>
    <w:rsid w:val="1DDA39D7"/>
    <w:rsid w:val="1DE11BB0"/>
    <w:rsid w:val="1E0B0F1B"/>
    <w:rsid w:val="1E136C5D"/>
    <w:rsid w:val="1E1D0A83"/>
    <w:rsid w:val="1E2076D2"/>
    <w:rsid w:val="1E213A59"/>
    <w:rsid w:val="1E6F6D01"/>
    <w:rsid w:val="1E7F01F4"/>
    <w:rsid w:val="1E7F4252"/>
    <w:rsid w:val="1E963717"/>
    <w:rsid w:val="1EC0568B"/>
    <w:rsid w:val="1EC521AD"/>
    <w:rsid w:val="1EE13903"/>
    <w:rsid w:val="1EE9736F"/>
    <w:rsid w:val="1F2B592A"/>
    <w:rsid w:val="1F384C07"/>
    <w:rsid w:val="1F76739B"/>
    <w:rsid w:val="1F8211D8"/>
    <w:rsid w:val="1FC675C6"/>
    <w:rsid w:val="20004051"/>
    <w:rsid w:val="200D6708"/>
    <w:rsid w:val="20452680"/>
    <w:rsid w:val="204C73BF"/>
    <w:rsid w:val="208D4BD4"/>
    <w:rsid w:val="209B0DEF"/>
    <w:rsid w:val="20A674C0"/>
    <w:rsid w:val="20B94F67"/>
    <w:rsid w:val="20CC258A"/>
    <w:rsid w:val="20D50576"/>
    <w:rsid w:val="20E91027"/>
    <w:rsid w:val="21026B85"/>
    <w:rsid w:val="21215AA0"/>
    <w:rsid w:val="212C7673"/>
    <w:rsid w:val="212F5D1D"/>
    <w:rsid w:val="213159F7"/>
    <w:rsid w:val="216842DA"/>
    <w:rsid w:val="216D6CB4"/>
    <w:rsid w:val="21896101"/>
    <w:rsid w:val="219822D1"/>
    <w:rsid w:val="21A43653"/>
    <w:rsid w:val="21C9013B"/>
    <w:rsid w:val="21CC6CC5"/>
    <w:rsid w:val="21D57F24"/>
    <w:rsid w:val="21EE76C0"/>
    <w:rsid w:val="2226573E"/>
    <w:rsid w:val="222C2E35"/>
    <w:rsid w:val="22843FF6"/>
    <w:rsid w:val="22A3748A"/>
    <w:rsid w:val="230B64EB"/>
    <w:rsid w:val="230E73FC"/>
    <w:rsid w:val="236461E4"/>
    <w:rsid w:val="2369454E"/>
    <w:rsid w:val="237000B3"/>
    <w:rsid w:val="23902B56"/>
    <w:rsid w:val="23C755E0"/>
    <w:rsid w:val="24072B67"/>
    <w:rsid w:val="241035EB"/>
    <w:rsid w:val="241C4DFA"/>
    <w:rsid w:val="2430378A"/>
    <w:rsid w:val="24371BC2"/>
    <w:rsid w:val="24391DF8"/>
    <w:rsid w:val="24444CE5"/>
    <w:rsid w:val="245D5052"/>
    <w:rsid w:val="24613AE8"/>
    <w:rsid w:val="246413BB"/>
    <w:rsid w:val="2473228C"/>
    <w:rsid w:val="247A69D0"/>
    <w:rsid w:val="247F70C5"/>
    <w:rsid w:val="248A580B"/>
    <w:rsid w:val="24970648"/>
    <w:rsid w:val="24BA3EC9"/>
    <w:rsid w:val="24C4275D"/>
    <w:rsid w:val="24FD2D93"/>
    <w:rsid w:val="24FD42D8"/>
    <w:rsid w:val="250963D9"/>
    <w:rsid w:val="252B47F9"/>
    <w:rsid w:val="25451306"/>
    <w:rsid w:val="25645801"/>
    <w:rsid w:val="25661E95"/>
    <w:rsid w:val="25795A19"/>
    <w:rsid w:val="259430E2"/>
    <w:rsid w:val="259F2C16"/>
    <w:rsid w:val="25C121CD"/>
    <w:rsid w:val="25C9148B"/>
    <w:rsid w:val="25E7648D"/>
    <w:rsid w:val="25EC1273"/>
    <w:rsid w:val="25ED3213"/>
    <w:rsid w:val="260B1924"/>
    <w:rsid w:val="26234B3B"/>
    <w:rsid w:val="2643377B"/>
    <w:rsid w:val="26450022"/>
    <w:rsid w:val="264F7037"/>
    <w:rsid w:val="26C12CB5"/>
    <w:rsid w:val="26D0441A"/>
    <w:rsid w:val="26E665CB"/>
    <w:rsid w:val="26E961B9"/>
    <w:rsid w:val="26FD6EC1"/>
    <w:rsid w:val="27145F09"/>
    <w:rsid w:val="275A27F4"/>
    <w:rsid w:val="278642D5"/>
    <w:rsid w:val="27C73BF2"/>
    <w:rsid w:val="27DA7923"/>
    <w:rsid w:val="27E4517D"/>
    <w:rsid w:val="27FC2376"/>
    <w:rsid w:val="28024103"/>
    <w:rsid w:val="280252B4"/>
    <w:rsid w:val="280D08AE"/>
    <w:rsid w:val="28117478"/>
    <w:rsid w:val="281A6497"/>
    <w:rsid w:val="281C3B8F"/>
    <w:rsid w:val="28254EB7"/>
    <w:rsid w:val="282813F4"/>
    <w:rsid w:val="284A2576"/>
    <w:rsid w:val="284C7DC7"/>
    <w:rsid w:val="28520528"/>
    <w:rsid w:val="28586127"/>
    <w:rsid w:val="28BB0DF7"/>
    <w:rsid w:val="28BF50DC"/>
    <w:rsid w:val="28D65D95"/>
    <w:rsid w:val="28E52671"/>
    <w:rsid w:val="28F551D4"/>
    <w:rsid w:val="291B5064"/>
    <w:rsid w:val="292F5532"/>
    <w:rsid w:val="29380898"/>
    <w:rsid w:val="29391DDD"/>
    <w:rsid w:val="29755F38"/>
    <w:rsid w:val="2988112C"/>
    <w:rsid w:val="29941BED"/>
    <w:rsid w:val="29AE5B74"/>
    <w:rsid w:val="29D32679"/>
    <w:rsid w:val="29E073E4"/>
    <w:rsid w:val="29E83127"/>
    <w:rsid w:val="2A0B3F78"/>
    <w:rsid w:val="2A0D52EB"/>
    <w:rsid w:val="2A277401"/>
    <w:rsid w:val="2A544213"/>
    <w:rsid w:val="2A9D23CC"/>
    <w:rsid w:val="2A9F5608"/>
    <w:rsid w:val="2AA96F00"/>
    <w:rsid w:val="2B5828D5"/>
    <w:rsid w:val="2B6121CD"/>
    <w:rsid w:val="2B6A6E6B"/>
    <w:rsid w:val="2BAC1E41"/>
    <w:rsid w:val="2BBA543C"/>
    <w:rsid w:val="2BBB7584"/>
    <w:rsid w:val="2BD538FC"/>
    <w:rsid w:val="2BFA58B1"/>
    <w:rsid w:val="2BFC02CE"/>
    <w:rsid w:val="2C2260D7"/>
    <w:rsid w:val="2C6F574D"/>
    <w:rsid w:val="2CC16A8C"/>
    <w:rsid w:val="2CCE3754"/>
    <w:rsid w:val="2CFF3143"/>
    <w:rsid w:val="2D13436F"/>
    <w:rsid w:val="2D194681"/>
    <w:rsid w:val="2D204D4F"/>
    <w:rsid w:val="2D215EB6"/>
    <w:rsid w:val="2D2868D8"/>
    <w:rsid w:val="2D637F31"/>
    <w:rsid w:val="2D751749"/>
    <w:rsid w:val="2D7F2FB9"/>
    <w:rsid w:val="2DB91A69"/>
    <w:rsid w:val="2DC77CF0"/>
    <w:rsid w:val="2DDC5847"/>
    <w:rsid w:val="2DFC3442"/>
    <w:rsid w:val="2DFD3034"/>
    <w:rsid w:val="2E0945EE"/>
    <w:rsid w:val="2E1D529E"/>
    <w:rsid w:val="2E202D85"/>
    <w:rsid w:val="2E21307E"/>
    <w:rsid w:val="2E220E36"/>
    <w:rsid w:val="2E352697"/>
    <w:rsid w:val="2E3636E8"/>
    <w:rsid w:val="2E516E52"/>
    <w:rsid w:val="2E8E2A68"/>
    <w:rsid w:val="2EB85733"/>
    <w:rsid w:val="2ECA5049"/>
    <w:rsid w:val="2F1279EA"/>
    <w:rsid w:val="2F1E6CA8"/>
    <w:rsid w:val="2F2A1A76"/>
    <w:rsid w:val="2F3E5F36"/>
    <w:rsid w:val="2F490963"/>
    <w:rsid w:val="2F84097F"/>
    <w:rsid w:val="2F87618E"/>
    <w:rsid w:val="2FA15B3C"/>
    <w:rsid w:val="2FD13532"/>
    <w:rsid w:val="2FD21673"/>
    <w:rsid w:val="30213652"/>
    <w:rsid w:val="302467F5"/>
    <w:rsid w:val="306C4A71"/>
    <w:rsid w:val="30703F36"/>
    <w:rsid w:val="308C3FDC"/>
    <w:rsid w:val="30B830D3"/>
    <w:rsid w:val="310E4EE2"/>
    <w:rsid w:val="313B1C48"/>
    <w:rsid w:val="3160600F"/>
    <w:rsid w:val="317D7003"/>
    <w:rsid w:val="3193451C"/>
    <w:rsid w:val="31BA42E7"/>
    <w:rsid w:val="31C26952"/>
    <w:rsid w:val="31EA46C7"/>
    <w:rsid w:val="320811E2"/>
    <w:rsid w:val="325051C4"/>
    <w:rsid w:val="32594D37"/>
    <w:rsid w:val="326540EA"/>
    <w:rsid w:val="32941ED2"/>
    <w:rsid w:val="32DC03DE"/>
    <w:rsid w:val="32DC3A60"/>
    <w:rsid w:val="33081839"/>
    <w:rsid w:val="332D196F"/>
    <w:rsid w:val="3354489B"/>
    <w:rsid w:val="335809EA"/>
    <w:rsid w:val="336422CF"/>
    <w:rsid w:val="33967C88"/>
    <w:rsid w:val="33C53F4B"/>
    <w:rsid w:val="33D562A3"/>
    <w:rsid w:val="33E26D5B"/>
    <w:rsid w:val="34437327"/>
    <w:rsid w:val="346945DA"/>
    <w:rsid w:val="347D27E0"/>
    <w:rsid w:val="348B4336"/>
    <w:rsid w:val="34AD0117"/>
    <w:rsid w:val="34AD172E"/>
    <w:rsid w:val="34B41C77"/>
    <w:rsid w:val="34BE31E8"/>
    <w:rsid w:val="34C41BEE"/>
    <w:rsid w:val="34DC524E"/>
    <w:rsid w:val="35041EEA"/>
    <w:rsid w:val="35062110"/>
    <w:rsid w:val="35595130"/>
    <w:rsid w:val="355B3ADA"/>
    <w:rsid w:val="35886341"/>
    <w:rsid w:val="35FD6767"/>
    <w:rsid w:val="360F07F3"/>
    <w:rsid w:val="361A4310"/>
    <w:rsid w:val="36276F51"/>
    <w:rsid w:val="36304988"/>
    <w:rsid w:val="364847AA"/>
    <w:rsid w:val="36591AFA"/>
    <w:rsid w:val="36710FAA"/>
    <w:rsid w:val="36716066"/>
    <w:rsid w:val="368C278F"/>
    <w:rsid w:val="36956AE6"/>
    <w:rsid w:val="369758B0"/>
    <w:rsid w:val="36A642A4"/>
    <w:rsid w:val="36AF7604"/>
    <w:rsid w:val="36D6564B"/>
    <w:rsid w:val="36DB36E5"/>
    <w:rsid w:val="370E740B"/>
    <w:rsid w:val="37533904"/>
    <w:rsid w:val="375432E0"/>
    <w:rsid w:val="37677F6F"/>
    <w:rsid w:val="377F7F67"/>
    <w:rsid w:val="37977BB2"/>
    <w:rsid w:val="37A17791"/>
    <w:rsid w:val="37EC29D8"/>
    <w:rsid w:val="38021EE9"/>
    <w:rsid w:val="38272C68"/>
    <w:rsid w:val="38372805"/>
    <w:rsid w:val="385E1C6D"/>
    <w:rsid w:val="386B71EA"/>
    <w:rsid w:val="386D0C06"/>
    <w:rsid w:val="389B0916"/>
    <w:rsid w:val="38DA46BD"/>
    <w:rsid w:val="392D7E6D"/>
    <w:rsid w:val="392F16F9"/>
    <w:rsid w:val="39581990"/>
    <w:rsid w:val="3982468E"/>
    <w:rsid w:val="39992F9C"/>
    <w:rsid w:val="39A273D0"/>
    <w:rsid w:val="39AA20B4"/>
    <w:rsid w:val="39AB642E"/>
    <w:rsid w:val="39B134A1"/>
    <w:rsid w:val="39E5732E"/>
    <w:rsid w:val="3A0239B7"/>
    <w:rsid w:val="3A095196"/>
    <w:rsid w:val="3A3150F8"/>
    <w:rsid w:val="3A401F93"/>
    <w:rsid w:val="3A407E5F"/>
    <w:rsid w:val="3A5D67E2"/>
    <w:rsid w:val="3A7E2860"/>
    <w:rsid w:val="3A843009"/>
    <w:rsid w:val="3AB20D2F"/>
    <w:rsid w:val="3AC11EA5"/>
    <w:rsid w:val="3AD823EC"/>
    <w:rsid w:val="3B125D1C"/>
    <w:rsid w:val="3B1F23BB"/>
    <w:rsid w:val="3B6C14DE"/>
    <w:rsid w:val="3B792E32"/>
    <w:rsid w:val="3BA66627"/>
    <w:rsid w:val="3BAC3B90"/>
    <w:rsid w:val="3BB413BB"/>
    <w:rsid w:val="3BF34488"/>
    <w:rsid w:val="3C1542C8"/>
    <w:rsid w:val="3C252804"/>
    <w:rsid w:val="3C3C5535"/>
    <w:rsid w:val="3C45441D"/>
    <w:rsid w:val="3C4D0B4B"/>
    <w:rsid w:val="3C59639F"/>
    <w:rsid w:val="3C6D3736"/>
    <w:rsid w:val="3CAF2941"/>
    <w:rsid w:val="3CC20289"/>
    <w:rsid w:val="3CC36196"/>
    <w:rsid w:val="3CC7337C"/>
    <w:rsid w:val="3CE47D55"/>
    <w:rsid w:val="3CEB49E8"/>
    <w:rsid w:val="3D1E3674"/>
    <w:rsid w:val="3D2879BE"/>
    <w:rsid w:val="3D49431A"/>
    <w:rsid w:val="3D6143E1"/>
    <w:rsid w:val="3D640CCE"/>
    <w:rsid w:val="3D656946"/>
    <w:rsid w:val="3D6F023E"/>
    <w:rsid w:val="3D820C10"/>
    <w:rsid w:val="3DB23F60"/>
    <w:rsid w:val="3DF271DA"/>
    <w:rsid w:val="3DF62CF4"/>
    <w:rsid w:val="3DFE0467"/>
    <w:rsid w:val="3E0E2556"/>
    <w:rsid w:val="3E262FD0"/>
    <w:rsid w:val="3E304DF6"/>
    <w:rsid w:val="3E43069C"/>
    <w:rsid w:val="3E52102A"/>
    <w:rsid w:val="3E524BEB"/>
    <w:rsid w:val="3E52617A"/>
    <w:rsid w:val="3E852001"/>
    <w:rsid w:val="3E8754B5"/>
    <w:rsid w:val="3E9429CC"/>
    <w:rsid w:val="3EAE6CBB"/>
    <w:rsid w:val="3EB32709"/>
    <w:rsid w:val="3EB94DBE"/>
    <w:rsid w:val="3EF057F9"/>
    <w:rsid w:val="3EF35B99"/>
    <w:rsid w:val="3F040685"/>
    <w:rsid w:val="3F19455C"/>
    <w:rsid w:val="3F1A4E3E"/>
    <w:rsid w:val="3F204966"/>
    <w:rsid w:val="3F217B7D"/>
    <w:rsid w:val="3F3F2D47"/>
    <w:rsid w:val="3F480C3A"/>
    <w:rsid w:val="3F58173C"/>
    <w:rsid w:val="3F585633"/>
    <w:rsid w:val="3F6D1A62"/>
    <w:rsid w:val="3F6E0B46"/>
    <w:rsid w:val="3F730135"/>
    <w:rsid w:val="3F743E64"/>
    <w:rsid w:val="3F76727F"/>
    <w:rsid w:val="3F9A08FC"/>
    <w:rsid w:val="3F9B2EC3"/>
    <w:rsid w:val="3F9E7DC9"/>
    <w:rsid w:val="3FA75987"/>
    <w:rsid w:val="3FDF6664"/>
    <w:rsid w:val="3FF271D9"/>
    <w:rsid w:val="400033A8"/>
    <w:rsid w:val="40136D79"/>
    <w:rsid w:val="404761CF"/>
    <w:rsid w:val="405B4BDB"/>
    <w:rsid w:val="407A1FBB"/>
    <w:rsid w:val="408B065C"/>
    <w:rsid w:val="409647C0"/>
    <w:rsid w:val="40DE4282"/>
    <w:rsid w:val="40E73AEC"/>
    <w:rsid w:val="40E8463F"/>
    <w:rsid w:val="41113CEB"/>
    <w:rsid w:val="411C783E"/>
    <w:rsid w:val="412B73CA"/>
    <w:rsid w:val="413867EE"/>
    <w:rsid w:val="416C66B9"/>
    <w:rsid w:val="41BF456F"/>
    <w:rsid w:val="41C00E8B"/>
    <w:rsid w:val="41C82624"/>
    <w:rsid w:val="41FD30DF"/>
    <w:rsid w:val="4202743B"/>
    <w:rsid w:val="422763CB"/>
    <w:rsid w:val="42646B4C"/>
    <w:rsid w:val="428C1647"/>
    <w:rsid w:val="42D677DD"/>
    <w:rsid w:val="42D84FEC"/>
    <w:rsid w:val="43442339"/>
    <w:rsid w:val="436F4840"/>
    <w:rsid w:val="43833DA1"/>
    <w:rsid w:val="439C10E4"/>
    <w:rsid w:val="43B1272C"/>
    <w:rsid w:val="43C8675F"/>
    <w:rsid w:val="43FB6F03"/>
    <w:rsid w:val="440D45A0"/>
    <w:rsid w:val="444B3DD6"/>
    <w:rsid w:val="444D685B"/>
    <w:rsid w:val="445720D8"/>
    <w:rsid w:val="447B53EA"/>
    <w:rsid w:val="4488381B"/>
    <w:rsid w:val="44DD489D"/>
    <w:rsid w:val="44EF1373"/>
    <w:rsid w:val="44FB5F2E"/>
    <w:rsid w:val="45047724"/>
    <w:rsid w:val="45134A63"/>
    <w:rsid w:val="45162B77"/>
    <w:rsid w:val="451A4BB0"/>
    <w:rsid w:val="451F70BF"/>
    <w:rsid w:val="45355AA6"/>
    <w:rsid w:val="455433E2"/>
    <w:rsid w:val="455C2C15"/>
    <w:rsid w:val="459B6F40"/>
    <w:rsid w:val="45A82AF1"/>
    <w:rsid w:val="45A9473B"/>
    <w:rsid w:val="45F66CDB"/>
    <w:rsid w:val="460F7AA2"/>
    <w:rsid w:val="462C7223"/>
    <w:rsid w:val="462D3BCE"/>
    <w:rsid w:val="46381146"/>
    <w:rsid w:val="467632B7"/>
    <w:rsid w:val="46771E1A"/>
    <w:rsid w:val="467B0007"/>
    <w:rsid w:val="467C29B1"/>
    <w:rsid w:val="46912C7C"/>
    <w:rsid w:val="46916ED9"/>
    <w:rsid w:val="469C765A"/>
    <w:rsid w:val="46A65653"/>
    <w:rsid w:val="46BC23B1"/>
    <w:rsid w:val="46C73E89"/>
    <w:rsid w:val="47126AA3"/>
    <w:rsid w:val="471654AA"/>
    <w:rsid w:val="472D51CE"/>
    <w:rsid w:val="47637B4A"/>
    <w:rsid w:val="47672CED"/>
    <w:rsid w:val="47B91361"/>
    <w:rsid w:val="47DA04D2"/>
    <w:rsid w:val="47F46BC7"/>
    <w:rsid w:val="480D0D2D"/>
    <w:rsid w:val="481C6EC2"/>
    <w:rsid w:val="48213130"/>
    <w:rsid w:val="48406E71"/>
    <w:rsid w:val="486237E3"/>
    <w:rsid w:val="48841384"/>
    <w:rsid w:val="48A70ECB"/>
    <w:rsid w:val="48A86C03"/>
    <w:rsid w:val="48A92A71"/>
    <w:rsid w:val="48B24CCD"/>
    <w:rsid w:val="48B91332"/>
    <w:rsid w:val="48E270DA"/>
    <w:rsid w:val="48E40F36"/>
    <w:rsid w:val="48FD5A32"/>
    <w:rsid w:val="48FD773F"/>
    <w:rsid w:val="4927019B"/>
    <w:rsid w:val="49301170"/>
    <w:rsid w:val="494A576C"/>
    <w:rsid w:val="497057DE"/>
    <w:rsid w:val="49AF492A"/>
    <w:rsid w:val="49B34B5D"/>
    <w:rsid w:val="49C31F84"/>
    <w:rsid w:val="49CD155E"/>
    <w:rsid w:val="49D5100B"/>
    <w:rsid w:val="49DA2AF6"/>
    <w:rsid w:val="4A32633E"/>
    <w:rsid w:val="4A386B40"/>
    <w:rsid w:val="4A5174D5"/>
    <w:rsid w:val="4A5301E0"/>
    <w:rsid w:val="4A8C1FEB"/>
    <w:rsid w:val="4A9A20A7"/>
    <w:rsid w:val="4AC5739D"/>
    <w:rsid w:val="4AC837E3"/>
    <w:rsid w:val="4AEF0264"/>
    <w:rsid w:val="4AF86CE8"/>
    <w:rsid w:val="4B0626ED"/>
    <w:rsid w:val="4B11606F"/>
    <w:rsid w:val="4B262FFF"/>
    <w:rsid w:val="4B277842"/>
    <w:rsid w:val="4B3C1842"/>
    <w:rsid w:val="4B482B63"/>
    <w:rsid w:val="4B546190"/>
    <w:rsid w:val="4B6552B9"/>
    <w:rsid w:val="4B6C003B"/>
    <w:rsid w:val="4B733E93"/>
    <w:rsid w:val="4B9046B1"/>
    <w:rsid w:val="4B922259"/>
    <w:rsid w:val="4BA23613"/>
    <w:rsid w:val="4BB16D2C"/>
    <w:rsid w:val="4BF45280"/>
    <w:rsid w:val="4C2C4746"/>
    <w:rsid w:val="4C3931C5"/>
    <w:rsid w:val="4C62628B"/>
    <w:rsid w:val="4C696687"/>
    <w:rsid w:val="4C9D7AAD"/>
    <w:rsid w:val="4CA33017"/>
    <w:rsid w:val="4CB97B89"/>
    <w:rsid w:val="4CC73E9B"/>
    <w:rsid w:val="4CC95D78"/>
    <w:rsid w:val="4CD90C0C"/>
    <w:rsid w:val="4CF474E1"/>
    <w:rsid w:val="4D16110A"/>
    <w:rsid w:val="4D21171A"/>
    <w:rsid w:val="4D482C02"/>
    <w:rsid w:val="4D4C748E"/>
    <w:rsid w:val="4D635CDA"/>
    <w:rsid w:val="4DB35553"/>
    <w:rsid w:val="4DC42533"/>
    <w:rsid w:val="4DDD72C2"/>
    <w:rsid w:val="4DED266F"/>
    <w:rsid w:val="4DF6054A"/>
    <w:rsid w:val="4E0C7825"/>
    <w:rsid w:val="4E1C03CE"/>
    <w:rsid w:val="4E241E4A"/>
    <w:rsid w:val="4E304AF7"/>
    <w:rsid w:val="4E34095E"/>
    <w:rsid w:val="4E3C1451"/>
    <w:rsid w:val="4EC7450F"/>
    <w:rsid w:val="4EE16BEC"/>
    <w:rsid w:val="4EE70BCE"/>
    <w:rsid w:val="4EEF1C6D"/>
    <w:rsid w:val="4F176184"/>
    <w:rsid w:val="4F2B19C8"/>
    <w:rsid w:val="4F484F65"/>
    <w:rsid w:val="4F731D04"/>
    <w:rsid w:val="4FA24B2A"/>
    <w:rsid w:val="4FB14F73"/>
    <w:rsid w:val="4FB205D1"/>
    <w:rsid w:val="4FB86A2D"/>
    <w:rsid w:val="4FCF0BDA"/>
    <w:rsid w:val="4FD12837"/>
    <w:rsid w:val="4FD7351D"/>
    <w:rsid w:val="4FF651AE"/>
    <w:rsid w:val="50012320"/>
    <w:rsid w:val="501F13EE"/>
    <w:rsid w:val="503749C4"/>
    <w:rsid w:val="503C41FE"/>
    <w:rsid w:val="50577AA9"/>
    <w:rsid w:val="505E02A7"/>
    <w:rsid w:val="506D3959"/>
    <w:rsid w:val="50711524"/>
    <w:rsid w:val="50BA7AEF"/>
    <w:rsid w:val="50CA4540"/>
    <w:rsid w:val="50E24F0B"/>
    <w:rsid w:val="50FD3F27"/>
    <w:rsid w:val="50FF1CC9"/>
    <w:rsid w:val="510C1AD3"/>
    <w:rsid w:val="511F7143"/>
    <w:rsid w:val="513303DA"/>
    <w:rsid w:val="51374673"/>
    <w:rsid w:val="515C76AD"/>
    <w:rsid w:val="51606C62"/>
    <w:rsid w:val="517F1119"/>
    <w:rsid w:val="519B7F60"/>
    <w:rsid w:val="51C67D76"/>
    <w:rsid w:val="51D44569"/>
    <w:rsid w:val="52245748"/>
    <w:rsid w:val="5246264E"/>
    <w:rsid w:val="52482E9B"/>
    <w:rsid w:val="52980A1D"/>
    <w:rsid w:val="52B368D2"/>
    <w:rsid w:val="52BF08CE"/>
    <w:rsid w:val="52C0148E"/>
    <w:rsid w:val="52F82F01"/>
    <w:rsid w:val="52FE480F"/>
    <w:rsid w:val="530028E6"/>
    <w:rsid w:val="53023BF5"/>
    <w:rsid w:val="53085989"/>
    <w:rsid w:val="532B741C"/>
    <w:rsid w:val="533007CF"/>
    <w:rsid w:val="534C12C1"/>
    <w:rsid w:val="535E4B2A"/>
    <w:rsid w:val="53A91FBC"/>
    <w:rsid w:val="53C0434A"/>
    <w:rsid w:val="53C3183F"/>
    <w:rsid w:val="53E9748E"/>
    <w:rsid w:val="54015DAB"/>
    <w:rsid w:val="543C3E64"/>
    <w:rsid w:val="546E1F08"/>
    <w:rsid w:val="548B536C"/>
    <w:rsid w:val="54C7020F"/>
    <w:rsid w:val="54CA6736"/>
    <w:rsid w:val="54E32C3D"/>
    <w:rsid w:val="54EA24DA"/>
    <w:rsid w:val="553B7071"/>
    <w:rsid w:val="557044B5"/>
    <w:rsid w:val="557F4008"/>
    <w:rsid w:val="558F73DE"/>
    <w:rsid w:val="55B06CF5"/>
    <w:rsid w:val="55E209B6"/>
    <w:rsid w:val="55E5314A"/>
    <w:rsid w:val="55E87DD5"/>
    <w:rsid w:val="560B3A59"/>
    <w:rsid w:val="560E6E38"/>
    <w:rsid w:val="560F386C"/>
    <w:rsid w:val="562516D5"/>
    <w:rsid w:val="56545A7B"/>
    <w:rsid w:val="565639D4"/>
    <w:rsid w:val="5664310C"/>
    <w:rsid w:val="56A55217"/>
    <w:rsid w:val="56DA2FD6"/>
    <w:rsid w:val="5739130E"/>
    <w:rsid w:val="5741187F"/>
    <w:rsid w:val="574B1EDE"/>
    <w:rsid w:val="5754214F"/>
    <w:rsid w:val="57543B6C"/>
    <w:rsid w:val="57564711"/>
    <w:rsid w:val="575B68FC"/>
    <w:rsid w:val="575C3772"/>
    <w:rsid w:val="575F201A"/>
    <w:rsid w:val="576B211A"/>
    <w:rsid w:val="576F2E6B"/>
    <w:rsid w:val="576F4BB9"/>
    <w:rsid w:val="57704DFB"/>
    <w:rsid w:val="57D40763"/>
    <w:rsid w:val="57EE7450"/>
    <w:rsid w:val="581630B9"/>
    <w:rsid w:val="58411385"/>
    <w:rsid w:val="584E038D"/>
    <w:rsid w:val="587F3CEF"/>
    <w:rsid w:val="58933DB9"/>
    <w:rsid w:val="589434FF"/>
    <w:rsid w:val="58995B54"/>
    <w:rsid w:val="58B01989"/>
    <w:rsid w:val="58BB799D"/>
    <w:rsid w:val="58BE1216"/>
    <w:rsid w:val="58D44E78"/>
    <w:rsid w:val="58ED2A20"/>
    <w:rsid w:val="58FA4A51"/>
    <w:rsid w:val="59091731"/>
    <w:rsid w:val="591A1F9B"/>
    <w:rsid w:val="592E2820"/>
    <w:rsid w:val="5931025A"/>
    <w:rsid w:val="595C049D"/>
    <w:rsid w:val="59612701"/>
    <w:rsid w:val="59661D8C"/>
    <w:rsid w:val="59706FE8"/>
    <w:rsid w:val="5971211B"/>
    <w:rsid w:val="598A15C0"/>
    <w:rsid w:val="599D7366"/>
    <w:rsid w:val="59B7169C"/>
    <w:rsid w:val="59E7718A"/>
    <w:rsid w:val="5A175CB0"/>
    <w:rsid w:val="5A325270"/>
    <w:rsid w:val="5A3A67BD"/>
    <w:rsid w:val="5A584F17"/>
    <w:rsid w:val="5AA73AC3"/>
    <w:rsid w:val="5AEB35AE"/>
    <w:rsid w:val="5AF44270"/>
    <w:rsid w:val="5AFB329C"/>
    <w:rsid w:val="5B0E6622"/>
    <w:rsid w:val="5B2044E2"/>
    <w:rsid w:val="5B2E745F"/>
    <w:rsid w:val="5B616ACD"/>
    <w:rsid w:val="5B6574E5"/>
    <w:rsid w:val="5B8E05D1"/>
    <w:rsid w:val="5B9C74B8"/>
    <w:rsid w:val="5BB53C61"/>
    <w:rsid w:val="5BBD4E7D"/>
    <w:rsid w:val="5BBD601B"/>
    <w:rsid w:val="5BC745FE"/>
    <w:rsid w:val="5BD9254F"/>
    <w:rsid w:val="5BFE07AB"/>
    <w:rsid w:val="5C153EA1"/>
    <w:rsid w:val="5C3B5D27"/>
    <w:rsid w:val="5C3E1B50"/>
    <w:rsid w:val="5C471115"/>
    <w:rsid w:val="5C6E5DDE"/>
    <w:rsid w:val="5CA429CA"/>
    <w:rsid w:val="5CB37FB8"/>
    <w:rsid w:val="5CD15CDA"/>
    <w:rsid w:val="5CED7974"/>
    <w:rsid w:val="5D004552"/>
    <w:rsid w:val="5D523D98"/>
    <w:rsid w:val="5D5A4D0C"/>
    <w:rsid w:val="5D784915"/>
    <w:rsid w:val="5DA066A4"/>
    <w:rsid w:val="5DA14EC6"/>
    <w:rsid w:val="5DA9368A"/>
    <w:rsid w:val="5DC26ECD"/>
    <w:rsid w:val="5DC53DC0"/>
    <w:rsid w:val="5DE9198B"/>
    <w:rsid w:val="5DF91AFB"/>
    <w:rsid w:val="5E024C13"/>
    <w:rsid w:val="5E4F3C83"/>
    <w:rsid w:val="5E50259A"/>
    <w:rsid w:val="5E66061B"/>
    <w:rsid w:val="5E9149EF"/>
    <w:rsid w:val="5E92027B"/>
    <w:rsid w:val="5E9D66A0"/>
    <w:rsid w:val="5EB30E9B"/>
    <w:rsid w:val="5EBF1CEC"/>
    <w:rsid w:val="5EE048CD"/>
    <w:rsid w:val="5EE22437"/>
    <w:rsid w:val="5F2204E6"/>
    <w:rsid w:val="5F234D4F"/>
    <w:rsid w:val="5F5B0A09"/>
    <w:rsid w:val="5F830908"/>
    <w:rsid w:val="5F9547AA"/>
    <w:rsid w:val="5FB34D61"/>
    <w:rsid w:val="5FC43EEE"/>
    <w:rsid w:val="5FDF5A92"/>
    <w:rsid w:val="5FE15F0A"/>
    <w:rsid w:val="6040045D"/>
    <w:rsid w:val="60584872"/>
    <w:rsid w:val="608E43CA"/>
    <w:rsid w:val="60981FC5"/>
    <w:rsid w:val="60A22DDE"/>
    <w:rsid w:val="60A84397"/>
    <w:rsid w:val="60FE092F"/>
    <w:rsid w:val="611A5AF6"/>
    <w:rsid w:val="618767DF"/>
    <w:rsid w:val="61881C9F"/>
    <w:rsid w:val="618D46B2"/>
    <w:rsid w:val="61992F2A"/>
    <w:rsid w:val="61993088"/>
    <w:rsid w:val="619C46B7"/>
    <w:rsid w:val="623770C7"/>
    <w:rsid w:val="625C1C4D"/>
    <w:rsid w:val="629C6979"/>
    <w:rsid w:val="629F4AAB"/>
    <w:rsid w:val="62BB028E"/>
    <w:rsid w:val="62D728C1"/>
    <w:rsid w:val="6301025F"/>
    <w:rsid w:val="634B06BA"/>
    <w:rsid w:val="63551E04"/>
    <w:rsid w:val="637A4CDB"/>
    <w:rsid w:val="63922F7B"/>
    <w:rsid w:val="639A2061"/>
    <w:rsid w:val="63D20EB9"/>
    <w:rsid w:val="63D95314"/>
    <w:rsid w:val="63E06FA8"/>
    <w:rsid w:val="63F75E33"/>
    <w:rsid w:val="640108C9"/>
    <w:rsid w:val="640B2ABB"/>
    <w:rsid w:val="642814C2"/>
    <w:rsid w:val="642E087D"/>
    <w:rsid w:val="6441428E"/>
    <w:rsid w:val="646A7044"/>
    <w:rsid w:val="646A7C2E"/>
    <w:rsid w:val="646F1325"/>
    <w:rsid w:val="648C67C4"/>
    <w:rsid w:val="64A60414"/>
    <w:rsid w:val="64A665CC"/>
    <w:rsid w:val="64B12A8C"/>
    <w:rsid w:val="64BD20D2"/>
    <w:rsid w:val="64C90F33"/>
    <w:rsid w:val="64E44510"/>
    <w:rsid w:val="64FA5FFB"/>
    <w:rsid w:val="65137A63"/>
    <w:rsid w:val="65505D45"/>
    <w:rsid w:val="65550323"/>
    <w:rsid w:val="655A5516"/>
    <w:rsid w:val="657A5663"/>
    <w:rsid w:val="65A83442"/>
    <w:rsid w:val="65FA5D95"/>
    <w:rsid w:val="660478DC"/>
    <w:rsid w:val="66280128"/>
    <w:rsid w:val="664759BF"/>
    <w:rsid w:val="669B61AD"/>
    <w:rsid w:val="66B40344"/>
    <w:rsid w:val="66C02046"/>
    <w:rsid w:val="66F72D3E"/>
    <w:rsid w:val="670207FF"/>
    <w:rsid w:val="671450A3"/>
    <w:rsid w:val="671639DD"/>
    <w:rsid w:val="67473B4B"/>
    <w:rsid w:val="674A2898"/>
    <w:rsid w:val="68087AF3"/>
    <w:rsid w:val="68582E5C"/>
    <w:rsid w:val="686E0FC3"/>
    <w:rsid w:val="68C72ADD"/>
    <w:rsid w:val="68D10581"/>
    <w:rsid w:val="68E85073"/>
    <w:rsid w:val="68F454FF"/>
    <w:rsid w:val="69170A86"/>
    <w:rsid w:val="691A4C85"/>
    <w:rsid w:val="693808CF"/>
    <w:rsid w:val="694C6EB7"/>
    <w:rsid w:val="6971210F"/>
    <w:rsid w:val="698A2797"/>
    <w:rsid w:val="69B15370"/>
    <w:rsid w:val="69ED0402"/>
    <w:rsid w:val="69F1704C"/>
    <w:rsid w:val="69F325E6"/>
    <w:rsid w:val="6A2C46DB"/>
    <w:rsid w:val="6A2F5BAB"/>
    <w:rsid w:val="6A485B3D"/>
    <w:rsid w:val="6A485D41"/>
    <w:rsid w:val="6ABF7C8D"/>
    <w:rsid w:val="6AD32D9A"/>
    <w:rsid w:val="6AD37375"/>
    <w:rsid w:val="6AE43C85"/>
    <w:rsid w:val="6B1526D1"/>
    <w:rsid w:val="6B5475CC"/>
    <w:rsid w:val="6B684518"/>
    <w:rsid w:val="6BA12364"/>
    <w:rsid w:val="6BD01E04"/>
    <w:rsid w:val="6BD37E16"/>
    <w:rsid w:val="6C1636F5"/>
    <w:rsid w:val="6C7A57F4"/>
    <w:rsid w:val="6C8E36AD"/>
    <w:rsid w:val="6CA207CA"/>
    <w:rsid w:val="6CE25674"/>
    <w:rsid w:val="6CF27DEE"/>
    <w:rsid w:val="6CFA7553"/>
    <w:rsid w:val="6D0726D4"/>
    <w:rsid w:val="6D1934C8"/>
    <w:rsid w:val="6D3D663B"/>
    <w:rsid w:val="6D523E0F"/>
    <w:rsid w:val="6D5F2BBF"/>
    <w:rsid w:val="6D7D67B3"/>
    <w:rsid w:val="6DBE7A6C"/>
    <w:rsid w:val="6E1309FA"/>
    <w:rsid w:val="6E31698B"/>
    <w:rsid w:val="6E4314FD"/>
    <w:rsid w:val="6E48359C"/>
    <w:rsid w:val="6E4A53F1"/>
    <w:rsid w:val="6E590E42"/>
    <w:rsid w:val="6E5B09B2"/>
    <w:rsid w:val="6E78199E"/>
    <w:rsid w:val="6EAC7F7E"/>
    <w:rsid w:val="6EBD0B62"/>
    <w:rsid w:val="6EBF73B8"/>
    <w:rsid w:val="6EF214E8"/>
    <w:rsid w:val="6EFE77A7"/>
    <w:rsid w:val="6F3D0DF8"/>
    <w:rsid w:val="6F5D4329"/>
    <w:rsid w:val="6F6A46D5"/>
    <w:rsid w:val="6F6F6301"/>
    <w:rsid w:val="6F824C21"/>
    <w:rsid w:val="6FA02C80"/>
    <w:rsid w:val="6FC6196E"/>
    <w:rsid w:val="6FCE5D53"/>
    <w:rsid w:val="6FE21C2C"/>
    <w:rsid w:val="6FF065BC"/>
    <w:rsid w:val="6FF63F83"/>
    <w:rsid w:val="6FFC0DA7"/>
    <w:rsid w:val="701A4159"/>
    <w:rsid w:val="70367461"/>
    <w:rsid w:val="706E1AF2"/>
    <w:rsid w:val="70817DE9"/>
    <w:rsid w:val="709479F8"/>
    <w:rsid w:val="709F2EA3"/>
    <w:rsid w:val="70D06DE7"/>
    <w:rsid w:val="70D31440"/>
    <w:rsid w:val="70D33703"/>
    <w:rsid w:val="70DD4CC5"/>
    <w:rsid w:val="70E14AC9"/>
    <w:rsid w:val="70ED36F2"/>
    <w:rsid w:val="71055F50"/>
    <w:rsid w:val="7114449C"/>
    <w:rsid w:val="71284FD1"/>
    <w:rsid w:val="712B0014"/>
    <w:rsid w:val="712C4CAA"/>
    <w:rsid w:val="71391B05"/>
    <w:rsid w:val="71490F6B"/>
    <w:rsid w:val="717E1B98"/>
    <w:rsid w:val="71952429"/>
    <w:rsid w:val="71C52EFE"/>
    <w:rsid w:val="71EF7920"/>
    <w:rsid w:val="722B4DBD"/>
    <w:rsid w:val="722B6850"/>
    <w:rsid w:val="723B532D"/>
    <w:rsid w:val="72497186"/>
    <w:rsid w:val="72A82C02"/>
    <w:rsid w:val="72B620F8"/>
    <w:rsid w:val="72C1173B"/>
    <w:rsid w:val="72C90B9F"/>
    <w:rsid w:val="73080EDA"/>
    <w:rsid w:val="731342AC"/>
    <w:rsid w:val="733625CB"/>
    <w:rsid w:val="734A3736"/>
    <w:rsid w:val="73621BC5"/>
    <w:rsid w:val="7365781B"/>
    <w:rsid w:val="738B6EE3"/>
    <w:rsid w:val="73A43E99"/>
    <w:rsid w:val="73E035FB"/>
    <w:rsid w:val="73E90DCA"/>
    <w:rsid w:val="73F45E65"/>
    <w:rsid w:val="740A718F"/>
    <w:rsid w:val="74144FD4"/>
    <w:rsid w:val="741724FA"/>
    <w:rsid w:val="74464A4A"/>
    <w:rsid w:val="74931C1A"/>
    <w:rsid w:val="74B643DD"/>
    <w:rsid w:val="74D300EB"/>
    <w:rsid w:val="74F26947"/>
    <w:rsid w:val="74F91B76"/>
    <w:rsid w:val="750B13EB"/>
    <w:rsid w:val="7529106A"/>
    <w:rsid w:val="7536084B"/>
    <w:rsid w:val="75494772"/>
    <w:rsid w:val="754D2630"/>
    <w:rsid w:val="75B77EB1"/>
    <w:rsid w:val="75BE2F07"/>
    <w:rsid w:val="75C75337"/>
    <w:rsid w:val="75D34C9D"/>
    <w:rsid w:val="75EF69F6"/>
    <w:rsid w:val="75F57701"/>
    <w:rsid w:val="75FC108B"/>
    <w:rsid w:val="760A4AA1"/>
    <w:rsid w:val="760F01D1"/>
    <w:rsid w:val="76243C5C"/>
    <w:rsid w:val="76410BAD"/>
    <w:rsid w:val="764247AD"/>
    <w:rsid w:val="768063F5"/>
    <w:rsid w:val="768D4800"/>
    <w:rsid w:val="76B741AC"/>
    <w:rsid w:val="76C10C38"/>
    <w:rsid w:val="76C6108F"/>
    <w:rsid w:val="76C71B5A"/>
    <w:rsid w:val="76D3053A"/>
    <w:rsid w:val="76EB0B8E"/>
    <w:rsid w:val="77431F74"/>
    <w:rsid w:val="77710981"/>
    <w:rsid w:val="77780B47"/>
    <w:rsid w:val="77A22EEB"/>
    <w:rsid w:val="77B4388B"/>
    <w:rsid w:val="77BB19B0"/>
    <w:rsid w:val="78117FC9"/>
    <w:rsid w:val="78235221"/>
    <w:rsid w:val="7839122B"/>
    <w:rsid w:val="784A5638"/>
    <w:rsid w:val="784B7E79"/>
    <w:rsid w:val="7863750F"/>
    <w:rsid w:val="787714EC"/>
    <w:rsid w:val="78A33667"/>
    <w:rsid w:val="78D071D9"/>
    <w:rsid w:val="78D6306C"/>
    <w:rsid w:val="78EE70A5"/>
    <w:rsid w:val="78F70305"/>
    <w:rsid w:val="790A372E"/>
    <w:rsid w:val="7922569F"/>
    <w:rsid w:val="79354E61"/>
    <w:rsid w:val="79836D8D"/>
    <w:rsid w:val="7990778D"/>
    <w:rsid w:val="79AC3ADA"/>
    <w:rsid w:val="79BF006A"/>
    <w:rsid w:val="79C62CEB"/>
    <w:rsid w:val="79CE3E6E"/>
    <w:rsid w:val="79D053FA"/>
    <w:rsid w:val="79D23B2C"/>
    <w:rsid w:val="79F247F7"/>
    <w:rsid w:val="7A020E25"/>
    <w:rsid w:val="7A0E459F"/>
    <w:rsid w:val="7A0F2BA2"/>
    <w:rsid w:val="7A3B4689"/>
    <w:rsid w:val="7A3E6228"/>
    <w:rsid w:val="7A5E0269"/>
    <w:rsid w:val="7A756E52"/>
    <w:rsid w:val="7AA63AD5"/>
    <w:rsid w:val="7AB058EB"/>
    <w:rsid w:val="7AE76339"/>
    <w:rsid w:val="7B3F52F5"/>
    <w:rsid w:val="7B555EFE"/>
    <w:rsid w:val="7B9A75E4"/>
    <w:rsid w:val="7B9D2FA8"/>
    <w:rsid w:val="7BDC6F90"/>
    <w:rsid w:val="7BDF43AA"/>
    <w:rsid w:val="7C021C57"/>
    <w:rsid w:val="7C132B46"/>
    <w:rsid w:val="7C151851"/>
    <w:rsid w:val="7C3B3126"/>
    <w:rsid w:val="7C3C599B"/>
    <w:rsid w:val="7C5F1E16"/>
    <w:rsid w:val="7C8404F0"/>
    <w:rsid w:val="7C8C6347"/>
    <w:rsid w:val="7CE776F2"/>
    <w:rsid w:val="7D0754B7"/>
    <w:rsid w:val="7D224DA3"/>
    <w:rsid w:val="7D2665CB"/>
    <w:rsid w:val="7D5F3729"/>
    <w:rsid w:val="7D854F23"/>
    <w:rsid w:val="7D9E7F26"/>
    <w:rsid w:val="7DAB2C73"/>
    <w:rsid w:val="7DB94509"/>
    <w:rsid w:val="7DD511F5"/>
    <w:rsid w:val="7DF24408"/>
    <w:rsid w:val="7DFD3B0B"/>
    <w:rsid w:val="7E3E165F"/>
    <w:rsid w:val="7E4F6529"/>
    <w:rsid w:val="7E7D3320"/>
    <w:rsid w:val="7EC55935"/>
    <w:rsid w:val="7ED14282"/>
    <w:rsid w:val="7ED66C95"/>
    <w:rsid w:val="7EDA056A"/>
    <w:rsid w:val="7EDC6CCA"/>
    <w:rsid w:val="7EDF434F"/>
    <w:rsid w:val="7EE921B4"/>
    <w:rsid w:val="7EF504DD"/>
    <w:rsid w:val="7F2A4026"/>
    <w:rsid w:val="7F474EFA"/>
    <w:rsid w:val="7F544794"/>
    <w:rsid w:val="7F8405E3"/>
    <w:rsid w:val="7FA03899"/>
    <w:rsid w:val="7FA50C67"/>
    <w:rsid w:val="7FA836CC"/>
    <w:rsid w:val="7FBD30F5"/>
    <w:rsid w:val="7FD00BED"/>
    <w:rsid w:val="7FD43571"/>
    <w:rsid w:val="7FF773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1"/>
      <w:szCs w:val="21"/>
      <w:lang w:val="en-US" w:eastAsia="zh-CN" w:bidi="ar-SA"/>
    </w:rPr>
  </w:style>
  <w:style w:type="paragraph" w:styleId="3">
    <w:name w:val="heading 2"/>
    <w:basedOn w:val="1"/>
    <w:next w:val="4"/>
    <w:qFormat/>
    <w:uiPriority w:val="0"/>
    <w:pPr>
      <w:keepNext/>
      <w:keepLines/>
      <w:widowControl w:val="0"/>
      <w:spacing w:before="260" w:after="260" w:line="412" w:lineRule="auto"/>
      <w:outlineLvl w:val="1"/>
    </w:pPr>
    <w:rPr>
      <w:rFonts w:ascii="Arial" w:hAnsi="Arial" w:eastAsia="黑体"/>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spacing w:line="360" w:lineRule="auto"/>
    </w:pPr>
    <w:rPr>
      <w:kern w:val="2"/>
      <w:szCs w:val="24"/>
    </w:rPr>
  </w:style>
  <w:style w:type="paragraph" w:styleId="4">
    <w:name w:val="Normal Indent"/>
    <w:basedOn w:val="1"/>
    <w:qFormat/>
    <w:uiPriority w:val="0"/>
    <w:pPr>
      <w:ind w:firstLine="420" w:firstLineChars="200"/>
    </w:pPr>
  </w:style>
  <w:style w:type="paragraph" w:styleId="5">
    <w:name w:val="Normal (Web)"/>
    <w:basedOn w:val="1"/>
    <w:qFormat/>
    <w:uiPriority w:val="0"/>
    <w:pPr>
      <w:spacing w:before="100" w:beforeAutospacing="1" w:after="100" w:afterAutospacing="1"/>
    </w:pPr>
    <w:rPr>
      <w:sz w:val="24"/>
      <w:szCs w:val="24"/>
    </w:rPr>
  </w:style>
  <w:style w:type="character" w:styleId="8">
    <w:name w:val="Hyperlink"/>
    <w:basedOn w:val="7"/>
    <w:qFormat/>
    <w:uiPriority w:val="99"/>
    <w:rPr>
      <w:rFonts w:ascii="Times New Roman" w:hAnsi="Times New Roman" w:eastAsia="宋体" w:cs="Times New Roman"/>
      <w:color w:val="333333"/>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2021-03-16T03:11:00Z</dcterms:created>
  <dc:creator>hp</dc:creator>
  <cp:lastModifiedBy>zz</cp:lastModifiedBy>
  <dcterms:modified xsi:type="dcterms:W3CDTF">2026-05-15T03:37:47Z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2887ACFF6522401B95F1EBF29F56AC6F</vt:lpwstr>
  </property>
  <property fmtid="{D5CDD505-2E9C-101B-9397-08002B2CF9AE}" pid="4" name="KSOTemplateDocerSaveRecord">
    <vt:lpwstr>eyJoZGlkIjoiZGM4M2M0NjU5ZGNhZjY1NzQzNjFhZjgxNGNjNjgxMGYiLCJ1c2VySWQiOiI3MjY0MTgxNTgifQ==</vt:lpwstr>
  </property>
</Properties>
</file>