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版本号：N513423202500006020250710001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2025年凉山彝族火把节盐源县精品节目展演</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N5134232025000060</w:t>
      </w:r>
    </w:p>
    <w:p>
      <w:pPr>
        <w:pStyle w:val="null3"/>
        <w:jc w:val="center"/>
        <w:outlineLvl w:val="2"/>
      </w:pPr>
      <w:r>
        <w:rPr>
          <w:rFonts w:ascii="仿宋_GB2312" w:hAnsi="仿宋_GB2312" w:cs="仿宋_GB2312" w:eastAsia="仿宋_GB2312"/>
          <w:sz w:val="28"/>
          <w:b/>
        </w:rPr>
        <w:t>盐源县文化广播电视和旅游局</w:t>
      </w:r>
    </w:p>
    <w:p>
      <w:pPr>
        <w:pStyle w:val="null3"/>
        <w:jc w:val="center"/>
        <w:outlineLvl w:val="2"/>
      </w:pPr>
      <w:r>
        <w:rPr>
          <w:rFonts w:ascii="仿宋_GB2312" w:hAnsi="仿宋_GB2312" w:cs="仿宋_GB2312" w:eastAsia="仿宋_GB2312"/>
          <w:sz w:val="28"/>
          <w:b/>
        </w:rPr>
        <w:t>凉山盛达招标代理有限公司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凉山盛达招标代理有限公司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盐源县文化广播电视和旅游局</w:t>
      </w:r>
      <w:r>
        <w:rPr>
          <w:rFonts w:ascii="仿宋_GB2312" w:hAnsi="仿宋_GB2312" w:cs="仿宋_GB2312" w:eastAsia="仿宋_GB2312"/>
        </w:rPr>
        <w:t xml:space="preserve"> 委托，拟对 </w:t>
      </w:r>
      <w:r>
        <w:rPr>
          <w:rFonts w:ascii="仿宋_GB2312" w:hAnsi="仿宋_GB2312" w:cs="仿宋_GB2312" w:eastAsia="仿宋_GB2312"/>
        </w:rPr>
        <w:t>2025年凉山彝族火把节盐源县精品节目展演</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凉山彝族自治州盐源县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N5134232025000060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2025年凉山彝族火把节盐源县精品节目展演</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按照2025年凉山彝族火把节精品节目展演及2025年凉山彝族火把节传统选美活动通知，需精选不少于3个具有盐源特色的原创舞台精品节目(包括音乐或舞蹈或曲艺或戏剧类节目)进行展演。</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1、参加本项目政府采购活动的供应商、法定代表人（主要负责人）在参加本项目采购活动前不得具有行贿犯罪记录。（描述：供应商在项目电子化交易系统中自行提供承诺函并加盖电子签章。）</w:t>
      </w:r>
    </w:p>
    <w:p>
      <w:pPr>
        <w:pStyle w:val="null3"/>
        <w:jc w:val="left"/>
      </w:pPr>
      <w:r>
        <w:rPr>
          <w:rFonts w:ascii="仿宋_GB2312" w:hAnsi="仿宋_GB2312" w:cs="仿宋_GB2312" w:eastAsia="仿宋_GB2312"/>
        </w:rPr>
        <w:t>2、本项目不接受联合体磋商。（描述：供应商在项目电子化交易系统中自行提供承诺函并加盖电子签章。）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盐源县文化广播电视和旅游局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盐源县盐井街道两馆一台九楼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喇老师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0834-6362747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凉山盛达招标代理有限公司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西昌市健康二环路华忠茶坊六楼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0834-7178253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代理服务费收费标准：根据《四川省政府采购营商环境指标提升专项行动工作方案》中“成本+合理利润”原则，本项目代理服务费按照采购预算的2%收取。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盐源县文化广播电视和旅游局</w:t>
      </w:r>
      <w:r>
        <w:rPr>
          <w:rFonts w:ascii="仿宋_GB2312" w:hAnsi="仿宋_GB2312" w:cs="仿宋_GB2312" w:eastAsia="仿宋_GB2312"/>
        </w:rPr>
        <w:t xml:space="preserve"> 和 </w:t>
      </w:r>
      <w:r>
        <w:rPr>
          <w:rFonts w:ascii="仿宋_GB2312" w:hAnsi="仿宋_GB2312" w:cs="仿宋_GB2312" w:eastAsia="仿宋_GB2312"/>
        </w:rPr>
        <w:t>凉山盛达招标代理有限公司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盐源县文化广播电视和旅游局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凉山盛达招标代理有限公司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三、供应商应当及时查看更正公告、更正信息，并根据更正公告、更正信息要求，下载更正后的磋商文件，进行响应文件编制。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验收内容包括每一项技术要求的履约情况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验收内容要包括每一项商务要求的履约情况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专业人员会同成交供应商按照政府采购相关法律法规以及《财政部关于进一步加强政府采购项目需求和履约验收管理的指导意见》财库（2016）205号文的的规定，结合本项目磋商文件响应文件及采购合同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盐源县文化广播电视和旅游局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凉山盛达招标代理有限公司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凉山盛达招标代理有限公司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联系人：喇老师</w:t>
      </w:r>
    </w:p>
    <w:p>
      <w:pPr>
        <w:pStyle w:val="null3"/>
        <w:jc w:val="left"/>
      </w:pPr>
      <w:r>
        <w:rPr>
          <w:rFonts w:ascii="仿宋_GB2312" w:hAnsi="仿宋_GB2312" w:cs="仿宋_GB2312" w:eastAsia="仿宋_GB2312"/>
        </w:rPr>
        <w:t>联系电话：0834-6362747</w:t>
      </w:r>
    </w:p>
    <w:p>
      <w:pPr>
        <w:pStyle w:val="null3"/>
        <w:jc w:val="left"/>
      </w:pPr>
      <w:r>
        <w:rPr>
          <w:rFonts w:ascii="仿宋_GB2312" w:hAnsi="仿宋_GB2312" w:cs="仿宋_GB2312" w:eastAsia="仿宋_GB2312"/>
        </w:rPr>
        <w:t>地址：盐源县盐井街道两馆一台九楼</w:t>
      </w:r>
    </w:p>
    <w:p>
      <w:pPr>
        <w:pStyle w:val="null3"/>
        <w:jc w:val="left"/>
      </w:pPr>
      <w:r>
        <w:rPr>
          <w:rFonts w:ascii="仿宋_GB2312" w:hAnsi="仿宋_GB2312" w:cs="仿宋_GB2312" w:eastAsia="仿宋_GB2312"/>
        </w:rPr>
        <w:t>邮编：615700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联系电话：0834-7178253</w:t>
      </w:r>
    </w:p>
    <w:p>
      <w:pPr>
        <w:pStyle w:val="null3"/>
        <w:jc w:val="left"/>
      </w:pPr>
      <w:r>
        <w:rPr>
          <w:rFonts w:ascii="仿宋_GB2312" w:hAnsi="仿宋_GB2312" w:cs="仿宋_GB2312" w:eastAsia="仿宋_GB2312"/>
        </w:rPr>
        <w:t>地址：西昌市健康二环路华忠茶坊六楼</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800,000.00</w:t>
      </w:r>
    </w:p>
    <w:p>
      <w:pPr>
        <w:pStyle w:val="null3"/>
        <w:jc w:val="left"/>
      </w:pPr>
      <w:r>
        <w:rPr>
          <w:rFonts w:ascii="仿宋_GB2312" w:hAnsi="仿宋_GB2312" w:cs="仿宋_GB2312" w:eastAsia="仿宋_GB2312"/>
        </w:rPr>
        <w:t>采购包最高限价（元）: 765,000.00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2025年凉山彝族火把节盐源县精品节目展演</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765,000.00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2025年凉山彝族火把节盐源县精品节目展演</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765,000.00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标的名称：2025年凉山彝族火把节盐源县精品节目展演</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color w:val="000000"/>
              </w:rPr>
              <w:t>1、负责不少于3个具有盐源特色的原创舞台精品节目编导</w:t>
            </w:r>
            <w:r>
              <w:rPr>
                <w:rFonts w:ascii="仿宋_GB2312" w:hAnsi="仿宋_GB2312" w:cs="仿宋_GB2312" w:eastAsia="仿宋_GB2312"/>
                <w:sz w:val="24"/>
                <w:color w:val="000000"/>
              </w:rPr>
              <w:t>(包括音乐</w:t>
            </w:r>
            <w:r>
              <w:rPr>
                <w:rFonts w:ascii="仿宋_GB2312" w:hAnsi="仿宋_GB2312" w:cs="仿宋_GB2312" w:eastAsia="仿宋_GB2312"/>
                <w:sz w:val="24"/>
                <w:color w:val="000000"/>
              </w:rPr>
              <w:t>或</w:t>
            </w:r>
            <w:r>
              <w:rPr>
                <w:rFonts w:ascii="仿宋_GB2312" w:hAnsi="仿宋_GB2312" w:cs="仿宋_GB2312" w:eastAsia="仿宋_GB2312"/>
                <w:sz w:val="24"/>
                <w:color w:val="000000"/>
              </w:rPr>
              <w:t>舞蹈</w:t>
            </w:r>
            <w:r>
              <w:rPr>
                <w:rFonts w:ascii="仿宋_GB2312" w:hAnsi="仿宋_GB2312" w:cs="仿宋_GB2312" w:eastAsia="仿宋_GB2312"/>
                <w:sz w:val="24"/>
                <w:color w:val="000000"/>
              </w:rPr>
              <w:t>或</w:t>
            </w:r>
            <w:r>
              <w:rPr>
                <w:rFonts w:ascii="仿宋_GB2312" w:hAnsi="仿宋_GB2312" w:cs="仿宋_GB2312" w:eastAsia="仿宋_GB2312"/>
                <w:sz w:val="24"/>
                <w:color w:val="000000"/>
              </w:rPr>
              <w:t>曲艺</w:t>
            </w:r>
            <w:r>
              <w:rPr>
                <w:rFonts w:ascii="仿宋_GB2312" w:hAnsi="仿宋_GB2312" w:cs="仿宋_GB2312" w:eastAsia="仿宋_GB2312"/>
                <w:sz w:val="24"/>
                <w:color w:val="000000"/>
              </w:rPr>
              <w:t>或</w:t>
            </w:r>
            <w:r>
              <w:rPr>
                <w:rFonts w:ascii="仿宋_GB2312" w:hAnsi="仿宋_GB2312" w:cs="仿宋_GB2312" w:eastAsia="仿宋_GB2312"/>
                <w:sz w:val="24"/>
                <w:color w:val="000000"/>
              </w:rPr>
              <w:t>戏剧</w:t>
            </w:r>
            <w:r>
              <w:rPr>
                <w:rFonts w:ascii="仿宋_GB2312" w:hAnsi="仿宋_GB2312" w:cs="仿宋_GB2312" w:eastAsia="仿宋_GB2312"/>
                <w:sz w:val="24"/>
                <w:color w:val="000000"/>
              </w:rPr>
              <w:t>类</w:t>
            </w:r>
            <w:r>
              <w:rPr>
                <w:rFonts w:ascii="仿宋_GB2312" w:hAnsi="仿宋_GB2312" w:cs="仿宋_GB2312" w:eastAsia="仿宋_GB2312"/>
                <w:sz w:val="24"/>
                <w:color w:val="000000"/>
              </w:rPr>
              <w:t>节目</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2、负责节目创作、排练、彩排、演出现场执行等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3、负责精品展音乐制作。</w:t>
            </w:r>
          </w:p>
          <w:p>
            <w:pPr>
              <w:pStyle w:val="null3"/>
              <w:jc w:val="left"/>
            </w:pPr>
            <w:r>
              <w:rPr>
                <w:rFonts w:ascii="仿宋_GB2312" w:hAnsi="仿宋_GB2312" w:cs="仿宋_GB2312" w:eastAsia="仿宋_GB2312"/>
                <w:sz w:val="24"/>
                <w:color w:val="000000"/>
              </w:rPr>
              <w:t>4、组织不少于1名歌手（含个人或组合）参加演出，烘托节目气氛，并负责其出场费、食宿、交通及安全。</w:t>
            </w:r>
          </w:p>
          <w:p>
            <w:pPr>
              <w:pStyle w:val="null3"/>
              <w:jc w:val="left"/>
            </w:pPr>
            <w:r>
              <w:rPr>
                <w:rFonts w:ascii="仿宋_GB2312" w:hAnsi="仿宋_GB2312" w:cs="仿宋_GB2312" w:eastAsia="仿宋_GB2312"/>
                <w:sz w:val="24"/>
                <w:color w:val="000000"/>
              </w:rPr>
              <w:t>5、组织不少于40名舞蹈演员参演，并负责其出场费、食宿、交通及安全。</w:t>
            </w:r>
          </w:p>
          <w:p>
            <w:pPr>
              <w:pStyle w:val="null3"/>
              <w:jc w:val="left"/>
            </w:pPr>
            <w:r>
              <w:rPr>
                <w:rFonts w:ascii="仿宋_GB2312" w:hAnsi="仿宋_GB2312" w:cs="仿宋_GB2312" w:eastAsia="仿宋_GB2312"/>
                <w:sz w:val="24"/>
                <w:color w:val="000000"/>
              </w:rPr>
              <w:t>6、根据舞蹈内容，定制不少于40套服装和道具。</w:t>
            </w:r>
          </w:p>
          <w:p>
            <w:pPr>
              <w:pStyle w:val="null3"/>
              <w:jc w:val="left"/>
            </w:pPr>
            <w:r>
              <w:rPr>
                <w:rFonts w:ascii="仿宋_GB2312" w:hAnsi="仿宋_GB2312" w:cs="仿宋_GB2312" w:eastAsia="仿宋_GB2312"/>
                <w:sz w:val="24"/>
                <w:color w:val="000000"/>
              </w:rPr>
              <w:t>7、完成精品展演比赛，并负责节目预审、彩排, 节目正式开始前1-2 天进行现场全程带装（妆）彩排。</w:t>
            </w:r>
          </w:p>
          <w:p>
            <w:pPr>
              <w:pStyle w:val="null3"/>
              <w:jc w:val="left"/>
            </w:pPr>
            <w:r>
              <w:rPr>
                <w:rFonts w:ascii="仿宋_GB2312" w:hAnsi="仿宋_GB2312" w:cs="仿宋_GB2312" w:eastAsia="仿宋_GB2312"/>
                <w:sz w:val="24"/>
                <w:color w:val="000000"/>
              </w:rPr>
              <w:t>8、作品内容：参演作品为未获得过州级以上奖项的作品；内容弘扬时代精神、讴歌民族团结、内容健康向上、反映群众幸福生活等题材，具有浓郁民族特色、鲜明地域特点和强烈时代气息，内容贴近生活、贴近实际、贴近群众；坚持作品的思想性及创新意识、时代精神和民族特色,力求作品形式新颖、表演形式多样，艺术性及观赏性相统一，有较高的艺术水准作品的创作者和表演者；鼓励盐源本土人才参与作品创作表演，积极培养本土文艺队伍。</w:t>
            </w:r>
          </w:p>
          <w:p>
            <w:pPr>
              <w:pStyle w:val="null3"/>
              <w:jc w:val="both"/>
            </w:pPr>
            <w:r>
              <w:rPr>
                <w:rFonts w:ascii="仿宋_GB2312" w:hAnsi="仿宋_GB2312" w:cs="仿宋_GB2312" w:eastAsia="仿宋_GB2312"/>
                <w:sz w:val="24"/>
                <w:color w:val="000000"/>
              </w:rPr>
              <w:t>9、所参加展演的作品能达到上演标准</w:t>
            </w:r>
            <w:r>
              <w:rPr>
                <w:rFonts w:ascii="仿宋_GB2312" w:hAnsi="仿宋_GB2312" w:cs="仿宋_GB2312" w:eastAsia="仿宋_GB2312"/>
                <w:sz w:val="24"/>
                <w:color w:val="000000"/>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）本项目</w:t>
            </w:r>
            <w:r>
              <w:rPr>
                <w:rFonts w:ascii="仿宋_GB2312" w:hAnsi="仿宋_GB2312" w:cs="仿宋_GB2312" w:eastAsia="仿宋_GB2312"/>
                <w:sz w:val="24"/>
                <w:color w:val="000000"/>
              </w:rPr>
              <w:t>最终</w:t>
            </w:r>
            <w:r>
              <w:rPr>
                <w:rFonts w:ascii="仿宋_GB2312" w:hAnsi="仿宋_GB2312" w:cs="仿宋_GB2312" w:eastAsia="仿宋_GB2312"/>
                <w:sz w:val="24"/>
                <w:color w:val="000000"/>
              </w:rPr>
              <w:t>报价是供应商完成项目所有服务内容的综合报价，包括供应商履约过程中的编导</w:t>
            </w:r>
            <w:r>
              <w:rPr>
                <w:rFonts w:ascii="仿宋_GB2312" w:hAnsi="仿宋_GB2312" w:cs="仿宋_GB2312" w:eastAsia="仿宋_GB2312"/>
                <w:sz w:val="24"/>
                <w:color w:val="000000"/>
              </w:rPr>
              <w:t>、撰稿、</w:t>
            </w:r>
            <w:r>
              <w:rPr>
                <w:rFonts w:ascii="仿宋_GB2312" w:hAnsi="仿宋_GB2312" w:cs="仿宋_GB2312" w:eastAsia="仿宋_GB2312"/>
                <w:sz w:val="24"/>
                <w:color w:val="000000"/>
              </w:rPr>
              <w:t>人员配置、</w:t>
            </w:r>
            <w:r>
              <w:rPr>
                <w:rFonts w:ascii="仿宋_GB2312" w:hAnsi="仿宋_GB2312" w:cs="仿宋_GB2312" w:eastAsia="仿宋_GB2312"/>
                <w:sz w:val="24"/>
                <w:color w:val="000000"/>
              </w:rPr>
              <w:t>所有人员的出场费、</w:t>
            </w:r>
            <w:r>
              <w:rPr>
                <w:rFonts w:ascii="仿宋_GB2312" w:hAnsi="仿宋_GB2312" w:cs="仿宋_GB2312" w:eastAsia="仿宋_GB2312"/>
                <w:sz w:val="24"/>
                <w:color w:val="000000"/>
              </w:rPr>
              <w:t>食宿、交通、安全、</w:t>
            </w:r>
            <w:r>
              <w:rPr>
                <w:rFonts w:ascii="仿宋_GB2312" w:hAnsi="仿宋_GB2312" w:cs="仿宋_GB2312" w:eastAsia="仿宋_GB2312"/>
                <w:sz w:val="24"/>
                <w:color w:val="000000"/>
              </w:rPr>
              <w:t>服装</w:t>
            </w:r>
            <w:r>
              <w:rPr>
                <w:rFonts w:ascii="仿宋_GB2312" w:hAnsi="仿宋_GB2312" w:cs="仿宋_GB2312" w:eastAsia="仿宋_GB2312"/>
                <w:sz w:val="24"/>
                <w:color w:val="000000"/>
              </w:rPr>
              <w:t>、</w:t>
            </w:r>
            <w:r>
              <w:rPr>
                <w:rFonts w:ascii="仿宋_GB2312" w:hAnsi="仿宋_GB2312" w:cs="仿宋_GB2312" w:eastAsia="仿宋_GB2312"/>
                <w:sz w:val="24"/>
                <w:color w:val="000000"/>
              </w:rPr>
              <w:t>道具、税费</w:t>
            </w:r>
            <w:r>
              <w:rPr>
                <w:rFonts w:ascii="仿宋_GB2312" w:hAnsi="仿宋_GB2312" w:cs="仿宋_GB2312" w:eastAsia="仿宋_GB2312"/>
                <w:sz w:val="24"/>
                <w:color w:val="000000"/>
              </w:rPr>
              <w:t>及附加</w:t>
            </w:r>
            <w:r>
              <w:rPr>
                <w:rFonts w:ascii="仿宋_GB2312" w:hAnsi="仿宋_GB2312" w:cs="仿宋_GB2312" w:eastAsia="仿宋_GB2312"/>
                <w:sz w:val="24"/>
                <w:color w:val="000000"/>
              </w:rPr>
              <w:t>、利润</w:t>
            </w:r>
            <w:r>
              <w:rPr>
                <w:rFonts w:ascii="仿宋_GB2312" w:hAnsi="仿宋_GB2312" w:cs="仿宋_GB2312" w:eastAsia="仿宋_GB2312"/>
                <w:sz w:val="24"/>
                <w:color w:val="000000"/>
              </w:rPr>
              <w:t>、</w:t>
            </w:r>
            <w:r>
              <w:rPr>
                <w:rFonts w:ascii="仿宋_GB2312" w:hAnsi="仿宋_GB2312" w:cs="仿宋_GB2312" w:eastAsia="仿宋_GB2312"/>
                <w:sz w:val="24"/>
                <w:color w:val="000000"/>
              </w:rPr>
              <w:t>保险</w:t>
            </w:r>
            <w:r>
              <w:rPr>
                <w:rFonts w:ascii="仿宋_GB2312" w:hAnsi="仿宋_GB2312" w:cs="仿宋_GB2312" w:eastAsia="仿宋_GB2312"/>
                <w:sz w:val="24"/>
                <w:color w:val="000000"/>
              </w:rPr>
              <w:t>等完成本项目所需要的所有费用。</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不再支付其他任何费用。如出现在响应报价估算错误等引起的损失由供应商自行承担。</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）本项目报价不超过</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预算，超过</w:t>
            </w:r>
            <w:r>
              <w:rPr>
                <w:rFonts w:ascii="仿宋_GB2312" w:hAnsi="仿宋_GB2312" w:cs="仿宋_GB2312" w:eastAsia="仿宋_GB2312"/>
                <w:sz w:val="24"/>
                <w:color w:val="000000"/>
              </w:rPr>
              <w:t>采购预算</w:t>
            </w:r>
            <w:r>
              <w:rPr>
                <w:rFonts w:ascii="仿宋_GB2312" w:hAnsi="仿宋_GB2312" w:cs="仿宋_GB2312" w:eastAsia="仿宋_GB2312"/>
                <w:sz w:val="24"/>
                <w:color w:val="000000"/>
              </w:rPr>
              <w:t>的报价为无效报价</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）在项目实施过程中</w:t>
            </w:r>
            <w:r>
              <w:rPr>
                <w:rFonts w:ascii="仿宋_GB2312" w:hAnsi="仿宋_GB2312" w:cs="仿宋_GB2312" w:eastAsia="仿宋_GB2312"/>
                <w:sz w:val="24"/>
                <w:color w:val="000000"/>
              </w:rPr>
              <w:t>的所有安全事故</w:t>
            </w:r>
            <w:r>
              <w:rPr>
                <w:rFonts w:ascii="仿宋_GB2312" w:hAnsi="仿宋_GB2312" w:cs="仿宋_GB2312" w:eastAsia="仿宋_GB2312"/>
                <w:sz w:val="24"/>
                <w:color w:val="000000"/>
              </w:rPr>
              <w:t>由成交供应商自行负责（</w:t>
            </w:r>
            <w:r>
              <w:rPr>
                <w:rFonts w:ascii="仿宋_GB2312" w:hAnsi="仿宋_GB2312" w:cs="仿宋_GB2312" w:eastAsia="仿宋_GB2312"/>
                <w:sz w:val="24"/>
                <w:b/>
                <w:color w:val="000000"/>
              </w:rPr>
              <w:t>提供承诺函</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格式自拟</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2）成交供应商须为</w:t>
            </w:r>
            <w:r>
              <w:rPr>
                <w:rFonts w:ascii="仿宋_GB2312" w:hAnsi="仿宋_GB2312" w:cs="仿宋_GB2312" w:eastAsia="仿宋_GB2312"/>
                <w:sz w:val="24"/>
                <w:color w:val="000000"/>
              </w:rPr>
              <w:t>所有演职人员购买意外保险（</w:t>
            </w:r>
            <w:r>
              <w:rPr>
                <w:rFonts w:ascii="仿宋_GB2312" w:hAnsi="仿宋_GB2312" w:cs="仿宋_GB2312" w:eastAsia="仿宋_GB2312"/>
                <w:sz w:val="24"/>
                <w:b/>
                <w:color w:val="000000"/>
              </w:rPr>
              <w:t>提供承诺函</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格式自拟</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w:t>
            </w:r>
          </w:p>
        </w:tc>
        <w:tc>
          <w:tcPr>
            <w:tcW w:type="dxa" w:w="5814"/>
          </w:tcPr>
          <w:p>
            <w:pPr>
              <w:pStyle w:val="null3"/>
              <w:jc w:val="both"/>
            </w:pPr>
            <w:r>
              <w:rPr>
                <w:rFonts w:ascii="仿宋_GB2312" w:hAnsi="仿宋_GB2312" w:cs="仿宋_GB2312" w:eastAsia="仿宋_GB2312"/>
                <w:sz w:val="24"/>
                <w:color w:val="000000"/>
              </w:rPr>
              <w:t>供应商所提供的服务或其任何一部分均不会侵犯任何第三方的专利权、商标权、著作权或其他合法权益，否则视为供应商违约，由此产生的一切损失由供应商承担，且采购人有权无条件解除本合同；采购人单独享有本项目实施过程中产生的知识成果及知识产权，未经采购人书面允许供应商不得另做他用，否则视为违约，按照前款约定进行处理。本项目版权归采购人所有</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提供承诺函</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格式自拟</w:t>
            </w:r>
            <w:r>
              <w:rPr>
                <w:rFonts w:ascii="仿宋_GB2312" w:hAnsi="仿宋_GB2312" w:cs="仿宋_GB2312" w:eastAsia="仿宋_GB2312"/>
                <w:sz w:val="24"/>
                <w:color w:val="000000"/>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西昌市（具体以州上通知为准）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（1）验收主体：盐源县文化广播电视和旅游局 ； （2）验收时间：供应商提出验收申请，达到验收条件起 5 日内，验收合同总金额的 100.00%； （3）验收组织方式：自行验收； （4）履约验收程序：一次性验收； （5）验收标准和方法：由采购人组织专业人员会同成交供应商按照政府采购相关法律法规以及《财政部关于进一步加强政府采购项目需求和履约验收管理的指导意见》财库（2016）205号文的的规定，结合本项目磋商文件响应文件及采购合同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1、采购合同签订后，达到付款条件起5日内，支付合同总金额的45.00%</w:t>
            </w:r>
          </w:p>
          <w:p>
            <w:pPr>
              <w:pStyle w:val="null3"/>
              <w:jc w:val="left"/>
            </w:pPr>
            <w:r>
              <w:rPr>
                <w:rFonts w:ascii="仿宋_GB2312" w:hAnsi="仿宋_GB2312" w:cs="仿宋_GB2312" w:eastAsia="仿宋_GB2312"/>
              </w:rPr>
              <w:t>2、全部节目完成后，达到付款条件起5日内，支付合同总金额的20.00%</w:t>
            </w:r>
          </w:p>
          <w:p>
            <w:pPr>
              <w:pStyle w:val="null3"/>
              <w:jc w:val="left"/>
            </w:pPr>
            <w:r>
              <w:rPr>
                <w:rFonts w:ascii="仿宋_GB2312" w:hAnsi="仿宋_GB2312" w:cs="仿宋_GB2312" w:eastAsia="仿宋_GB2312"/>
              </w:rPr>
              <w:t>3、参演作品应达到：①严格按照州上要求选送节目；②节目编创主题突出新颖，有艺术水准；③表演过程中无演出事故和重大失误；④整体舞台呈现效果出彩，有一定影响力；⑤参加2025年凉山彝族火把节精品节目展演取得三等奖及以上奖项至少一个，达到付款条件起5日内，支付合同总金额的35.00%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（1）合同履行期间，若双方发生争议，可协商或由有关部门调解解决，协商或调解不成的，向项目所在地仲裁委员会申请仲裁。 （2）仲裁裁决应为最终决定，并对双方具有约束力。 （3）除另有裁决外，仲裁费应由败诉方负担。 （4）在仲裁期间，除正在进行仲裁部分外，合同其他部分继续执行。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1、项目服务方案： 供应商提供的项目服务方案包括但不限于：①服务目标；②重难点分析及解决方案；③活动策划方案；④精品节目编制方案；⑤服务承诺及服务响应；⑥与采购人、相关行政管理部门沟通协调方案。 2、项目保障方案： 供应商提供的项目保障方案包括但不限于：①质量保障方案；②安全保障方案；③应急方案。④后勤保障方案。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w:t>
      </w:r>
      <w:r>
        <w:rPr>
          <w:rFonts w:ascii="仿宋_GB2312" w:hAnsi="仿宋_GB2312" w:cs="仿宋_GB2312" w:eastAsia="仿宋_GB2312"/>
        </w:rPr>
        <w:t>“技术、服务及其他要求”中“3.2.技术要求”，“3.3.服务要求”中非“</w:t>
      </w:r>
      <w:r>
        <w:rPr>
          <w:rFonts w:ascii="仿宋_GB2312" w:hAnsi="仿宋_GB2312" w:cs="仿宋_GB2312" w:eastAsia="仿宋_GB2312"/>
          <w:sz w:val="21"/>
        </w:rPr>
        <w:t>★</w:t>
      </w:r>
      <w:r>
        <w:rPr>
          <w:rFonts w:ascii="仿宋_GB2312" w:hAnsi="仿宋_GB2312" w:cs="仿宋_GB2312" w:eastAsia="仿宋_GB2312"/>
        </w:rPr>
        <w:t>”的内容。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以下任意一种证明材料均可：（①如供应商为法人单位，则提供有效的企业营业执照复印件及其法定代表人身份证复印件；②如供应商为事业单位，则提供事业单位法人证书复印件；③如供应商为其他组织，则提供“对应主管部门颁发的准许执业证明文件或营业执照”复印件；若供应商为自然人，则提供自然人的身份证明复印件。以上任意证明材料需提供证明材料并进行电子签章。）</w:t>
              <w:br/>
              <w:t>注：供应商需在使用投标(响应)客户端编制响应文件时，按要求上传相应证明材料，并进行电子签章。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响应文件封面,投标（响应）函,供应商应当提交的相关资格证明材料.docx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以下任意一种证明材料均可：（①可提供2023年度以来任意一年经审计的财务报告复印件（包含审计报告和审计报告中所涉及的财务报表和报表附注）；②可提供2023年度以来任意一年内部财务报表复印件（包含资产负债表、利润表、现金流量表）；③供应商注册时间至文件递交截止日不足一年的，也可提供在工商备案的公司章程复印件。④可提供承诺函。以上任意一种证明材料需提供复印件并进行电子签章）</w:t>
              <w:br/>
              <w:t>注：供应商需在使用投标(响应)客户端编制响应文件时，按要求上传相应证明材料，并进行电子签章。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供应商按照磋商文件要求提交的其他证明材料.docx,投标（响应）函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以下任意一种证明材料均可：（①可提供2025年1月以来任意1个月依法缴纳税收的凭据和2025年1月以来任意1个月依法缴纳社会保障资金的凭据；②新成立企业暂无纳税及社保的，须作出书面说明。正在办理纳税及社保的，应提供受理部门的证明。应开始纳税但无销售的，提供零申报证明；③也可提供承诺函）</w:t>
              <w:br/>
              <w:t>注：供应商需在使用投标(响应)客户端编制响应文件时，按要求上传相应证明材料，并进行电子签章。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供应商按照磋商文件要求提交的其他证明材料.docx,投标（响应）函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参加本项目政府采购活动的供应商、法定代表人（主要负责人）在参加本项目采购活动前不得具有行贿犯罪记录。</w:t>
            </w:r>
          </w:p>
        </w:tc>
        <w:tc>
          <w:tcPr>
            <w:tcW w:type="dxa" w:w="3322"/>
          </w:tcPr>
          <w:p>
            <w:pPr>
              <w:pStyle w:val="null3"/>
              <w:jc w:val="left"/>
            </w:pPr>
            <w:r>
              <w:rPr>
                <w:rFonts w:ascii="仿宋_GB2312" w:hAnsi="仿宋_GB2312" w:cs="仿宋_GB2312" w:eastAsia="仿宋_GB2312"/>
              </w:rPr>
              <w:t>供应商在项目电子化交易系统中自行提供承诺函并加盖电子签章。</w:t>
            </w:r>
          </w:p>
        </w:tc>
        <w:tc>
          <w:tcPr>
            <w:tcW w:type="dxa" w:w="1910"/>
          </w:tcPr>
          <w:p>
            <w:pPr>
              <w:pStyle w:val="null3"/>
              <w:jc w:val="left"/>
            </w:pPr>
            <w:r>
              <w:rPr>
                <w:rFonts w:ascii="仿宋_GB2312" w:hAnsi="仿宋_GB2312" w:cs="仿宋_GB2312" w:eastAsia="仿宋_GB2312"/>
              </w:rPr>
              <w:t>供应商应当提交的相关资格证明材料.docx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本项目不接受联合体磋商。</w:t>
            </w:r>
          </w:p>
        </w:tc>
        <w:tc>
          <w:tcPr>
            <w:tcW w:type="dxa" w:w="3322"/>
          </w:tcPr>
          <w:p>
            <w:pPr>
              <w:pStyle w:val="null3"/>
              <w:jc w:val="left"/>
            </w:pPr>
            <w:r>
              <w:rPr>
                <w:rFonts w:ascii="仿宋_GB2312" w:hAnsi="仿宋_GB2312" w:cs="仿宋_GB2312" w:eastAsia="仿宋_GB2312"/>
              </w:rPr>
              <w:t>供应商在项目电子化交易系统中自行提供承诺函并加盖电子签章。</w:t>
            </w:r>
          </w:p>
        </w:tc>
        <w:tc>
          <w:tcPr>
            <w:tcW w:type="dxa" w:w="1910"/>
          </w:tcPr>
          <w:p>
            <w:pPr>
              <w:pStyle w:val="null3"/>
              <w:jc w:val="left"/>
            </w:pPr>
            <w:r>
              <w:rPr>
                <w:rFonts w:ascii="仿宋_GB2312" w:hAnsi="仿宋_GB2312" w:cs="仿宋_GB2312" w:eastAsia="仿宋_GB2312"/>
              </w:rPr>
              <w:t>供应商应当提交的相关资格证明材料.docx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供应商按照磋商文件要求提交的其他证明材料.docx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需要供应商单独进行承诺的其他实质性要求。</w:t>
            </w:r>
          </w:p>
        </w:tc>
        <w:tc>
          <w:tcPr>
            <w:tcW w:type="dxa" w:w="3322"/>
          </w:tcPr>
          <w:p>
            <w:pPr>
              <w:pStyle w:val="null3"/>
              <w:jc w:val="left"/>
            </w:pPr>
            <w:r>
              <w:rPr>
                <w:rFonts w:ascii="仿宋_GB2312" w:hAnsi="仿宋_GB2312" w:cs="仿宋_GB2312" w:eastAsia="仿宋_GB2312"/>
              </w:rPr>
              <w:t>供应商应按照磋商文件要求进行单独承诺的实质性要求，并提供相关承诺或证明材料。</w:t>
            </w:r>
          </w:p>
        </w:tc>
        <w:tc>
          <w:tcPr>
            <w:tcW w:type="dxa" w:w="1910"/>
          </w:tcPr>
          <w:p>
            <w:pPr>
              <w:pStyle w:val="null3"/>
              <w:jc w:val="left"/>
            </w:pPr>
            <w:r>
              <w:rPr>
                <w:rFonts w:ascii="仿宋_GB2312" w:hAnsi="仿宋_GB2312" w:cs="仿宋_GB2312" w:eastAsia="仿宋_GB2312"/>
              </w:rPr>
              <w:t>供应商按照磋商文件要求提交的其他证明材料.docx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项目服务方案、项目保障方案。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详细评审84.00分</w:t>
            </w:r>
          </w:p>
          <w:p>
            <w:pPr>
              <w:pStyle w:val="null3"/>
              <w:jc w:val="left"/>
            </w:pPr>
            <w:r>
              <w:rPr>
                <w:rFonts w:ascii="仿宋_GB2312" w:hAnsi="仿宋_GB2312" w:cs="仿宋_GB2312" w:eastAsia="仿宋_GB2312"/>
              </w:rPr>
              <w:t>报价得分16.00分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项目服务方案</w:t>
            </w:r>
          </w:p>
        </w:tc>
        <w:tc>
          <w:tcPr>
            <w:tcW w:type="dxa" w:w="2575"/>
          </w:tcPr>
          <w:p>
            <w:pPr>
              <w:pStyle w:val="null3"/>
              <w:jc w:val="left"/>
            </w:pPr>
            <w:r>
              <w:rPr>
                <w:rFonts w:ascii="仿宋_GB2312" w:hAnsi="仿宋_GB2312" w:cs="仿宋_GB2312" w:eastAsia="仿宋_GB2312"/>
              </w:rPr>
              <w:t>供应商提供的项目服务方案包括但不限于①服务目标；②重难点分析及解决方案；③活动策划方案；④精品节目编制方案；⑤服务承诺及服务响应；⑥与采购人、相关行政管理部门沟通协调方案；以上6项方案内容完整且全部满足项目需求的得42分；每有1项缺项的扣7分； 每有1项内容存在缺陷或不足的扣3.5分，扣完为止。 注:（1）缺项是指：没有提供该项方案，仅有框架或标题无相关方案内容。 （2）缺陷或不足是指：①项目名称、履约实施地点、履约实施方式存在错误；②方案内容存在与本项目采购需求、采购要求不符(或不满足)的问题；③方案内容所阐述适用的技术规范与国家、或行业不符；④方案内容存在与本项目采购需求(或履约质量)无关、或者明显存在套用(或复制)其他项目内容。</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供应商按照磋商文件要求提交的其他证明材料.docx</w:t>
            </w:r>
          </w:p>
          <w:p>
            <w:pPr>
              <w:pStyle w:val="null3"/>
              <w:jc w:val="left"/>
            </w:pPr>
            <w:r>
              <w:rPr>
                <w:rFonts w:ascii="仿宋_GB2312" w:hAnsi="仿宋_GB2312" w:cs="仿宋_GB2312" w:eastAsia="仿宋_GB2312"/>
              </w:rPr>
              <w:t>技术、服务要求应答表.docx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项目保障方案</w:t>
            </w:r>
          </w:p>
        </w:tc>
        <w:tc>
          <w:tcPr>
            <w:tcW w:type="dxa" w:w="2575"/>
          </w:tcPr>
          <w:p>
            <w:pPr>
              <w:pStyle w:val="null3"/>
              <w:jc w:val="left"/>
            </w:pPr>
            <w:r>
              <w:rPr>
                <w:rFonts w:ascii="仿宋_GB2312" w:hAnsi="仿宋_GB2312" w:cs="仿宋_GB2312" w:eastAsia="仿宋_GB2312"/>
              </w:rPr>
              <w:t>供应商提供的项目保障方案包括但不限于①质量保障方案；②安全保障方案；③应急方案。④后勤保障方案。以上4项方案内容完整且全部满足项目需求的得28分；每有1项缺项的扣7分； 每有1项内容存在缺陷或不足的扣3.5分，扣完为止。 注:（1）缺项是指：没有提供该项方案，仅有框架或标题无相关方案内容。 （2）缺陷或不足是指：①项目名称、履约实施地点、履约实施方式存在错误；②方案内容存在与本项目采购需求、采购要求不符(或不满足)的问题；③方案内容所阐述适用的技术规范与国家、或行业不符；④方案内容存在与本项目采购需求(或履约质量)无关、或者明显存在套用(或复制)其他项目内容。</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供应商按照磋商文件要求提交的其他证明材料.docx</w:t>
            </w:r>
          </w:p>
          <w:p>
            <w:pPr>
              <w:pStyle w:val="null3"/>
              <w:jc w:val="left"/>
            </w:pPr>
            <w:r>
              <w:rPr>
                <w:rFonts w:ascii="仿宋_GB2312" w:hAnsi="仿宋_GB2312" w:cs="仿宋_GB2312" w:eastAsia="仿宋_GB2312"/>
              </w:rPr>
              <w:t>技术、服务要求应答表.docx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1、项目导演：具有艺术专业二级及以上演员职称或导演职称的得4分，本项最多得4分。 2、项目其他服务人员：每配备1名具有四级及以上演员职称或导演职称的服务人员的得2分，本项最多得4分。 注：以上人员不重复得分，提供相关证明材料及身份证复印件。</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供应商按照磋商文件要求提交的其他证明材料.docx</w:t>
            </w:r>
          </w:p>
          <w:p>
            <w:pPr>
              <w:pStyle w:val="null3"/>
              <w:jc w:val="left"/>
            </w:pPr>
            <w:r>
              <w:rPr>
                <w:rFonts w:ascii="仿宋_GB2312" w:hAnsi="仿宋_GB2312" w:cs="仿宋_GB2312" w:eastAsia="仿宋_GB2312"/>
              </w:rPr>
              <w:t>商务要求应答表.docx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供应商2022年1月1日以来，每具有一个类似项目业绩的得2分，最多得6分。 注： 1、类似项目业绩是指：文艺宣传活动或文艺服务或文艺赛事/比赛或节庆或演出活动类业绩。 2、需提供合同或中标(成交)通知书复印件(以合同签订日期或中标(成交)通知书发出日期为准，未提供不得分。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供应商按照磋商文件要求提交的其他证明材料.docx</w:t>
            </w:r>
          </w:p>
          <w:p>
            <w:pPr>
              <w:pStyle w:val="null3"/>
              <w:jc w:val="left"/>
            </w:pPr>
            <w:r>
              <w:rPr>
                <w:rFonts w:ascii="仿宋_GB2312" w:hAnsi="仿宋_GB2312" w:cs="仿宋_GB2312" w:eastAsia="仿宋_GB2312"/>
              </w:rPr>
              <w:t>商务要求应答表.docx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经评审委员会评审，通过资格和符合性审查，且最终报价最低的供应商的报价作为评审基准价。2.响应报价得分=(评审基准价／最终报价)×分值。评审价格=响应报价。</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详见附件：供应商按照磋商文件要求提交的其他证明材料.docx</w:t>
      </w:r>
    </w:p>
    <w:p>
      <w:pPr>
        <w:pStyle w:val="null3"/>
        <w:ind w:firstLine="960"/>
        <w:jc w:val="left"/>
      </w:pPr>
      <w:r>
        <w:rPr>
          <w:rFonts w:ascii="仿宋_GB2312" w:hAnsi="仿宋_GB2312" w:cs="仿宋_GB2312" w:eastAsia="仿宋_GB2312"/>
        </w:rPr>
        <w:t>详见附件：供应商应当提交的相关资格证明材料.docx</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