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FD9D8B">
      <w:pPr>
        <w:pStyle w:val="3"/>
        <w:shd w:val="clear" w:color="auto" w:fill="auto"/>
        <w:rPr>
          <w:rFonts w:hint="eastAsia" w:ascii="宋体" w:hAnsi="宋体" w:cs="宋体"/>
          <w:color w:val="auto"/>
          <w:szCs w:val="32"/>
          <w:highlight w:val="none"/>
        </w:rPr>
      </w:pPr>
      <w:bookmarkStart w:id="0" w:name="_Toc12846"/>
      <w:bookmarkStart w:id="1" w:name="_Toc28359001"/>
      <w:bookmarkStart w:id="2" w:name="_Toc35393789"/>
      <w:bookmarkStart w:id="3" w:name="_Toc35393791"/>
      <w:bookmarkStart w:id="4" w:name="_Toc28359080"/>
      <w:bookmarkStart w:id="5" w:name="_Toc28359003"/>
      <w:bookmarkStart w:id="6" w:name="_Toc35393622"/>
      <w:r>
        <w:rPr>
          <w:rFonts w:hint="eastAsia" w:ascii="宋体" w:hAnsi="宋体" w:cs="宋体"/>
          <w:color w:val="auto"/>
          <w:szCs w:val="32"/>
          <w:highlight w:val="none"/>
        </w:rPr>
        <w:t>云南省残疾人康复中心2024年信息化建设项目（结转）-信息安全等级保护三级系统建设</w:t>
      </w:r>
      <w:r>
        <w:rPr>
          <w:rFonts w:hint="eastAsia" w:ascii="宋体" w:hAnsi="宋体" w:cs="宋体"/>
          <w:color w:val="auto"/>
          <w:szCs w:val="32"/>
          <w:highlight w:val="none"/>
          <w:lang w:val="en-US" w:eastAsia="zh-CN"/>
        </w:rPr>
        <w:t>公开</w:t>
      </w:r>
      <w:r>
        <w:rPr>
          <w:rFonts w:hint="eastAsia" w:ascii="宋体" w:hAnsi="宋体" w:cs="宋体"/>
          <w:color w:val="auto"/>
          <w:szCs w:val="32"/>
          <w:highlight w:val="none"/>
        </w:rPr>
        <w:t>招标公告</w:t>
      </w:r>
      <w:bookmarkEnd w:id="0"/>
      <w:bookmarkEnd w:id="1"/>
      <w:bookmarkEnd w:id="2"/>
    </w:p>
    <w:p w14:paraId="37B2E5C1">
      <w:pPr>
        <w:pBdr>
          <w:top w:val="single" w:color="auto" w:sz="4" w:space="1"/>
          <w:left w:val="single" w:color="auto" w:sz="4" w:space="4"/>
          <w:bottom w:val="single" w:color="auto" w:sz="4" w:space="1"/>
          <w:right w:val="single" w:color="auto" w:sz="4" w:space="4"/>
        </w:pBd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项目概况</w:t>
      </w:r>
    </w:p>
    <w:p w14:paraId="6772F944">
      <w:pPr>
        <w:pBdr>
          <w:top w:val="single" w:color="auto" w:sz="4" w:space="1"/>
          <w:left w:val="single" w:color="auto" w:sz="4" w:space="4"/>
          <w:bottom w:val="single" w:color="auto" w:sz="4" w:space="1"/>
          <w:right w:val="single" w:color="auto" w:sz="4" w:space="4"/>
        </w:pBd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eastAsia="zh-CN"/>
        </w:rPr>
        <w:t>云南省残疾人康复中心2024年信息化建设项目（结转）-信息安全等级保护三级系统建设</w:t>
      </w:r>
      <w:r>
        <w:rPr>
          <w:rFonts w:hint="eastAsia" w:ascii="宋体" w:hAnsi="宋体" w:cs="宋体"/>
          <w:color w:val="auto"/>
          <w:szCs w:val="21"/>
          <w:highlight w:val="none"/>
        </w:rPr>
        <w:t>的潜在投标人应在政采云平台（https://www.zcygov.cn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获取（下载）获取招标文件，并于202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xml:space="preserve">年 </w:t>
      </w:r>
      <w:r>
        <w:rPr>
          <w:rFonts w:hint="eastAsia" w:ascii="宋体" w:hAnsi="宋体" w:cs="宋体"/>
          <w:color w:val="auto"/>
          <w:szCs w:val="21"/>
          <w:highlight w:val="none"/>
          <w:lang w:val="en-US" w:eastAsia="zh-CN"/>
        </w:rPr>
        <w:t>06</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16</w:t>
      </w:r>
      <w:r>
        <w:rPr>
          <w:rFonts w:hint="eastAsia" w:ascii="宋体" w:hAnsi="宋体" w:cs="宋体"/>
          <w:color w:val="auto"/>
          <w:szCs w:val="21"/>
          <w:highlight w:val="none"/>
        </w:rPr>
        <w:t xml:space="preserve"> 日 </w:t>
      </w:r>
      <w:r>
        <w:rPr>
          <w:rFonts w:hint="eastAsia" w:ascii="宋体" w:hAnsi="宋体" w:cs="宋体"/>
          <w:color w:val="auto"/>
          <w:szCs w:val="21"/>
          <w:highlight w:val="none"/>
          <w:lang w:val="en-US" w:eastAsia="zh-CN"/>
        </w:rPr>
        <w:t>09</w:t>
      </w:r>
      <w:r>
        <w:rPr>
          <w:rFonts w:hint="eastAsia" w:ascii="宋体" w:hAnsi="宋体" w:cs="宋体"/>
          <w:color w:val="auto"/>
          <w:szCs w:val="21"/>
          <w:highlight w:val="none"/>
        </w:rPr>
        <w:t>点</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0分（北京时间）前递交投标文件。</w:t>
      </w:r>
    </w:p>
    <w:p w14:paraId="4D49AB24">
      <w:pPr>
        <w:pStyle w:val="4"/>
        <w:shd w:val="clear" w:color="auto" w:fill="auto"/>
        <w:spacing w:before="0" w:line="360" w:lineRule="auto"/>
        <w:rPr>
          <w:rFonts w:hint="eastAsia" w:ascii="宋体" w:hAnsi="宋体" w:cs="宋体"/>
          <w:bCs/>
          <w:color w:val="auto"/>
          <w:spacing w:val="0"/>
          <w:sz w:val="24"/>
          <w:szCs w:val="24"/>
          <w:highlight w:val="none"/>
        </w:rPr>
      </w:pPr>
      <w:bookmarkStart w:id="7" w:name="_Toc1311"/>
      <w:bookmarkStart w:id="8" w:name="_Toc35393790"/>
      <w:bookmarkStart w:id="9" w:name="_Toc28359079"/>
      <w:bookmarkStart w:id="10" w:name="_Toc28359002"/>
      <w:bookmarkStart w:id="11" w:name="_Toc4547"/>
      <w:bookmarkStart w:id="12" w:name="_Toc35393621"/>
      <w:bookmarkStart w:id="13" w:name="_Hlk24379207"/>
      <w:r>
        <w:rPr>
          <w:rFonts w:hint="eastAsia" w:ascii="宋体" w:hAnsi="宋体" w:cs="宋体"/>
          <w:bCs/>
          <w:color w:val="auto"/>
          <w:spacing w:val="0"/>
          <w:sz w:val="24"/>
          <w:szCs w:val="24"/>
          <w:highlight w:val="none"/>
        </w:rPr>
        <w:t>一、项目基本情况</w:t>
      </w:r>
      <w:bookmarkEnd w:id="7"/>
      <w:bookmarkEnd w:id="8"/>
      <w:bookmarkEnd w:id="9"/>
      <w:bookmarkEnd w:id="10"/>
      <w:bookmarkEnd w:id="11"/>
      <w:bookmarkEnd w:id="12"/>
    </w:p>
    <w:bookmarkEnd w:id="13"/>
    <w:p w14:paraId="430C4E4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政采云(项目)编号: YNZC2025-G1-02666-YNTT-0064</w:t>
      </w:r>
    </w:p>
    <w:p w14:paraId="10B0FE72">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2.项目名称：</w:t>
      </w:r>
      <w:r>
        <w:rPr>
          <w:rFonts w:hint="eastAsia" w:ascii="宋体" w:hAnsi="宋体" w:cs="宋体"/>
          <w:color w:val="auto"/>
          <w:szCs w:val="21"/>
          <w:highlight w:val="none"/>
          <w:lang w:eastAsia="zh-CN"/>
        </w:rPr>
        <w:t>云南省残疾人康复中心2024年信息化建设项目（结转）-信息安全等级保护三级系统建设</w:t>
      </w:r>
    </w:p>
    <w:p w14:paraId="30119D9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3.预算金额：¥</w:t>
      </w:r>
      <w:r>
        <w:rPr>
          <w:rFonts w:hint="eastAsia" w:ascii="宋体" w:hAnsi="宋体" w:cs="宋体"/>
          <w:color w:val="auto"/>
          <w:szCs w:val="21"/>
          <w:highlight w:val="none"/>
          <w:lang w:val="en-US" w:eastAsia="zh-CN"/>
        </w:rPr>
        <w:t>75</w:t>
      </w:r>
      <w:r>
        <w:rPr>
          <w:rFonts w:hint="eastAsia" w:ascii="宋体" w:hAnsi="宋体" w:cs="宋体"/>
          <w:color w:val="auto"/>
          <w:szCs w:val="21"/>
          <w:highlight w:val="none"/>
        </w:rPr>
        <w:t>0,000.00元</w:t>
      </w:r>
    </w:p>
    <w:p w14:paraId="16405A88">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4.最高限价：¥</w:t>
      </w:r>
      <w:r>
        <w:rPr>
          <w:rFonts w:hint="eastAsia" w:ascii="宋体" w:hAnsi="宋体" w:cs="宋体"/>
          <w:color w:val="auto"/>
          <w:szCs w:val="21"/>
          <w:highlight w:val="none"/>
          <w:lang w:val="en-US" w:eastAsia="zh-CN"/>
        </w:rPr>
        <w:t>75</w:t>
      </w:r>
      <w:r>
        <w:rPr>
          <w:rFonts w:hint="eastAsia" w:ascii="宋体" w:hAnsi="宋体" w:cs="宋体"/>
          <w:color w:val="auto"/>
          <w:szCs w:val="21"/>
          <w:highlight w:val="none"/>
        </w:rPr>
        <w:t xml:space="preserve">0,000.00 元 </w:t>
      </w:r>
    </w:p>
    <w:p w14:paraId="1FE8F10B">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5.采购需求：</w:t>
      </w:r>
      <w:bookmarkStart w:id="34" w:name="_GoBack"/>
      <w:bookmarkEnd w:id="34"/>
    </w:p>
    <w:tbl>
      <w:tblPr>
        <w:tblStyle w:val="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754"/>
        <w:gridCol w:w="954"/>
        <w:gridCol w:w="1669"/>
        <w:gridCol w:w="654"/>
        <w:gridCol w:w="630"/>
        <w:gridCol w:w="1100"/>
        <w:gridCol w:w="1323"/>
      </w:tblGrid>
      <w:tr w14:paraId="0115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562" w:type="dxa"/>
            <w:noWrap/>
            <w:vAlign w:val="center"/>
          </w:tcPr>
          <w:p w14:paraId="52C56DA9">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序号</w:t>
            </w:r>
          </w:p>
        </w:tc>
        <w:tc>
          <w:tcPr>
            <w:tcW w:w="1754" w:type="dxa"/>
            <w:noWrap/>
            <w:vAlign w:val="center"/>
          </w:tcPr>
          <w:p w14:paraId="51492A69">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产品（项目）名称</w:t>
            </w:r>
          </w:p>
        </w:tc>
        <w:tc>
          <w:tcPr>
            <w:tcW w:w="954" w:type="dxa"/>
            <w:noWrap/>
            <w:vAlign w:val="center"/>
          </w:tcPr>
          <w:p w14:paraId="4C189CD7">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是否接受进口产品</w:t>
            </w:r>
          </w:p>
        </w:tc>
        <w:tc>
          <w:tcPr>
            <w:tcW w:w="1669" w:type="dxa"/>
            <w:noWrap/>
            <w:vAlign w:val="center"/>
          </w:tcPr>
          <w:p w14:paraId="211A624A">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技术参数、性能要求</w:t>
            </w:r>
          </w:p>
        </w:tc>
        <w:tc>
          <w:tcPr>
            <w:tcW w:w="654" w:type="dxa"/>
            <w:noWrap/>
            <w:vAlign w:val="center"/>
          </w:tcPr>
          <w:p w14:paraId="14367B9B">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数量</w:t>
            </w:r>
          </w:p>
        </w:tc>
        <w:tc>
          <w:tcPr>
            <w:tcW w:w="630" w:type="dxa"/>
            <w:noWrap/>
            <w:vAlign w:val="center"/>
          </w:tcPr>
          <w:p w14:paraId="764EEB97">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计量</w:t>
            </w:r>
          </w:p>
          <w:p w14:paraId="3B11F218">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单位</w:t>
            </w:r>
          </w:p>
        </w:tc>
        <w:tc>
          <w:tcPr>
            <w:tcW w:w="1100" w:type="dxa"/>
            <w:noWrap/>
            <w:vAlign w:val="center"/>
          </w:tcPr>
          <w:p w14:paraId="12292718">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是否是核心产品</w:t>
            </w:r>
          </w:p>
        </w:tc>
        <w:tc>
          <w:tcPr>
            <w:tcW w:w="1323" w:type="dxa"/>
            <w:noWrap w:val="0"/>
            <w:vAlign w:val="center"/>
          </w:tcPr>
          <w:p w14:paraId="76D58DDA">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采购标的对应的中小企业划分标准所属行业</w:t>
            </w:r>
          </w:p>
        </w:tc>
      </w:tr>
      <w:tr w14:paraId="772C2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6E950260">
            <w:pPr>
              <w:widowControl/>
              <w:shd w:val="clear" w:color="auto" w:fill="auto"/>
              <w:jc w:val="center"/>
              <w:textAlignment w:val="center"/>
              <w:rPr>
                <w:rStyle w:val="8"/>
                <w:rFonts w:hint="default"/>
                <w:color w:val="auto"/>
                <w:highlight w:val="none"/>
                <w:lang w:bidi="ar"/>
              </w:rPr>
            </w:pPr>
            <w:r>
              <w:rPr>
                <w:rFonts w:hint="eastAsia" w:ascii="等线" w:hAnsi="等线" w:eastAsia="等线" w:cs="等线"/>
                <w:color w:val="auto"/>
                <w:sz w:val="22"/>
                <w:szCs w:val="22"/>
                <w:highlight w:val="none"/>
              </w:rPr>
              <w:t>1</w:t>
            </w:r>
          </w:p>
        </w:tc>
        <w:tc>
          <w:tcPr>
            <w:tcW w:w="1754" w:type="dxa"/>
            <w:noWrap/>
            <w:vAlign w:val="center"/>
          </w:tcPr>
          <w:p w14:paraId="618B1DD7">
            <w:pPr>
              <w:widowControl/>
              <w:shd w:val="clear" w:color="auto" w:fill="auto"/>
              <w:jc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szCs w:val="21"/>
                <w:highlight w:val="none"/>
              </w:rPr>
              <w:t>外网核心交换机</w:t>
            </w:r>
          </w:p>
        </w:tc>
        <w:tc>
          <w:tcPr>
            <w:tcW w:w="954" w:type="dxa"/>
            <w:noWrap/>
            <w:vAlign w:val="center"/>
          </w:tcPr>
          <w:p w14:paraId="393E2DE0">
            <w:pPr>
              <w:shd w:val="clear" w:color="auto" w:fill="auto"/>
              <w:jc w:val="center"/>
              <w:rPr>
                <w:rStyle w:val="8"/>
                <w:rFonts w:hint="default"/>
                <w:color w:val="auto"/>
                <w:highlight w:val="none"/>
                <w:lang w:bidi="ar"/>
              </w:rPr>
            </w:pPr>
            <w:r>
              <w:rPr>
                <w:rFonts w:hint="eastAsia" w:ascii="宋体" w:hAnsi="宋体" w:cs="宋体"/>
                <w:b/>
                <w:bCs/>
                <w:color w:val="auto"/>
                <w:szCs w:val="21"/>
                <w:highlight w:val="none"/>
              </w:rPr>
              <w:t>否</w:t>
            </w:r>
          </w:p>
        </w:tc>
        <w:tc>
          <w:tcPr>
            <w:tcW w:w="1669" w:type="dxa"/>
            <w:vMerge w:val="restart"/>
            <w:noWrap/>
            <w:vAlign w:val="center"/>
          </w:tcPr>
          <w:p w14:paraId="78486F5A">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详见招标文件“第五章”</w:t>
            </w:r>
          </w:p>
        </w:tc>
        <w:tc>
          <w:tcPr>
            <w:tcW w:w="654" w:type="dxa"/>
            <w:noWrap/>
            <w:vAlign w:val="center"/>
          </w:tcPr>
          <w:p w14:paraId="380CBDC9">
            <w:pPr>
              <w:widowControl/>
              <w:shd w:val="clear" w:color="auto" w:fill="auto"/>
              <w:jc w:val="center"/>
              <w:rPr>
                <w:rStyle w:val="8"/>
                <w:rFonts w:hint="default"/>
                <w:color w:val="auto"/>
                <w:highlight w:val="none"/>
                <w:lang w:bidi="ar"/>
              </w:rPr>
            </w:pPr>
            <w:r>
              <w:rPr>
                <w:rFonts w:hint="eastAsia" w:ascii="宋体" w:hAnsi="宋体" w:cs="宋体"/>
                <w:color w:val="auto"/>
                <w:kern w:val="0"/>
                <w:sz w:val="20"/>
                <w:szCs w:val="20"/>
                <w:highlight w:val="none"/>
              </w:rPr>
              <w:t>1</w:t>
            </w:r>
          </w:p>
        </w:tc>
        <w:tc>
          <w:tcPr>
            <w:tcW w:w="630" w:type="dxa"/>
            <w:noWrap/>
            <w:vAlign w:val="center"/>
          </w:tcPr>
          <w:p w14:paraId="71EB8992">
            <w:pPr>
              <w:widowControl/>
              <w:shd w:val="clear" w:color="auto" w:fill="auto"/>
              <w:jc w:val="center"/>
              <w:rPr>
                <w:rStyle w:val="8"/>
                <w:rFonts w:hint="default"/>
                <w:color w:val="auto"/>
                <w:highlight w:val="none"/>
                <w:lang w:bidi="ar"/>
              </w:rPr>
            </w:pPr>
            <w:r>
              <w:rPr>
                <w:rFonts w:hint="eastAsia" w:ascii="宋体" w:hAnsi="宋体" w:cs="宋体"/>
                <w:color w:val="auto"/>
                <w:kern w:val="0"/>
                <w:sz w:val="20"/>
                <w:szCs w:val="20"/>
                <w:highlight w:val="none"/>
              </w:rPr>
              <w:t>台</w:t>
            </w:r>
          </w:p>
        </w:tc>
        <w:tc>
          <w:tcPr>
            <w:tcW w:w="1100" w:type="dxa"/>
            <w:noWrap/>
            <w:vAlign w:val="center"/>
          </w:tcPr>
          <w:p w14:paraId="2E994597">
            <w:pPr>
              <w:widowControl/>
              <w:shd w:val="clear" w:color="auto" w:fill="auto"/>
              <w:jc w:val="center"/>
              <w:textAlignment w:val="center"/>
              <w:rPr>
                <w:rStyle w:val="8"/>
                <w:rFonts w:hint="eastAsia" w:eastAsia="宋体"/>
                <w:color w:val="auto"/>
                <w:highlight w:val="none"/>
                <w:lang w:val="en-US" w:eastAsia="zh-CN" w:bidi="ar"/>
              </w:rPr>
            </w:pPr>
            <w:r>
              <w:rPr>
                <w:rStyle w:val="8"/>
                <w:rFonts w:hint="eastAsia"/>
                <w:color w:val="auto"/>
                <w:highlight w:val="none"/>
                <w:lang w:val="en-US" w:eastAsia="zh-CN" w:bidi="ar"/>
              </w:rPr>
              <w:t>否</w:t>
            </w:r>
          </w:p>
        </w:tc>
        <w:tc>
          <w:tcPr>
            <w:tcW w:w="1323" w:type="dxa"/>
            <w:noWrap w:val="0"/>
            <w:vAlign w:val="center"/>
          </w:tcPr>
          <w:p w14:paraId="08FB2179">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629A4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107B0CF2">
            <w:pPr>
              <w:widowControl/>
              <w:shd w:val="clear" w:color="auto" w:fill="auto"/>
              <w:jc w:val="center"/>
              <w:textAlignment w:val="center"/>
              <w:rPr>
                <w:rStyle w:val="8"/>
                <w:rFonts w:hint="eastAsia" w:eastAsia="宋体"/>
                <w:color w:val="auto"/>
                <w:highlight w:val="none"/>
                <w:lang w:eastAsia="zh-CN" w:bidi="ar"/>
              </w:rPr>
            </w:pPr>
            <w:r>
              <w:rPr>
                <w:rFonts w:hint="eastAsia" w:ascii="等线" w:hAnsi="等线" w:eastAsia="等线" w:cs="等线"/>
                <w:color w:val="auto"/>
                <w:sz w:val="22"/>
                <w:szCs w:val="22"/>
                <w:highlight w:val="none"/>
              </w:rPr>
              <w:t>2</w:t>
            </w:r>
          </w:p>
        </w:tc>
        <w:tc>
          <w:tcPr>
            <w:tcW w:w="1754" w:type="dxa"/>
            <w:noWrap/>
            <w:vAlign w:val="center"/>
          </w:tcPr>
          <w:p w14:paraId="26E98184">
            <w:pPr>
              <w:widowControl/>
              <w:shd w:val="clear" w:color="auto" w:fill="auto"/>
              <w:jc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szCs w:val="21"/>
                <w:highlight w:val="none"/>
              </w:rPr>
              <w:t>内网核心交换机</w:t>
            </w:r>
          </w:p>
        </w:tc>
        <w:tc>
          <w:tcPr>
            <w:tcW w:w="954" w:type="dxa"/>
            <w:noWrap/>
            <w:vAlign w:val="center"/>
          </w:tcPr>
          <w:p w14:paraId="5747106E">
            <w:pPr>
              <w:shd w:val="clear" w:color="auto" w:fill="auto"/>
              <w:jc w:val="center"/>
              <w:rPr>
                <w:rStyle w:val="8"/>
                <w:rFonts w:hint="default"/>
                <w:color w:val="auto"/>
                <w:highlight w:val="none"/>
                <w:lang w:bidi="ar"/>
              </w:rPr>
            </w:pPr>
            <w:r>
              <w:rPr>
                <w:rFonts w:hint="eastAsia" w:ascii="宋体" w:hAnsi="宋体" w:cs="宋体"/>
                <w:b/>
                <w:bCs/>
                <w:color w:val="auto"/>
                <w:szCs w:val="21"/>
                <w:highlight w:val="none"/>
              </w:rPr>
              <w:t>否</w:t>
            </w:r>
          </w:p>
        </w:tc>
        <w:tc>
          <w:tcPr>
            <w:tcW w:w="1669" w:type="dxa"/>
            <w:vMerge w:val="continue"/>
            <w:noWrap/>
            <w:vAlign w:val="center"/>
          </w:tcPr>
          <w:p w14:paraId="25068CAA">
            <w:pPr>
              <w:widowControl/>
              <w:shd w:val="clear" w:color="auto" w:fill="auto"/>
              <w:jc w:val="center"/>
              <w:textAlignment w:val="center"/>
              <w:rPr>
                <w:rStyle w:val="8"/>
                <w:rFonts w:hint="default"/>
                <w:color w:val="auto"/>
                <w:highlight w:val="none"/>
                <w:lang w:bidi="ar"/>
              </w:rPr>
            </w:pPr>
          </w:p>
        </w:tc>
        <w:tc>
          <w:tcPr>
            <w:tcW w:w="654" w:type="dxa"/>
            <w:noWrap/>
            <w:vAlign w:val="center"/>
          </w:tcPr>
          <w:p w14:paraId="2BC844D1">
            <w:pPr>
              <w:widowControl/>
              <w:shd w:val="clear" w:color="auto" w:fill="auto"/>
              <w:jc w:val="center"/>
              <w:rPr>
                <w:rStyle w:val="8"/>
                <w:rFonts w:hint="default"/>
                <w:color w:val="auto"/>
                <w:highlight w:val="none"/>
                <w:lang w:bidi="ar"/>
              </w:rPr>
            </w:pPr>
            <w:r>
              <w:rPr>
                <w:rFonts w:hint="eastAsia" w:ascii="宋体" w:hAnsi="宋体" w:cs="宋体"/>
                <w:color w:val="auto"/>
                <w:kern w:val="0"/>
                <w:sz w:val="20"/>
                <w:szCs w:val="20"/>
                <w:highlight w:val="none"/>
              </w:rPr>
              <w:t>1</w:t>
            </w:r>
          </w:p>
        </w:tc>
        <w:tc>
          <w:tcPr>
            <w:tcW w:w="630" w:type="dxa"/>
            <w:noWrap/>
            <w:vAlign w:val="center"/>
          </w:tcPr>
          <w:p w14:paraId="6E8811A1">
            <w:pPr>
              <w:widowControl/>
              <w:shd w:val="clear" w:color="auto" w:fill="auto"/>
              <w:jc w:val="center"/>
              <w:rPr>
                <w:rStyle w:val="8"/>
                <w:rFonts w:hint="default"/>
                <w:color w:val="auto"/>
                <w:highlight w:val="none"/>
                <w:lang w:bidi="ar"/>
              </w:rPr>
            </w:pPr>
            <w:r>
              <w:rPr>
                <w:rFonts w:hint="eastAsia" w:ascii="宋体" w:hAnsi="宋体" w:cs="宋体"/>
                <w:color w:val="auto"/>
                <w:kern w:val="0"/>
                <w:sz w:val="20"/>
                <w:szCs w:val="20"/>
                <w:highlight w:val="none"/>
              </w:rPr>
              <w:t>台</w:t>
            </w:r>
          </w:p>
        </w:tc>
        <w:tc>
          <w:tcPr>
            <w:tcW w:w="1100" w:type="dxa"/>
            <w:noWrap/>
            <w:vAlign w:val="center"/>
          </w:tcPr>
          <w:p w14:paraId="0E768A3C">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090BF334">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537E5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405E6364">
            <w:pPr>
              <w:widowControl/>
              <w:shd w:val="clear" w:color="auto" w:fill="auto"/>
              <w:jc w:val="center"/>
              <w:textAlignment w:val="center"/>
              <w:rPr>
                <w:rFonts w:hint="eastAsia"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3</w:t>
            </w:r>
          </w:p>
        </w:tc>
        <w:tc>
          <w:tcPr>
            <w:tcW w:w="1754" w:type="dxa"/>
            <w:noWrap/>
            <w:vAlign w:val="center"/>
          </w:tcPr>
          <w:p w14:paraId="0E3D02B0">
            <w:pPr>
              <w:widowControl/>
              <w:shd w:val="clear" w:color="auto" w:fill="auto"/>
              <w:jc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szCs w:val="21"/>
                <w:highlight w:val="none"/>
              </w:rPr>
              <w:t>楼层交换机</w:t>
            </w:r>
          </w:p>
        </w:tc>
        <w:tc>
          <w:tcPr>
            <w:tcW w:w="954" w:type="dxa"/>
            <w:noWrap/>
            <w:vAlign w:val="center"/>
          </w:tcPr>
          <w:p w14:paraId="47423D1D">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54C6D7C6">
            <w:pPr>
              <w:widowControl/>
              <w:shd w:val="clear" w:color="auto" w:fill="auto"/>
              <w:jc w:val="center"/>
              <w:textAlignment w:val="center"/>
              <w:rPr>
                <w:rStyle w:val="8"/>
                <w:rFonts w:hint="default"/>
                <w:color w:val="auto"/>
                <w:highlight w:val="none"/>
                <w:lang w:bidi="ar"/>
              </w:rPr>
            </w:pPr>
          </w:p>
        </w:tc>
        <w:tc>
          <w:tcPr>
            <w:tcW w:w="654" w:type="dxa"/>
            <w:noWrap/>
            <w:vAlign w:val="center"/>
          </w:tcPr>
          <w:p w14:paraId="536EF309">
            <w:pPr>
              <w:widowControl/>
              <w:shd w:val="clear" w:color="auto" w:fill="auto"/>
              <w:jc w:val="center"/>
              <w:rPr>
                <w:rFonts w:hint="eastAsia" w:ascii="等线" w:hAnsi="等线" w:eastAsia="等线"/>
                <w:color w:val="auto"/>
                <w:sz w:val="22"/>
                <w:szCs w:val="22"/>
                <w:highlight w:val="none"/>
              </w:rPr>
            </w:pPr>
            <w:r>
              <w:rPr>
                <w:rFonts w:hint="eastAsia" w:ascii="宋体" w:hAnsi="宋体" w:cs="宋体"/>
                <w:color w:val="auto"/>
                <w:kern w:val="0"/>
                <w:sz w:val="20"/>
                <w:szCs w:val="20"/>
                <w:highlight w:val="none"/>
              </w:rPr>
              <w:t>21</w:t>
            </w:r>
          </w:p>
        </w:tc>
        <w:tc>
          <w:tcPr>
            <w:tcW w:w="630" w:type="dxa"/>
            <w:noWrap/>
            <w:vAlign w:val="center"/>
          </w:tcPr>
          <w:p w14:paraId="7BEB6A61">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rPr>
              <w:t>台</w:t>
            </w:r>
          </w:p>
        </w:tc>
        <w:tc>
          <w:tcPr>
            <w:tcW w:w="1100" w:type="dxa"/>
            <w:noWrap/>
            <w:vAlign w:val="center"/>
          </w:tcPr>
          <w:p w14:paraId="7DADFC04">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780F87AD">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5D7EE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53D427E6">
            <w:pPr>
              <w:widowControl/>
              <w:shd w:val="clear" w:color="auto" w:fill="auto"/>
              <w:jc w:val="center"/>
              <w:textAlignment w:val="center"/>
              <w:rPr>
                <w:rFonts w:hint="eastAsia"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4</w:t>
            </w:r>
          </w:p>
        </w:tc>
        <w:tc>
          <w:tcPr>
            <w:tcW w:w="1754" w:type="dxa"/>
            <w:noWrap/>
            <w:vAlign w:val="center"/>
          </w:tcPr>
          <w:p w14:paraId="393B8CA6">
            <w:pPr>
              <w:widowControl/>
              <w:shd w:val="clear" w:color="auto" w:fill="auto"/>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0"/>
                <w:szCs w:val="21"/>
                <w:highlight w:val="none"/>
                <w:lang w:bidi="ar"/>
              </w:rPr>
              <w:t>数据库审计与风险控制系统</w:t>
            </w:r>
          </w:p>
        </w:tc>
        <w:tc>
          <w:tcPr>
            <w:tcW w:w="954" w:type="dxa"/>
            <w:noWrap/>
            <w:vAlign w:val="center"/>
          </w:tcPr>
          <w:p w14:paraId="16DBA53F">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2F67BA1A">
            <w:pPr>
              <w:widowControl/>
              <w:shd w:val="clear" w:color="auto" w:fill="auto"/>
              <w:jc w:val="center"/>
              <w:textAlignment w:val="center"/>
              <w:rPr>
                <w:rStyle w:val="8"/>
                <w:rFonts w:hint="default"/>
                <w:color w:val="auto"/>
                <w:highlight w:val="none"/>
                <w:lang w:bidi="ar"/>
              </w:rPr>
            </w:pPr>
          </w:p>
        </w:tc>
        <w:tc>
          <w:tcPr>
            <w:tcW w:w="654" w:type="dxa"/>
            <w:noWrap/>
            <w:vAlign w:val="center"/>
          </w:tcPr>
          <w:p w14:paraId="6C685061">
            <w:pPr>
              <w:widowControl/>
              <w:shd w:val="clear" w:color="auto" w:fill="auto"/>
              <w:jc w:val="center"/>
              <w:rPr>
                <w:rFonts w:hint="eastAsia" w:ascii="等线" w:hAnsi="等线" w:eastAsia="等线"/>
                <w:color w:val="auto"/>
                <w:sz w:val="22"/>
                <w:szCs w:val="22"/>
                <w:highlight w:val="none"/>
              </w:rPr>
            </w:pPr>
            <w:r>
              <w:rPr>
                <w:rFonts w:hint="eastAsia" w:ascii="宋体" w:hAnsi="宋体" w:cs="宋体"/>
                <w:color w:val="auto"/>
                <w:kern w:val="0"/>
                <w:sz w:val="20"/>
                <w:szCs w:val="20"/>
                <w:highlight w:val="none"/>
              </w:rPr>
              <w:t>1</w:t>
            </w:r>
          </w:p>
        </w:tc>
        <w:tc>
          <w:tcPr>
            <w:tcW w:w="630" w:type="dxa"/>
            <w:noWrap/>
            <w:vAlign w:val="center"/>
          </w:tcPr>
          <w:p w14:paraId="49E7D110">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rPr>
              <w:t>台</w:t>
            </w:r>
          </w:p>
        </w:tc>
        <w:tc>
          <w:tcPr>
            <w:tcW w:w="1100" w:type="dxa"/>
            <w:noWrap/>
            <w:vAlign w:val="center"/>
          </w:tcPr>
          <w:p w14:paraId="3DF8A870">
            <w:pPr>
              <w:widowControl/>
              <w:shd w:val="clear" w:color="auto" w:fill="auto"/>
              <w:jc w:val="center"/>
              <w:textAlignment w:val="center"/>
              <w:rPr>
                <w:rStyle w:val="8"/>
                <w:rFonts w:hint="eastAsia" w:eastAsia="宋体"/>
                <w:color w:val="auto"/>
                <w:highlight w:val="none"/>
                <w:lang w:val="en-US" w:eastAsia="zh-CN" w:bidi="ar"/>
              </w:rPr>
            </w:pPr>
            <w:r>
              <w:rPr>
                <w:rStyle w:val="8"/>
                <w:rFonts w:hint="eastAsia"/>
                <w:color w:val="auto"/>
                <w:highlight w:val="none"/>
                <w:lang w:val="en-US" w:eastAsia="zh-CN" w:bidi="ar"/>
              </w:rPr>
              <w:t>是</w:t>
            </w:r>
          </w:p>
        </w:tc>
        <w:tc>
          <w:tcPr>
            <w:tcW w:w="1323" w:type="dxa"/>
            <w:noWrap w:val="0"/>
            <w:vAlign w:val="center"/>
          </w:tcPr>
          <w:p w14:paraId="0A6DDB70">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6451B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5CED4F02">
            <w:pPr>
              <w:widowControl/>
              <w:shd w:val="clear" w:color="auto" w:fill="auto"/>
              <w:jc w:val="center"/>
              <w:textAlignment w:val="center"/>
              <w:rPr>
                <w:rFonts w:hint="eastAsia"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5</w:t>
            </w:r>
          </w:p>
        </w:tc>
        <w:tc>
          <w:tcPr>
            <w:tcW w:w="1754" w:type="dxa"/>
            <w:noWrap/>
            <w:vAlign w:val="center"/>
          </w:tcPr>
          <w:p w14:paraId="5D43E541">
            <w:pPr>
              <w:widowControl/>
              <w:shd w:val="clear" w:color="auto" w:fill="auto"/>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0"/>
                <w:szCs w:val="21"/>
                <w:highlight w:val="none"/>
                <w:lang w:bidi="ar"/>
              </w:rPr>
              <w:t>综合日志审计分析平台</w:t>
            </w:r>
          </w:p>
        </w:tc>
        <w:tc>
          <w:tcPr>
            <w:tcW w:w="954" w:type="dxa"/>
            <w:noWrap/>
            <w:vAlign w:val="center"/>
          </w:tcPr>
          <w:p w14:paraId="7488E8B5">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409BCAE7">
            <w:pPr>
              <w:widowControl/>
              <w:shd w:val="clear" w:color="auto" w:fill="auto"/>
              <w:jc w:val="center"/>
              <w:textAlignment w:val="center"/>
              <w:rPr>
                <w:rStyle w:val="8"/>
                <w:rFonts w:hint="default"/>
                <w:color w:val="auto"/>
                <w:highlight w:val="none"/>
                <w:lang w:bidi="ar"/>
              </w:rPr>
            </w:pPr>
          </w:p>
        </w:tc>
        <w:tc>
          <w:tcPr>
            <w:tcW w:w="654" w:type="dxa"/>
            <w:noWrap/>
            <w:vAlign w:val="center"/>
          </w:tcPr>
          <w:p w14:paraId="474DE524">
            <w:pPr>
              <w:widowControl/>
              <w:shd w:val="clear" w:color="auto" w:fill="auto"/>
              <w:jc w:val="center"/>
              <w:rPr>
                <w:rFonts w:hint="eastAsia" w:ascii="等线" w:hAnsi="等线" w:eastAsia="等线"/>
                <w:color w:val="auto"/>
                <w:sz w:val="22"/>
                <w:szCs w:val="22"/>
                <w:highlight w:val="none"/>
              </w:rPr>
            </w:pPr>
            <w:r>
              <w:rPr>
                <w:rFonts w:hint="eastAsia" w:ascii="宋体" w:hAnsi="宋体" w:cs="宋体"/>
                <w:color w:val="auto"/>
                <w:kern w:val="0"/>
                <w:sz w:val="20"/>
                <w:szCs w:val="20"/>
                <w:highlight w:val="none"/>
              </w:rPr>
              <w:t>1</w:t>
            </w:r>
          </w:p>
        </w:tc>
        <w:tc>
          <w:tcPr>
            <w:tcW w:w="630" w:type="dxa"/>
            <w:noWrap/>
            <w:vAlign w:val="center"/>
          </w:tcPr>
          <w:p w14:paraId="0F7D69FB">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rPr>
              <w:t>台</w:t>
            </w:r>
          </w:p>
        </w:tc>
        <w:tc>
          <w:tcPr>
            <w:tcW w:w="1100" w:type="dxa"/>
            <w:noWrap/>
            <w:vAlign w:val="center"/>
          </w:tcPr>
          <w:p w14:paraId="14787C87">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5E3B0AE7">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3EAA1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46725F02">
            <w:pPr>
              <w:widowControl/>
              <w:shd w:val="clear" w:color="auto" w:fill="auto"/>
              <w:jc w:val="center"/>
              <w:textAlignment w:val="center"/>
              <w:rPr>
                <w:rFonts w:hint="eastAsia"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6</w:t>
            </w:r>
          </w:p>
        </w:tc>
        <w:tc>
          <w:tcPr>
            <w:tcW w:w="1754" w:type="dxa"/>
            <w:noWrap/>
            <w:vAlign w:val="center"/>
          </w:tcPr>
          <w:p w14:paraId="1FE7834A">
            <w:pPr>
              <w:widowControl/>
              <w:shd w:val="clear" w:color="auto" w:fill="auto"/>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0"/>
                <w:szCs w:val="21"/>
                <w:highlight w:val="none"/>
                <w:lang w:bidi="ar"/>
              </w:rPr>
              <w:t>数据中心防火墙</w:t>
            </w:r>
          </w:p>
        </w:tc>
        <w:tc>
          <w:tcPr>
            <w:tcW w:w="954" w:type="dxa"/>
            <w:noWrap/>
            <w:vAlign w:val="center"/>
          </w:tcPr>
          <w:p w14:paraId="7BEEC1D0">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0231CE1C">
            <w:pPr>
              <w:widowControl/>
              <w:shd w:val="clear" w:color="auto" w:fill="auto"/>
              <w:jc w:val="center"/>
              <w:textAlignment w:val="center"/>
              <w:rPr>
                <w:rStyle w:val="8"/>
                <w:rFonts w:hint="default"/>
                <w:color w:val="auto"/>
                <w:highlight w:val="none"/>
                <w:lang w:bidi="ar"/>
              </w:rPr>
            </w:pPr>
          </w:p>
        </w:tc>
        <w:tc>
          <w:tcPr>
            <w:tcW w:w="654" w:type="dxa"/>
            <w:noWrap/>
            <w:vAlign w:val="center"/>
          </w:tcPr>
          <w:p w14:paraId="4B191A47">
            <w:pPr>
              <w:widowControl/>
              <w:shd w:val="clear" w:color="auto" w:fill="auto"/>
              <w:jc w:val="center"/>
              <w:rPr>
                <w:rFonts w:hint="eastAsia" w:ascii="等线" w:hAnsi="等线" w:eastAsia="等线"/>
                <w:color w:val="auto"/>
                <w:sz w:val="22"/>
                <w:szCs w:val="22"/>
                <w:highlight w:val="none"/>
              </w:rPr>
            </w:pPr>
            <w:r>
              <w:rPr>
                <w:rFonts w:hint="eastAsia" w:ascii="宋体" w:hAnsi="宋体" w:cs="宋体"/>
                <w:color w:val="auto"/>
                <w:kern w:val="0"/>
                <w:sz w:val="20"/>
                <w:szCs w:val="20"/>
                <w:highlight w:val="none"/>
              </w:rPr>
              <w:t>2</w:t>
            </w:r>
          </w:p>
        </w:tc>
        <w:tc>
          <w:tcPr>
            <w:tcW w:w="630" w:type="dxa"/>
            <w:noWrap/>
            <w:vAlign w:val="center"/>
          </w:tcPr>
          <w:p w14:paraId="540A3113">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rPr>
              <w:t>台</w:t>
            </w:r>
          </w:p>
        </w:tc>
        <w:tc>
          <w:tcPr>
            <w:tcW w:w="1100" w:type="dxa"/>
            <w:noWrap/>
            <w:vAlign w:val="center"/>
          </w:tcPr>
          <w:p w14:paraId="7C2E6C8E">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743E8526">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3E8D4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76891BB0">
            <w:pPr>
              <w:widowControl/>
              <w:shd w:val="clear" w:color="auto" w:fill="auto"/>
              <w:jc w:val="center"/>
              <w:textAlignment w:val="center"/>
              <w:rPr>
                <w:rFonts w:hint="eastAsia"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7</w:t>
            </w:r>
          </w:p>
        </w:tc>
        <w:tc>
          <w:tcPr>
            <w:tcW w:w="1754" w:type="dxa"/>
            <w:noWrap/>
            <w:vAlign w:val="center"/>
          </w:tcPr>
          <w:p w14:paraId="1734C51A">
            <w:pPr>
              <w:widowControl/>
              <w:shd w:val="clear" w:color="auto" w:fill="auto"/>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0"/>
                <w:szCs w:val="21"/>
                <w:highlight w:val="none"/>
                <w:lang w:bidi="ar"/>
              </w:rPr>
              <w:t>边界防火墙</w:t>
            </w:r>
          </w:p>
        </w:tc>
        <w:tc>
          <w:tcPr>
            <w:tcW w:w="954" w:type="dxa"/>
            <w:noWrap/>
            <w:vAlign w:val="center"/>
          </w:tcPr>
          <w:p w14:paraId="74D75FF7">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6C63DA12">
            <w:pPr>
              <w:widowControl/>
              <w:shd w:val="clear" w:color="auto" w:fill="auto"/>
              <w:jc w:val="center"/>
              <w:textAlignment w:val="center"/>
              <w:rPr>
                <w:rStyle w:val="8"/>
                <w:rFonts w:hint="default"/>
                <w:color w:val="auto"/>
                <w:highlight w:val="none"/>
                <w:lang w:bidi="ar"/>
              </w:rPr>
            </w:pPr>
          </w:p>
        </w:tc>
        <w:tc>
          <w:tcPr>
            <w:tcW w:w="654" w:type="dxa"/>
            <w:noWrap/>
            <w:vAlign w:val="center"/>
          </w:tcPr>
          <w:p w14:paraId="483053C3">
            <w:pPr>
              <w:widowControl/>
              <w:shd w:val="clear" w:color="auto" w:fill="auto"/>
              <w:jc w:val="center"/>
              <w:rPr>
                <w:rFonts w:hint="eastAsia" w:ascii="等线" w:hAnsi="等线" w:eastAsia="等线"/>
                <w:color w:val="auto"/>
                <w:sz w:val="22"/>
                <w:szCs w:val="22"/>
                <w:highlight w:val="none"/>
              </w:rPr>
            </w:pPr>
            <w:r>
              <w:rPr>
                <w:rFonts w:hint="eastAsia" w:ascii="宋体" w:hAnsi="宋体" w:cs="宋体"/>
                <w:color w:val="auto"/>
                <w:kern w:val="0"/>
                <w:sz w:val="20"/>
                <w:szCs w:val="20"/>
                <w:highlight w:val="none"/>
              </w:rPr>
              <w:t>3</w:t>
            </w:r>
          </w:p>
        </w:tc>
        <w:tc>
          <w:tcPr>
            <w:tcW w:w="630" w:type="dxa"/>
            <w:noWrap/>
            <w:vAlign w:val="center"/>
          </w:tcPr>
          <w:p w14:paraId="6DA6639E">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rPr>
              <w:t>台</w:t>
            </w:r>
          </w:p>
        </w:tc>
        <w:tc>
          <w:tcPr>
            <w:tcW w:w="1100" w:type="dxa"/>
            <w:noWrap/>
            <w:vAlign w:val="center"/>
          </w:tcPr>
          <w:p w14:paraId="59F48636">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42A0A210">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77657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7F62E4C2">
            <w:pPr>
              <w:widowControl/>
              <w:shd w:val="clear" w:color="auto" w:fill="auto"/>
              <w:jc w:val="center"/>
              <w:textAlignment w:val="center"/>
              <w:rPr>
                <w:rFonts w:hint="eastAsia"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8</w:t>
            </w:r>
          </w:p>
        </w:tc>
        <w:tc>
          <w:tcPr>
            <w:tcW w:w="1754" w:type="dxa"/>
            <w:noWrap/>
            <w:vAlign w:val="center"/>
          </w:tcPr>
          <w:p w14:paraId="12B43BB7">
            <w:pPr>
              <w:widowControl/>
              <w:shd w:val="clear" w:color="auto" w:fill="auto"/>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0"/>
                <w:szCs w:val="21"/>
                <w:highlight w:val="none"/>
                <w:lang w:bidi="ar"/>
              </w:rPr>
              <w:t>堡垒机</w:t>
            </w:r>
          </w:p>
        </w:tc>
        <w:tc>
          <w:tcPr>
            <w:tcW w:w="954" w:type="dxa"/>
            <w:noWrap/>
            <w:vAlign w:val="center"/>
          </w:tcPr>
          <w:p w14:paraId="6AF6686A">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38E0A24E">
            <w:pPr>
              <w:widowControl/>
              <w:shd w:val="clear" w:color="auto" w:fill="auto"/>
              <w:jc w:val="center"/>
              <w:textAlignment w:val="center"/>
              <w:rPr>
                <w:rStyle w:val="8"/>
                <w:rFonts w:hint="default"/>
                <w:color w:val="auto"/>
                <w:highlight w:val="none"/>
                <w:lang w:bidi="ar"/>
              </w:rPr>
            </w:pPr>
          </w:p>
        </w:tc>
        <w:tc>
          <w:tcPr>
            <w:tcW w:w="654" w:type="dxa"/>
            <w:noWrap/>
            <w:vAlign w:val="center"/>
          </w:tcPr>
          <w:p w14:paraId="5A08D3F1">
            <w:pPr>
              <w:widowControl/>
              <w:shd w:val="clear" w:color="auto" w:fill="auto"/>
              <w:jc w:val="center"/>
              <w:rPr>
                <w:rFonts w:hint="eastAsia" w:ascii="等线" w:hAnsi="等线" w:eastAsia="等线"/>
                <w:color w:val="auto"/>
                <w:sz w:val="22"/>
                <w:szCs w:val="22"/>
                <w:highlight w:val="none"/>
              </w:rPr>
            </w:pPr>
            <w:r>
              <w:rPr>
                <w:rFonts w:hint="eastAsia" w:ascii="宋体" w:hAnsi="宋体" w:cs="宋体"/>
                <w:color w:val="auto"/>
                <w:kern w:val="0"/>
                <w:sz w:val="20"/>
                <w:szCs w:val="20"/>
                <w:highlight w:val="none"/>
              </w:rPr>
              <w:t>1</w:t>
            </w:r>
          </w:p>
        </w:tc>
        <w:tc>
          <w:tcPr>
            <w:tcW w:w="630" w:type="dxa"/>
            <w:noWrap/>
            <w:vAlign w:val="center"/>
          </w:tcPr>
          <w:p w14:paraId="5BC4EADF">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rPr>
              <w:t>台</w:t>
            </w:r>
          </w:p>
        </w:tc>
        <w:tc>
          <w:tcPr>
            <w:tcW w:w="1100" w:type="dxa"/>
            <w:noWrap/>
            <w:vAlign w:val="center"/>
          </w:tcPr>
          <w:p w14:paraId="4D191188">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37913769">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4EDFB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21618B04">
            <w:pPr>
              <w:widowControl/>
              <w:shd w:val="clear" w:color="auto" w:fill="auto"/>
              <w:jc w:val="center"/>
              <w:textAlignment w:val="center"/>
              <w:rPr>
                <w:rFonts w:hint="eastAsia"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9</w:t>
            </w:r>
          </w:p>
        </w:tc>
        <w:tc>
          <w:tcPr>
            <w:tcW w:w="1754" w:type="dxa"/>
            <w:noWrap/>
            <w:vAlign w:val="center"/>
          </w:tcPr>
          <w:p w14:paraId="04A73117">
            <w:pPr>
              <w:widowControl/>
              <w:shd w:val="clear" w:color="auto" w:fill="auto"/>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0"/>
                <w:szCs w:val="21"/>
                <w:highlight w:val="none"/>
                <w:lang w:bidi="ar"/>
              </w:rPr>
              <w:br w:type="textWrapping"/>
            </w:r>
            <w:r>
              <w:rPr>
                <w:rFonts w:hint="eastAsia" w:ascii="宋体" w:hAnsi="宋体" w:cs="宋体"/>
                <w:color w:val="auto"/>
                <w:kern w:val="0"/>
                <w:szCs w:val="21"/>
                <w:highlight w:val="none"/>
                <w:lang w:bidi="ar"/>
              </w:rPr>
              <w:t>态势感知系统</w:t>
            </w:r>
          </w:p>
        </w:tc>
        <w:tc>
          <w:tcPr>
            <w:tcW w:w="954" w:type="dxa"/>
            <w:noWrap/>
            <w:vAlign w:val="center"/>
          </w:tcPr>
          <w:p w14:paraId="6AFCADA0">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0EF8D673">
            <w:pPr>
              <w:widowControl/>
              <w:shd w:val="clear" w:color="auto" w:fill="auto"/>
              <w:jc w:val="center"/>
              <w:textAlignment w:val="center"/>
              <w:rPr>
                <w:rStyle w:val="8"/>
                <w:rFonts w:hint="default"/>
                <w:color w:val="auto"/>
                <w:highlight w:val="none"/>
                <w:lang w:bidi="ar"/>
              </w:rPr>
            </w:pPr>
          </w:p>
        </w:tc>
        <w:tc>
          <w:tcPr>
            <w:tcW w:w="654" w:type="dxa"/>
            <w:noWrap/>
            <w:vAlign w:val="center"/>
          </w:tcPr>
          <w:p w14:paraId="33B0C444">
            <w:pPr>
              <w:widowControl/>
              <w:shd w:val="clear" w:color="auto" w:fill="auto"/>
              <w:jc w:val="center"/>
              <w:rPr>
                <w:rFonts w:hint="eastAsia" w:ascii="等线" w:hAnsi="等线" w:eastAsia="等线"/>
                <w:color w:val="auto"/>
                <w:sz w:val="22"/>
                <w:szCs w:val="22"/>
                <w:highlight w:val="none"/>
              </w:rPr>
            </w:pPr>
            <w:r>
              <w:rPr>
                <w:rFonts w:hint="eastAsia" w:ascii="宋体" w:hAnsi="宋体" w:cs="宋体"/>
                <w:color w:val="auto"/>
                <w:kern w:val="0"/>
                <w:sz w:val="20"/>
                <w:szCs w:val="20"/>
                <w:highlight w:val="none"/>
              </w:rPr>
              <w:t>1</w:t>
            </w:r>
          </w:p>
        </w:tc>
        <w:tc>
          <w:tcPr>
            <w:tcW w:w="630" w:type="dxa"/>
            <w:noWrap/>
            <w:vAlign w:val="center"/>
          </w:tcPr>
          <w:p w14:paraId="55847702">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rPr>
              <w:t>台</w:t>
            </w:r>
          </w:p>
        </w:tc>
        <w:tc>
          <w:tcPr>
            <w:tcW w:w="1100" w:type="dxa"/>
            <w:noWrap/>
            <w:vAlign w:val="center"/>
          </w:tcPr>
          <w:p w14:paraId="605F1B3B">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64E3F12C">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2B592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22C48AA0">
            <w:pPr>
              <w:widowControl/>
              <w:shd w:val="clear" w:color="auto" w:fill="auto"/>
              <w:jc w:val="center"/>
              <w:textAlignment w:val="center"/>
              <w:rPr>
                <w:rFonts w:hint="default"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10</w:t>
            </w:r>
          </w:p>
        </w:tc>
        <w:tc>
          <w:tcPr>
            <w:tcW w:w="1754" w:type="dxa"/>
            <w:noWrap/>
            <w:vAlign w:val="center"/>
          </w:tcPr>
          <w:p w14:paraId="750FACEF">
            <w:pPr>
              <w:widowControl/>
              <w:shd w:val="clear" w:color="auto" w:fill="auto"/>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0"/>
                <w:szCs w:val="21"/>
                <w:highlight w:val="none"/>
                <w:lang w:bidi="ar"/>
              </w:rPr>
              <w:t>终端安全防护系统</w:t>
            </w:r>
          </w:p>
        </w:tc>
        <w:tc>
          <w:tcPr>
            <w:tcW w:w="954" w:type="dxa"/>
            <w:noWrap/>
            <w:vAlign w:val="center"/>
          </w:tcPr>
          <w:p w14:paraId="01BEA971">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679FBBE5">
            <w:pPr>
              <w:widowControl/>
              <w:shd w:val="clear" w:color="auto" w:fill="auto"/>
              <w:jc w:val="center"/>
              <w:textAlignment w:val="center"/>
              <w:rPr>
                <w:rStyle w:val="8"/>
                <w:rFonts w:hint="default"/>
                <w:color w:val="auto"/>
                <w:highlight w:val="none"/>
                <w:lang w:bidi="ar"/>
              </w:rPr>
            </w:pPr>
          </w:p>
        </w:tc>
        <w:tc>
          <w:tcPr>
            <w:tcW w:w="654" w:type="dxa"/>
            <w:noWrap/>
            <w:vAlign w:val="center"/>
          </w:tcPr>
          <w:p w14:paraId="40175CD1">
            <w:pPr>
              <w:widowControl/>
              <w:shd w:val="clear" w:color="auto" w:fill="auto"/>
              <w:jc w:val="center"/>
              <w:rPr>
                <w:rFonts w:hint="eastAsia" w:ascii="等线" w:hAnsi="等线" w:eastAsia="等线"/>
                <w:color w:val="auto"/>
                <w:sz w:val="22"/>
                <w:szCs w:val="22"/>
                <w:highlight w:val="none"/>
              </w:rPr>
            </w:pPr>
            <w:r>
              <w:rPr>
                <w:rFonts w:hint="eastAsia" w:ascii="宋体" w:hAnsi="宋体" w:cs="宋体"/>
                <w:color w:val="auto"/>
                <w:kern w:val="0"/>
                <w:sz w:val="20"/>
                <w:szCs w:val="20"/>
                <w:highlight w:val="none"/>
              </w:rPr>
              <w:t>1</w:t>
            </w:r>
          </w:p>
        </w:tc>
        <w:tc>
          <w:tcPr>
            <w:tcW w:w="630" w:type="dxa"/>
            <w:noWrap/>
            <w:vAlign w:val="center"/>
          </w:tcPr>
          <w:p w14:paraId="2E0E7CFA">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rPr>
              <w:t>套</w:t>
            </w:r>
          </w:p>
        </w:tc>
        <w:tc>
          <w:tcPr>
            <w:tcW w:w="1100" w:type="dxa"/>
            <w:noWrap/>
            <w:vAlign w:val="center"/>
          </w:tcPr>
          <w:p w14:paraId="4150C00A">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0F466EFA">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6DD5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6FA3C524">
            <w:pPr>
              <w:widowControl/>
              <w:shd w:val="clear" w:color="auto" w:fill="auto"/>
              <w:jc w:val="center"/>
              <w:textAlignment w:val="center"/>
              <w:rPr>
                <w:rFonts w:hint="default"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11</w:t>
            </w:r>
          </w:p>
        </w:tc>
        <w:tc>
          <w:tcPr>
            <w:tcW w:w="1754" w:type="dxa"/>
            <w:noWrap/>
            <w:vAlign w:val="center"/>
          </w:tcPr>
          <w:p w14:paraId="17A95DFB">
            <w:pPr>
              <w:widowControl/>
              <w:shd w:val="clear" w:color="auto" w:fill="auto"/>
              <w:jc w:val="center"/>
              <w:textAlignment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0"/>
                <w:szCs w:val="21"/>
                <w:highlight w:val="none"/>
                <w:lang w:bidi="ar"/>
              </w:rPr>
              <w:t>网闸</w:t>
            </w:r>
          </w:p>
        </w:tc>
        <w:tc>
          <w:tcPr>
            <w:tcW w:w="954" w:type="dxa"/>
            <w:noWrap/>
            <w:vAlign w:val="center"/>
          </w:tcPr>
          <w:p w14:paraId="1F04EBAF">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4B7C8E33">
            <w:pPr>
              <w:widowControl/>
              <w:shd w:val="clear" w:color="auto" w:fill="auto"/>
              <w:jc w:val="center"/>
              <w:textAlignment w:val="center"/>
              <w:rPr>
                <w:rStyle w:val="8"/>
                <w:rFonts w:hint="default"/>
                <w:color w:val="auto"/>
                <w:highlight w:val="none"/>
                <w:lang w:bidi="ar"/>
              </w:rPr>
            </w:pPr>
          </w:p>
        </w:tc>
        <w:tc>
          <w:tcPr>
            <w:tcW w:w="654" w:type="dxa"/>
            <w:noWrap/>
            <w:vAlign w:val="center"/>
          </w:tcPr>
          <w:p w14:paraId="79C099D6">
            <w:pPr>
              <w:widowControl/>
              <w:shd w:val="clear" w:color="auto" w:fill="auto"/>
              <w:jc w:val="center"/>
              <w:rPr>
                <w:rFonts w:hint="eastAsia" w:ascii="等线" w:hAnsi="等线" w:eastAsia="等线"/>
                <w:color w:val="auto"/>
                <w:sz w:val="22"/>
                <w:szCs w:val="22"/>
                <w:highlight w:val="none"/>
              </w:rPr>
            </w:pPr>
            <w:r>
              <w:rPr>
                <w:rFonts w:hint="eastAsia" w:ascii="宋体" w:hAnsi="宋体" w:cs="宋体"/>
                <w:color w:val="auto"/>
                <w:kern w:val="0"/>
                <w:sz w:val="20"/>
                <w:szCs w:val="20"/>
                <w:highlight w:val="none"/>
              </w:rPr>
              <w:t>1</w:t>
            </w:r>
          </w:p>
        </w:tc>
        <w:tc>
          <w:tcPr>
            <w:tcW w:w="630" w:type="dxa"/>
            <w:noWrap/>
            <w:vAlign w:val="center"/>
          </w:tcPr>
          <w:p w14:paraId="5DC7003E">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lang w:val="en-US" w:eastAsia="zh-CN"/>
              </w:rPr>
              <w:t>台</w:t>
            </w:r>
          </w:p>
        </w:tc>
        <w:tc>
          <w:tcPr>
            <w:tcW w:w="1100" w:type="dxa"/>
            <w:noWrap/>
            <w:vAlign w:val="center"/>
          </w:tcPr>
          <w:p w14:paraId="132E98C1">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79B2E0D1">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11069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4800B409">
            <w:pPr>
              <w:widowControl/>
              <w:shd w:val="clear" w:color="auto" w:fill="auto"/>
              <w:jc w:val="center"/>
              <w:textAlignment w:val="center"/>
              <w:rPr>
                <w:rFonts w:hint="default"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12</w:t>
            </w:r>
          </w:p>
        </w:tc>
        <w:tc>
          <w:tcPr>
            <w:tcW w:w="1754" w:type="dxa"/>
            <w:noWrap/>
            <w:vAlign w:val="center"/>
          </w:tcPr>
          <w:p w14:paraId="5DDE424C">
            <w:pPr>
              <w:widowControl/>
              <w:shd w:val="clear" w:color="auto" w:fill="auto"/>
              <w:jc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szCs w:val="21"/>
                <w:highlight w:val="none"/>
              </w:rPr>
              <w:t>模块化机柜</w:t>
            </w:r>
          </w:p>
        </w:tc>
        <w:tc>
          <w:tcPr>
            <w:tcW w:w="954" w:type="dxa"/>
            <w:noWrap/>
            <w:vAlign w:val="center"/>
          </w:tcPr>
          <w:p w14:paraId="4DDB92E1">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2C408E74">
            <w:pPr>
              <w:widowControl/>
              <w:shd w:val="clear" w:color="auto" w:fill="auto"/>
              <w:jc w:val="center"/>
              <w:textAlignment w:val="center"/>
              <w:rPr>
                <w:rStyle w:val="8"/>
                <w:rFonts w:hint="default"/>
                <w:color w:val="auto"/>
                <w:highlight w:val="none"/>
                <w:lang w:bidi="ar"/>
              </w:rPr>
            </w:pPr>
          </w:p>
        </w:tc>
        <w:tc>
          <w:tcPr>
            <w:tcW w:w="654" w:type="dxa"/>
            <w:noWrap/>
            <w:vAlign w:val="center"/>
          </w:tcPr>
          <w:p w14:paraId="0B7A0CB5">
            <w:pPr>
              <w:widowControl/>
              <w:shd w:val="clear" w:color="auto" w:fill="auto"/>
              <w:jc w:val="center"/>
              <w:rPr>
                <w:rFonts w:hint="eastAsia" w:ascii="等线" w:hAnsi="等线" w:eastAsia="等线"/>
                <w:color w:val="auto"/>
                <w:sz w:val="22"/>
                <w:szCs w:val="22"/>
                <w:highlight w:val="none"/>
              </w:rPr>
            </w:pPr>
            <w:r>
              <w:rPr>
                <w:rFonts w:hint="eastAsia" w:ascii="宋体" w:hAnsi="宋体" w:cs="宋体"/>
                <w:color w:val="auto"/>
                <w:kern w:val="0"/>
                <w:sz w:val="20"/>
                <w:szCs w:val="20"/>
                <w:highlight w:val="none"/>
                <w:lang w:val="en-US" w:eastAsia="zh-CN"/>
              </w:rPr>
              <w:t>1</w:t>
            </w:r>
          </w:p>
        </w:tc>
        <w:tc>
          <w:tcPr>
            <w:tcW w:w="630" w:type="dxa"/>
            <w:noWrap/>
            <w:vAlign w:val="center"/>
          </w:tcPr>
          <w:p w14:paraId="3E4E793C">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lang w:val="en-US" w:eastAsia="zh-CN"/>
              </w:rPr>
              <w:t>台</w:t>
            </w:r>
          </w:p>
        </w:tc>
        <w:tc>
          <w:tcPr>
            <w:tcW w:w="1100" w:type="dxa"/>
            <w:noWrap/>
            <w:vAlign w:val="center"/>
          </w:tcPr>
          <w:p w14:paraId="76885CF2">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66118796">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0E62F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22CC64B3">
            <w:pPr>
              <w:widowControl/>
              <w:shd w:val="clear" w:color="auto" w:fill="auto"/>
              <w:jc w:val="center"/>
              <w:textAlignment w:val="center"/>
              <w:rPr>
                <w:rFonts w:hint="default"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13</w:t>
            </w:r>
          </w:p>
        </w:tc>
        <w:tc>
          <w:tcPr>
            <w:tcW w:w="1754" w:type="dxa"/>
            <w:noWrap/>
            <w:vAlign w:val="center"/>
          </w:tcPr>
          <w:p w14:paraId="161B8C3D">
            <w:pPr>
              <w:widowControl/>
              <w:shd w:val="clear" w:color="auto" w:fill="auto"/>
              <w:jc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szCs w:val="21"/>
                <w:highlight w:val="none"/>
              </w:rPr>
              <w:t>智能会议屏</w:t>
            </w:r>
          </w:p>
        </w:tc>
        <w:tc>
          <w:tcPr>
            <w:tcW w:w="954" w:type="dxa"/>
            <w:noWrap/>
            <w:vAlign w:val="center"/>
          </w:tcPr>
          <w:p w14:paraId="089504F9">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7FCF2796">
            <w:pPr>
              <w:widowControl/>
              <w:shd w:val="clear" w:color="auto" w:fill="auto"/>
              <w:jc w:val="center"/>
              <w:textAlignment w:val="center"/>
              <w:rPr>
                <w:rStyle w:val="8"/>
                <w:rFonts w:hint="default"/>
                <w:color w:val="auto"/>
                <w:highlight w:val="none"/>
                <w:lang w:bidi="ar"/>
              </w:rPr>
            </w:pPr>
          </w:p>
        </w:tc>
        <w:tc>
          <w:tcPr>
            <w:tcW w:w="654" w:type="dxa"/>
            <w:noWrap/>
            <w:vAlign w:val="center"/>
          </w:tcPr>
          <w:p w14:paraId="739F0132">
            <w:pPr>
              <w:widowControl/>
              <w:shd w:val="clear" w:color="auto" w:fill="auto"/>
              <w:jc w:val="center"/>
              <w:rPr>
                <w:rFonts w:hint="eastAsia" w:ascii="等线" w:hAnsi="等线" w:eastAsia="等线"/>
                <w:color w:val="auto"/>
                <w:sz w:val="22"/>
                <w:szCs w:val="22"/>
                <w:highlight w:val="none"/>
              </w:rPr>
            </w:pPr>
            <w:r>
              <w:rPr>
                <w:rFonts w:hint="eastAsia" w:ascii="宋体" w:hAnsi="宋体" w:cs="宋体"/>
                <w:color w:val="auto"/>
                <w:kern w:val="0"/>
                <w:sz w:val="20"/>
                <w:szCs w:val="20"/>
                <w:highlight w:val="none"/>
                <w:lang w:val="en-US" w:eastAsia="zh-CN"/>
              </w:rPr>
              <w:t>1</w:t>
            </w:r>
          </w:p>
        </w:tc>
        <w:tc>
          <w:tcPr>
            <w:tcW w:w="630" w:type="dxa"/>
            <w:noWrap/>
            <w:vAlign w:val="center"/>
          </w:tcPr>
          <w:p w14:paraId="7131877A">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lang w:val="en-US" w:eastAsia="zh-CN"/>
              </w:rPr>
              <w:t>台</w:t>
            </w:r>
          </w:p>
        </w:tc>
        <w:tc>
          <w:tcPr>
            <w:tcW w:w="1100" w:type="dxa"/>
            <w:noWrap/>
            <w:vAlign w:val="center"/>
          </w:tcPr>
          <w:p w14:paraId="3409243B">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3B22D687">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r w14:paraId="2BC9D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562" w:type="dxa"/>
            <w:noWrap/>
            <w:vAlign w:val="center"/>
          </w:tcPr>
          <w:p w14:paraId="141A9372">
            <w:pPr>
              <w:widowControl/>
              <w:shd w:val="clear" w:color="auto" w:fill="auto"/>
              <w:jc w:val="center"/>
              <w:textAlignment w:val="center"/>
              <w:rPr>
                <w:rFonts w:hint="default" w:ascii="等线" w:hAnsi="等线" w:eastAsia="等线" w:cs="等线"/>
                <w:color w:val="auto"/>
                <w:sz w:val="22"/>
                <w:szCs w:val="22"/>
                <w:highlight w:val="none"/>
                <w:lang w:val="en-US" w:eastAsia="zh-CN"/>
              </w:rPr>
            </w:pPr>
            <w:r>
              <w:rPr>
                <w:rFonts w:hint="eastAsia" w:ascii="等线" w:hAnsi="等线" w:eastAsia="等线" w:cs="等线"/>
                <w:color w:val="auto"/>
                <w:sz w:val="22"/>
                <w:szCs w:val="22"/>
                <w:highlight w:val="none"/>
                <w:lang w:val="en-US" w:eastAsia="zh-CN"/>
              </w:rPr>
              <w:t>14</w:t>
            </w:r>
          </w:p>
        </w:tc>
        <w:tc>
          <w:tcPr>
            <w:tcW w:w="1754" w:type="dxa"/>
            <w:noWrap/>
            <w:vAlign w:val="center"/>
          </w:tcPr>
          <w:p w14:paraId="7912B0E0">
            <w:pPr>
              <w:widowControl/>
              <w:shd w:val="clear" w:color="auto" w:fill="auto"/>
              <w:jc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szCs w:val="21"/>
                <w:highlight w:val="none"/>
              </w:rPr>
              <w:t>综合布线</w:t>
            </w:r>
          </w:p>
        </w:tc>
        <w:tc>
          <w:tcPr>
            <w:tcW w:w="954" w:type="dxa"/>
            <w:noWrap/>
            <w:vAlign w:val="center"/>
          </w:tcPr>
          <w:p w14:paraId="4BA623A0">
            <w:pPr>
              <w:shd w:val="clear" w:color="auto" w:fill="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否</w:t>
            </w:r>
          </w:p>
        </w:tc>
        <w:tc>
          <w:tcPr>
            <w:tcW w:w="1669" w:type="dxa"/>
            <w:vMerge w:val="continue"/>
            <w:noWrap/>
            <w:vAlign w:val="center"/>
          </w:tcPr>
          <w:p w14:paraId="776B24CE">
            <w:pPr>
              <w:widowControl/>
              <w:shd w:val="clear" w:color="auto" w:fill="auto"/>
              <w:jc w:val="center"/>
              <w:textAlignment w:val="center"/>
              <w:rPr>
                <w:rStyle w:val="8"/>
                <w:rFonts w:hint="default"/>
                <w:color w:val="auto"/>
                <w:highlight w:val="none"/>
                <w:lang w:bidi="ar"/>
              </w:rPr>
            </w:pPr>
          </w:p>
        </w:tc>
        <w:tc>
          <w:tcPr>
            <w:tcW w:w="654" w:type="dxa"/>
            <w:noWrap/>
            <w:vAlign w:val="center"/>
          </w:tcPr>
          <w:p w14:paraId="6E8FA017">
            <w:pPr>
              <w:widowControl/>
              <w:shd w:val="clear" w:color="auto" w:fill="auto"/>
              <w:jc w:val="center"/>
              <w:rPr>
                <w:rFonts w:hint="eastAsia" w:ascii="等线" w:hAnsi="等线" w:eastAsia="等线"/>
                <w:color w:val="auto"/>
                <w:sz w:val="22"/>
                <w:szCs w:val="22"/>
                <w:highlight w:val="none"/>
                <w:lang w:eastAsia="zh-CN"/>
              </w:rPr>
            </w:pPr>
            <w:r>
              <w:rPr>
                <w:rFonts w:hint="eastAsia" w:ascii="宋体" w:hAnsi="宋体" w:eastAsia="等线" w:cs="宋体"/>
                <w:color w:val="auto"/>
                <w:kern w:val="0"/>
                <w:sz w:val="20"/>
                <w:szCs w:val="20"/>
                <w:highlight w:val="none"/>
                <w:lang w:val="en-US" w:eastAsia="zh-CN"/>
              </w:rPr>
              <w:t>1</w:t>
            </w:r>
          </w:p>
        </w:tc>
        <w:tc>
          <w:tcPr>
            <w:tcW w:w="630" w:type="dxa"/>
            <w:noWrap/>
            <w:vAlign w:val="center"/>
          </w:tcPr>
          <w:p w14:paraId="1C335461">
            <w:pPr>
              <w:widowControl/>
              <w:shd w:val="clear" w:color="auto" w:fill="auto"/>
              <w:jc w:val="center"/>
              <w:rPr>
                <w:rFonts w:hint="eastAsia" w:ascii="等线" w:hAnsi="等线" w:eastAsia="等线" w:cs="等线"/>
                <w:color w:val="auto"/>
                <w:sz w:val="22"/>
                <w:szCs w:val="22"/>
                <w:highlight w:val="none"/>
              </w:rPr>
            </w:pPr>
            <w:r>
              <w:rPr>
                <w:rFonts w:hint="eastAsia" w:ascii="宋体" w:hAnsi="宋体" w:cs="宋体"/>
                <w:color w:val="auto"/>
                <w:kern w:val="0"/>
                <w:sz w:val="20"/>
                <w:szCs w:val="20"/>
                <w:highlight w:val="none"/>
              </w:rPr>
              <w:t>项</w:t>
            </w:r>
          </w:p>
        </w:tc>
        <w:tc>
          <w:tcPr>
            <w:tcW w:w="1100" w:type="dxa"/>
            <w:noWrap/>
            <w:vAlign w:val="center"/>
          </w:tcPr>
          <w:p w14:paraId="3EE12F7D">
            <w:pPr>
              <w:widowControl/>
              <w:shd w:val="clear" w:color="auto" w:fill="auto"/>
              <w:jc w:val="center"/>
              <w:textAlignment w:val="center"/>
              <w:rPr>
                <w:rStyle w:val="8"/>
                <w:rFonts w:hint="default"/>
                <w:color w:val="auto"/>
                <w:highlight w:val="none"/>
                <w:lang w:bidi="ar"/>
              </w:rPr>
            </w:pPr>
            <w:r>
              <w:rPr>
                <w:rStyle w:val="8"/>
                <w:rFonts w:hint="eastAsia"/>
                <w:color w:val="auto"/>
                <w:highlight w:val="none"/>
                <w:lang w:val="en-US" w:eastAsia="zh-CN" w:bidi="ar"/>
              </w:rPr>
              <w:t>否</w:t>
            </w:r>
          </w:p>
        </w:tc>
        <w:tc>
          <w:tcPr>
            <w:tcW w:w="1323" w:type="dxa"/>
            <w:noWrap w:val="0"/>
            <w:vAlign w:val="center"/>
          </w:tcPr>
          <w:p w14:paraId="76523990">
            <w:pPr>
              <w:widowControl/>
              <w:shd w:val="clear" w:color="auto" w:fill="auto"/>
              <w:jc w:val="center"/>
              <w:textAlignment w:val="center"/>
              <w:rPr>
                <w:rStyle w:val="8"/>
                <w:rFonts w:hint="default"/>
                <w:color w:val="auto"/>
                <w:highlight w:val="none"/>
                <w:lang w:bidi="ar"/>
              </w:rPr>
            </w:pPr>
            <w:r>
              <w:rPr>
                <w:rStyle w:val="8"/>
                <w:rFonts w:hint="default"/>
                <w:color w:val="auto"/>
                <w:highlight w:val="none"/>
                <w:lang w:bidi="ar"/>
              </w:rPr>
              <w:t>工业</w:t>
            </w:r>
          </w:p>
        </w:tc>
      </w:tr>
    </w:tbl>
    <w:p w14:paraId="306BF8F2">
      <w:pPr>
        <w:shd w:val="clear" w:color="auto" w:fill="auto"/>
        <w:spacing w:line="360" w:lineRule="auto"/>
        <w:jc w:val="center"/>
        <w:rPr>
          <w:rFonts w:hint="eastAsia" w:ascii="宋体" w:hAnsi="宋体" w:cs="宋体"/>
          <w:color w:val="auto"/>
          <w:szCs w:val="21"/>
          <w:highlight w:val="none"/>
        </w:rPr>
      </w:pPr>
    </w:p>
    <w:p w14:paraId="3B46DC74">
      <w:pPr>
        <w:shd w:val="clear" w:color="auto" w:fill="auto"/>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注：具体要求等详见本招标文件第五章《采购需求》，不得缺项漏项，否则投标文件作无效处理。</w:t>
      </w:r>
    </w:p>
    <w:p w14:paraId="103BFE29">
      <w:pPr>
        <w:shd w:val="clear" w:color="auto" w:fill="auto"/>
        <w:spacing w:line="500" w:lineRule="exact"/>
        <w:ind w:firstLine="420"/>
        <w:rPr>
          <w:rFonts w:hint="eastAsia" w:ascii="宋体" w:hAnsi="宋体" w:cs="宋体"/>
          <w:color w:val="auto"/>
          <w:szCs w:val="21"/>
          <w:highlight w:val="none"/>
        </w:rPr>
      </w:pPr>
      <w:r>
        <w:rPr>
          <w:rFonts w:hint="eastAsia" w:ascii="宋体" w:hAnsi="宋体" w:cs="宋体"/>
          <w:bCs/>
          <w:color w:val="auto"/>
          <w:szCs w:val="21"/>
          <w:highlight w:val="none"/>
        </w:rPr>
        <w:t>6.合同履行期限（交货期）：</w:t>
      </w:r>
      <w:r>
        <w:rPr>
          <w:rFonts w:hint="eastAsia" w:ascii="宋体" w:hAnsi="宋体" w:cs="宋体"/>
          <w:color w:val="auto"/>
          <w:szCs w:val="21"/>
          <w:highlight w:val="none"/>
          <w:lang w:val="en-US" w:eastAsia="zh-CN"/>
        </w:rPr>
        <w:t>自合同签订之日起90日历天完成全部设备安装、调试、交付使用和设备使用培训工作，质保期三年。</w:t>
      </w:r>
    </w:p>
    <w:p w14:paraId="4415CDBC">
      <w:pPr>
        <w:shd w:val="clear" w:color="auto" w:fill="auto"/>
        <w:spacing w:line="360" w:lineRule="auto"/>
        <w:ind w:firstLine="420" w:firstLineChars="200"/>
        <w:rPr>
          <w:rFonts w:hint="eastAsia" w:ascii="宋体" w:hAnsi="宋体" w:cs="宋体"/>
          <w:color w:val="auto"/>
          <w:kern w:val="0"/>
          <w:szCs w:val="21"/>
          <w:highlight w:val="none"/>
        </w:rPr>
      </w:pPr>
      <w:r>
        <w:rPr>
          <w:rFonts w:hint="eastAsia" w:ascii="宋体" w:hAnsi="宋体" w:cs="宋体"/>
          <w:color w:val="auto"/>
          <w:szCs w:val="21"/>
          <w:highlight w:val="none"/>
        </w:rPr>
        <w:t>7.交货地点：</w:t>
      </w:r>
      <w:r>
        <w:rPr>
          <w:rFonts w:hint="eastAsia" w:ascii="宋体" w:hAnsi="宋体" w:cs="宋体"/>
          <w:color w:val="auto"/>
          <w:szCs w:val="21"/>
          <w:highlight w:val="none"/>
          <w:lang w:val="en-US" w:eastAsia="zh-CN"/>
        </w:rPr>
        <w:t>云南省残疾人康复中心北市区医院</w:t>
      </w:r>
      <w:r>
        <w:rPr>
          <w:rFonts w:hint="eastAsia" w:ascii="宋体" w:hAnsi="宋体" w:cs="宋体"/>
          <w:color w:val="auto"/>
          <w:kern w:val="0"/>
          <w:szCs w:val="21"/>
          <w:highlight w:val="none"/>
        </w:rPr>
        <w:t>。</w:t>
      </w:r>
    </w:p>
    <w:p w14:paraId="06E252F3">
      <w:pPr>
        <w:shd w:val="clear" w:color="auto" w:fill="auto"/>
        <w:spacing w:line="360" w:lineRule="auto"/>
        <w:ind w:firstLine="420" w:firstLineChars="200"/>
        <w:rPr>
          <w:rFonts w:hint="eastAsia" w:ascii="宋体" w:hAnsi="宋体" w:cs="宋体"/>
          <w:bCs/>
          <w:color w:val="auto"/>
          <w:sz w:val="24"/>
          <w:szCs w:val="24"/>
          <w:highlight w:val="none"/>
        </w:rPr>
      </w:pPr>
      <w:r>
        <w:rPr>
          <w:rFonts w:hint="eastAsia" w:ascii="宋体" w:hAnsi="宋体" w:cs="宋体"/>
          <w:color w:val="auto"/>
          <w:szCs w:val="21"/>
          <w:highlight w:val="none"/>
        </w:rPr>
        <w:t>8.</w:t>
      </w:r>
      <w:r>
        <w:rPr>
          <w:rFonts w:hint="eastAsia" w:ascii="宋体" w:hAnsi="宋体" w:cs="宋体"/>
          <w:b/>
          <w:bCs/>
          <w:color w:val="auto"/>
          <w:szCs w:val="21"/>
          <w:highlight w:val="none"/>
        </w:rPr>
        <w:t>本次</w:t>
      </w:r>
      <w:r>
        <w:rPr>
          <w:rFonts w:hint="eastAsia" w:ascii="宋体" w:hAnsi="宋体" w:cs="宋体"/>
          <w:b/>
          <w:bCs/>
          <w:color w:val="auto"/>
          <w:szCs w:val="21"/>
          <w:highlight w:val="none"/>
          <w:lang w:val="en-US" w:eastAsia="zh-CN"/>
        </w:rPr>
        <w:t>招标</w:t>
      </w:r>
      <w:r>
        <w:rPr>
          <w:rFonts w:hint="eastAsia" w:ascii="宋体" w:hAnsi="宋体" w:cs="宋体"/>
          <w:b/>
          <w:bCs/>
          <w:color w:val="auto"/>
          <w:szCs w:val="21"/>
          <w:highlight w:val="none"/>
          <w:u w:val="single"/>
          <w:lang w:val="en-US" w:eastAsia="zh-CN"/>
        </w:rPr>
        <w:t>不</w:t>
      </w:r>
      <w:r>
        <w:rPr>
          <w:rFonts w:hint="eastAsia" w:ascii="宋体" w:hAnsi="宋体" w:cs="宋体"/>
          <w:b/>
          <w:bCs/>
          <w:color w:val="auto"/>
          <w:szCs w:val="21"/>
          <w:highlight w:val="none"/>
          <w:u w:val="single"/>
        </w:rPr>
        <w:t>接受</w:t>
      </w:r>
      <w:r>
        <w:rPr>
          <w:rFonts w:hint="eastAsia" w:ascii="宋体" w:hAnsi="宋体" w:cs="宋体"/>
          <w:b/>
          <w:bCs/>
          <w:color w:val="auto"/>
          <w:szCs w:val="21"/>
          <w:highlight w:val="none"/>
        </w:rPr>
        <w:t>进口产品投标，进口产品是指通过中国海关报关验放进入中国境内且产自关境外的产品</w:t>
      </w:r>
      <w:r>
        <w:rPr>
          <w:rFonts w:hint="eastAsia" w:ascii="宋体" w:hAnsi="宋体" w:cs="宋体"/>
          <w:color w:val="auto"/>
          <w:szCs w:val="21"/>
          <w:highlight w:val="none"/>
        </w:rPr>
        <w:t>。</w:t>
      </w:r>
      <w:bookmarkStart w:id="14" w:name="_Toc25432"/>
    </w:p>
    <w:p w14:paraId="7A8E5FD3">
      <w:pPr>
        <w:shd w:val="clear" w:color="auto" w:fill="auto"/>
        <w:spacing w:before="0" w:line="360" w:lineRule="auto"/>
        <w:ind w:firstLine="420" w:firstLineChars="200"/>
        <w:outlineLvl w:val="9"/>
        <w:rPr>
          <w:rFonts w:ascii="宋体" w:hAnsi="宋体" w:cs="宋体"/>
          <w:b w:val="0"/>
          <w:color w:val="auto"/>
          <w:spacing w:val="0"/>
          <w:sz w:val="24"/>
          <w:szCs w:val="24"/>
          <w:highlight w:val="none"/>
        </w:rPr>
      </w:pPr>
      <w:bookmarkStart w:id="15" w:name="_Toc7601"/>
      <w:r>
        <w:rPr>
          <w:rFonts w:hint="eastAsia" w:ascii="宋体" w:hAnsi="宋体" w:cs="宋体"/>
          <w:b w:val="0"/>
          <w:bCs/>
          <w:color w:val="auto"/>
          <w:spacing w:val="0"/>
          <w:sz w:val="21"/>
          <w:szCs w:val="21"/>
          <w:highlight w:val="none"/>
        </w:rPr>
        <w:t>9.本项目（否）接受联合体投标。</w:t>
      </w:r>
    </w:p>
    <w:p w14:paraId="4A539E7D">
      <w:pPr>
        <w:pStyle w:val="4"/>
        <w:shd w:val="clear" w:color="auto" w:fill="auto"/>
        <w:spacing w:before="0" w:line="360" w:lineRule="auto"/>
        <w:rPr>
          <w:rFonts w:hint="eastAsia"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二、投标人的资格要求</w:t>
      </w:r>
      <w:bookmarkEnd w:id="3"/>
      <w:bookmarkEnd w:id="4"/>
      <w:bookmarkEnd w:id="5"/>
      <w:bookmarkEnd w:id="6"/>
      <w:bookmarkEnd w:id="14"/>
      <w:bookmarkEnd w:id="15"/>
    </w:p>
    <w:p w14:paraId="4A439EA2">
      <w:pPr>
        <w:shd w:val="clear" w:color="auto" w:fill="auto"/>
        <w:spacing w:line="500" w:lineRule="exact"/>
        <w:ind w:firstLine="420"/>
        <w:rPr>
          <w:rFonts w:ascii="宋体" w:hAnsi="宋体" w:cs="宋体"/>
          <w:color w:val="auto"/>
          <w:szCs w:val="21"/>
          <w:highlight w:val="none"/>
        </w:rPr>
      </w:pPr>
      <w:bookmarkStart w:id="16" w:name="_Toc8298"/>
      <w:bookmarkStart w:id="17" w:name="_Toc35393623"/>
      <w:bookmarkStart w:id="18" w:name="_Toc35393792"/>
      <w:bookmarkStart w:id="19" w:name="_Toc1535"/>
      <w:r>
        <w:rPr>
          <w:rFonts w:hint="eastAsia" w:ascii="宋体" w:hAnsi="宋体" w:cs="宋体"/>
          <w:color w:val="auto"/>
          <w:szCs w:val="21"/>
          <w:highlight w:val="none"/>
        </w:rPr>
        <w:t>1.满足《中华人民共和国政府采购法》第二十二条规定；</w:t>
      </w:r>
    </w:p>
    <w:p w14:paraId="0D41D708">
      <w:pPr>
        <w:shd w:val="clear" w:color="auto" w:fill="auto"/>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1.1投标人须具有独立承担民事责任的能力，在中华人民共和国境内登记或注册，投标人为法人、其他组织或者自然人；</w:t>
      </w:r>
    </w:p>
    <w:p w14:paraId="1D0B6543">
      <w:pPr>
        <w:shd w:val="clear" w:color="auto" w:fill="auto"/>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1.2具有良好的商业信誉和健全的财务会计制度：</w:t>
      </w:r>
    </w:p>
    <w:p w14:paraId="3D875DD8">
      <w:pPr>
        <w:shd w:val="clear" w:color="auto" w:fill="auto"/>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1.2.1良好的商业信誉指：投标人在本项目投标文件提交截止时间前，在“中国政府采购网（www.ccgp.gov.cn）”政府采购严重违法失信行为记录名单内无不良信息记录及“信用中国”网站（www.creditchina.gov.cn）信用服务查询栏查询的“失信被执行人（按网站要求链接到中国执行信息网（http：//zxgk.court.gov.cn/shixin</w:t>
      </w:r>
      <w:r>
        <w:rPr>
          <w:rFonts w:hint="eastAsia" w:ascii="宋体" w:hAnsi="宋体" w:cs="宋体"/>
          <w:color w:val="auto"/>
          <w:szCs w:val="21"/>
          <w:highlight w:val="none"/>
          <w:lang w:eastAsia="zh-CN"/>
        </w:rPr>
        <w:t>）</w:t>
      </w:r>
      <w:r>
        <w:rPr>
          <w:rFonts w:hint="eastAsia" w:ascii="宋体" w:hAnsi="宋体" w:cs="宋体"/>
          <w:color w:val="auto"/>
          <w:szCs w:val="21"/>
          <w:highlight w:val="none"/>
        </w:rPr>
        <w:t>查询）、重大税收违法失信主体”未出现不良信用信息记录（查询结果以采购人、采购代理机构在开标当天查询结果为准）；</w:t>
      </w:r>
    </w:p>
    <w:p w14:paraId="718DCAEB">
      <w:pPr>
        <w:shd w:val="clear" w:color="auto" w:fill="auto"/>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1.2.2健全的财务会计制度指：提供2023年度或2024年度经第三方审计的审计报告及财务报表（注：提供的财务报表应包含资产负债表、现金流量表、利润表（损益表）、所有者权益变动表及其附注），或提供自本项目投标文件提交截止时间前三个月内基本开户银行出具的资信证明。新成立企业且成立时间不足一年的，提供自本项目投标文件提交截止时间前三个月内基本开户银行出具的资信证明或自成立至今经第三方审计的审计报告及财务报表（注：提供的财务报表应包含资产负债表、现金流量表、利润表（损益表）、所有者权益变动表及其附注）；</w:t>
      </w:r>
    </w:p>
    <w:p w14:paraId="70B4186E">
      <w:pPr>
        <w:shd w:val="clear" w:color="auto" w:fill="auto"/>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1.3投标人须具有履行合同所必需的设备和专业技术能力（提供说明承诺）；</w:t>
      </w:r>
    </w:p>
    <w:p w14:paraId="618215F9">
      <w:pPr>
        <w:shd w:val="clear" w:color="auto" w:fill="auto"/>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1.4有依法缴纳税收和社会保障资金的良好记录：</w:t>
      </w:r>
    </w:p>
    <w:p w14:paraId="4C2B0C0C">
      <w:pPr>
        <w:shd w:val="clear" w:color="auto" w:fill="auto"/>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1.4.1投标人须提供以下任一依法纳税的证明材料：投标人在投标截止之日前十二个月内（税款所属时期），任意3个月的税务局税收通用缴款书复印件、银行电子缴税（费）凭证复印件、税务局出具纳税情况的相关证明。依法免税的，应提供依法免税的相关证明文件，成立未满三个月的投标人提供情况说明。</w:t>
      </w:r>
    </w:p>
    <w:p w14:paraId="66B00433">
      <w:pPr>
        <w:shd w:val="clear" w:color="auto" w:fill="auto"/>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1.4.2投标人须提供以下任一社会保险费缴费证明材料：投标人在投标截止之日前十二个月内（费款所属时期），任意3个月的社会保险费缴款书复印件、银行电子缴税（费）凭证复印件、社保管理部门出具的有效的缴款证明。依法免缴社会保险费的，应提供依法免缴的相关证明文件，成立未满三个月的投标人提供情况说明。</w:t>
      </w:r>
    </w:p>
    <w:p w14:paraId="56A10C76">
      <w:pPr>
        <w:shd w:val="clear" w:color="auto" w:fill="auto"/>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1.5投标人参加政府采购活动前三年内，在经营活动中没有重大违法记录（重大违法记录，是指投标人因违法经营受到刑事处罚或者责令停产停业、吊销许可证或者执照、较大数额罚款等行政处罚）的书面声明；</w:t>
      </w:r>
    </w:p>
    <w:p w14:paraId="5185F505">
      <w:pPr>
        <w:shd w:val="clear" w:color="auto" w:fill="auto"/>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1.6法律、行政法规规定的其他条件：</w:t>
      </w:r>
    </w:p>
    <w:p w14:paraId="38C6FCEA">
      <w:pPr>
        <w:widowControl/>
        <w:shd w:val="clear" w:color="auto" w:fill="auto"/>
        <w:tabs>
          <w:tab w:val="left" w:pos="5810"/>
        </w:tabs>
        <w:spacing w:line="460" w:lineRule="exact"/>
        <w:ind w:firstLine="420" w:firstLineChars="200"/>
        <w:jc w:val="left"/>
        <w:rPr>
          <w:rFonts w:hint="eastAsia" w:ascii="宋体" w:hAnsi="宋体" w:cs="宋体"/>
          <w:bCs/>
          <w:color w:val="auto"/>
          <w:szCs w:val="21"/>
          <w:highlight w:val="none"/>
        </w:rPr>
      </w:pPr>
      <w:r>
        <w:rPr>
          <w:rFonts w:hint="eastAsia" w:ascii="宋体" w:hAnsi="宋体" w:cs="宋体"/>
          <w:bCs/>
          <w:color w:val="auto"/>
          <w:szCs w:val="21"/>
          <w:highlight w:val="none"/>
        </w:rPr>
        <w:t>1.6.1单位负责人为同一人或者存在直接控股、管理关系的不同投标人，不得参加同一合同项下的政府采购活动（提供声明书）。</w:t>
      </w:r>
    </w:p>
    <w:p w14:paraId="6BC9E362">
      <w:pPr>
        <w:shd w:val="clear" w:color="auto" w:fill="auto"/>
        <w:spacing w:line="460" w:lineRule="atLeast"/>
        <w:ind w:firstLine="420" w:firstLineChars="200"/>
        <w:rPr>
          <w:rFonts w:ascii="宋体" w:hAnsi="宋体" w:cs="宋体"/>
          <w:color w:val="auto"/>
          <w:szCs w:val="21"/>
          <w:highlight w:val="none"/>
        </w:rPr>
      </w:pPr>
      <w:r>
        <w:rPr>
          <w:rFonts w:hint="eastAsia" w:ascii="宋体" w:hAnsi="宋体" w:cs="宋体"/>
          <w:bCs/>
          <w:color w:val="auto"/>
          <w:szCs w:val="21"/>
          <w:highlight w:val="none"/>
        </w:rPr>
        <w:t>1.6.2为本采购项目提供整体设计、规范编制或者项目管理、监理、检测等服务的投标人，不得再参加本采购项目的其他采购活动（提供声明书）。</w:t>
      </w:r>
    </w:p>
    <w:p w14:paraId="2DCC560E">
      <w:pPr>
        <w:shd w:val="clear" w:color="auto" w:fill="auto"/>
        <w:spacing w:line="500" w:lineRule="exact"/>
        <w:ind w:firstLine="420"/>
        <w:rPr>
          <w:rFonts w:ascii="宋体" w:hAnsi="宋体" w:cs="宋体"/>
          <w:color w:val="auto"/>
          <w:szCs w:val="21"/>
          <w:highlight w:val="none"/>
        </w:rPr>
      </w:pPr>
      <w:r>
        <w:rPr>
          <w:rFonts w:hint="eastAsia" w:ascii="宋体" w:hAnsi="宋体" w:cs="宋体"/>
          <w:color w:val="auto"/>
          <w:szCs w:val="21"/>
          <w:highlight w:val="none"/>
        </w:rPr>
        <w:t>2.落实政府采购政策需满足的资格要求：本项目不属于专门面向中小企业采购的项目；小微企业价格扣除优惠比例:10%。</w:t>
      </w:r>
    </w:p>
    <w:p w14:paraId="46624E80">
      <w:pPr>
        <w:shd w:val="clear" w:color="auto" w:fill="auto"/>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3.本项目的特定资格要求：</w:t>
      </w:r>
      <w:r>
        <w:rPr>
          <w:rFonts w:hint="eastAsia" w:ascii="宋体" w:hAnsi="宋体" w:cs="宋体"/>
          <w:color w:val="auto"/>
          <w:szCs w:val="21"/>
          <w:highlight w:val="none"/>
          <w:lang w:val="en-US" w:eastAsia="zh-CN"/>
        </w:rPr>
        <w:t>无</w:t>
      </w:r>
      <w:r>
        <w:rPr>
          <w:rFonts w:hint="eastAsia" w:ascii="宋体" w:hAnsi="宋体" w:eastAsia="宋体" w:cs="宋体"/>
          <w:color w:val="auto"/>
          <w:szCs w:val="21"/>
          <w:highlight w:val="none"/>
        </w:rPr>
        <w:t>。</w:t>
      </w:r>
    </w:p>
    <w:p w14:paraId="6B0D7D3F">
      <w:pPr>
        <w:pStyle w:val="4"/>
        <w:shd w:val="clear" w:color="auto" w:fill="auto"/>
        <w:spacing w:before="0" w:line="360" w:lineRule="auto"/>
        <w:rPr>
          <w:rFonts w:hint="eastAsia" w:ascii="宋体" w:hAnsi="宋体" w:cs="宋体"/>
          <w:bCs/>
          <w:color w:val="auto"/>
          <w:spacing w:val="0"/>
          <w:sz w:val="24"/>
          <w:szCs w:val="24"/>
          <w:highlight w:val="none"/>
        </w:rPr>
      </w:pPr>
      <w:r>
        <w:rPr>
          <w:rFonts w:hint="eastAsia" w:ascii="宋体" w:hAnsi="宋体" w:cs="宋体"/>
          <w:bCs/>
          <w:color w:val="auto"/>
          <w:spacing w:val="0"/>
          <w:sz w:val="24"/>
          <w:szCs w:val="24"/>
          <w:highlight w:val="none"/>
        </w:rPr>
        <w:t>三、获取招标文件</w:t>
      </w:r>
      <w:bookmarkEnd w:id="16"/>
      <w:bookmarkEnd w:id="17"/>
      <w:bookmarkEnd w:id="18"/>
      <w:bookmarkEnd w:id="19"/>
    </w:p>
    <w:p w14:paraId="15294795">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bCs/>
          <w:color w:val="auto"/>
          <w:szCs w:val="21"/>
          <w:highlight w:val="none"/>
        </w:rPr>
        <w:t>1、时间：202</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rPr>
        <w:t xml:space="preserve">年 </w:t>
      </w:r>
      <w:r>
        <w:rPr>
          <w:rFonts w:hint="eastAsia" w:ascii="宋体" w:hAnsi="宋体" w:cs="宋体"/>
          <w:bCs/>
          <w:color w:val="auto"/>
          <w:szCs w:val="21"/>
          <w:highlight w:val="none"/>
          <w:lang w:val="en-US" w:eastAsia="zh-CN"/>
        </w:rPr>
        <w:t>05</w:t>
      </w:r>
      <w:r>
        <w:rPr>
          <w:rFonts w:hint="eastAsia" w:ascii="宋体" w:hAnsi="宋体" w:cs="宋体"/>
          <w:bCs/>
          <w:color w:val="auto"/>
          <w:szCs w:val="21"/>
          <w:highlight w:val="none"/>
        </w:rPr>
        <w:t>月</w:t>
      </w:r>
      <w:r>
        <w:rPr>
          <w:rFonts w:hint="eastAsia" w:ascii="宋体" w:hAnsi="宋体" w:cs="宋体"/>
          <w:bCs/>
          <w:color w:val="auto"/>
          <w:szCs w:val="21"/>
          <w:highlight w:val="none"/>
          <w:lang w:val="en-US" w:eastAsia="zh-CN"/>
        </w:rPr>
        <w:t>23</w:t>
      </w:r>
      <w:r>
        <w:rPr>
          <w:rFonts w:hint="eastAsia" w:ascii="宋体" w:hAnsi="宋体" w:cs="宋体"/>
          <w:bCs/>
          <w:color w:val="auto"/>
          <w:szCs w:val="21"/>
          <w:highlight w:val="none"/>
        </w:rPr>
        <w:t xml:space="preserve"> 日至202</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rPr>
        <w:t>年</w:t>
      </w:r>
      <w:r>
        <w:rPr>
          <w:rFonts w:hint="eastAsia" w:ascii="宋体" w:hAnsi="宋体" w:cs="宋体"/>
          <w:bCs/>
          <w:color w:val="auto"/>
          <w:szCs w:val="21"/>
          <w:highlight w:val="none"/>
          <w:lang w:val="en-US" w:eastAsia="zh-CN"/>
        </w:rPr>
        <w:t>05</w:t>
      </w:r>
      <w:r>
        <w:rPr>
          <w:rFonts w:hint="eastAsia" w:ascii="宋体" w:hAnsi="宋体" w:cs="宋体"/>
          <w:bCs/>
          <w:color w:val="auto"/>
          <w:szCs w:val="21"/>
          <w:highlight w:val="none"/>
        </w:rPr>
        <w:t xml:space="preserve"> 月</w:t>
      </w:r>
      <w:r>
        <w:rPr>
          <w:rFonts w:hint="eastAsia" w:ascii="宋体" w:hAnsi="宋体" w:cs="宋体"/>
          <w:bCs/>
          <w:color w:val="auto"/>
          <w:szCs w:val="21"/>
          <w:highlight w:val="none"/>
          <w:lang w:val="en-US" w:eastAsia="zh-CN"/>
        </w:rPr>
        <w:t>30</w:t>
      </w:r>
      <w:r>
        <w:rPr>
          <w:rFonts w:hint="eastAsia" w:ascii="宋体" w:hAnsi="宋体" w:cs="宋体"/>
          <w:bCs/>
          <w:color w:val="auto"/>
          <w:szCs w:val="21"/>
          <w:highlight w:val="none"/>
        </w:rPr>
        <w:t xml:space="preserve"> 日，每天上午0</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:00至12:00，下午12:00至23:59（北京时间，法定节假日除外）。</w:t>
      </w:r>
    </w:p>
    <w:p w14:paraId="1CF96B11">
      <w:pPr>
        <w:shd w:val="clear" w:color="auto" w:fill="auto"/>
        <w:spacing w:line="360" w:lineRule="auto"/>
        <w:ind w:firstLine="420" w:firstLineChars="200"/>
        <w:rPr>
          <w:rFonts w:hint="eastAsia" w:ascii="宋体" w:hAnsi="宋体" w:cs="宋体"/>
          <w:color w:val="auto"/>
          <w:szCs w:val="21"/>
          <w:highlight w:val="none"/>
        </w:rPr>
      </w:pPr>
      <w:bookmarkStart w:id="20" w:name="_Toc35393801"/>
      <w:bookmarkStart w:id="21" w:name="_Toc35393632"/>
      <w:bookmarkStart w:id="22" w:name="_Toc28359092"/>
      <w:bookmarkStart w:id="23" w:name="_Toc28359015"/>
      <w:r>
        <w:rPr>
          <w:rFonts w:hint="eastAsia" w:ascii="宋体" w:hAnsi="宋体" w:cs="宋体"/>
          <w:color w:val="auto"/>
          <w:szCs w:val="21"/>
          <w:highlight w:val="none"/>
        </w:rPr>
        <w:t>2.地点：“政采云”平台（http：//www.zcygov.cn）（操作路径：登录“政采云”平台-项目采购-获取采购文件-找到本项目-点击“申请获取采购文件”）；</w:t>
      </w:r>
    </w:p>
    <w:p w14:paraId="5F0122F2">
      <w:pPr>
        <w:shd w:val="clear" w:color="auto" w:fill="auto"/>
        <w:spacing w:line="360" w:lineRule="auto"/>
        <w:ind w:firstLine="540"/>
        <w:rPr>
          <w:rFonts w:hint="eastAsia" w:ascii="宋体" w:hAnsi="宋体" w:cs="宋体"/>
          <w:color w:val="auto"/>
          <w:szCs w:val="21"/>
          <w:highlight w:val="none"/>
        </w:rPr>
      </w:pPr>
      <w:r>
        <w:rPr>
          <w:rFonts w:hint="eastAsia" w:ascii="宋体" w:hAnsi="宋体" w:cs="宋体"/>
          <w:color w:val="auto"/>
          <w:szCs w:val="21"/>
          <w:highlight w:val="none"/>
        </w:rPr>
        <w:t>3.方式：1.凡有意参加投标的投标人，须在政采云平台办理数字证书（CA），CA申领链接:http://yzt.ynsmartcert.cn/cms/yztyntt.html，数字证书（CA）办理完成后需在政采云平台绑定数字证书(CA)并在平台获取招标文件及其他采购资料。如有问题可拨打政采云客户服务热线95763进行咨询，数字证书问题可咨询云南壹证通CA：0871-67276028（紧急可拨19988166369）。注：云南本地投标人如之前已在云南CA在线数字证书办理网进行过注册并办理过企业数字证书（CA），直接绑定即可，无需重复办理（2022年1月1日前办理的云南CA 需到云南CA办理处进行升级）。外省投标人在政采云平台办理的其他CA 可直接使用，无需重复办理。</w:t>
      </w:r>
    </w:p>
    <w:p w14:paraId="7E907BAB">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w:t>
      </w:r>
      <w:r>
        <w:rPr>
          <w:rFonts w:ascii="宋体" w:hAnsi="宋体" w:cs="宋体"/>
          <w:color w:val="auto"/>
          <w:szCs w:val="21"/>
          <w:highlight w:val="none"/>
        </w:rPr>
        <w:t>.</w:t>
      </w:r>
      <w:r>
        <w:rPr>
          <w:rFonts w:hint="eastAsia" w:ascii="宋体" w:hAnsi="宋体" w:cs="宋体"/>
          <w:color w:val="auto"/>
          <w:szCs w:val="21"/>
          <w:highlight w:val="none"/>
        </w:rPr>
        <w:t>售价：</w:t>
      </w:r>
      <w:r>
        <w:rPr>
          <w:rFonts w:ascii="宋体" w:hAnsi="宋体" w:cs="宋体"/>
          <w:color w:val="auto"/>
          <w:szCs w:val="21"/>
          <w:highlight w:val="none"/>
        </w:rPr>
        <w:t>0</w:t>
      </w:r>
      <w:r>
        <w:rPr>
          <w:rFonts w:hint="eastAsia" w:ascii="宋体" w:hAnsi="宋体" w:cs="宋体"/>
          <w:color w:val="auto"/>
          <w:szCs w:val="21"/>
          <w:highlight w:val="none"/>
        </w:rPr>
        <w:t>元；</w:t>
      </w:r>
      <w:r>
        <w:rPr>
          <w:rFonts w:ascii="宋体" w:hAnsi="宋体" w:cs="宋体"/>
          <w:color w:val="auto"/>
          <w:szCs w:val="21"/>
          <w:highlight w:val="none"/>
        </w:rPr>
        <w:t xml:space="preserve"> </w:t>
      </w:r>
    </w:p>
    <w:p w14:paraId="1F0D0046">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5.按上述要求获取文件的投标人视为合法获取了本项目招标文件。</w:t>
      </w:r>
    </w:p>
    <w:p w14:paraId="090D93F5">
      <w:pPr>
        <w:shd w:val="clear" w:color="auto" w:fill="auto"/>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四、提交</w:t>
      </w:r>
      <w:bookmarkEnd w:id="20"/>
      <w:bookmarkEnd w:id="21"/>
      <w:bookmarkEnd w:id="22"/>
      <w:bookmarkEnd w:id="23"/>
      <w:r>
        <w:rPr>
          <w:rFonts w:hint="eastAsia" w:ascii="宋体" w:hAnsi="宋体" w:cs="宋体"/>
          <w:b/>
          <w:color w:val="auto"/>
          <w:sz w:val="24"/>
          <w:szCs w:val="24"/>
          <w:highlight w:val="none"/>
        </w:rPr>
        <w:t>投标文件截止时间、开标时间和地点</w:t>
      </w:r>
    </w:p>
    <w:p w14:paraId="01A3270D">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提交投标文件截止时间：202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 xml:space="preserve"> 06</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 xml:space="preserve"> 16 </w:t>
      </w:r>
      <w:r>
        <w:rPr>
          <w:rFonts w:hint="eastAsia" w:ascii="宋体" w:hAnsi="宋体" w:cs="宋体"/>
          <w:color w:val="auto"/>
          <w:szCs w:val="21"/>
          <w:highlight w:val="none"/>
        </w:rPr>
        <w:t xml:space="preserve">日 </w:t>
      </w:r>
      <w:r>
        <w:rPr>
          <w:rFonts w:hint="eastAsia" w:ascii="宋体" w:hAnsi="宋体" w:cs="宋体"/>
          <w:color w:val="auto"/>
          <w:szCs w:val="21"/>
          <w:highlight w:val="none"/>
          <w:lang w:val="en-US" w:eastAsia="zh-CN"/>
        </w:rPr>
        <w:t>09</w:t>
      </w:r>
      <w:r>
        <w:rPr>
          <w:rFonts w:hint="eastAsia" w:ascii="宋体" w:hAnsi="宋体" w:cs="宋体"/>
          <w:color w:val="auto"/>
          <w:szCs w:val="21"/>
          <w:highlight w:val="none"/>
        </w:rPr>
        <w:t>点00分（北京时间）。</w:t>
      </w:r>
    </w:p>
    <w:p w14:paraId="2E61E4EF">
      <w:pPr>
        <w:shd w:val="clear" w:color="auto" w:fill="auto"/>
        <w:spacing w:line="360" w:lineRule="auto"/>
        <w:ind w:firstLine="420" w:firstLineChars="200"/>
        <w:rPr>
          <w:rFonts w:hint="eastAsia" w:ascii="宋体" w:hAnsi="宋体" w:cs="宋体"/>
          <w:bCs/>
          <w:color w:val="auto"/>
          <w:szCs w:val="21"/>
          <w:highlight w:val="none"/>
        </w:rPr>
      </w:pPr>
      <w:bookmarkStart w:id="24" w:name="_Toc35393803"/>
      <w:bookmarkStart w:id="25" w:name="_Toc35393634"/>
      <w:bookmarkStart w:id="26" w:name="_Toc28359094"/>
      <w:bookmarkStart w:id="27" w:name="_Toc28359017"/>
      <w:r>
        <w:rPr>
          <w:rFonts w:hint="eastAsia" w:ascii="宋体" w:hAnsi="宋体" w:cs="宋体"/>
          <w:bCs/>
          <w:color w:val="auto"/>
          <w:szCs w:val="21"/>
          <w:highlight w:val="none"/>
        </w:rPr>
        <w:t>地点：“政采云”平台开标大厅（昆明市同德昆明广场B区4栋601）。投标人应按照本项目招标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4D192A6A">
      <w:pPr>
        <w:shd w:val="clear" w:color="auto" w:fill="auto"/>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五、公告期限</w:t>
      </w:r>
      <w:bookmarkEnd w:id="24"/>
      <w:bookmarkEnd w:id="25"/>
      <w:bookmarkEnd w:id="26"/>
      <w:bookmarkEnd w:id="27"/>
    </w:p>
    <w:p w14:paraId="1991C50C">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自本公告发布之日起5个工作日。</w:t>
      </w:r>
    </w:p>
    <w:p w14:paraId="766CFA90">
      <w:pPr>
        <w:shd w:val="clear" w:color="auto" w:fill="auto"/>
        <w:spacing w:line="360" w:lineRule="auto"/>
        <w:rPr>
          <w:rFonts w:hint="eastAsia" w:ascii="宋体" w:hAnsi="宋体" w:cs="宋体"/>
          <w:b/>
          <w:color w:val="auto"/>
          <w:sz w:val="24"/>
          <w:szCs w:val="24"/>
          <w:highlight w:val="none"/>
        </w:rPr>
      </w:pPr>
      <w:bookmarkStart w:id="28" w:name="_Toc35393804"/>
      <w:bookmarkStart w:id="29" w:name="_Toc35393635"/>
      <w:r>
        <w:rPr>
          <w:rFonts w:hint="eastAsia" w:ascii="宋体" w:hAnsi="宋体" w:cs="宋体"/>
          <w:b/>
          <w:color w:val="auto"/>
          <w:sz w:val="24"/>
          <w:szCs w:val="24"/>
          <w:highlight w:val="none"/>
        </w:rPr>
        <w:t>六、其他补充事宜</w:t>
      </w:r>
      <w:bookmarkEnd w:id="28"/>
      <w:bookmarkEnd w:id="29"/>
    </w:p>
    <w:p w14:paraId="1A2F0D40">
      <w:pPr>
        <w:shd w:val="clear" w:color="auto" w:fill="auto"/>
        <w:spacing w:line="360" w:lineRule="auto"/>
        <w:ind w:firstLine="420" w:firstLineChars="200"/>
        <w:rPr>
          <w:rFonts w:hint="eastAsia" w:ascii="宋体" w:hAnsi="宋体" w:cs="宋体"/>
          <w:color w:val="auto"/>
          <w:szCs w:val="21"/>
          <w:highlight w:val="none"/>
        </w:rPr>
      </w:pPr>
      <w:bookmarkStart w:id="30" w:name="_Toc35393805"/>
      <w:bookmarkStart w:id="31" w:name="_Toc28359018"/>
      <w:bookmarkStart w:id="32" w:name="_Toc28359095"/>
      <w:bookmarkStart w:id="33" w:name="_Toc35393636"/>
      <w:r>
        <w:rPr>
          <w:rFonts w:hint="eastAsia" w:ascii="宋体" w:hAnsi="宋体" w:cs="宋体"/>
          <w:color w:val="auto"/>
          <w:szCs w:val="21"/>
          <w:highlight w:val="none"/>
        </w:rPr>
        <w:t>1.开标方式：</w:t>
      </w:r>
      <w:r>
        <w:rPr>
          <w:rFonts w:hint="eastAsia" w:ascii="宋体" w:hAnsi="宋体" w:cs="宋体"/>
          <w:color w:val="auto"/>
          <w:szCs w:val="21"/>
          <w:highlight w:val="none"/>
          <w:u w:val="single"/>
        </w:rPr>
        <w:t>网上开标</w:t>
      </w:r>
      <w:r>
        <w:rPr>
          <w:rFonts w:hint="eastAsia" w:ascii="宋体" w:hAnsi="宋体" w:cs="宋体"/>
          <w:color w:val="auto"/>
          <w:szCs w:val="21"/>
          <w:highlight w:val="none"/>
        </w:rPr>
        <w:t>。</w:t>
      </w:r>
    </w:p>
    <w:p w14:paraId="460BE02D">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2.本项目公告在《云南省政府采购网》（http://www.yngp.com</w:t>
      </w:r>
      <w:r>
        <w:rPr>
          <w:rFonts w:hint="eastAsia" w:ascii="宋体" w:hAnsi="宋体" w:cs="宋体"/>
          <w:color w:val="auto"/>
          <w:szCs w:val="21"/>
          <w:highlight w:val="none"/>
          <w:lang w:eastAsia="zh-CN"/>
        </w:rPr>
        <w:t>）</w:t>
      </w:r>
      <w:r>
        <w:rPr>
          <w:rFonts w:hint="eastAsia" w:ascii="宋体" w:hAnsi="宋体" w:cs="宋体"/>
          <w:color w:val="auto"/>
          <w:szCs w:val="21"/>
          <w:highlight w:val="none"/>
        </w:rPr>
        <w:t>、政采云平台（https://www.zcygov.cn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上发布，我公司对其他网站或媒体转载的公告及公告内容不承担任何法律责任。</w:t>
      </w:r>
    </w:p>
    <w:p w14:paraId="2D4230E5">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3.本项目执行政府采购促进中小企业发展、支持监狱企业、促进残疾人就业、强制采购和优先采购节能、环保产品等政府采购政策。</w:t>
      </w:r>
    </w:p>
    <w:p w14:paraId="67021C7B">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4.投诉监督电话：13888829415       13114272015</w:t>
      </w:r>
    </w:p>
    <w:p w14:paraId="37E0FC05">
      <w:pPr>
        <w:shd w:val="clear" w:color="auto" w:fill="auto"/>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七、对本次招标提出询问，请按以下方式联系</w:t>
      </w:r>
      <w:bookmarkEnd w:id="30"/>
      <w:bookmarkEnd w:id="31"/>
      <w:bookmarkEnd w:id="32"/>
      <w:bookmarkEnd w:id="33"/>
    </w:p>
    <w:p w14:paraId="53B35E2C">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1.采购人信息 </w:t>
      </w:r>
    </w:p>
    <w:p w14:paraId="7F03BE5F">
      <w:pPr>
        <w:shd w:val="clear" w:color="auto" w:fill="auto"/>
        <w:spacing w:line="36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名称：</w:t>
      </w:r>
      <w:r>
        <w:rPr>
          <w:rFonts w:hint="eastAsia" w:ascii="宋体" w:hAnsi="宋体" w:cs="宋体"/>
          <w:color w:val="auto"/>
          <w:szCs w:val="21"/>
          <w:highlight w:val="none"/>
          <w:lang w:eastAsia="zh-CN"/>
        </w:rPr>
        <w:t>云南省残疾人康复中心</w:t>
      </w:r>
    </w:p>
    <w:p w14:paraId="68DEFCFC">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地址：云南省昆明市盘龙区司家营街6号</w:t>
      </w:r>
    </w:p>
    <w:p w14:paraId="0C1605D3">
      <w:pPr>
        <w:shd w:val="clear" w:color="auto" w:fill="auto"/>
        <w:spacing w:line="360" w:lineRule="auto"/>
        <w:ind w:firstLine="420" w:firstLineChars="200"/>
        <w:rPr>
          <w:rFonts w:hint="default" w:ascii="宋体" w:hAnsi="宋体" w:cs="宋体"/>
          <w:color w:val="auto"/>
          <w:szCs w:val="21"/>
          <w:highlight w:val="none"/>
          <w:lang w:val="en-US"/>
        </w:rPr>
      </w:pPr>
      <w:r>
        <w:rPr>
          <w:rFonts w:hint="eastAsia" w:ascii="宋体" w:hAnsi="宋体" w:cs="宋体"/>
          <w:color w:val="auto"/>
          <w:szCs w:val="21"/>
          <w:highlight w:val="none"/>
        </w:rPr>
        <w:t>联系方式：</w:t>
      </w:r>
      <w:r>
        <w:rPr>
          <w:rFonts w:hint="eastAsia" w:ascii="宋体" w:hAnsi="宋体" w:cs="宋体"/>
          <w:color w:val="auto"/>
          <w:szCs w:val="21"/>
          <w:highlight w:val="none"/>
          <w:lang w:val="en-US" w:eastAsia="zh-CN"/>
        </w:rPr>
        <w:t>陈</w:t>
      </w:r>
      <w:r>
        <w:rPr>
          <w:rFonts w:hint="eastAsia" w:ascii="宋体" w:hAnsi="宋体" w:cs="宋体"/>
          <w:color w:val="auto"/>
          <w:szCs w:val="21"/>
          <w:highlight w:val="none"/>
        </w:rPr>
        <w:t>老师0871-68</w:t>
      </w:r>
      <w:r>
        <w:rPr>
          <w:rFonts w:hint="eastAsia" w:ascii="宋体" w:hAnsi="宋体" w:cs="宋体"/>
          <w:color w:val="auto"/>
          <w:szCs w:val="21"/>
          <w:highlight w:val="none"/>
          <w:lang w:val="en-US" w:eastAsia="zh-CN"/>
        </w:rPr>
        <w:t>400637转6306</w:t>
      </w:r>
    </w:p>
    <w:p w14:paraId="05662F00">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2.采购代理机构信息</w:t>
      </w:r>
    </w:p>
    <w:p w14:paraId="72D92F74">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名    称：云南通拓招标有限公司</w:t>
      </w:r>
    </w:p>
    <w:p w14:paraId="26FD09CD">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地    址：昆明市同德昆明广场B区4栋501</w:t>
      </w:r>
    </w:p>
    <w:p w14:paraId="742769FA">
      <w:pPr>
        <w:shd w:val="clear" w:color="auto" w:fill="auto"/>
        <w:spacing w:line="360" w:lineRule="auto"/>
        <w:ind w:firstLine="420" w:firstLineChars="20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联系方式：任皓、</w:t>
      </w:r>
      <w:r>
        <w:rPr>
          <w:rFonts w:hint="eastAsia" w:ascii="宋体" w:hAnsi="宋体" w:cs="宋体"/>
          <w:color w:val="auto"/>
          <w:szCs w:val="21"/>
          <w:highlight w:val="none"/>
          <w:lang w:val="en-US" w:eastAsia="zh-CN"/>
        </w:rPr>
        <w:t>杨肖</w:t>
      </w:r>
      <w:r>
        <w:rPr>
          <w:rFonts w:hint="eastAsia" w:ascii="宋体" w:hAnsi="宋体" w:cs="宋体"/>
          <w:color w:val="auto"/>
          <w:szCs w:val="21"/>
          <w:highlight w:val="none"/>
        </w:rPr>
        <w:t xml:space="preserve"> </w:t>
      </w:r>
      <w:r>
        <w:rPr>
          <w:rFonts w:hint="eastAsia" w:ascii="宋体" w:hAnsi="宋体" w:cs="宋体"/>
          <w:color w:val="auto"/>
          <w:szCs w:val="21"/>
          <w:highlight w:val="none"/>
          <w:lang w:eastAsia="zh-CN"/>
        </w:rPr>
        <w:t>、</w:t>
      </w:r>
      <w:r>
        <w:rPr>
          <w:rFonts w:hint="eastAsia" w:ascii="宋体" w:hAnsi="宋体" w:cs="宋体"/>
          <w:color w:val="auto"/>
          <w:szCs w:val="21"/>
          <w:highlight w:val="none"/>
        </w:rPr>
        <w:t>杨青润</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杜春菊、杨卫华</w:t>
      </w:r>
    </w:p>
    <w:p w14:paraId="7F66CD06">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3.项目联系方式</w:t>
      </w:r>
    </w:p>
    <w:p w14:paraId="4CB4F8EB">
      <w:pPr>
        <w:shd w:val="clear" w:color="auto" w:fill="auto"/>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联 系 人：任皓、</w:t>
      </w:r>
      <w:r>
        <w:rPr>
          <w:rFonts w:hint="eastAsia" w:ascii="宋体" w:hAnsi="宋体" w:cs="宋体"/>
          <w:color w:val="auto"/>
          <w:szCs w:val="21"/>
          <w:highlight w:val="none"/>
          <w:lang w:val="en-US" w:eastAsia="zh-CN"/>
        </w:rPr>
        <w:t>杨肖</w:t>
      </w:r>
      <w:r>
        <w:rPr>
          <w:rFonts w:hint="eastAsia" w:ascii="宋体" w:hAnsi="宋体" w:cs="宋体"/>
          <w:color w:val="auto"/>
          <w:szCs w:val="21"/>
          <w:highlight w:val="none"/>
        </w:rPr>
        <w:t xml:space="preserve"> 、杨青润</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杜春菊、杨卫华</w:t>
      </w:r>
    </w:p>
    <w:p w14:paraId="5A8B0A4A">
      <w:pPr>
        <w:shd w:val="clear" w:color="auto" w:fill="auto"/>
        <w:spacing w:line="360" w:lineRule="auto"/>
        <w:ind w:firstLine="420" w:firstLineChars="200"/>
        <w:rPr>
          <w:rFonts w:hint="eastAsia" w:ascii="宋体" w:hAnsi="宋体" w:cs="宋体"/>
          <w:b/>
          <w:bCs/>
          <w:color w:val="auto"/>
          <w:highlight w:val="none"/>
        </w:rPr>
      </w:pPr>
      <w:r>
        <w:rPr>
          <w:rFonts w:hint="eastAsia" w:ascii="宋体" w:hAnsi="宋体" w:cs="宋体"/>
          <w:color w:val="auto"/>
          <w:szCs w:val="21"/>
          <w:highlight w:val="none"/>
        </w:rPr>
        <w:t>联系电话：0871-65895558</w:t>
      </w:r>
    </w:p>
    <w:p w14:paraId="57EDE6AD"/>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0142B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120" w:after="120"/>
      <w:jc w:val="center"/>
      <w:outlineLvl w:val="0"/>
    </w:pPr>
    <w:rPr>
      <w:b/>
      <w:spacing w:val="20"/>
      <w:kern w:val="44"/>
      <w:sz w:val="32"/>
    </w:rPr>
  </w:style>
  <w:style w:type="paragraph" w:styleId="4">
    <w:name w:val="heading 2"/>
    <w:basedOn w:val="1"/>
    <w:next w:val="1"/>
    <w:qFormat/>
    <w:uiPriority w:val="0"/>
    <w:pPr>
      <w:keepNext/>
      <w:keepLines/>
      <w:spacing w:before="240" w:line="400" w:lineRule="exact"/>
      <w:outlineLvl w:val="1"/>
    </w:pPr>
    <w:rPr>
      <w:rFonts w:ascii="Arial" w:hAnsi="Arial"/>
      <w:b/>
      <w:color w:val="000000"/>
      <w:spacing w:val="40"/>
      <w:sz w:val="32"/>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Document Map"/>
    <w:basedOn w:val="1"/>
    <w:qFormat/>
    <w:uiPriority w:val="0"/>
    <w:pPr>
      <w:shd w:val="clear" w:color="auto" w:fill="000080"/>
    </w:pPr>
  </w:style>
  <w:style w:type="paragraph" w:styleId="5">
    <w:name w:val="footer"/>
    <w:basedOn w:val="1"/>
    <w:qFormat/>
    <w:uiPriority w:val="0"/>
    <w:pPr>
      <w:tabs>
        <w:tab w:val="center" w:pos="4153"/>
        <w:tab w:val="right" w:pos="8306"/>
      </w:tabs>
      <w:snapToGrid w:val="0"/>
      <w:jc w:val="left"/>
    </w:pPr>
    <w:rPr>
      <w:sz w:val="18"/>
    </w:rPr>
  </w:style>
  <w:style w:type="character" w:customStyle="1" w:styleId="8">
    <w:name w:val="font1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2025-05-23T14:45:56Z</dcterms:created>
  <dc:creator>Administrator</dc:creator>
  <cp:lastModifiedBy>胡</cp:lastModifiedBy>
  <dcterms:modified xsi:type="dcterms:W3CDTF">2025-05-23T14:46:15Z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eyJoZGlkIjoiYzMxNjg4YTEwZTZiZDM4NjE2OGU2NzdhNmI3YmIwZTMiLCJ1c2VySWQiOiIzNzY3NDM2MDMifQ==</vt:lpwstr>
  </property>
  <property fmtid="{D5CDD505-2E9C-101B-9397-08002B2CF9AE}" pid="4" name="ICV">
    <vt:lpwstr>098EE701E2114E8AAF69931495ACF32C_12</vt:lpwstr>
  </property>
</Properties>
</file>